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4480" w:type="dxa"/>
            <w:vAlign w:val="bottom"/>
          </w:tcPr>
          <w:p>
            <w:pPr>
              <w:jc w:val="center"/>
              <w:ind w:right="1938"/>
              <w:spacing w:after="0"/>
              <w:rPr>
                <w:sz w:val="20"/>
                <w:szCs w:val="20"/>
                <w:color w:val="auto"/>
              </w:rPr>
            </w:pPr>
            <w:r>
              <w:rPr>
                <w:rFonts w:ascii="Arial" w:cs="Arial" w:eastAsia="Arial" w:hAnsi="Arial"/>
                <w:sz w:val="18"/>
                <w:szCs w:val="18"/>
                <w:b w:val="1"/>
                <w:bCs w:val="1"/>
                <w:color w:val="auto"/>
                <w:w w:val="97"/>
              </w:rPr>
              <w:t>CURAÇAO</w:t>
            </w:r>
          </w:p>
        </w:tc>
        <w:tc>
          <w:tcPr>
            <w:tcW w:w="310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480" w:type="dxa"/>
            <w:vAlign w:val="bottom"/>
          </w:tcPr>
          <w:p>
            <w:pPr>
              <w:jc w:val="center"/>
              <w:ind w:right="193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00" w:type="dxa"/>
            <w:vAlign w:val="bottom"/>
          </w:tcPr>
          <w:p>
            <w:pPr>
              <w:jc w:val="center"/>
              <w:ind w:left="196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480" w:type="dxa"/>
            <w:vAlign w:val="bottom"/>
          </w:tcPr>
          <w:p>
            <w:pPr>
              <w:jc w:val="center"/>
              <w:ind w:right="1938"/>
              <w:spacing w:after="0"/>
              <w:rPr>
                <w:sz w:val="20"/>
                <w:szCs w:val="20"/>
                <w:color w:val="auto"/>
              </w:rPr>
            </w:pPr>
            <w:r>
              <w:rPr>
                <w:rFonts w:ascii="Arial" w:cs="Arial" w:eastAsia="Arial" w:hAnsi="Arial"/>
                <w:sz w:val="14"/>
                <w:szCs w:val="14"/>
                <w:b w:val="1"/>
                <w:bCs w:val="1"/>
                <w:color w:val="auto"/>
                <w:w w:val="89"/>
              </w:rPr>
              <w:t>incorporation or organization)</w:t>
            </w:r>
          </w:p>
        </w:tc>
        <w:tc>
          <w:tcPr>
            <w:tcW w:w="3100" w:type="dxa"/>
            <w:vAlign w:val="bottom"/>
          </w:tcPr>
          <w:p>
            <w:pPr>
              <w:jc w:val="center"/>
              <w:ind w:left="1961"/>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480" w:type="dxa"/>
            <w:vAlign w:val="bottom"/>
          </w:tcPr>
          <w:p>
            <w:pPr>
              <w:jc w:val="center"/>
              <w:ind w:right="1938"/>
              <w:spacing w:after="0"/>
              <w:rPr>
                <w:sz w:val="20"/>
                <w:szCs w:val="20"/>
                <w:color w:val="auto"/>
              </w:rPr>
            </w:pPr>
            <w:r>
              <w:rPr>
                <w:rFonts w:ascii="Arial" w:cs="Arial" w:eastAsia="Arial" w:hAnsi="Arial"/>
                <w:sz w:val="18"/>
                <w:szCs w:val="18"/>
                <w:b w:val="1"/>
                <w:bCs w:val="1"/>
                <w:color w:val="auto"/>
                <w:w w:val="99"/>
              </w:rPr>
              <w:t>42 RUE SAINT-DOMINIQUE</w:t>
            </w:r>
          </w:p>
        </w:tc>
        <w:tc>
          <w:tcPr>
            <w:tcW w:w="3100" w:type="dxa"/>
            <w:vAlign w:val="bottom"/>
          </w:tcPr>
          <w:p>
            <w:pPr>
              <w:spacing w:after="0"/>
              <w:rPr>
                <w:sz w:val="24"/>
                <w:szCs w:val="24"/>
                <w:color w:val="auto"/>
              </w:rPr>
            </w:pPr>
          </w:p>
        </w:tc>
      </w:tr>
      <w:tr>
        <w:trPr>
          <w:trHeight w:val="242"/>
        </w:trPr>
        <w:tc>
          <w:tcPr>
            <w:tcW w:w="4480" w:type="dxa"/>
            <w:vAlign w:val="bottom"/>
          </w:tcPr>
          <w:p>
            <w:pPr>
              <w:jc w:val="center"/>
              <w:ind w:right="1938"/>
              <w:spacing w:after="0"/>
              <w:rPr>
                <w:sz w:val="20"/>
                <w:szCs w:val="20"/>
                <w:color w:val="auto"/>
              </w:rPr>
            </w:pPr>
            <w:r>
              <w:rPr>
                <w:rFonts w:ascii="Arial" w:cs="Arial" w:eastAsia="Arial" w:hAnsi="Arial"/>
                <w:sz w:val="18"/>
                <w:szCs w:val="18"/>
                <w:b w:val="1"/>
                <w:bCs w:val="1"/>
                <w:color w:val="auto"/>
                <w:w w:val="95"/>
              </w:rPr>
              <w:t>PARIS, FRANCE</w:t>
            </w:r>
          </w:p>
        </w:tc>
        <w:tc>
          <w:tcPr>
            <w:tcW w:w="310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480" w:type="dxa"/>
            <w:vAlign w:val="bottom"/>
          </w:tcPr>
          <w:p>
            <w:pPr>
              <w:jc w:val="center"/>
              <w:ind w:right="1938"/>
              <w:spacing w:after="0"/>
              <w:rPr>
                <w:sz w:val="20"/>
                <w:szCs w:val="20"/>
                <w:color w:val="auto"/>
              </w:rPr>
            </w:pPr>
            <w:r>
              <w:rPr>
                <w:rFonts w:ascii="Arial" w:cs="Arial" w:eastAsia="Arial" w:hAnsi="Arial"/>
                <w:sz w:val="18"/>
                <w:szCs w:val="18"/>
                <w:b w:val="1"/>
                <w:bCs w:val="1"/>
                <w:color w:val="auto"/>
                <w:w w:val="94"/>
              </w:rPr>
              <w:t>5599 SAN FELIPE, 17</w:t>
            </w:r>
            <w:r>
              <w:rPr>
                <w:rFonts w:ascii="Arial" w:cs="Arial" w:eastAsia="Arial" w:hAnsi="Arial"/>
                <w:sz w:val="11"/>
                <w:szCs w:val="11"/>
                <w:b w:val="1"/>
                <w:bCs w:val="1"/>
                <w:color w:val="auto"/>
                <w:w w:val="94"/>
              </w:rPr>
              <w:t>th</w:t>
            </w:r>
            <w:r>
              <w:rPr>
                <w:rFonts w:ascii="Arial" w:cs="Arial" w:eastAsia="Arial" w:hAnsi="Arial"/>
                <w:sz w:val="18"/>
                <w:szCs w:val="18"/>
                <w:b w:val="1"/>
                <w:bCs w:val="1"/>
                <w:color w:val="auto"/>
                <w:w w:val="94"/>
              </w:rPr>
              <w:t xml:space="preserve"> FLOOR</w:t>
            </w:r>
          </w:p>
        </w:tc>
        <w:tc>
          <w:tcPr>
            <w:tcW w:w="3100" w:type="dxa"/>
            <w:vAlign w:val="bottom"/>
          </w:tcPr>
          <w:p>
            <w:pPr>
              <w:spacing w:after="0"/>
              <w:rPr>
                <w:sz w:val="24"/>
                <w:szCs w:val="24"/>
                <w:color w:val="auto"/>
              </w:rPr>
            </w:pPr>
          </w:p>
        </w:tc>
      </w:tr>
      <w:tr>
        <w:trPr>
          <w:trHeight w:val="242"/>
        </w:trPr>
        <w:tc>
          <w:tcPr>
            <w:tcW w:w="4480" w:type="dxa"/>
            <w:vAlign w:val="bottom"/>
          </w:tcPr>
          <w:p>
            <w:pPr>
              <w:jc w:val="center"/>
              <w:ind w:right="1938"/>
              <w:spacing w:after="0"/>
              <w:rPr>
                <w:sz w:val="20"/>
                <w:szCs w:val="20"/>
                <w:color w:val="auto"/>
              </w:rPr>
            </w:pPr>
            <w:r>
              <w:rPr>
                <w:rFonts w:ascii="Arial" w:cs="Arial" w:eastAsia="Arial" w:hAnsi="Arial"/>
                <w:sz w:val="18"/>
                <w:szCs w:val="18"/>
                <w:b w:val="1"/>
                <w:bCs w:val="1"/>
                <w:color w:val="auto"/>
                <w:w w:val="94"/>
              </w:rPr>
              <w:t>HOUSTON, TEXAS, U.S.A.</w:t>
            </w:r>
          </w:p>
        </w:tc>
        <w:tc>
          <w:tcPr>
            <w:tcW w:w="310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77056</w:t>
            </w:r>
          </w:p>
        </w:tc>
      </w:tr>
      <w:tr>
        <w:trPr>
          <w:trHeight w:val="420"/>
        </w:trPr>
        <w:tc>
          <w:tcPr>
            <w:tcW w:w="4480" w:type="dxa"/>
            <w:vAlign w:val="bottom"/>
          </w:tcPr>
          <w:p>
            <w:pPr>
              <w:jc w:val="center"/>
              <w:ind w:right="1938"/>
              <w:spacing w:after="0"/>
              <w:rPr>
                <w:sz w:val="20"/>
                <w:szCs w:val="20"/>
                <w:color w:val="auto"/>
              </w:rPr>
            </w:pPr>
            <w:r>
              <w:rPr>
                <w:rFonts w:ascii="Arial" w:cs="Arial" w:eastAsia="Arial" w:hAnsi="Arial"/>
                <w:sz w:val="18"/>
                <w:szCs w:val="18"/>
                <w:b w:val="1"/>
                <w:bCs w:val="1"/>
                <w:color w:val="auto"/>
                <w:w w:val="95"/>
              </w:rPr>
              <w:t>PARKSTRAAT 83</w:t>
            </w:r>
          </w:p>
        </w:tc>
        <w:tc>
          <w:tcPr>
            <w:tcW w:w="3100" w:type="dxa"/>
            <w:vAlign w:val="bottom"/>
          </w:tcPr>
          <w:p>
            <w:pPr>
              <w:spacing w:after="0"/>
              <w:rPr>
                <w:sz w:val="24"/>
                <w:szCs w:val="24"/>
                <w:color w:val="auto"/>
              </w:rPr>
            </w:pPr>
          </w:p>
        </w:tc>
      </w:tr>
      <w:tr>
        <w:trPr>
          <w:trHeight w:val="216"/>
        </w:trPr>
        <w:tc>
          <w:tcPr>
            <w:tcW w:w="4480" w:type="dxa"/>
            <w:vAlign w:val="bottom"/>
          </w:tcPr>
          <w:p>
            <w:pPr>
              <w:jc w:val="center"/>
              <w:ind w:right="1938"/>
              <w:spacing w:after="0"/>
              <w:rPr>
                <w:sz w:val="20"/>
                <w:szCs w:val="20"/>
                <w:color w:val="auto"/>
              </w:rPr>
            </w:pPr>
            <w:r>
              <w:rPr>
                <w:rFonts w:ascii="Arial" w:cs="Arial" w:eastAsia="Arial" w:hAnsi="Arial"/>
                <w:sz w:val="18"/>
                <w:szCs w:val="18"/>
                <w:b w:val="1"/>
                <w:bCs w:val="1"/>
                <w:color w:val="auto"/>
                <w:w w:val="99"/>
              </w:rPr>
              <w:t>THE HAGUE,</w:t>
            </w:r>
          </w:p>
        </w:tc>
        <w:tc>
          <w:tcPr>
            <w:tcW w:w="3100" w:type="dxa"/>
            <w:vAlign w:val="bottom"/>
          </w:tcPr>
          <w:p>
            <w:pPr>
              <w:spacing w:after="0"/>
              <w:rPr>
                <w:sz w:val="18"/>
                <w:szCs w:val="18"/>
                <w:color w:val="auto"/>
              </w:rPr>
            </w:pPr>
          </w:p>
        </w:tc>
      </w:tr>
      <w:tr>
        <w:trPr>
          <w:trHeight w:val="231"/>
        </w:trPr>
        <w:tc>
          <w:tcPr>
            <w:tcW w:w="4480" w:type="dxa"/>
            <w:vAlign w:val="bottom"/>
          </w:tcPr>
          <w:p>
            <w:pPr>
              <w:jc w:val="center"/>
              <w:ind w:right="1938"/>
              <w:spacing w:after="0"/>
              <w:rPr>
                <w:sz w:val="20"/>
                <w:szCs w:val="20"/>
                <w:color w:val="auto"/>
              </w:rPr>
            </w:pPr>
            <w:r>
              <w:rPr>
                <w:rFonts w:ascii="Arial" w:cs="Arial" w:eastAsia="Arial" w:hAnsi="Arial"/>
                <w:sz w:val="18"/>
                <w:szCs w:val="18"/>
                <w:b w:val="1"/>
                <w:bCs w:val="1"/>
                <w:color w:val="auto"/>
                <w:w w:val="98"/>
              </w:rPr>
              <w:t>THE NETHERLANDS</w:t>
            </w:r>
          </w:p>
        </w:tc>
        <w:tc>
          <w:tcPr>
            <w:tcW w:w="3100" w:type="dxa"/>
            <w:vAlign w:val="bottom"/>
          </w:tcPr>
          <w:p>
            <w:pPr>
              <w:jc w:val="center"/>
              <w:ind w:left="196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480" w:type="dxa"/>
            <w:vAlign w:val="bottom"/>
          </w:tcPr>
          <w:p>
            <w:pPr>
              <w:jc w:val="center"/>
              <w:ind w:right="193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100" w:type="dxa"/>
            <w:vAlign w:val="bottom"/>
          </w:tcPr>
          <w:p>
            <w:pPr>
              <w:jc w:val="center"/>
              <w:ind w:left="1941"/>
              <w:spacing w:after="0"/>
              <w:rPr>
                <w:sz w:val="20"/>
                <w:szCs w:val="20"/>
                <w:color w:val="auto"/>
              </w:rPr>
            </w:pPr>
            <w:r>
              <w:rPr>
                <w:rFonts w:ascii="Arial" w:cs="Arial" w:eastAsia="Arial" w:hAnsi="Arial"/>
                <w:sz w:val="14"/>
                <w:szCs w:val="14"/>
                <w:b w:val="1"/>
                <w:bCs w:val="1"/>
                <w:color w:val="auto"/>
                <w:w w:val="88"/>
              </w:rPr>
              <w:t>(Zip Codes)</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980" w:type="dxa"/>
            <w:vAlign w:val="bottom"/>
            <w:gridSpan w:val="3"/>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gridSpan w:val="2"/>
          </w:tcPr>
          <w:p>
            <w:pPr>
              <w:ind w:left="1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980" w:type="dxa"/>
            <w:vAlign w:val="bottom"/>
            <w:gridSpan w:val="3"/>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gridSpan w:val="2"/>
          </w:tcPr>
          <w:p>
            <w:pPr>
              <w:ind w:left="1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11020" w:type="dxa"/>
            <w:vAlign w:val="bottom"/>
            <w:gridSpan w:val="6"/>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400" w:type="dxa"/>
            <w:vAlign w:val="bottom"/>
          </w:tcPr>
          <w:p>
            <w:pPr>
              <w:spacing w:after="0"/>
              <w:rPr>
                <w:sz w:val="24"/>
                <w:szCs w:val="24"/>
                <w:color w:val="auto"/>
              </w:rPr>
            </w:pPr>
          </w:p>
        </w:tc>
      </w:tr>
      <w:tr>
        <w:trPr>
          <w:trHeight w:val="353"/>
        </w:trPr>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4700" w:type="dxa"/>
            <w:vAlign w:val="bottom"/>
          </w:tcPr>
          <w:p>
            <w:pPr>
              <w:spacing w:after="0"/>
              <w:rPr>
                <w:sz w:val="24"/>
                <w:szCs w:val="2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Outstanding at March 31, 2012</w:t>
            </w: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7740" w:type="dxa"/>
            <w:vAlign w:val="bottom"/>
            <w:gridSpan w:val="4"/>
          </w:tcPr>
          <w:p>
            <w:pPr>
              <w:jc w:val="center"/>
              <w:ind w:right="2020"/>
              <w:spacing w:after="0"/>
              <w:rPr>
                <w:sz w:val="20"/>
                <w:szCs w:val="20"/>
                <w:color w:val="auto"/>
              </w:rPr>
            </w:pPr>
            <w:r>
              <w:rPr>
                <w:rFonts w:ascii="Arial" w:cs="Arial" w:eastAsia="Arial" w:hAnsi="Arial"/>
                <w:sz w:val="18"/>
                <w:szCs w:val="18"/>
                <w:color w:val="auto"/>
                <w:w w:val="92"/>
              </w:rPr>
              <w:t>COMMON STOCK, $0.01 PAR VALUE PER SHARE</w:t>
            </w:r>
          </w:p>
        </w:tc>
        <w:tc>
          <w:tcPr>
            <w:tcW w:w="1900" w:type="dxa"/>
            <w:vAlign w:val="bottom"/>
          </w:tcPr>
          <w:p>
            <w:pPr>
              <w:jc w:val="right"/>
              <w:ind w:right="357"/>
              <w:spacing w:after="0"/>
              <w:rPr>
                <w:sz w:val="20"/>
                <w:szCs w:val="20"/>
                <w:color w:val="auto"/>
              </w:rPr>
            </w:pPr>
            <w:r>
              <w:rPr>
                <w:rFonts w:ascii="Arial" w:cs="Arial" w:eastAsia="Arial" w:hAnsi="Arial"/>
                <w:sz w:val="18"/>
                <w:szCs w:val="18"/>
                <w:color w:val="auto"/>
              </w:rPr>
              <w:t>1,333,554,386</w:t>
            </w: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15"/>
        </w:trPr>
        <w:tc>
          <w:tcPr>
            <w:tcW w:w="17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7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First Quarter 2012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w w:val="94"/>
              </w:rPr>
              <w:t>PART I</w:t>
            </w:r>
          </w:p>
        </w:tc>
        <w:tc>
          <w:tcPr>
            <w:tcW w:w="300" w:type="dxa"/>
            <w:vAlign w:val="bottom"/>
            <w:gridSpan w:val="2"/>
            <w:vMerge w:val="restart"/>
          </w:tcPr>
          <w:p>
            <w:pPr>
              <w:spacing w:after="0"/>
              <w:rPr>
                <w:sz w:val="14"/>
                <w:szCs w:val="14"/>
                <w:color w:val="auto"/>
              </w:rPr>
            </w:pPr>
          </w:p>
        </w:tc>
        <w:tc>
          <w:tcPr>
            <w:tcW w:w="1016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58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10160" w:type="dxa"/>
            <w:vAlign w:val="bottom"/>
            <w:gridSpan w:val="1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Item 1.</w:t>
            </w:r>
          </w:p>
        </w:tc>
        <w:tc>
          <w:tcPr>
            <w:tcW w:w="300" w:type="dxa"/>
            <w:vAlign w:val="bottom"/>
            <w:gridSpan w:val="2"/>
          </w:tcPr>
          <w:p>
            <w:pPr>
              <w:spacing w:after="0"/>
              <w:rPr>
                <w:sz w:val="24"/>
                <w:szCs w:val="24"/>
                <w:color w:val="auto"/>
              </w:rPr>
            </w:pPr>
          </w:p>
        </w:tc>
        <w:tc>
          <w:tcPr>
            <w:tcW w:w="1480" w:type="dxa"/>
            <w:vAlign w:val="bottom"/>
            <w:tcBorders>
              <w:top w:val="single" w:sz="8" w:color="auto"/>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180" w:type="dxa"/>
            <w:vAlign w:val="bottom"/>
            <w:tcBorders>
              <w:top w:val="single" w:sz="8" w:color="auto"/>
            </w:tcBorders>
            <w:gridSpan w:val="2"/>
          </w:tcPr>
          <w:p>
            <w:pPr>
              <w:spacing w:after="0"/>
              <w:rPr>
                <w:sz w:val="24"/>
                <w:szCs w:val="24"/>
                <w:color w:val="auto"/>
              </w:rPr>
            </w:pPr>
          </w:p>
        </w:tc>
        <w:tc>
          <w:tcPr>
            <w:tcW w:w="850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1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3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2"/>
          </w:tcPr>
          <w:p>
            <w:pPr>
              <w:spacing w:after="0"/>
              <w:rPr>
                <w:sz w:val="24"/>
                <w:szCs w:val="24"/>
                <w:color w:val="auto"/>
              </w:rPr>
            </w:pPr>
          </w:p>
        </w:tc>
        <w:tc>
          <w:tcPr>
            <w:tcW w:w="59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0160" w:type="dxa"/>
            <w:vAlign w:val="bottom"/>
            <w:gridSpan w:val="13"/>
          </w:tcPr>
          <w:p>
            <w:pPr>
              <w:spacing w:after="0"/>
              <w:rPr>
                <w:sz w:val="20"/>
                <w:szCs w:val="20"/>
                <w:color w:val="auto"/>
              </w:rPr>
            </w:pPr>
            <w:r>
              <w:rPr>
                <w:rFonts w:ascii="Arial" w:cs="Arial" w:eastAsia="Arial" w:hAnsi="Arial"/>
                <w:sz w:val="18"/>
                <w:szCs w:val="18"/>
                <w:b w:val="1"/>
                <w:bCs w:val="1"/>
                <w:color w:val="auto"/>
              </w:rPr>
              <w:t>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4"/>
                <w:szCs w:val="24"/>
                <w:color w:val="auto"/>
              </w:rPr>
            </w:pPr>
          </w:p>
        </w:tc>
        <w:tc>
          <w:tcPr>
            <w:tcW w:w="1420" w:type="dxa"/>
            <w:vAlign w:val="bottom"/>
            <w:tcBorders>
              <w:top w:val="single" w:sz="8" w:color="auto"/>
            </w:tcBorders>
            <w:gridSpan w:val="4"/>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Legal Proceedings</w:t>
              </w:r>
            </w:hyperlink>
          </w:p>
        </w:tc>
        <w:tc>
          <w:tcPr>
            <w:tcW w:w="874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88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1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Mine Safety Disclosures</w:t>
              </w:r>
            </w:hyperlink>
          </w:p>
        </w:tc>
        <w:tc>
          <w:tcPr>
            <w:tcW w:w="84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0160" w:type="dxa"/>
            <w:vAlign w:val="bottom"/>
            <w:gridSpan w:val="1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5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 Certifications</w:t>
              </w:r>
            </w:hyperlink>
          </w:p>
        </w:tc>
        <w:tc>
          <w:tcPr>
            <w:tcW w:w="85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8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00" w:type="dxa"/>
            <w:vAlign w:val="bottom"/>
            <w:gridSpan w:val="12"/>
          </w:tcPr>
          <w:p>
            <w:pPr>
              <w:ind w:left="4740"/>
              <w:spacing w:after="0"/>
              <w:rPr>
                <w:sz w:val="20"/>
                <w:szCs w:val="20"/>
                <w:color w:val="auto"/>
              </w:rPr>
            </w:pPr>
            <w:r>
              <w:rPr>
                <w:rFonts w:ascii="Arial" w:cs="Arial" w:eastAsia="Arial" w:hAnsi="Arial"/>
                <w:sz w:val="18"/>
                <w:szCs w:val="18"/>
                <w:color w:val="auto"/>
              </w:rPr>
              <w:t>-2-</w:t>
            </w: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0" w:type="dxa"/>
            <w:vAlign w:val="bottom"/>
          </w:tcPr>
          <w:p>
            <w:pPr>
              <w:spacing w:after="0"/>
              <w:rPr>
                <w:sz w:val="14"/>
                <w:szCs w:val="14"/>
                <w:color w:val="auto"/>
              </w:rPr>
            </w:pPr>
          </w:p>
        </w:tc>
        <w:tc>
          <w:tcPr>
            <w:tcW w:w="482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rPr>
              <w:t>(Stated in millions , except per share amounts )</w:t>
            </w:r>
          </w:p>
        </w:tc>
        <w:tc>
          <w:tcPr>
            <w:tcW w:w="0" w:type="dxa"/>
            <w:vAlign w:val="bottom"/>
          </w:tcPr>
          <w:p>
            <w:pPr>
              <w:spacing w:after="0"/>
              <w:rPr>
                <w:sz w:val="1"/>
                <w:szCs w:val="1"/>
                <w:color w:val="auto"/>
              </w:rPr>
            </w:pPr>
          </w:p>
        </w:tc>
      </w:tr>
      <w:tr>
        <w:trPr>
          <w:trHeight w:val="339"/>
        </w:trPr>
        <w:tc>
          <w:tcPr>
            <w:tcW w:w="6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w:t>
            </w:r>
          </w:p>
        </w:tc>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Oilfield Services</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9,918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8,122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w:t>
            </w:r>
          </w:p>
        </w:tc>
        <w:tc>
          <w:tcPr>
            <w:tcW w:w="3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10,611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8,716</w:t>
            </w: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Interest &amp; other income</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Revenue:</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880"/>
              <w:spacing w:after="0"/>
              <w:rPr>
                <w:sz w:val="20"/>
                <w:szCs w:val="20"/>
                <w:color w:val="auto"/>
              </w:rPr>
            </w:pPr>
            <w:r>
              <w:rPr>
                <w:rFonts w:ascii="Arial" w:cs="Arial" w:eastAsia="Arial" w:hAnsi="Arial"/>
                <w:sz w:val="18"/>
                <w:szCs w:val="18"/>
                <w:color w:val="auto"/>
              </w:rPr>
              <w:t>Oilfield Services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7,816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6,483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Distribution</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Research &amp; engineering</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&amp; administrative</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Merger &amp; integration</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3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i w:val="1"/>
                <w:iCs w:val="1"/>
                <w:color w:val="auto"/>
              </w:rPr>
              <w:t>Income before taxes</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1,721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1,238</w:t>
            </w: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on income</w:t>
            </w:r>
          </w:p>
        </w:tc>
        <w:tc>
          <w:tcPr>
            <w:tcW w:w="3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i w:val="1"/>
                <w:iCs w:val="1"/>
                <w:color w:val="auto"/>
              </w:rPr>
              <w:t>Net income</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1,310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noncontrolling interests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3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3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0.97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Basic</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1,334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1,360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Assuming dilution</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1,375</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40" w:type="dxa"/>
            <w:vAlign w:val="bottom"/>
            <w:gridSpan w:val="6"/>
          </w:tcPr>
          <w:p>
            <w:pPr>
              <w:jc w:val="center"/>
              <w:ind w:right="10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Net income</w:t>
            </w:r>
          </w:p>
        </w:tc>
        <w:tc>
          <w:tcPr>
            <w:tcW w:w="2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net change arising during the period</w:t>
            </w:r>
          </w:p>
        </w:tc>
        <w:tc>
          <w:tcPr>
            <w:tcW w:w="3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i w:val="1"/>
                <w:iCs w:val="1"/>
                <w:color w:val="auto"/>
              </w:rPr>
              <w:t>Derivatives</w:t>
            </w: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derivatives gain on hedge transactions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Reclassification to net income of net realized gain</w:t>
            </w:r>
          </w:p>
        </w:tc>
        <w:tc>
          <w:tcPr>
            <w:tcW w:w="30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2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Actuarial loss</w:t>
            </w: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Actuarial loss arising during the period</w:t>
            </w:r>
          </w:p>
        </w:tc>
        <w:tc>
          <w:tcPr>
            <w:tcW w:w="3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Amortization to net income of net actuarial loss</w:t>
            </w:r>
          </w:p>
        </w:tc>
        <w:tc>
          <w:tcPr>
            <w:tcW w:w="2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2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Prior service credit arising during the period</w:t>
            </w:r>
          </w:p>
        </w:tc>
        <w:tc>
          <w:tcPr>
            <w:tcW w:w="23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to net income of net prior service cost</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Income taxes on pension and other postretirement benefit plans</w:t>
            </w:r>
          </w:p>
        </w:tc>
        <w:tc>
          <w:tcPr>
            <w:tcW w:w="23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Comprehensive income</w:t>
            </w:r>
          </w:p>
        </w:tc>
        <w:tc>
          <w:tcPr>
            <w:tcW w:w="23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2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1,493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 31, 2012</w:t>
            </w: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7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Dec.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1,346</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2,739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less allowance for doubtful accounts (2012 - $171; 2011 - $177)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5,118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21,292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13,314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14,199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56,366</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7,294</w:t>
            </w:r>
          </w:p>
        </w:tc>
        <w:tc>
          <w:tcPr>
            <w:tcW w:w="38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Liability for taxes on income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Long-term debt - current portion</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1,296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10,802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8,439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1,749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23,878</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11,685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(5,767)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29,794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(3,365)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Schlumberger stockholders’ equity</w:t>
            </w: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32,347</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32,488</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56,366</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9"/>
              </w:rPr>
              <w:t>Three Months Ended Mar.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1,310</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Earnings of companies carried at equity, less dividends received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Pension and other postretirement benefits expense</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Pension and other postretirement benefits funding</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receivables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Increase in inventories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other 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Decrease in accounts payable and accrued liabilities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liability for taxes on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600"/>
              <w:spacing w:after="0"/>
              <w:rPr>
                <w:sz w:val="20"/>
                <w:szCs w:val="20"/>
                <w:color w:val="auto"/>
              </w:rPr>
            </w:pPr>
            <w:r>
              <w:rPr>
                <w:rFonts w:ascii="Arial" w:cs="Arial" w:eastAsia="Arial" w:hAnsi="Arial"/>
                <w:sz w:val="18"/>
                <w:szCs w:val="18"/>
                <w:color w:val="auto"/>
              </w:rPr>
              <w:t>Decrease in other liabilities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932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investments,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2"/>
        </w:trPr>
        <w:tc>
          <w:tcPr>
            <w:tcW w:w="932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Stock repurchase program</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short-term borrowings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3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1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before translation effect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22"/>
        </w:trPr>
        <w:tc>
          <w:tcPr>
            <w:tcW w:w="9320" w:type="dxa"/>
            <w:vAlign w:val="bottom"/>
            <w:gridSpan w:val="3"/>
          </w:tcPr>
          <w:p>
            <w:pPr>
              <w:spacing w:after="0"/>
              <w:rPr>
                <w:sz w:val="20"/>
                <w:szCs w:val="20"/>
                <w:color w:val="auto"/>
              </w:rPr>
            </w:pPr>
            <w:r>
              <w:rPr>
                <w:rFonts w:ascii="Arial" w:cs="Arial" w:eastAsia="Arial" w:hAnsi="Arial"/>
                <w:sz w:val="18"/>
                <w:szCs w:val="18"/>
                <w:color w:val="auto"/>
              </w:rPr>
              <w:t>Cash,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9040" w:type="dxa"/>
            <w:vAlign w:val="bottom"/>
            <w:vMerge w:val="restart"/>
          </w:tcPr>
          <w:p>
            <w:pPr>
              <w:ind w:left="180"/>
              <w:spacing w:after="0"/>
              <w:rPr>
                <w:sz w:val="20"/>
                <w:szCs w:val="20"/>
                <w:color w:val="auto"/>
              </w:rPr>
            </w:pPr>
            <w:r>
              <w:rPr>
                <w:rFonts w:ascii="Arial" w:cs="Arial" w:eastAsia="Arial" w:hAnsi="Arial"/>
                <w:sz w:val="18"/>
                <w:szCs w:val="18"/>
                <w:color w:val="auto"/>
              </w:rPr>
              <w:t>Includes multiclient seismic data costs.</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80" w:type="dxa"/>
            <w:vAlign w:val="bottom"/>
            <w:gridSpan w:val="2"/>
            <w:vMerge w:val="continue"/>
          </w:tcPr>
          <w:p>
            <w:pPr>
              <w:spacing w:after="0"/>
              <w:rPr>
                <w:sz w:val="24"/>
                <w:szCs w:val="24"/>
                <w:color w:val="auto"/>
              </w:rPr>
            </w:pPr>
          </w:p>
        </w:tc>
        <w:tc>
          <w:tcPr>
            <w:tcW w:w="9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(2)</w:t>
            </w:r>
          </w:p>
        </w:tc>
        <w:tc>
          <w:tcPr>
            <w:tcW w:w="4200" w:type="dxa"/>
            <w:vAlign w:val="bottom"/>
            <w:vMerge w:val="restart"/>
          </w:tcPr>
          <w:p>
            <w:pPr>
              <w:ind w:left="160"/>
              <w:spacing w:after="0"/>
              <w:rPr>
                <w:sz w:val="20"/>
                <w:szCs w:val="20"/>
                <w:color w:val="auto"/>
              </w:rPr>
            </w:pPr>
            <w:r>
              <w:rPr>
                <w:rFonts w:ascii="Arial" w:cs="Arial" w:eastAsia="Arial" w:hAnsi="Arial"/>
                <w:sz w:val="18"/>
                <w:szCs w:val="18"/>
                <w:color w:val="auto"/>
                <w:w w:val="87"/>
              </w:rPr>
              <w:t>Net of the effect of business acquisitions and divestitures.</w:t>
            </w: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4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88"/>
              </w:rPr>
              <w:t>Accumulated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gridSpan w:val="6"/>
            <w:vMerge w:val="restart"/>
          </w:tcPr>
          <w:p>
            <w:pPr>
              <w:jc w:val="right"/>
              <w:ind w:right="640"/>
              <w:spacing w:after="0"/>
              <w:rPr>
                <w:sz w:val="20"/>
                <w:szCs w:val="20"/>
                <w:color w:val="auto"/>
              </w:rPr>
            </w:pPr>
            <w:r>
              <w:rPr>
                <w:rFonts w:ascii="Arial" w:cs="Arial" w:eastAsia="Arial" w:hAnsi="Arial"/>
                <w:sz w:val="14"/>
                <w:szCs w:val="14"/>
                <w:color w:val="auto"/>
              </w:rPr>
              <w:t>Common 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color w:val="auto"/>
                <w:w w:val="85"/>
              </w:rPr>
              <w:t>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 2012 - March 31, 2012</w:t>
            </w: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620" w:type="dxa"/>
            <w:vAlign w:val="bottom"/>
            <w:gridSpan w:val="2"/>
          </w:tcPr>
          <w:p>
            <w:pPr>
              <w:ind w:left="40"/>
              <w:spacing w:after="0" w:line="146" w:lineRule="exact"/>
              <w:rPr>
                <w:sz w:val="20"/>
                <w:szCs w:val="20"/>
                <w:color w:val="auto"/>
              </w:rPr>
            </w:pPr>
            <w:r>
              <w:rPr>
                <w:rFonts w:ascii="Arial" w:cs="Arial" w:eastAsia="Arial" w:hAnsi="Arial"/>
                <w:sz w:val="14"/>
                <w:szCs w:val="14"/>
                <w:color w:val="auto"/>
                <w:w w:val="96"/>
              </w:rPr>
              <w:t>Retained</w:t>
            </w:r>
          </w:p>
        </w:tc>
        <w:tc>
          <w:tcPr>
            <w:tcW w:w="240" w:type="dxa"/>
            <w:vAlign w:val="bottom"/>
          </w:tcPr>
          <w:p>
            <w:pPr>
              <w:spacing w:after="0"/>
              <w:rPr>
                <w:sz w:val="12"/>
                <w:szCs w:val="12"/>
                <w:color w:val="auto"/>
              </w:rPr>
            </w:pPr>
          </w:p>
        </w:tc>
        <w:tc>
          <w:tcPr>
            <w:tcW w:w="940" w:type="dxa"/>
            <w:vAlign w:val="bottom"/>
            <w:gridSpan w:val="4"/>
          </w:tcPr>
          <w:p>
            <w:pPr>
              <w:jc w:val="center"/>
              <w:ind w:right="80"/>
              <w:spacing w:after="0" w:line="146" w:lineRule="exact"/>
              <w:rPr>
                <w:sz w:val="20"/>
                <w:szCs w:val="20"/>
                <w:color w:val="auto"/>
              </w:rPr>
            </w:pPr>
            <w:r>
              <w:rPr>
                <w:rFonts w:ascii="Arial" w:cs="Arial" w:eastAsia="Arial" w:hAnsi="Arial"/>
                <w:sz w:val="14"/>
                <w:szCs w:val="14"/>
                <w:color w:val="auto"/>
                <w:w w:val="87"/>
              </w:rPr>
              <w:t>Comprehensive</w:t>
            </w:r>
          </w:p>
        </w:tc>
        <w:tc>
          <w:tcPr>
            <w:tcW w:w="220" w:type="dxa"/>
            <w:vAlign w:val="bottom"/>
          </w:tcPr>
          <w:p>
            <w:pPr>
              <w:spacing w:after="0"/>
              <w:rPr>
                <w:sz w:val="12"/>
                <w:szCs w:val="12"/>
                <w:color w:val="auto"/>
              </w:rPr>
            </w:pPr>
          </w:p>
        </w:tc>
        <w:tc>
          <w:tcPr>
            <w:tcW w:w="940" w:type="dxa"/>
            <w:vAlign w:val="bottom"/>
            <w:gridSpan w:val="5"/>
          </w:tcPr>
          <w:p>
            <w:pPr>
              <w:jc w:val="center"/>
              <w:ind w:right="52"/>
              <w:spacing w:after="0" w:line="146" w:lineRule="exact"/>
              <w:rPr>
                <w:sz w:val="20"/>
                <w:szCs w:val="20"/>
                <w:color w:val="auto"/>
              </w:rPr>
            </w:pPr>
            <w:r>
              <w:rPr>
                <w:rFonts w:ascii="Arial" w:cs="Arial" w:eastAsia="Arial" w:hAnsi="Arial"/>
                <w:sz w:val="14"/>
                <w:szCs w:val="14"/>
                <w:color w:val="auto"/>
                <w:w w:val="91"/>
              </w:rPr>
              <w:t>Noncontrolling</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color w:val="auto"/>
              </w:rPr>
              <w:t>Issued</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81"/>
              </w:rPr>
              <w:t>In Treasury</w:t>
            </w:r>
          </w:p>
        </w:tc>
        <w:tc>
          <w:tcPr>
            <w:tcW w:w="320" w:type="dxa"/>
            <w:vAlign w:val="bottom"/>
          </w:tcPr>
          <w:p>
            <w:pPr>
              <w:spacing w:after="0"/>
              <w:rPr>
                <w:sz w:val="12"/>
                <w:szCs w:val="12"/>
                <w:color w:val="auto"/>
              </w:rPr>
            </w:pPr>
          </w:p>
        </w:tc>
        <w:tc>
          <w:tcPr>
            <w:tcW w:w="620" w:type="dxa"/>
            <w:vAlign w:val="bottom"/>
            <w:gridSpan w:val="2"/>
          </w:tcPr>
          <w:p>
            <w:pPr>
              <w:ind w:left="40"/>
              <w:spacing w:after="0" w:line="129" w:lineRule="exact"/>
              <w:rPr>
                <w:sz w:val="20"/>
                <w:szCs w:val="20"/>
                <w:color w:val="auto"/>
              </w:rPr>
            </w:pPr>
            <w:r>
              <w:rPr>
                <w:rFonts w:ascii="Arial" w:cs="Arial" w:eastAsia="Arial" w:hAnsi="Arial"/>
                <w:sz w:val="14"/>
                <w:szCs w:val="14"/>
                <w:color w:val="auto"/>
                <w:w w:val="97"/>
              </w:rPr>
              <w:t>Earnings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center"/>
              <w:ind w:right="260"/>
              <w:spacing w:after="0" w:line="129" w:lineRule="exact"/>
              <w:rPr>
                <w:sz w:val="20"/>
                <w:szCs w:val="20"/>
                <w:color w:val="auto"/>
              </w:rPr>
            </w:pPr>
            <w:r>
              <w:rPr>
                <w:rFonts w:ascii="Arial" w:cs="Arial" w:eastAsia="Arial" w:hAnsi="Arial"/>
                <w:sz w:val="14"/>
                <w:szCs w:val="14"/>
                <w:color w:val="auto"/>
                <w:w w:val="87"/>
              </w:rPr>
              <w:t>Loss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center"/>
              <w:ind w:right="192"/>
              <w:spacing w:after="0" w:line="129" w:lineRule="exact"/>
              <w:rPr>
                <w:sz w:val="20"/>
                <w:szCs w:val="20"/>
                <w:color w:val="auto"/>
              </w:rPr>
            </w:pPr>
            <w:r>
              <w:rPr>
                <w:rFonts w:ascii="Arial" w:cs="Arial" w:eastAsia="Arial" w:hAnsi="Arial"/>
                <w:sz w:val="14"/>
                <w:szCs w:val="14"/>
                <w:color w:val="auto"/>
                <w:w w:val="85"/>
              </w:rPr>
              <w:t>Interests</w:t>
            </w:r>
          </w:p>
        </w:tc>
        <w:tc>
          <w:tcPr>
            <w:tcW w:w="180" w:type="dxa"/>
            <w:vAlign w:val="bottom"/>
          </w:tcPr>
          <w:p>
            <w:pPr>
              <w:spacing w:after="0"/>
              <w:rPr>
                <w:sz w:val="12"/>
                <w:szCs w:val="12"/>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Balance, January 1, 2012</w:t>
            </w:r>
          </w:p>
        </w:tc>
        <w:tc>
          <w:tcPr>
            <w:tcW w:w="19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$11,639</w:t>
            </w: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(5,679)</w:t>
            </w:r>
          </w:p>
        </w:tc>
        <w:tc>
          <w:tcPr>
            <w:tcW w:w="3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$28,860</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(3,557)</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$31,392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52"/>
              <w:spacing w:after="0"/>
              <w:rPr>
                <w:sz w:val="20"/>
                <w:szCs w:val="20"/>
                <w:color w:val="auto"/>
              </w:rPr>
            </w:pPr>
            <w:r>
              <w:rPr>
                <w:rFonts w:ascii="Arial" w:cs="Arial" w:eastAsia="Arial" w:hAnsi="Arial"/>
                <w:sz w:val="18"/>
                <w:szCs w:val="18"/>
                <w:color w:val="auto"/>
              </w:rPr>
              <w:t>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Changes in fair value of derivatives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employee benefits liabilities</w:t>
            </w:r>
          </w:p>
        </w:tc>
        <w:tc>
          <w:tcPr>
            <w:tcW w:w="4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2540" w:type="dxa"/>
            <w:vAlign w:val="bottom"/>
            <w:gridSpan w:val="4"/>
          </w:tcPr>
          <w:p>
            <w:pPr>
              <w:jc w:val="right"/>
              <w:ind w:right="120"/>
              <w:spacing w:after="0"/>
              <w:rPr>
                <w:sz w:val="20"/>
                <w:szCs w:val="20"/>
                <w:color w:val="auto"/>
              </w:rPr>
            </w:pPr>
            <w:r>
              <w:rPr>
                <w:rFonts w:ascii="Arial" w:cs="Arial" w:eastAsia="Arial" w:hAnsi="Arial"/>
                <w:sz w:val="18"/>
                <w:szCs w:val="18"/>
                <w:color w:val="auto"/>
              </w:rPr>
              <w:t>(33)</w:t>
            </w:r>
          </w:p>
        </w:tc>
        <w:tc>
          <w:tcPr>
            <w:tcW w:w="1060" w:type="dxa"/>
            <w:vAlign w:val="bottom"/>
            <w:gridSpan w:val="4"/>
          </w:tcPr>
          <w:p>
            <w:pPr>
              <w:jc w:val="right"/>
              <w:ind w:right="320"/>
              <w:spacing w:after="0"/>
              <w:rPr>
                <w:sz w:val="20"/>
                <w:szCs w:val="20"/>
                <w:color w:val="auto"/>
              </w:rPr>
            </w:pPr>
            <w:r>
              <w:rPr>
                <w:rFonts w:ascii="Arial" w:cs="Arial" w:eastAsia="Arial" w:hAnsi="Arial"/>
                <w:sz w:val="18"/>
                <w:szCs w:val="18"/>
                <w:color w:val="auto"/>
              </w:rPr>
              <w:t>121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2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6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w w:val="95"/>
              </w:rPr>
              <w:t>Shares issued under employee stock purchase plan</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(324)</w:t>
            </w: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($0.275 per share)</w:t>
            </w:r>
          </w:p>
        </w:tc>
        <w:tc>
          <w:tcPr>
            <w:tcW w:w="4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52"/>
              <w:spacing w:after="0"/>
              <w:rPr>
                <w:sz w:val="20"/>
                <w:szCs w:val="20"/>
                <w:color w:val="auto"/>
              </w:rPr>
            </w:pPr>
            <w:r>
              <w:rPr>
                <w:rFonts w:ascii="Arial" w:cs="Arial" w:eastAsia="Arial" w:hAnsi="Arial"/>
                <w:sz w:val="18"/>
                <w:szCs w:val="18"/>
                <w:color w:val="auto"/>
              </w:rPr>
              <w:t>3</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11,685</w:t>
            </w:r>
          </w:p>
        </w:tc>
        <w:tc>
          <w:tcPr>
            <w:tcW w:w="180" w:type="dxa"/>
            <w:vAlign w:val="bottom"/>
            <w:tcBorders>
              <w:lef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(5,767)</w:t>
            </w: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29,794</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141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88"/>
              </w:rPr>
              <w:t>Accumulated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0" w:type="dxa"/>
            <w:vAlign w:val="bottom"/>
            <w:gridSpan w:val="6"/>
            <w:vMerge w:val="restart"/>
          </w:tcPr>
          <w:p>
            <w:pPr>
              <w:jc w:val="right"/>
              <w:ind w:right="660"/>
              <w:spacing w:after="0"/>
              <w:rPr>
                <w:sz w:val="20"/>
                <w:szCs w:val="20"/>
                <w:color w:val="auto"/>
              </w:rPr>
            </w:pPr>
            <w:r>
              <w:rPr>
                <w:rFonts w:ascii="Arial" w:cs="Arial" w:eastAsia="Arial" w:hAnsi="Arial"/>
                <w:sz w:val="14"/>
                <w:szCs w:val="14"/>
                <w:color w:val="auto"/>
              </w:rPr>
              <w:t>Common Stock</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center"/>
              <w:ind w:right="300"/>
              <w:spacing w:after="0" w:line="146" w:lineRule="exact"/>
              <w:rPr>
                <w:sz w:val="20"/>
                <w:szCs w:val="20"/>
                <w:color w:val="auto"/>
              </w:rPr>
            </w:pPr>
            <w:r>
              <w:rPr>
                <w:rFonts w:ascii="Arial" w:cs="Arial" w:eastAsia="Arial" w:hAnsi="Arial"/>
                <w:sz w:val="14"/>
                <w:szCs w:val="14"/>
                <w:color w:val="auto"/>
                <w:w w:val="85"/>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 2011 - March 31, 2011</w:t>
            </w: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99"/>
              </w:rPr>
              <w:t>Retained</w:t>
            </w:r>
          </w:p>
        </w:tc>
        <w:tc>
          <w:tcPr>
            <w:tcW w:w="240" w:type="dxa"/>
            <w:vAlign w:val="bottom"/>
          </w:tcPr>
          <w:p>
            <w:pPr>
              <w:spacing w:after="0"/>
              <w:rPr>
                <w:sz w:val="11"/>
                <w:szCs w:val="11"/>
                <w:color w:val="auto"/>
              </w:rPr>
            </w:pPr>
          </w:p>
        </w:tc>
        <w:tc>
          <w:tcPr>
            <w:tcW w:w="940" w:type="dxa"/>
            <w:vAlign w:val="bottom"/>
            <w:gridSpan w:val="4"/>
          </w:tcPr>
          <w:p>
            <w:pPr>
              <w:jc w:val="center"/>
              <w:ind w:right="100"/>
              <w:spacing w:after="0" w:line="131" w:lineRule="exact"/>
              <w:rPr>
                <w:sz w:val="20"/>
                <w:szCs w:val="20"/>
                <w:color w:val="auto"/>
              </w:rPr>
            </w:pPr>
            <w:r>
              <w:rPr>
                <w:rFonts w:ascii="Arial" w:cs="Arial" w:eastAsia="Arial" w:hAnsi="Arial"/>
                <w:sz w:val="14"/>
                <w:szCs w:val="14"/>
                <w:color w:val="auto"/>
                <w:w w:val="85"/>
              </w:rPr>
              <w:t>Comprehensive</w:t>
            </w:r>
          </w:p>
        </w:tc>
        <w:tc>
          <w:tcPr>
            <w:tcW w:w="220" w:type="dxa"/>
            <w:vAlign w:val="bottom"/>
          </w:tcPr>
          <w:p>
            <w:pPr>
              <w:spacing w:after="0"/>
              <w:rPr>
                <w:sz w:val="11"/>
                <w:szCs w:val="11"/>
                <w:color w:val="auto"/>
              </w:rPr>
            </w:pPr>
          </w:p>
        </w:tc>
        <w:tc>
          <w:tcPr>
            <w:tcW w:w="940" w:type="dxa"/>
            <w:vAlign w:val="bottom"/>
            <w:gridSpan w:val="5"/>
          </w:tcPr>
          <w:p>
            <w:pPr>
              <w:jc w:val="center"/>
              <w:ind w:right="72"/>
              <w:spacing w:after="0" w:line="131" w:lineRule="exact"/>
              <w:rPr>
                <w:sz w:val="20"/>
                <w:szCs w:val="20"/>
                <w:color w:val="auto"/>
              </w:rPr>
            </w:pPr>
            <w:r>
              <w:rPr>
                <w:rFonts w:ascii="Arial" w:cs="Arial" w:eastAsia="Arial" w:hAnsi="Arial"/>
                <w:sz w:val="14"/>
                <w:szCs w:val="14"/>
                <w:color w:val="auto"/>
                <w:w w:val="89"/>
              </w:rPr>
              <w:t>Noncontrolling</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gridSpan w:val="2"/>
          </w:tcPr>
          <w:p>
            <w:pPr>
              <w:jc w:val="right"/>
              <w:ind w:right="300"/>
              <w:spacing w:after="0" w:line="146" w:lineRule="exact"/>
              <w:rPr>
                <w:sz w:val="20"/>
                <w:szCs w:val="20"/>
                <w:color w:val="auto"/>
              </w:rPr>
            </w:pPr>
            <w:r>
              <w:rPr>
                <w:rFonts w:ascii="Arial" w:cs="Arial" w:eastAsia="Arial" w:hAnsi="Arial"/>
                <w:sz w:val="14"/>
                <w:szCs w:val="14"/>
                <w:color w:val="auto"/>
              </w:rPr>
              <w:t>Issued</w:t>
            </w:r>
          </w:p>
        </w:tc>
        <w:tc>
          <w:tcPr>
            <w:tcW w:w="140" w:type="dxa"/>
            <w:vAlign w:val="bottom"/>
          </w:tcPr>
          <w:p>
            <w:pPr>
              <w:spacing w:after="0"/>
              <w:rPr>
                <w:sz w:val="14"/>
                <w:szCs w:val="14"/>
                <w:color w:val="auto"/>
              </w:rPr>
            </w:pPr>
          </w:p>
        </w:tc>
        <w:tc>
          <w:tcPr>
            <w:tcW w:w="920" w:type="dxa"/>
            <w:vAlign w:val="bottom"/>
            <w:gridSpan w:val="3"/>
          </w:tcPr>
          <w:p>
            <w:pPr>
              <w:jc w:val="right"/>
              <w:ind w:right="320"/>
              <w:spacing w:after="0" w:line="146" w:lineRule="exact"/>
              <w:rPr>
                <w:sz w:val="20"/>
                <w:szCs w:val="20"/>
                <w:color w:val="auto"/>
              </w:rPr>
            </w:pPr>
            <w:r>
              <w:rPr>
                <w:rFonts w:ascii="Arial" w:cs="Arial" w:eastAsia="Arial" w:hAnsi="Arial"/>
                <w:sz w:val="14"/>
                <w:szCs w:val="14"/>
                <w:color w:val="auto"/>
                <w:w w:val="81"/>
              </w:rPr>
              <w:t>In Treasury</w:t>
            </w:r>
          </w:p>
        </w:tc>
        <w:tc>
          <w:tcPr>
            <w:tcW w:w="6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Earnings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jc w:val="center"/>
              <w:ind w:right="300"/>
              <w:spacing w:after="0" w:line="146" w:lineRule="exact"/>
              <w:rPr>
                <w:sz w:val="20"/>
                <w:szCs w:val="20"/>
                <w:color w:val="auto"/>
              </w:rPr>
            </w:pPr>
            <w:r>
              <w:rPr>
                <w:rFonts w:ascii="Arial" w:cs="Arial" w:eastAsia="Arial" w:hAnsi="Arial"/>
                <w:sz w:val="14"/>
                <w:szCs w:val="14"/>
                <w:color w:val="auto"/>
                <w:w w:val="87"/>
              </w:rPr>
              <w:t>Loss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tcPr>
          <w:p>
            <w:pPr>
              <w:jc w:val="center"/>
              <w:ind w:right="232"/>
              <w:spacing w:after="0" w:line="146" w:lineRule="exact"/>
              <w:rPr>
                <w:sz w:val="20"/>
                <w:szCs w:val="20"/>
                <w:color w:val="auto"/>
              </w:rPr>
            </w:pPr>
            <w:r>
              <w:rPr>
                <w:rFonts w:ascii="Arial" w:cs="Arial" w:eastAsia="Arial" w:hAnsi="Arial"/>
                <w:sz w:val="14"/>
                <w:szCs w:val="14"/>
                <w:color w:val="auto"/>
                <w:w w:val="85"/>
              </w:rPr>
              <w:t>Interests</w:t>
            </w:r>
          </w:p>
        </w:tc>
        <w:tc>
          <w:tcPr>
            <w:tcW w:w="180" w:type="dxa"/>
            <w:vAlign w:val="bottom"/>
          </w:tcPr>
          <w:p>
            <w:pPr>
              <w:spacing w:after="0"/>
              <w:rPr>
                <w:sz w:val="14"/>
                <w:szCs w:val="14"/>
                <w:color w:val="auto"/>
              </w:rPr>
            </w:pPr>
          </w:p>
        </w:tc>
        <w:tc>
          <w:tcPr>
            <w:tcW w:w="680" w:type="dxa"/>
            <w:vAlign w:val="bottom"/>
            <w:gridSpan w:val="2"/>
          </w:tcPr>
          <w:p>
            <w:pPr>
              <w:jc w:val="right"/>
              <w:ind w:right="260"/>
              <w:spacing w:after="0" w:line="146"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Balance, January 1, 2011</w:t>
            </w:r>
          </w:p>
        </w:tc>
        <w:tc>
          <w:tcPr>
            <w:tcW w:w="19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$11,920</w:t>
            </w: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(3,136)</w:t>
            </w:r>
          </w:p>
        </w:tc>
        <w:tc>
          <w:tcPr>
            <w:tcW w:w="3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$25,210</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(2,768)</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218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$31,444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Changes in fair value of derivatives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employee benefits liabilities</w:t>
            </w:r>
          </w:p>
        </w:tc>
        <w:tc>
          <w:tcPr>
            <w:tcW w:w="4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2540" w:type="dxa"/>
            <w:vAlign w:val="bottom"/>
            <w:gridSpan w:val="4"/>
          </w:tcPr>
          <w:p>
            <w:pPr>
              <w:jc w:val="right"/>
              <w:ind w:right="120"/>
              <w:spacing w:after="0"/>
              <w:rPr>
                <w:sz w:val="20"/>
                <w:szCs w:val="20"/>
                <w:color w:val="auto"/>
              </w:rPr>
            </w:pPr>
            <w:r>
              <w:rPr>
                <w:rFonts w:ascii="Arial" w:cs="Arial" w:eastAsia="Arial" w:hAnsi="Arial"/>
                <w:sz w:val="18"/>
                <w:szCs w:val="18"/>
                <w:color w:val="auto"/>
              </w:rPr>
              <w:t>(8)</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2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w w:val="95"/>
              </w:rPr>
              <w:t>Shares issued under employee stock purchase plan</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(844)</w:t>
            </w: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($0.25 per share)</w:t>
            </w:r>
          </w:p>
        </w:tc>
        <w:tc>
          <w:tcPr>
            <w:tcW w:w="4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2011</w:t>
            </w: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11,983</w:t>
            </w:r>
          </w:p>
        </w:tc>
        <w:tc>
          <w:tcPr>
            <w:tcW w:w="180" w:type="dxa"/>
            <w:vAlign w:val="bottom"/>
            <w:tcBorders>
              <w:lef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(3,740)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25,814</w:t>
            </w:r>
          </w:p>
        </w:tc>
        <w:tc>
          <w:tcPr>
            <w:tcW w:w="6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(2,643)</w:t>
            </w:r>
          </w:p>
        </w:tc>
        <w:tc>
          <w:tcPr>
            <w:tcW w:w="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0" w:type="dxa"/>
            <w:vAlign w:val="bottom"/>
            <w:gridSpan w:val="8"/>
          </w:tcPr>
          <w:p>
            <w:pPr>
              <w:jc w:val="right"/>
              <w:ind w:right="620"/>
              <w:spacing w:after="0"/>
              <w:rPr>
                <w:sz w:val="20"/>
                <w:szCs w:val="20"/>
                <w:color w:val="auto"/>
              </w:rPr>
            </w:pPr>
            <w:r>
              <w:rPr>
                <w:rFonts w:ascii="Arial" w:cs="Arial" w:eastAsia="Arial" w:hAnsi="Arial"/>
                <w:sz w:val="18"/>
                <w:szCs w:val="18"/>
                <w:b w:val="1"/>
                <w:bCs w:val="1"/>
                <w:color w:val="auto"/>
              </w:rPr>
              <w:t>SHARES OF COMMON STOCK</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0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(Unaudited)</w:t>
            </w: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center"/>
              <w:ind w:right="380"/>
              <w:spacing w:after="0"/>
              <w:rPr>
                <w:sz w:val="20"/>
                <w:szCs w:val="20"/>
                <w:color w:val="auto"/>
              </w:rPr>
            </w:pPr>
            <w:r>
              <w:rPr>
                <w:rFonts w:ascii="Arial" w:cs="Arial" w:eastAsia="Arial" w:hAnsi="Arial"/>
                <w:sz w:val="14"/>
                <w:szCs w:val="14"/>
                <w:color w:val="auto"/>
                <w:w w:val="81"/>
              </w:rPr>
              <w:t>Shares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2"/>
              </w:rPr>
              <w:t>Issued</w:t>
            </w:r>
          </w:p>
        </w:tc>
        <w:tc>
          <w:tcPr>
            <w:tcW w:w="500" w:type="dxa"/>
            <w:vAlign w:val="bottom"/>
          </w:tcPr>
          <w:p>
            <w:pPr>
              <w:spacing w:after="0"/>
              <w:rPr>
                <w:sz w:val="13"/>
                <w:szCs w:val="13"/>
                <w:color w:val="auto"/>
              </w:rPr>
            </w:pPr>
          </w:p>
        </w:tc>
        <w:tc>
          <w:tcPr>
            <w:tcW w:w="860" w:type="dxa"/>
            <w:vAlign w:val="bottom"/>
            <w:gridSpan w:val="5"/>
          </w:tcPr>
          <w:p>
            <w:pPr>
              <w:jc w:val="right"/>
              <w:ind w:right="172"/>
              <w:spacing w:after="0" w:line="159" w:lineRule="exact"/>
              <w:rPr>
                <w:sz w:val="20"/>
                <w:szCs w:val="20"/>
                <w:color w:val="auto"/>
              </w:rPr>
            </w:pPr>
            <w:r>
              <w:rPr>
                <w:rFonts w:ascii="Arial" w:cs="Arial" w:eastAsia="Arial" w:hAnsi="Arial"/>
                <w:sz w:val="14"/>
                <w:szCs w:val="14"/>
                <w:color w:val="auto"/>
                <w:w w:val="84"/>
              </w:rPr>
              <w:t>In Treasury</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center"/>
              <w:ind w:right="280"/>
              <w:spacing w:after="0" w:line="159"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4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1,434</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(100)</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Shares issued under employee stock purchase plan</w:t>
            </w:r>
          </w:p>
        </w:tc>
        <w:tc>
          <w:tcPr>
            <w:tcW w:w="4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12"/>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4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1,434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w w:val="95"/>
              </w:rPr>
              <w:t>(100)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2012 are not necessarily indicative of the results that may be expected for the full year ending December 31, 2012. The December 31, 2011 balance sheet information has been derived from the Schlumberger 2011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2011, filed with the Securities and Exchange Commission on February 1, 2012.</w:t>
      </w:r>
    </w:p>
    <w:p>
      <w:pPr>
        <w:spacing w:after="0" w:line="195"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three months of 2012 and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w:t>
      </w:r>
    </w:p>
    <w:p>
      <w:pPr>
        <w:spacing w:after="0" w:line="96" w:lineRule="exact"/>
        <w:rPr>
          <w:sz w:val="20"/>
          <w:szCs w:val="20"/>
          <w:color w:val="auto"/>
        </w:rPr>
      </w:pPr>
    </w:p>
    <w:p>
      <w:pPr>
        <w:ind w:left="900" w:right="16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Schlumberger recorded $15 million of pretax merger and integration-related charges ($13 million after-tax) in connection with the August 27, 2010 acquisition of Smith International, Inc. (“Smith”). This amount is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w:t>
      </w:r>
    </w:p>
    <w:p>
      <w:pPr>
        <w:spacing w:after="0" w:line="96" w:lineRule="exact"/>
        <w:rPr>
          <w:sz w:val="20"/>
          <w:szCs w:val="20"/>
          <w:color w:val="auto"/>
        </w:rPr>
      </w:pPr>
    </w:p>
    <w:p>
      <w:pPr>
        <w:ind w:left="900" w:right="300" w:hanging="325"/>
        <w:spacing w:after="0" w:line="33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Schlumberger recorded $34 million of pretax merger and integration-related charges ($28 million after-tax) in connection with the acquisitions of Smith and Geoservices. This amount is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i w:val="1"/>
                <w:iCs w:val="1"/>
                <w:color w:val="auto"/>
                <w:w w:val="88"/>
              </w:rPr>
              <w:t>(Stated in millions, except per share amounts)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246"/>
              <w:spacing w:after="0" w:line="159" w:lineRule="exact"/>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Schlumberger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Earnings per</w:t>
            </w:r>
          </w:p>
        </w:tc>
        <w:tc>
          <w:tcPr>
            <w:tcW w:w="52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87"/>
              </w:rPr>
              <w:t>Schlumberger</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85"/>
              </w:rPr>
              <w:t>Earnings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3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Income from</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20" w:type="dxa"/>
            <w:vAlign w:val="bottom"/>
          </w:tcPr>
          <w:p>
            <w:pPr>
              <w:spacing w:after="0"/>
              <w:rPr>
                <w:sz w:val="12"/>
                <w:szCs w:val="12"/>
                <w:color w:val="auto"/>
              </w:rPr>
            </w:pPr>
          </w:p>
        </w:tc>
        <w:tc>
          <w:tcPr>
            <w:tcW w:w="12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 from</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Income from</w:t>
            </w: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3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7"/>
              </w:rPr>
              <w:t>Continuing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20" w:type="dxa"/>
            <w:vAlign w:val="bottom"/>
          </w:tcPr>
          <w:p>
            <w:pPr>
              <w:spacing w:after="0"/>
              <w:rPr>
                <w:sz w:val="12"/>
                <w:szCs w:val="12"/>
                <w:color w:val="auto"/>
              </w:rPr>
            </w:pPr>
          </w:p>
        </w:tc>
        <w:tc>
          <w:tcPr>
            <w:tcW w:w="12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Continuing</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w w:val="81"/>
              </w:rPr>
              <w:t>Average Shares</w:t>
            </w:r>
          </w:p>
        </w:tc>
        <w:tc>
          <w:tcPr>
            <w:tcW w:w="5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Continuing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3"/>
              </w:rPr>
              <w:t>Operations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20" w:type="dxa"/>
            <w:vAlign w:val="bottom"/>
          </w:tcPr>
          <w:p>
            <w:pPr>
              <w:spacing w:after="0"/>
              <w:rPr>
                <w:sz w:val="14"/>
                <w:szCs w:val="14"/>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Operations</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87"/>
              </w:rPr>
              <w:t>Operations</w:t>
            </w:r>
          </w:p>
        </w:tc>
        <w:tc>
          <w:tcPr>
            <w:tcW w:w="5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Arial" w:cs="Arial" w:eastAsia="Arial" w:hAnsi="Arial"/>
                <w:sz w:val="14"/>
                <w:szCs w:val="14"/>
                <w:color w:val="auto"/>
                <w:w w:val="95"/>
              </w:rPr>
              <w:t>Outstanding</w:t>
            </w:r>
          </w:p>
        </w:tc>
        <w:tc>
          <w:tcPr>
            <w:tcW w:w="5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First Quarter</w:t>
            </w: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3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b w:val="1"/>
                <w:bCs w:val="1"/>
                <w:color w:val="auto"/>
              </w:rPr>
              <w:t>1,301</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1,334</w:t>
            </w:r>
          </w:p>
        </w:tc>
        <w:tc>
          <w:tcPr>
            <w:tcW w:w="780" w:type="dxa"/>
            <w:vAlign w:val="bottom"/>
            <w:tcBorders>
              <w:top w:val="single" w:sz="8" w:color="CCEEFF"/>
            </w:tcBorders>
            <w:gridSpan w:val="2"/>
          </w:tcPr>
          <w:p>
            <w:pPr>
              <w:jc w:val="right"/>
              <w:ind w:right="112"/>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CEEFF"/>
            </w:tcBorders>
            <w:gridSpan w:val="2"/>
          </w:tcPr>
          <w:p>
            <w:pPr>
              <w:jc w:val="right"/>
              <w:ind w:right="500"/>
              <w:spacing w:after="0"/>
              <w:rPr>
                <w:sz w:val="20"/>
                <w:szCs w:val="20"/>
                <w:color w:val="auto"/>
              </w:rPr>
            </w:pPr>
            <w:r>
              <w:rPr>
                <w:rFonts w:ascii="Arial" w:cs="Arial" w:eastAsia="Arial" w:hAnsi="Arial"/>
                <w:sz w:val="18"/>
                <w:szCs w:val="18"/>
                <w:b w:val="1"/>
                <w:bCs w:val="1"/>
                <w:color w:val="auto"/>
              </w:rPr>
              <w:t>0.98</w:t>
            </w:r>
          </w:p>
        </w:tc>
        <w:tc>
          <w:tcPr>
            <w:tcW w:w="260" w:type="dxa"/>
            <w:vAlign w:val="bottom"/>
            <w:tcBorders>
              <w:top w:val="single" w:sz="8" w:color="CCEEFF"/>
            </w:tcBorders>
          </w:tcPr>
          <w:p>
            <w:pPr>
              <w:jc w:val="right"/>
              <w:ind w:right="8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tcPr>
          <w:p>
            <w:pPr>
              <w:ind w:left="240"/>
              <w:spacing w:after="0"/>
              <w:rPr>
                <w:sz w:val="20"/>
                <w:szCs w:val="20"/>
                <w:color w:val="auto"/>
              </w:rPr>
            </w:pPr>
            <w:r>
              <w:rPr>
                <w:rFonts w:ascii="Arial" w:cs="Arial" w:eastAsia="Arial" w:hAnsi="Arial"/>
                <w:sz w:val="18"/>
                <w:szCs w:val="18"/>
                <w:color w:val="auto"/>
                <w:w w:val="79"/>
              </w:rPr>
              <w:t>944</w:t>
            </w:r>
          </w:p>
        </w:tc>
        <w:tc>
          <w:tcPr>
            <w:tcW w:w="1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1,360</w:t>
            </w:r>
          </w:p>
        </w:tc>
        <w:tc>
          <w:tcPr>
            <w:tcW w:w="840" w:type="dxa"/>
            <w:vAlign w:val="bottom"/>
            <w:tcBorders>
              <w:top w:val="single" w:sz="8" w:color="CCEEFF"/>
            </w:tcBorders>
            <w:gridSpan w:val="2"/>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6"/>
              </w:rPr>
              <w:t>0.69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1,301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1,344</w:t>
            </w:r>
          </w:p>
        </w:tc>
        <w:tc>
          <w:tcPr>
            <w:tcW w:w="7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0.97</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944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ind w:right="321"/>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were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4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6"/>
              </w:rPr>
              <w:t>2012</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159"/>
        </w:trPr>
        <w:tc>
          <w:tcPr>
            <w:tcW w:w="70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1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6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ind w:left="380"/>
              <w:spacing w:after="0"/>
              <w:rPr>
                <w:sz w:val="20"/>
                <w:szCs w:val="20"/>
                <w:color w:val="auto"/>
              </w:rPr>
            </w:pPr>
            <w:r>
              <w:rPr>
                <w:rFonts w:ascii="Arial" w:cs="Arial" w:eastAsia="Arial" w:hAnsi="Arial"/>
                <w:sz w:val="14"/>
                <w:szCs w:val="14"/>
                <w:i w:val="1"/>
                <w:iCs w:val="1"/>
                <w:color w:val="auto"/>
                <w:w w:val="97"/>
              </w:rPr>
              <w:t>(Stated in millions)</w:t>
            </w:r>
          </w:p>
        </w:tc>
      </w:tr>
      <w:tr>
        <w:trPr>
          <w:trHeight w:val="149"/>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Mar. 31,</w:t>
            </w:r>
          </w:p>
        </w:tc>
        <w:tc>
          <w:tcPr>
            <w:tcW w:w="44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Dec. 31,</w:t>
            </w:r>
          </w:p>
        </w:tc>
      </w:tr>
      <w:tr>
        <w:trPr>
          <w:trHeight w:val="161"/>
        </w:trPr>
        <w:tc>
          <w:tcPr>
            <w:tcW w:w="714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940" w:type="dxa"/>
            <w:vAlign w:val="bottom"/>
            <w:gridSpan w:val="2"/>
          </w:tcPr>
          <w:p>
            <w:pPr>
              <w:jc w:val="right"/>
              <w:ind w:right="39"/>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r>
      <w:tr>
        <w:trPr>
          <w:trHeight w:val="210"/>
        </w:trPr>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 &amp; field materials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$2,300</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Work in process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368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2,450</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76"/>
              </w:rPr>
              <w:t>$ 5,118</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4,700</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00" w:type="dxa"/>
            <w:vAlign w:val="bottom"/>
            <w:gridSpan w:val="4"/>
          </w:tcPr>
          <w:p>
            <w:pPr>
              <w:ind w:left="560"/>
              <w:spacing w:after="0"/>
              <w:rPr>
                <w:sz w:val="20"/>
                <w:szCs w:val="20"/>
                <w:color w:val="auto"/>
              </w:rPr>
            </w:pPr>
            <w:r>
              <w:rPr>
                <w:rFonts w:ascii="Arial" w:cs="Arial" w:eastAsia="Arial" w:hAnsi="Arial"/>
                <w:sz w:val="14"/>
                <w:szCs w:val="14"/>
                <w:i w:val="1"/>
                <w:iCs w:val="1"/>
                <w:color w:val="auto"/>
                <w:w w:val="97"/>
              </w:rPr>
              <w:t>(Stated in millions)</w:t>
            </w:r>
          </w:p>
        </w:tc>
      </w:tr>
      <w:tr>
        <w:trPr>
          <w:trHeight w:val="149"/>
        </w:trPr>
        <w:tc>
          <w:tcPr>
            <w:tcW w:w="4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Mar. 31,</w:t>
            </w:r>
          </w:p>
        </w:tc>
        <w:tc>
          <w:tcPr>
            <w:tcW w:w="440" w:type="dxa"/>
            <w:vAlign w:val="bottom"/>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 31,</w:t>
            </w:r>
          </w:p>
        </w:tc>
      </w:tr>
      <w:tr>
        <w:trPr>
          <w:trHeight w:val="161"/>
        </w:trPr>
        <w:tc>
          <w:tcPr>
            <w:tcW w:w="4620" w:type="dxa"/>
            <w:vAlign w:val="bottom"/>
          </w:tcPr>
          <w:p>
            <w:pPr>
              <w:spacing w:after="0"/>
              <w:rPr>
                <w:sz w:val="14"/>
                <w:szCs w:val="14"/>
                <w:color w:val="auto"/>
              </w:rPr>
            </w:pPr>
          </w:p>
        </w:tc>
        <w:tc>
          <w:tcPr>
            <w:tcW w:w="294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jc w:val="right"/>
              <w:ind w:right="79"/>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r>
      <w:tr>
        <w:trPr>
          <w:trHeight w:val="210"/>
        </w:trPr>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Property, plant &amp; equipment</w:t>
            </w:r>
          </w:p>
        </w:tc>
        <w:tc>
          <w:tcPr>
            <w:tcW w:w="2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$30,394</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$29,551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3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17,080</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13,314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12,993</w:t>
            </w:r>
          </w:p>
        </w:tc>
        <w:tc>
          <w:tcPr>
            <w:tcW w:w="100" w:type="dxa"/>
            <w:vAlign w:val="bottom"/>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relating to fixed assets was $701 million and $661 million in the first quarter of 2012 and 2011, respectively.</w:t>
      </w:r>
    </w:p>
    <w:p>
      <w:pPr>
        <w:spacing w:after="0" w:line="24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three months ended March 31, 2012 was as follows:</w:t>
      </w:r>
    </w:p>
    <w:p>
      <w:pPr>
        <w:sectPr>
          <w:pgSz w:w="11900" w:h="16838" w:orient="portrait"/>
          <w:cols w:equalWidth="0" w:num="1">
            <w:col w:w="11420"/>
          </w:cols>
          <w:pgMar w:left="240" w:top="459" w:right="239" w:bottom="1440" w:gutter="0" w:footer="0" w:header="0"/>
        </w:sectPr>
      </w:pPr>
    </w:p>
    <w:p>
      <w:pPr>
        <w:spacing w:after="0" w:line="360"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-103505</wp:posOffset>
            </wp:positionV>
            <wp:extent cx="49225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Capitalized in period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March 31, 2012</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(Stated in millions)</w:t>
      </w:r>
    </w:p>
    <w:p>
      <w:pPr>
        <w:spacing w:after="0" w:line="27" w:lineRule="exact"/>
        <w:rPr>
          <w:sz w:val="20"/>
          <w:szCs w:val="20"/>
          <w:color w:val="auto"/>
        </w:rPr>
      </w:pPr>
    </w:p>
    <w:p>
      <w:pPr>
        <w:ind w:left="780" w:hanging="778"/>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425</w:t>
      </w:r>
    </w:p>
    <w:p>
      <w:pPr>
        <w:spacing w:after="0" w:line="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101</w:t>
      </w:r>
    </w:p>
    <w:p>
      <w:pPr>
        <w:spacing w:after="0" w:line="9"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660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3" w:lineRule="exact"/>
        <w:rPr>
          <w:sz w:val="20"/>
          <w:szCs w:val="20"/>
          <w:color w:val="auto"/>
        </w:rPr>
      </w:pPr>
    </w:p>
    <w:p>
      <w:pPr>
        <w:ind w:left="780" w:hanging="778"/>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60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660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980"/>
          </w:cols>
          <w:pgMar w:left="240" w:top="459" w:right="239" w:bottom="1440" w:gutter="0" w:footer="0" w:header="0"/>
          <w:type w:val="continuous"/>
        </w:sectPr>
      </w:pPr>
    </w:p>
    <w:p>
      <w:pPr>
        <w:spacing w:after="0" w:line="100"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unit for the three months ended March 31, 2012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6"/>
              <w:spacing w:after="0"/>
              <w:rPr>
                <w:sz w:val="20"/>
                <w:szCs w:val="20"/>
                <w:color w:val="auto"/>
              </w:rPr>
            </w:pPr>
            <w:r>
              <w:rPr>
                <w:rFonts w:ascii="Arial" w:cs="Arial" w:eastAsia="Arial" w:hAnsi="Arial"/>
                <w:sz w:val="14"/>
                <w:szCs w:val="14"/>
                <w:color w:val="auto"/>
                <w:w w:val="90"/>
              </w:rPr>
              <w:t>Reservoir</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0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00" w:type="dxa"/>
            <w:vAlign w:val="bottom"/>
            <w:gridSpan w:val="2"/>
          </w:tcPr>
          <w:p>
            <w:pPr>
              <w:spacing w:after="0" w:line="159" w:lineRule="exact"/>
              <w:rPr>
                <w:sz w:val="20"/>
                <w:szCs w:val="20"/>
                <w:color w:val="auto"/>
              </w:rPr>
            </w:pPr>
            <w:r>
              <w:rPr>
                <w:rFonts w:ascii="Arial" w:cs="Arial" w:eastAsia="Arial" w:hAnsi="Arial"/>
                <w:sz w:val="14"/>
                <w:szCs w:val="14"/>
                <w:color w:val="auto"/>
                <w:w w:val="86"/>
              </w:rPr>
              <w:t>Characterization</w:t>
            </w:r>
          </w:p>
        </w:tc>
        <w:tc>
          <w:tcPr>
            <w:tcW w:w="480" w:type="dxa"/>
            <w:vAlign w:val="bottom"/>
          </w:tcPr>
          <w:p>
            <w:pPr>
              <w:spacing w:after="0"/>
              <w:rPr>
                <w:sz w:val="13"/>
                <w:szCs w:val="13"/>
                <w:color w:val="auto"/>
              </w:rPr>
            </w:pPr>
          </w:p>
        </w:tc>
        <w:tc>
          <w:tcPr>
            <w:tcW w:w="96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Drilling</w:t>
            </w:r>
          </w:p>
        </w:tc>
        <w:tc>
          <w:tcPr>
            <w:tcW w:w="840" w:type="dxa"/>
            <w:vAlign w:val="bottom"/>
            <w:gridSpan w:val="3"/>
          </w:tcPr>
          <w:p>
            <w:pPr>
              <w:spacing w:after="0" w:line="159" w:lineRule="exact"/>
              <w:rPr>
                <w:sz w:val="20"/>
                <w:szCs w:val="20"/>
                <w:color w:val="auto"/>
              </w:rPr>
            </w:pPr>
            <w:r>
              <w:rPr>
                <w:rFonts w:ascii="Arial" w:cs="Arial" w:eastAsia="Arial" w:hAnsi="Arial"/>
                <w:sz w:val="14"/>
                <w:szCs w:val="14"/>
                <w:color w:val="auto"/>
              </w:rPr>
              <w:t>Production</w:t>
            </w:r>
          </w:p>
        </w:tc>
        <w:tc>
          <w:tcPr>
            <w:tcW w:w="240" w:type="dxa"/>
            <w:vAlign w:val="bottom"/>
          </w:tcPr>
          <w:p>
            <w:pPr>
              <w:spacing w:after="0"/>
              <w:rPr>
                <w:sz w:val="13"/>
                <w:szCs w:val="13"/>
                <w:color w:val="auto"/>
              </w:rPr>
            </w:pP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8"/>
              </w:rPr>
              <w:t>Distribution</w:t>
            </w:r>
          </w:p>
        </w:tc>
        <w:tc>
          <w:tcPr>
            <w:tcW w:w="460" w:type="dxa"/>
            <w:vAlign w:val="bottom"/>
          </w:tcPr>
          <w:p>
            <w:pPr>
              <w:spacing w:after="0"/>
              <w:rPr>
                <w:sz w:val="13"/>
                <w:szCs w:val="13"/>
                <w:color w:val="auto"/>
              </w:rPr>
            </w:pPr>
          </w:p>
        </w:tc>
        <w:tc>
          <w:tcPr>
            <w:tcW w:w="6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2012</w:t>
            </w:r>
          </w:p>
        </w:tc>
        <w:tc>
          <w:tcPr>
            <w:tcW w:w="2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$8,362</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2,356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Reallocation</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changes in exchange rates</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80" w:type="dxa"/>
            <w:vAlign w:val="bottom"/>
          </w:tcPr>
          <w:p>
            <w:pPr>
              <w:spacing w:after="0"/>
              <w:rPr>
                <w:sz w:val="20"/>
                <w:szCs w:val="20"/>
                <w:color w:val="auto"/>
              </w:rPr>
            </w:pPr>
            <w:r>
              <w:rPr>
                <w:rFonts w:ascii="Arial" w:cs="Arial" w:eastAsia="Arial" w:hAnsi="Arial"/>
                <w:sz w:val="18"/>
                <w:szCs w:val="18"/>
                <w:color w:val="auto"/>
              </w:rPr>
              <w:t>Balance at March 31, 2012</w:t>
            </w:r>
          </w:p>
        </w:tc>
        <w:tc>
          <w:tcPr>
            <w:tcW w:w="22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3,378</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8,250</w:t>
            </w:r>
          </w:p>
        </w:tc>
        <w:tc>
          <w:tcPr>
            <w:tcW w:w="4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2,495</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120" w:type="dxa"/>
            <w:vAlign w:val="bottom"/>
            <w:vMerge w:val="restart"/>
          </w:tcPr>
          <w:p>
            <w:pPr>
              <w:jc w:val="right"/>
              <w:ind w:right="292"/>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Mar. 31, 2012</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ind w:left="100"/>
              <w:spacing w:after="0"/>
              <w:rPr>
                <w:sz w:val="20"/>
                <w:szCs w:val="20"/>
                <w:color w:val="auto"/>
              </w:rPr>
            </w:pPr>
            <w:r>
              <w:rPr>
                <w:rFonts w:ascii="Arial" w:cs="Arial" w:eastAsia="Arial" w:hAnsi="Arial"/>
                <w:sz w:val="14"/>
                <w:szCs w:val="14"/>
                <w:i w:val="1"/>
                <w:iCs w:val="1"/>
                <w:color w:val="auto"/>
              </w:rPr>
              <w:t>(Stated in millions )</w:t>
            </w:r>
          </w:p>
        </w:tc>
        <w:tc>
          <w:tcPr>
            <w:tcW w:w="0" w:type="dxa"/>
            <w:vAlign w:val="bottom"/>
          </w:tcPr>
          <w:p>
            <w:pPr>
              <w:spacing w:after="0"/>
              <w:rPr>
                <w:sz w:val="1"/>
                <w:szCs w:val="1"/>
                <w:color w:val="auto"/>
              </w:rPr>
            </w:pPr>
          </w:p>
        </w:tc>
      </w:tr>
      <w:tr>
        <w:trPr>
          <w:trHeight w:val="159"/>
        </w:trPr>
        <w:tc>
          <w:tcPr>
            <w:tcW w:w="40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ind w:right="420"/>
              <w:spacing w:after="0" w:line="159" w:lineRule="exact"/>
              <w:rPr>
                <w:sz w:val="20"/>
                <w:szCs w:val="20"/>
                <w:color w:val="auto"/>
              </w:rPr>
            </w:pPr>
            <w:r>
              <w:rPr>
                <w:rFonts w:ascii="Arial" w:cs="Arial" w:eastAsia="Arial" w:hAnsi="Arial"/>
                <w:sz w:val="14"/>
                <w:szCs w:val="14"/>
                <w:color w:val="auto"/>
              </w:rPr>
              <w:t>Dec. 31, 2011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3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Net Book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4"/>
                <w:szCs w:val="14"/>
                <w:color w:val="auto"/>
              </w:rPr>
              <w:t>Gross</w:t>
            </w:r>
          </w:p>
        </w:tc>
        <w:tc>
          <w:tcPr>
            <w:tcW w:w="240" w:type="dxa"/>
            <w:vAlign w:val="bottom"/>
          </w:tcPr>
          <w:p>
            <w:pPr>
              <w:spacing w:after="0"/>
              <w:rPr>
                <w:sz w:val="11"/>
                <w:szCs w:val="11"/>
                <w:color w:val="auto"/>
              </w:rPr>
            </w:pPr>
          </w:p>
        </w:tc>
        <w:tc>
          <w:tcPr>
            <w:tcW w:w="1100" w:type="dxa"/>
            <w:vAlign w:val="bottom"/>
            <w:gridSpan w:val="3"/>
          </w:tcPr>
          <w:p>
            <w:pPr>
              <w:jc w:val="right"/>
              <w:ind w:right="380"/>
              <w:spacing w:after="0" w:line="129" w:lineRule="exact"/>
              <w:rPr>
                <w:sz w:val="20"/>
                <w:szCs w:val="20"/>
                <w:color w:val="auto"/>
              </w:rPr>
            </w:pPr>
            <w:r>
              <w:rPr>
                <w:rFonts w:ascii="Arial" w:cs="Arial" w:eastAsia="Arial" w:hAnsi="Arial"/>
                <w:sz w:val="14"/>
                <w:szCs w:val="14"/>
                <w:color w:val="auto"/>
                <w:w w:val="86"/>
              </w:rPr>
              <w:t>Accumulated</w:t>
            </w:r>
          </w:p>
        </w:tc>
        <w:tc>
          <w:tcPr>
            <w:tcW w:w="520" w:type="dxa"/>
            <w:vAlign w:val="bottom"/>
          </w:tcPr>
          <w:p>
            <w:pPr>
              <w:jc w:val="center"/>
              <w:spacing w:after="0" w:line="129" w:lineRule="exact"/>
              <w:rPr>
                <w:sz w:val="20"/>
                <w:szCs w:val="20"/>
                <w:color w:val="auto"/>
              </w:rPr>
            </w:pPr>
            <w:r>
              <w:rPr>
                <w:rFonts w:ascii="Arial" w:cs="Arial" w:eastAsia="Arial" w:hAnsi="Arial"/>
                <w:sz w:val="14"/>
                <w:szCs w:val="14"/>
                <w:color w:val="auto"/>
                <w:w w:val="90"/>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3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380" w:type="dxa"/>
            <w:vAlign w:val="bottom"/>
          </w:tcPr>
          <w:p>
            <w:pPr>
              <w:spacing w:after="0"/>
              <w:rPr>
                <w:sz w:val="14"/>
                <w:szCs w:val="14"/>
                <w:color w:val="auto"/>
              </w:rPr>
            </w:pPr>
          </w:p>
        </w:tc>
        <w:tc>
          <w:tcPr>
            <w:tcW w:w="540" w:type="dxa"/>
            <w:vAlign w:val="bottom"/>
          </w:tcPr>
          <w:p>
            <w:pPr>
              <w:jc w:val="right"/>
              <w:ind w:right="22"/>
              <w:spacing w:after="0"/>
              <w:rPr>
                <w:sz w:val="20"/>
                <w:szCs w:val="20"/>
                <w:color w:val="auto"/>
              </w:rPr>
            </w:pPr>
            <w:r>
              <w:rPr>
                <w:rFonts w:ascii="Arial" w:cs="Arial" w:eastAsia="Arial" w:hAnsi="Arial"/>
                <w:sz w:val="14"/>
                <w:szCs w:val="14"/>
                <w:b w:val="1"/>
                <w:bCs w:val="1"/>
                <w:color w:val="auto"/>
              </w:rPr>
              <w:t>Value</w:t>
            </w:r>
          </w:p>
        </w:tc>
        <w:tc>
          <w:tcPr>
            <w:tcW w:w="3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Book Value</w:t>
            </w:r>
          </w:p>
        </w:tc>
        <w:tc>
          <w:tcPr>
            <w:tcW w:w="240" w:type="dxa"/>
            <w:vAlign w:val="bottom"/>
          </w:tcPr>
          <w:p>
            <w:pPr>
              <w:spacing w:after="0"/>
              <w:rPr>
                <w:sz w:val="14"/>
                <w:szCs w:val="14"/>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4"/>
                <w:szCs w:val="14"/>
                <w:color w:val="auto"/>
                <w:w w:val="89"/>
              </w:rPr>
              <w:t>Amortization</w:t>
            </w:r>
          </w:p>
        </w:tc>
        <w:tc>
          <w:tcPr>
            <w:tcW w:w="62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Technology/Technical Know-How</w:t>
            </w:r>
          </w:p>
        </w:tc>
        <w:tc>
          <w:tcPr>
            <w:tcW w:w="1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1,876</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$ 1,502</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$ 1,534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Tradenames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1,668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1,677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131</w:t>
            </w:r>
          </w:p>
        </w:tc>
        <w:tc>
          <w:tcPr>
            <w:tcW w:w="52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306</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299</w:t>
            </w: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5,859</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$ 4,805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5,862</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$80 million during the first quarter of 2012 and $84 million during the same period of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21 years.</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Based on the net book value of intangible assets at March 31, 2012, amortization charged to income for the subsequent five years is estimated to be: remainder of 2012 - $241 million; 2013 - $304 million; 2014 - $298 million; 2015 - $287 million; 2016 - $268 million; and 2017 - $260 million.</w:t>
      </w:r>
    </w:p>
    <w:p>
      <w:pPr>
        <w:spacing w:after="0" w:line="16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ind w:left="380"/>
              <w:spacing w:after="0"/>
              <w:rPr>
                <w:sz w:val="20"/>
                <w:szCs w:val="20"/>
                <w:color w:val="auto"/>
              </w:rPr>
            </w:pPr>
            <w:r>
              <w:rPr>
                <w:rFonts w:ascii="Arial" w:cs="Arial" w:eastAsia="Arial" w:hAnsi="Arial"/>
                <w:sz w:val="14"/>
                <w:szCs w:val="14"/>
                <w:i w:val="1"/>
                <w:iCs w:val="1"/>
                <w:color w:val="auto"/>
                <w:w w:val="97"/>
              </w:rPr>
              <w:t>(Stated in millions)</w:t>
            </w:r>
          </w:p>
        </w:tc>
      </w:tr>
      <w:tr>
        <w:trPr>
          <w:trHeight w:val="149"/>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Mar. 31,</w:t>
            </w:r>
          </w:p>
        </w:tc>
        <w:tc>
          <w:tcPr>
            <w:tcW w:w="44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Dec. 31,</w:t>
            </w:r>
          </w:p>
        </w:tc>
      </w:tr>
      <w:tr>
        <w:trPr>
          <w:trHeight w:val="161"/>
        </w:trPr>
        <w:tc>
          <w:tcPr>
            <w:tcW w:w="7140" w:type="dxa"/>
            <w:vAlign w:val="bottom"/>
          </w:tcPr>
          <w:p>
            <w:pPr>
              <w:spacing w:after="0"/>
              <w:rPr>
                <w:sz w:val="14"/>
                <w:szCs w:val="14"/>
                <w:color w:val="auto"/>
              </w:rPr>
            </w:pPr>
          </w:p>
        </w:tc>
        <w:tc>
          <w:tcPr>
            <w:tcW w:w="50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2012</w:t>
            </w:r>
          </w:p>
        </w:tc>
        <w:tc>
          <w:tcPr>
            <w:tcW w:w="940" w:type="dxa"/>
            <w:vAlign w:val="bottom"/>
            <w:gridSpan w:val="2"/>
          </w:tcPr>
          <w:p>
            <w:pPr>
              <w:jc w:val="right"/>
              <w:ind w:right="36"/>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r>
      <w:tr>
        <w:trPr>
          <w:trHeight w:val="210"/>
        </w:trPr>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3.300% Senior Notes due 2021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$1,595</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4.50% Guaranteed Notes due 2014</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2.75% Guaranteed Notes due 2015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1.950% Senior Notes due 2016</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4.200% Senior Notes due 2021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5.25% Guaranteed Notes due 2013</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671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2.650% Senior Notes due 2016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3.00% Guaranteed Notes due 2013</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Floating Rate Senior Notes due 2014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Commercial paper borrowing</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226</w:t>
            </w:r>
          </w:p>
        </w:tc>
        <w:tc>
          <w:tcPr>
            <w:tcW w:w="44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variable rate debt</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r>
      <w:tr>
        <w:trPr>
          <w:trHeight w:val="222"/>
        </w:trPr>
        <w:tc>
          <w:tcPr>
            <w:tcW w:w="7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8,439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8,548</w:t>
            </w:r>
          </w:p>
        </w:tc>
        <w:tc>
          <w:tcPr>
            <w:tcW w:w="100" w:type="dxa"/>
            <w:vAlign w:val="bottom"/>
          </w:tcPr>
          <w:p>
            <w:pPr>
              <w:spacing w:after="0"/>
              <w:rPr>
                <w:sz w:val="19"/>
                <w:szCs w:val="19"/>
                <w:color w:val="auto"/>
              </w:rPr>
            </w:pPr>
          </w:p>
        </w:tc>
      </w:tr>
      <w:tr>
        <w:trPr>
          <w:trHeight w:val="217"/>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Fair value adjustment - hedging </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8,439</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8,556</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320" w:firstLine="8"/>
        <w:spacing w:after="0" w:line="394" w:lineRule="auto"/>
        <w:tabs>
          <w:tab w:leader="none" w:pos="446"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Represents changes in the fair value of the portion of Schlumberger’s fixed rate debt that is hedged through the use of interest rate swaps. During the first quarter of 2011, Schlumberger issued $1.1 billion of 4.200% Senior Notes due 2021.</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first quarter of 2011, Schlumberger issued $500 million of 2.650% Senior Notes due 2016. Schlumberger entered into agreements to swap these dollar notes for euros on the date of issue until maturity, effectively making this a euro denominated debt on which Schlumberger will pay interest in euros at a rate of 2.39%.</w:t>
      </w:r>
    </w:p>
    <w:p>
      <w:pPr>
        <w:spacing w:after="0" w:line="140"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During the first quarter of 2011, Schlumberger repurchased all of the outstanding 9.75% Senior Notes due 2019, the 8.625% Senior Notes due 2014 and the 6.00% Senior Notes due 2016 for approximately $1.26 billion. These transactions did not result in any significant gains or losses.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March 31, 2012 and December 31, 2011, based on quoted market prices, was $8.8 billion and $8.9 billion, respectively.</w:t>
      </w:r>
    </w:p>
    <w:p>
      <w:pPr>
        <w:spacing w:after="0" w:line="207"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Schlumberger is exposed to market risks related to fluctuations in foreign currency exchange rates, commodity prices and interest rates. To mitigate these risks, Schlumberger utilizes derivative instruments. Schlumberger does not enter into derivative transactions for speculative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a multinational company, Schlumberger conducts business in approximately 85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6"/>
          <w:szCs w:val="16"/>
          <w:i w:val="1"/>
          <w:iCs w:val="1"/>
          <w:color w:val="auto"/>
        </w:rPr>
        <w:t xml:space="preserve">Consolidated Balance Sheet </w:t>
      </w:r>
      <w:r>
        <w:rPr>
          <w:rFonts w:ascii="Arial" w:cs="Arial" w:eastAsia="Arial" w:hAnsi="Arial"/>
          <w:sz w:val="16"/>
          <w:szCs w:val="16"/>
          <w:color w:val="auto"/>
        </w:rPr>
        <w:t>and in</w:t>
      </w:r>
      <w:r>
        <w:rPr>
          <w:rFonts w:ascii="Arial" w:cs="Arial" w:eastAsia="Arial" w:hAnsi="Arial"/>
          <w:sz w:val="16"/>
          <w:szCs w:val="16"/>
          <w:i w:val="1"/>
          <w:iCs w:val="1"/>
          <w:color w:val="auto"/>
        </w:rPr>
        <w:t xml:space="preserve"> Accumulated Other Comprehensive Loss. </w:t>
      </w:r>
      <w:r>
        <w:rPr>
          <w:rFonts w:ascii="Arial" w:cs="Arial" w:eastAsia="Arial" w:hAnsi="Arial"/>
          <w:sz w:val="16"/>
          <w:szCs w:val="16"/>
          <w:color w:val="auto"/>
        </w:rPr>
        <w:t>Amounts recorded in</w:t>
      </w:r>
      <w:r>
        <w:rPr>
          <w:rFonts w:ascii="Arial" w:cs="Arial" w:eastAsia="Arial" w:hAnsi="Arial"/>
          <w:sz w:val="16"/>
          <w:szCs w:val="16"/>
          <w:i w:val="1"/>
          <w:iCs w:val="1"/>
          <w:color w:val="auto"/>
        </w:rPr>
        <w:t xml:space="preserve"> Accumulated Other Comprehensive Loss </w:t>
      </w:r>
      <w:r>
        <w:rPr>
          <w:rFonts w:ascii="Arial" w:cs="Arial" w:eastAsia="Arial" w:hAnsi="Arial"/>
          <w:sz w:val="16"/>
          <w:szCs w:val="16"/>
          <w:color w:val="auto"/>
        </w:rPr>
        <w:t>are reclassified into</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in the same period or periods that the hedged item is recognized in earnings. The ineffective portion of changes in the fair value of hedging instruments, if any, is recorded directly to earnings.</w:t>
      </w:r>
    </w:p>
    <w:p>
      <w:pPr>
        <w:spacing w:after="0" w:line="120"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 xml:space="preserve">At March 31, 2012, Schlumberger recognized a cumulative net $19 million gain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85"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March 31, 2012, contracts were outstanding for the US dollar equivalent of $5.2 billion in various foreign currencies, of which $3.9 billion relate to hedges of debt denominated in currencies other than the functional currency.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Schlumberger is exposed to the impact of market fluctuations in the price of certain commodities, such as metals and fuel. Schlumberger utilizes forward contracts to manage a small percentage of the price risk associated with forecasted metal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2012, $23 million of commodity forward contracts were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During the third quarter of 2009, Schlumberger entered into an interest rate swap relating to a certain debt instrument. The swap was for a notional amount of $450 million in order to hedge changes in the fair value of Schlumberger’s $450 million 3.00% Notes due 2013. Under the terms of this swap, Schlumberger receives interest at a fixed rate of 3.0% annually and will pay interest quarterly at a floating rate of three-month LIBOR plus a spread of 0.765%. This interest rate swap is designated as a fair value hedge of the underlying debt. This derivative instrument is marked to market with gains and losses recognized currently in income to offset the respective losses and gains recognized on changes in the fair value of the hedged debt. This results in no net gain or loss being recognized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March 31, 2012, Schlumberger had fixed rate debt aggregating $7.7 billion and variable rate debt aggregating $2.5 billion, after taking into account the effects of the interest rate swaps.</w:t>
      </w:r>
    </w:p>
    <w:p>
      <w:pPr>
        <w:spacing w:after="0" w:line="132"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$3.0 billion at March 31, 2012, and were comprised primarily of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funds, eurodollar time deposits, certificates of deposit, commercial paper, euro notes and Eurobonds, and were substantially all denominated in US dollars. The carrying value of these investments approximated fair value, which was estimated using quoted market prices for those or similar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jc w:val="right"/>
              <w:ind w:right="313"/>
              <w:spacing w:after="0"/>
              <w:rPr>
                <w:sz w:val="20"/>
                <w:szCs w:val="20"/>
                <w:color w:val="auto"/>
              </w:rPr>
            </w:pPr>
            <w:r>
              <w:rPr>
                <w:rFonts w:ascii="Arial" w:cs="Arial" w:eastAsia="Arial" w:hAnsi="Arial"/>
                <w:sz w:val="14"/>
                <w:szCs w:val="14"/>
                <w:i w:val="1"/>
                <w:iCs w:val="1"/>
                <w:color w:val="auto"/>
              </w:rPr>
              <w:t>(Stated in millions)</w:t>
            </w:r>
          </w:p>
        </w:tc>
        <w:tc>
          <w:tcPr>
            <w:tcW w:w="560" w:type="dxa"/>
            <w:vAlign w:val="bottom"/>
          </w:tcPr>
          <w:p>
            <w:pPr>
              <w:spacing w:after="0"/>
              <w:rPr>
                <w:sz w:val="14"/>
                <w:szCs w:val="14"/>
                <w:color w:val="auto"/>
              </w:rPr>
            </w:pPr>
          </w:p>
        </w:tc>
        <w:tc>
          <w:tcPr>
            <w:tcW w:w="3260" w:type="dxa"/>
            <w:vAlign w:val="bottom"/>
            <w:vMerge w:val="restart"/>
          </w:tcPr>
          <w:p>
            <w:pPr>
              <w:ind w:left="440"/>
              <w:spacing w:after="0"/>
              <w:rPr>
                <w:sz w:val="20"/>
                <w:szCs w:val="20"/>
                <w:color w:val="auto"/>
              </w:rPr>
            </w:pPr>
            <w:r>
              <w:rPr>
                <w:rFonts w:ascii="Arial" w:cs="Arial" w:eastAsia="Arial" w:hAnsi="Arial"/>
                <w:sz w:val="14"/>
                <w:szCs w:val="14"/>
                <w:b w:val="1"/>
                <w:bCs w:val="1"/>
                <w:i w:val="1"/>
                <w:iCs w:val="1"/>
                <w:color w:val="auto"/>
                <w:w w:val="98"/>
              </w:rPr>
              <w:t xml:space="preserve">Consolidated Balance Sheet </w:t>
            </w:r>
            <w:r>
              <w:rPr>
                <w:rFonts w:ascii="Arial" w:cs="Arial" w:eastAsia="Arial" w:hAnsi="Arial"/>
                <w:sz w:val="14"/>
                <w:szCs w:val="14"/>
                <w:b w:val="1"/>
                <w:bCs w:val="1"/>
                <w:color w:val="auto"/>
                <w:w w:val="98"/>
              </w:rPr>
              <w:t>Classification</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0"/>
              </w:rPr>
              <w:t>Fair Value of Derivatives</w:t>
            </w:r>
          </w:p>
        </w:tc>
        <w:tc>
          <w:tcPr>
            <w:tcW w:w="560" w:type="dxa"/>
            <w:vAlign w:val="bottom"/>
          </w:tcPr>
          <w:p>
            <w:pPr>
              <w:spacing w:after="0"/>
              <w:rPr>
                <w:sz w:val="14"/>
                <w:szCs w:val="14"/>
                <w:color w:val="auto"/>
              </w:rPr>
            </w:pPr>
          </w:p>
        </w:tc>
        <w:tc>
          <w:tcPr>
            <w:tcW w:w="3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1220" w:type="dxa"/>
            <w:vAlign w:val="bottom"/>
            <w:gridSpan w:val="3"/>
          </w:tcPr>
          <w:p>
            <w:pPr>
              <w:jc w:val="right"/>
              <w:ind w:right="660"/>
              <w:spacing w:after="0" w:line="129" w:lineRule="exact"/>
              <w:rPr>
                <w:sz w:val="20"/>
                <w:szCs w:val="20"/>
                <w:color w:val="auto"/>
              </w:rPr>
            </w:pPr>
            <w:r>
              <w:rPr>
                <w:rFonts w:ascii="Arial" w:cs="Arial" w:eastAsia="Arial" w:hAnsi="Arial"/>
                <w:sz w:val="14"/>
                <w:szCs w:val="14"/>
                <w:b w:val="1"/>
                <w:bCs w:val="1"/>
                <w:color w:val="auto"/>
              </w:rPr>
              <w:t>Mar. 31,</w:t>
            </w: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9"/>
              </w:rPr>
              <w:t>Dec. 31,</w:t>
            </w:r>
          </w:p>
        </w:tc>
        <w:tc>
          <w:tcPr>
            <w:tcW w:w="5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2012</w:t>
            </w: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89"/>
              </w:rPr>
              <w:t>2011</w:t>
            </w:r>
          </w:p>
        </w:tc>
        <w:tc>
          <w:tcPr>
            <w:tcW w:w="56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2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39</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3820" w:type="dxa"/>
            <w:vAlign w:val="bottom"/>
            <w:gridSpan w:val="2"/>
          </w:tcPr>
          <w:p>
            <w:pPr>
              <w:ind w:left="5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2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3820" w:type="dxa"/>
            <w:vAlign w:val="bottom"/>
            <w:gridSpan w:val="2"/>
          </w:tcPr>
          <w:p>
            <w:pPr>
              <w:ind w:left="56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2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3820" w:type="dxa"/>
            <w:vAlign w:val="bottom"/>
            <w:gridSpan w:val="2"/>
          </w:tcPr>
          <w:p>
            <w:pPr>
              <w:ind w:left="560"/>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82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3820" w:type="dxa"/>
            <w:vAlign w:val="bottom"/>
            <w:gridSpan w:val="2"/>
          </w:tcPr>
          <w:p>
            <w:pPr>
              <w:ind w:left="560"/>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contacts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2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can be derived from or corroborated by observable data.</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effect on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of derivative instruments designated as fair value hedges and those not designated as hedges was as follows: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left="240"/>
              <w:spacing w:after="0"/>
              <w:rPr>
                <w:sz w:val="20"/>
                <w:szCs w:val="20"/>
                <w:color w:val="auto"/>
              </w:rPr>
            </w:pPr>
            <w:r>
              <w:rPr>
                <w:rFonts w:ascii="Arial" w:cs="Arial" w:eastAsia="Arial" w:hAnsi="Arial"/>
                <w:sz w:val="14"/>
                <w:szCs w:val="14"/>
                <w:i w:val="1"/>
                <w:iCs w:val="1"/>
                <w:color w:val="auto"/>
                <w:w w:val="90"/>
              </w:rPr>
              <w:t>(Stated in millions)</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6"/>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Gain (Loss) Recognized in</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4"/>
                <w:szCs w:val="14"/>
                <w:b w:val="1"/>
                <w:bCs w:val="1"/>
                <w:color w:val="auto"/>
                <w:w w:val="85"/>
              </w:rPr>
              <w:t>Income</w:t>
            </w:r>
          </w:p>
        </w:tc>
        <w:tc>
          <w:tcPr>
            <w:tcW w:w="4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center"/>
              <w:ind w:left="260"/>
              <w:spacing w:after="0" w:line="142" w:lineRule="exact"/>
              <w:rPr>
                <w:sz w:val="20"/>
                <w:szCs w:val="20"/>
                <w:color w:val="auto"/>
              </w:rPr>
            </w:pPr>
            <w:r>
              <w:rPr>
                <w:rFonts w:ascii="Arial" w:cs="Arial" w:eastAsia="Arial" w:hAnsi="Arial"/>
                <w:sz w:val="14"/>
                <w:szCs w:val="14"/>
                <w:b w:val="1"/>
                <w:bCs w:val="1"/>
                <w:color w:val="auto"/>
                <w:w w:val="91"/>
              </w:rPr>
              <w:t>First Quarter</w:t>
            </w:r>
          </w:p>
        </w:tc>
        <w:tc>
          <w:tcPr>
            <w:tcW w:w="4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i w:val="1"/>
                <w:iCs w:val="1"/>
                <w:color w:val="auto"/>
                <w:w w:val="88"/>
              </w:rPr>
              <w:t>Consolidated Statement</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color w:val="auto"/>
                <w:w w:val="83"/>
              </w:rPr>
              <w:t>2011</w:t>
            </w:r>
          </w:p>
        </w:tc>
        <w:tc>
          <w:tcPr>
            <w:tcW w:w="660" w:type="dxa"/>
            <w:vAlign w:val="bottom"/>
          </w:tcPr>
          <w:p>
            <w:pPr>
              <w:spacing w:after="0"/>
              <w:rPr>
                <w:sz w:val="12"/>
                <w:szCs w:val="12"/>
                <w:color w:val="auto"/>
              </w:rPr>
            </w:pPr>
          </w:p>
        </w:tc>
        <w:tc>
          <w:tcPr>
            <w:tcW w:w="16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i w:val="1"/>
                <w:iCs w:val="1"/>
                <w:color w:val="auto"/>
                <w:w w:val="89"/>
              </w:rPr>
              <w:t xml:space="preserve">of Income </w:t>
            </w:r>
            <w:r>
              <w:rPr>
                <w:rFonts w:ascii="Arial" w:cs="Arial" w:eastAsia="Arial" w:hAnsi="Arial"/>
                <w:sz w:val="14"/>
                <w:szCs w:val="14"/>
                <w:b w:val="1"/>
                <w:bCs w:val="1"/>
                <w:color w:val="auto"/>
                <w:w w:val="89"/>
              </w:rPr>
              <w:t>Classification</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fair value hedges:</w:t>
            </w: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Foreign exchange contracts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gridSpan w:val="2"/>
          </w:tcPr>
          <w:p>
            <w:pPr>
              <w:ind w:left="60"/>
              <w:spacing w:after="0" w:line="201" w:lineRule="exact"/>
              <w:rPr>
                <w:sz w:val="20"/>
                <w:szCs w:val="20"/>
                <w:color w:val="auto"/>
              </w:rPr>
            </w:pPr>
            <w:r>
              <w:rPr>
                <w:rFonts w:ascii="Arial" w:cs="Arial" w:eastAsia="Arial" w:hAnsi="Arial"/>
                <w:sz w:val="18"/>
                <w:szCs w:val="18"/>
                <w:i w:val="1"/>
                <w:iCs w:val="1"/>
                <w:color w:val="auto"/>
              </w:rPr>
              <w:t>Cost of revenue -</w:t>
            </w:r>
          </w:p>
        </w:tc>
        <w:tc>
          <w:tcPr>
            <w:tcW w:w="0" w:type="dxa"/>
            <w:vAlign w:val="bottom"/>
          </w:tcPr>
          <w:p>
            <w:pPr>
              <w:spacing w:after="0"/>
              <w:rPr>
                <w:sz w:val="1"/>
                <w:szCs w:val="1"/>
                <w:color w:val="auto"/>
              </w:rPr>
            </w:pPr>
          </w:p>
        </w:tc>
      </w:tr>
      <w:tr>
        <w:trPr>
          <w:trHeight w:val="229"/>
        </w:trPr>
        <w:tc>
          <w:tcPr>
            <w:tcW w:w="5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18"/>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i w:val="1"/>
                <w:iCs w:val="1"/>
                <w:color w:val="auto"/>
              </w:rPr>
              <w:t>Oilfield Services</w:t>
            </w: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Foreign exchange contracts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gridSpan w:val="2"/>
          </w:tcPr>
          <w:p>
            <w:pPr>
              <w:jc w:val="right"/>
              <w:ind w:right="100"/>
              <w:spacing w:after="0" w:line="201" w:lineRule="exact"/>
              <w:rPr>
                <w:sz w:val="20"/>
                <w:szCs w:val="20"/>
                <w:color w:val="auto"/>
              </w:rPr>
            </w:pPr>
            <w:r>
              <w:rPr>
                <w:rFonts w:ascii="Arial" w:cs="Arial" w:eastAsia="Arial" w:hAnsi="Arial"/>
                <w:sz w:val="18"/>
                <w:szCs w:val="18"/>
                <w:i w:val="1"/>
                <w:iCs w:val="1"/>
                <w:color w:val="auto"/>
              </w:rPr>
              <w:t>Cost of revenue -</w:t>
            </w:r>
          </w:p>
        </w:tc>
        <w:tc>
          <w:tcPr>
            <w:tcW w:w="0" w:type="dxa"/>
            <w:vAlign w:val="bottom"/>
          </w:tcPr>
          <w:p>
            <w:pPr>
              <w:spacing w:after="0"/>
              <w:rPr>
                <w:sz w:val="1"/>
                <w:szCs w:val="1"/>
                <w:color w:val="auto"/>
              </w:rPr>
            </w:pPr>
          </w:p>
        </w:tc>
      </w:tr>
      <w:tr>
        <w:trPr>
          <w:trHeight w:val="229"/>
        </w:trPr>
        <w:tc>
          <w:tcPr>
            <w:tcW w:w="5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Oilfield Services</w:t>
            </w:r>
          </w:p>
        </w:tc>
        <w:tc>
          <w:tcPr>
            <w:tcW w:w="0" w:type="dxa"/>
            <w:vAlign w:val="bottom"/>
          </w:tcPr>
          <w:p>
            <w:pPr>
              <w:spacing w:after="0"/>
              <w:rPr>
                <w:sz w:val="1"/>
                <w:szCs w:val="1"/>
                <w:color w:val="auto"/>
              </w:rPr>
            </w:pPr>
          </w:p>
        </w:tc>
      </w:tr>
      <w:tr>
        <w:trPr>
          <w:trHeight w:val="209"/>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600" w:type="dxa"/>
            <w:vAlign w:val="bottom"/>
            <w:gridSpan w:val="2"/>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Cost of revenue -</w:t>
            </w:r>
          </w:p>
        </w:tc>
        <w:tc>
          <w:tcPr>
            <w:tcW w:w="0" w:type="dxa"/>
            <w:vAlign w:val="bottom"/>
          </w:tcPr>
          <w:p>
            <w:pPr>
              <w:spacing w:after="0"/>
              <w:rPr>
                <w:sz w:val="1"/>
                <w:szCs w:val="1"/>
                <w:color w:val="auto"/>
              </w:rPr>
            </w:pPr>
          </w:p>
        </w:tc>
      </w:tr>
      <w:tr>
        <w:trPr>
          <w:trHeight w:val="224"/>
        </w:trPr>
        <w:tc>
          <w:tcPr>
            <w:tcW w:w="5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Oilfield Services</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(20)</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464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in cash flow hedging relationships on income and other comprehensive income (OCI) was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3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Gain (Loss) Reclassified from</w:t>
            </w:r>
          </w:p>
        </w:tc>
        <w:tc>
          <w:tcPr>
            <w:tcW w:w="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9"/>
              </w:rPr>
              <w:t>Accumulated OCI into Income</w:t>
            </w:r>
          </w:p>
        </w:tc>
        <w:tc>
          <w:tcPr>
            <w:tcW w:w="320" w:type="dxa"/>
            <w:vAlign w:val="bottom"/>
          </w:tcPr>
          <w:p>
            <w:pPr>
              <w:spacing w:after="0"/>
              <w:rPr>
                <w:sz w:val="14"/>
                <w:szCs w:val="14"/>
                <w:color w:val="auto"/>
              </w:rPr>
            </w:pPr>
          </w:p>
        </w:tc>
        <w:tc>
          <w:tcPr>
            <w:tcW w:w="268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2"/>
              </w:rPr>
              <w:t>Consolidated Statement</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3"/>
          </w:tcPr>
          <w:p>
            <w:pPr>
              <w:jc w:val="center"/>
              <w:ind w:right="32"/>
              <w:spacing w:after="0" w:line="142" w:lineRule="exact"/>
              <w:rPr>
                <w:sz w:val="20"/>
                <w:szCs w:val="20"/>
                <w:color w:val="auto"/>
              </w:rPr>
            </w:pPr>
            <w:r>
              <w:rPr>
                <w:rFonts w:ascii="Arial" w:cs="Arial" w:eastAsia="Arial" w:hAnsi="Arial"/>
                <w:sz w:val="14"/>
                <w:szCs w:val="14"/>
                <w:b w:val="1"/>
                <w:bCs w:val="1"/>
                <w:color w:val="auto"/>
                <w:w w:val="91"/>
              </w:rPr>
              <w:t>First Quarter</w:t>
            </w:r>
          </w:p>
        </w:tc>
        <w:tc>
          <w:tcPr>
            <w:tcW w:w="60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color w:val="auto"/>
              </w:rPr>
              <w:t>2011</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85"/>
              </w:rPr>
              <w:t xml:space="preserve">of Income </w:t>
            </w:r>
            <w:r>
              <w:rPr>
                <w:rFonts w:ascii="Arial" w:cs="Arial" w:eastAsia="Arial" w:hAnsi="Arial"/>
                <w:sz w:val="14"/>
                <w:szCs w:val="14"/>
                <w:b w:val="1"/>
                <w:bCs w:val="1"/>
                <w:color w:val="auto"/>
                <w:w w:val="85"/>
              </w:rPr>
              <w:t>Classification</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Cost of revenue -Oilfield Services</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i w:val="1"/>
                <w:iCs w:val="1"/>
                <w:color w:val="auto"/>
              </w:rPr>
              <w:t>Research &amp; engineering</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110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13"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Income before taxes </w:t>
      </w:r>
      <w:r>
        <w:rPr>
          <w:rFonts w:ascii="Arial" w:cs="Arial" w:eastAsia="Arial" w:hAnsi="Arial"/>
          <w:sz w:val="15"/>
          <w:szCs w:val="15"/>
          <w:color w:val="auto"/>
        </w:rPr>
        <w:t>which was subject to US and non-US income taxes was as follows: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Outside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27940</wp:posOffset>
            </wp:positionV>
            <wp:extent cx="55054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Arial" w:cs="Arial" w:eastAsia="Arial" w:hAnsi="Arial"/>
          <w:sz w:val="12"/>
          <w:szCs w:val="12"/>
          <w:i w:val="1"/>
          <w:iCs w:val="1"/>
          <w:color w:val="auto"/>
        </w:rPr>
        <w:t>(Stated in millions)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Gain (Loss) Recognized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wp:posOffset>
            </wp:positionV>
            <wp:extent cx="1235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 w:lineRule="exact"/>
        <w:rPr>
          <w:sz w:val="20"/>
          <w:szCs w:val="20"/>
          <w:color w:val="auto"/>
        </w:rPr>
      </w:pPr>
    </w:p>
    <w:p>
      <w:pPr>
        <w:jc w:val="center"/>
        <w:ind w:right="1300"/>
        <w:spacing w:after="0"/>
        <w:rPr>
          <w:sz w:val="20"/>
          <w:szCs w:val="20"/>
          <w:color w:val="auto"/>
        </w:rPr>
      </w:pPr>
      <w:r>
        <w:rPr>
          <w:rFonts w:ascii="Arial" w:cs="Arial" w:eastAsia="Arial" w:hAnsi="Arial"/>
          <w:sz w:val="14"/>
          <w:szCs w:val="14"/>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-6985</wp:posOffset>
            </wp:positionV>
            <wp:extent cx="1235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180"/>
        <w:spacing w:after="0"/>
        <w:tabs>
          <w:tab w:leader="none" w:pos="148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color w:val="auto"/>
        </w:rPr>
        <w:t>2011</w:t>
      </w:r>
    </w:p>
    <w:p>
      <w:pPr>
        <w:spacing w:after="0" w:line="1" w:lineRule="exact"/>
        <w:rPr>
          <w:sz w:val="20"/>
          <w:szCs w:val="20"/>
          <w:color w:val="auto"/>
        </w:rPr>
      </w:pPr>
    </w:p>
    <w:p>
      <w:pPr>
        <w:spacing w:after="0"/>
        <w:tabs>
          <w:tab w:leader="none" w:pos="340" w:val="left"/>
          <w:tab w:leader="none" w:pos="1300" w:val="left"/>
          <w:tab w:leader="none" w:pos="1680" w:val="left"/>
        </w:tabs>
        <w:rPr>
          <w:sz w:val="20"/>
          <w:szCs w:val="20"/>
          <w:color w:val="auto"/>
        </w:rPr>
      </w:pPr>
      <w:r>
        <w:rPr>
          <w:rFonts w:ascii="Arial" w:cs="Arial" w:eastAsia="Arial" w:hAnsi="Arial"/>
          <w:sz w:val="18"/>
          <w:szCs w:val="18"/>
          <w:b w:val="1"/>
          <w:bCs w:val="1"/>
          <w:u w:val="single" w:color="auto"/>
          <w:color w:val="auto"/>
        </w:rPr>
        <w:t>$</w:t>
        <w:tab/>
        <w:t>155</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386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842645</wp:posOffset>
            </wp:positionH>
            <wp:positionV relativeFrom="paragraph">
              <wp:posOffset>23495</wp:posOffset>
            </wp:positionV>
            <wp:extent cx="4032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20"/>
        <w:spacing w:after="0"/>
        <w:rPr>
          <w:sz w:val="20"/>
          <w:szCs w:val="20"/>
          <w:color w:val="auto"/>
        </w:rPr>
      </w:pPr>
      <w:r>
        <w:rPr>
          <w:rFonts w:ascii="Arial" w:cs="Arial" w:eastAsia="Arial" w:hAnsi="Arial"/>
          <w:sz w:val="12"/>
          <w:szCs w:val="12"/>
          <w:i w:val="1"/>
          <w:iCs w:val="1"/>
          <w:color w:val="auto"/>
        </w:rPr>
        <w:t>(Stated in millions)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First Quarter</w:t>
      </w:r>
    </w:p>
    <w:tbl>
      <w:tblPr>
        <w:tblLayout w:type="fixed"/>
        <w:tblInd w:w="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2012</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3"/>
              </w:rPr>
              <w:t>2011</w:t>
            </w:r>
          </w:p>
        </w:tc>
      </w:tr>
      <w:tr>
        <w:trPr>
          <w:trHeight w:val="195"/>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591</w:t>
            </w:r>
          </w:p>
        </w:tc>
        <w:tc>
          <w:tcPr>
            <w:tcW w:w="4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365</w:t>
            </w:r>
          </w:p>
        </w:tc>
      </w:tr>
      <w:tr>
        <w:trPr>
          <w:trHeight w:val="229"/>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1,130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r>
      <w:tr>
        <w:trPr>
          <w:trHeight w:val="224"/>
        </w:trPr>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1,721</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1,238</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7280" w:space="720"/>
            <w:col w:w="3260"/>
          </w:cols>
          <w:pgMar w:left="240" w:top="459" w:right="399" w:bottom="1440" w:gutter="0" w:footer="0" w:header="0"/>
          <w:type w:val="continuous"/>
        </w:sectPr>
      </w:pPr>
    </w:p>
    <w:p>
      <w:pPr>
        <w:spacing w:after="0"/>
        <w:rPr>
          <w:sz w:val="20"/>
          <w:szCs w:val="20"/>
          <w:color w:val="auto"/>
        </w:rPr>
      </w:pPr>
      <w:r>
        <w:rPr>
          <w:rFonts w:ascii="Arial" w:cs="Arial" w:eastAsia="Arial" w:hAnsi="Arial"/>
          <w:sz w:val="18"/>
          <w:szCs w:val="18"/>
          <w:color w:val="auto"/>
        </w:rPr>
        <w:t>During the first quarter of 2012, Schlumberger recorded pretax charges of $15 million ($11 million in the US and $4 million outside of the US).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Schlumberger recorded pretax charges of $34 million during the three months ended March 31, 2011 ($23 million in the US and $11 million outside of the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These charges are included in the table above and are more fully described in Note 2 – </w:t>
      </w:r>
      <w:r>
        <w:rPr>
          <w:rFonts w:ascii="Arial" w:cs="Arial" w:eastAsia="Arial" w:hAnsi="Arial"/>
          <w:sz w:val="18"/>
          <w:szCs w:val="18"/>
          <w:i w:val="1"/>
          <w:iCs w:val="1"/>
          <w:color w:val="auto"/>
        </w:rPr>
        <w:t>Charges and credits.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r>
      <w:tr>
        <w:trPr>
          <w:trHeight w:val="149"/>
        </w:trPr>
        <w:tc>
          <w:tcPr>
            <w:tcW w:w="4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40" w:type="dxa"/>
            <w:vAlign w:val="bottom"/>
            <w:gridSpan w:val="3"/>
          </w:tcPr>
          <w:p>
            <w:pPr>
              <w:jc w:val="right"/>
              <w:ind w:right="252"/>
              <w:spacing w:after="0" w:line="149" w:lineRule="exact"/>
              <w:rPr>
                <w:sz w:val="20"/>
                <w:szCs w:val="20"/>
                <w:color w:val="auto"/>
              </w:rPr>
            </w:pPr>
            <w:r>
              <w:rPr>
                <w:rFonts w:ascii="Arial" w:cs="Arial" w:eastAsia="Arial" w:hAnsi="Arial"/>
                <w:sz w:val="14"/>
                <w:szCs w:val="14"/>
                <w:b w:val="1"/>
                <w:bCs w:val="1"/>
                <w:color w:val="auto"/>
                <w:w w:val="95"/>
              </w:rPr>
              <w:t>Mar. 31,</w:t>
            </w:r>
          </w:p>
        </w:tc>
        <w:tc>
          <w:tcPr>
            <w:tcW w:w="24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1"/>
              </w:rPr>
              <w:t>Dec. 31,</w:t>
            </w:r>
          </w:p>
        </w:tc>
      </w:tr>
      <w:tr>
        <w:trPr>
          <w:trHeight w:val="161"/>
        </w:trPr>
        <w:tc>
          <w:tcPr>
            <w:tcW w:w="47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6"/>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benefits, net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Intangible assets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87"/>
              </w:rPr>
              <w:t>(1,471)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(1,498)</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non-US subsidiaries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(348)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Other, net</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r>
      <w:tr>
        <w:trPr>
          <w:trHeight w:val="216"/>
        </w:trPr>
        <w:tc>
          <w:tcPr>
            <w:tcW w:w="47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7"/>
              </w:rPr>
              <w:t>(1,262)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(1,275)</w:t>
            </w:r>
          </w:p>
        </w:tc>
      </w:tr>
      <w:tr>
        <w:trPr>
          <w:trHeight w:val="20"/>
        </w:trPr>
        <w:tc>
          <w:tcPr>
            <w:tcW w:w="4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above deferred tax balances at March 31, 2012 and December 31, 2011 were net of valuation allowances relating to net operating losses in certain countries of $245 million and $239 million, respectively.</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7"/>
          </w:tcPr>
          <w:p>
            <w:pPr>
              <w:jc w:val="right"/>
              <w:ind w:right="460"/>
              <w:spacing w:after="0" w:line="159" w:lineRule="exact"/>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2011</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United States - Federal</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3"/>
              </w:rPr>
              <w:t>199</w:t>
            </w: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 State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3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212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429</w:t>
            </w:r>
          </w:p>
        </w:tc>
        <w:tc>
          <w:tcPr>
            <w:tcW w:w="36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gridSpan w:val="2"/>
          </w:tcPr>
          <w:p>
            <w:pPr>
              <w:ind w:left="138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 Federal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(34)</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United States - State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gridSpan w:val="2"/>
          </w:tcPr>
          <w:p>
            <w:pPr>
              <w:ind w:left="1380"/>
              <w:spacing w:after="0"/>
              <w:rPr>
                <w:sz w:val="20"/>
                <w:szCs w:val="20"/>
                <w:color w:val="auto"/>
              </w:rPr>
            </w:pPr>
            <w:r>
              <w:rPr>
                <w:rFonts w:ascii="Arial" w:cs="Arial" w:eastAsia="Arial" w:hAnsi="Arial"/>
                <w:sz w:val="18"/>
                <w:szCs w:val="18"/>
                <w:color w:val="auto"/>
              </w:rPr>
              <w:t>Consolidated taxes on income</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411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w w:val="93"/>
              </w:rPr>
              <w:t>A reconciliation of the US statutory federal tax rate of 35% to the consolidated effective income tax rate follows:</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7"/>
          </w:tcPr>
          <w:p>
            <w:pPr>
              <w:jc w:val="right"/>
              <w:ind w:right="460"/>
              <w:spacing w:after="0"/>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2012</w:t>
            </w:r>
          </w:p>
        </w:tc>
        <w:tc>
          <w:tcPr>
            <w:tcW w:w="3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2011</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rate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w:t>
            </w: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US state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Non-US income taxed at different rates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(10)</w:t>
            </w: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w:t>
            </w: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9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governmental authorities.</w:t>
      </w:r>
    </w:p>
    <w:p>
      <w:pPr>
        <w:spacing w:after="0" w:line="107"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Also in 2009, prior to being acquired by Schlumberger, Smith received an administrative subpoena with respect to its historical business practices in certain countries that are subject to United States trade and economic sanctions. Schlumberger is cooperating with the governmental authorities.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On April 20, 2010, a fire and explosion occurred onboard the semisubmersible drilling rig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owned by Transocean Ltd. and under contract to a subsidiary of BP plc. Pursuant to a contract between M-I SWACO and BP, M-I SWACO provided certain services under the direction of BP. A number of legal actions, certain of which name an M-I SWACO entity as a defendant, have been filed in connection with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incident, and additional legal actions may be filed in the future. Based on information currently known, the amount of any potential loss attributable to M-I SWACO with respect to potential liabilities related to the incident would not be material to Schlumberger’s consolidated financial statements.</w:t>
      </w:r>
    </w:p>
    <w:p>
      <w:pPr>
        <w:spacing w:after="0" w:line="1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is remote. However, litigation is inherently uncertain and it is not possible to predict the ultimate disposition of these proceedings.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Segment Information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6"/>
          </w:tcPr>
          <w:p>
            <w:pPr>
              <w:ind w:left="3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6"/>
              </w:rPr>
              <w:t>First Quarter 2012</w:t>
            </w:r>
          </w:p>
        </w:tc>
        <w:tc>
          <w:tcPr>
            <w:tcW w:w="160" w:type="dxa"/>
            <w:vAlign w:val="bottom"/>
          </w:tcPr>
          <w:p>
            <w:pPr>
              <w:spacing w:after="0"/>
              <w:rPr>
                <w:sz w:val="14"/>
                <w:szCs w:val="14"/>
                <w:color w:val="auto"/>
              </w:rPr>
            </w:pPr>
          </w:p>
        </w:tc>
        <w:tc>
          <w:tcPr>
            <w:tcW w:w="1500" w:type="dxa"/>
            <w:vAlign w:val="bottom"/>
            <w:gridSpan w:val="6"/>
          </w:tcPr>
          <w:p>
            <w:pPr>
              <w:ind w:left="160"/>
              <w:spacing w:after="0"/>
              <w:rPr>
                <w:sz w:val="20"/>
                <w:szCs w:val="20"/>
                <w:color w:val="auto"/>
              </w:rPr>
            </w:pPr>
            <w:r>
              <w:rPr>
                <w:rFonts w:ascii="Arial" w:cs="Arial" w:eastAsia="Arial" w:hAnsi="Arial"/>
                <w:sz w:val="14"/>
                <w:szCs w:val="14"/>
                <w:b w:val="1"/>
                <w:bCs w:val="1"/>
                <w:color w:val="auto"/>
              </w:rPr>
              <w:t>First Quarter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before</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9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4"/>
                <w:szCs w:val="14"/>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8"/>
              </w:rPr>
              <w:t>taxes</w:t>
            </w:r>
          </w:p>
        </w:tc>
        <w:tc>
          <w:tcPr>
            <w:tcW w:w="16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w w:val="82"/>
              </w:rPr>
              <w:t>Revenue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Reservoir Characterization</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2,586</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672</w:t>
            </w:r>
          </w:p>
        </w:tc>
        <w:tc>
          <w:tcPr>
            <w:tcW w:w="2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$2,193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Drilling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3,785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 xml:space="preserve">Production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3,539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621</w:t>
            </w:r>
          </w:p>
        </w:tc>
        <w:tc>
          <w:tcPr>
            <w:tcW w:w="2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2,808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 &amp;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9,918</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1,943</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8,122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1,455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Corporate &amp; other</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5"/>
              </w:rPr>
              <w:t>(172)</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(2)</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(3)</w:t>
            </w:r>
          </w:p>
        </w:tc>
        <w:tc>
          <w:tcPr>
            <w:tcW w:w="100" w:type="dxa"/>
            <w:vAlign w:val="bottom"/>
          </w:tcPr>
          <w:p>
            <w:pPr>
              <w:spacing w:after="0"/>
              <w:rPr>
                <w:sz w:val="18"/>
                <w:szCs w:val="18"/>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(80)</w:t>
            </w:r>
          </w:p>
        </w:tc>
        <w:tc>
          <w:tcPr>
            <w:tcW w:w="1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color w:val="auto"/>
              </w:rPr>
              <w:t>(see Note 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10,611</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1,721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8,716</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28"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Effective January 1, 2012, a component of the Drilling Group has been reallocated to the Production Group. Historical segment information has been reclassified to conform to this new presentation.</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Excludes interest income included in the segment results ($- million in 2012; $- million in 2011).</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Excludes interest expense included in the segment results ($- million in 2012; $2 million in 2011).</w:t>
      </w:r>
    </w:p>
    <w:p>
      <w:pPr>
        <w:spacing w:after="0" w:line="232"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5"/>
          </w:tcPr>
          <w:p>
            <w:pPr>
              <w:jc w:val="center"/>
              <w:ind w:right="60"/>
              <w:spacing w:after="0"/>
              <w:rPr>
                <w:sz w:val="20"/>
                <w:szCs w:val="20"/>
                <w:color w:val="auto"/>
              </w:rPr>
            </w:pPr>
            <w:r>
              <w:rPr>
                <w:rFonts w:ascii="Arial" w:cs="Arial" w:eastAsia="Arial" w:hAnsi="Arial"/>
                <w:sz w:val="14"/>
                <w:szCs w:val="14"/>
                <w:i w:val="1"/>
                <w:iCs w:val="1"/>
                <w:color w:val="auto"/>
                <w:w w:val="90"/>
              </w:rPr>
              <w:t>(Stated in millions)</w:t>
            </w:r>
          </w:p>
        </w:tc>
      </w:tr>
      <w:tr>
        <w:trPr>
          <w:trHeight w:val="159"/>
        </w:trPr>
        <w:tc>
          <w:tcPr>
            <w:tcW w:w="7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jc w:val="right"/>
              <w:ind w:right="240"/>
              <w:spacing w:after="0" w:line="159" w:lineRule="exact"/>
              <w:rPr>
                <w:sz w:val="20"/>
                <w:szCs w:val="20"/>
                <w:color w:val="auto"/>
              </w:rPr>
            </w:pPr>
            <w:r>
              <w:rPr>
                <w:rFonts w:ascii="Arial" w:cs="Arial" w:eastAsia="Arial" w:hAnsi="Arial"/>
                <w:sz w:val="14"/>
                <w:szCs w:val="14"/>
                <w:color w:val="auto"/>
              </w:rPr>
              <w:t>First Quarter</w:t>
            </w:r>
          </w:p>
        </w:tc>
        <w:tc>
          <w:tcPr>
            <w:tcW w:w="3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2011</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US</w:t>
            </w:r>
          </w:p>
        </w:tc>
        <w:tc>
          <w:tcPr>
            <w:tcW w:w="34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rPr>
              <w:t>Int’l</w:t>
            </w:r>
          </w:p>
        </w:tc>
        <w:tc>
          <w:tcPr>
            <w:tcW w:w="100" w:type="dxa"/>
            <w:vAlign w:val="bottom"/>
          </w:tcPr>
          <w:p>
            <w:pPr>
              <w:spacing w:after="0"/>
              <w:rPr>
                <w:sz w:val="12"/>
                <w:szCs w:val="12"/>
                <w:color w:val="auto"/>
              </w:rPr>
            </w:pPr>
          </w:p>
        </w:tc>
      </w:tr>
      <w:tr>
        <w:trPr>
          <w:trHeight w:val="210"/>
        </w:trPr>
        <w:tc>
          <w:tcPr>
            <w:tcW w:w="7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 - benefits earned during period</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$ 17</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$ 21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4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(46)</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4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3"/>
        </w:trPr>
        <w:tc>
          <w:tcPr>
            <w:tcW w:w="7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$ 35</w:t>
            </w:r>
          </w:p>
        </w:tc>
        <w:tc>
          <w:tcPr>
            <w:tcW w:w="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1"/>
              </w:rPr>
              <w:t>$ 44</w:t>
            </w:r>
          </w:p>
        </w:tc>
        <w:tc>
          <w:tcPr>
            <w:tcW w:w="2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$ 36</w:t>
            </w:r>
          </w:p>
        </w:tc>
        <w:tc>
          <w:tcPr>
            <w:tcW w:w="6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$ 42</w:t>
            </w:r>
          </w:p>
        </w:tc>
      </w:tr>
      <w:tr>
        <w:trPr>
          <w:trHeight w:val="20"/>
        </w:trPr>
        <w:tc>
          <w:tcPr>
            <w:tcW w:w="7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i w:val="1"/>
                <w:iCs w:val="1"/>
                <w:color w:val="auto"/>
                <w:w w:val="92"/>
              </w:rPr>
              <w:t>(Stated 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ind w:right="103"/>
              <w:spacing w:after="0" w:line="159" w:lineRule="exact"/>
              <w:rPr>
                <w:sz w:val="20"/>
                <w:szCs w:val="20"/>
                <w:color w:val="auto"/>
              </w:rPr>
            </w:pPr>
            <w:r>
              <w:rPr>
                <w:rFonts w:ascii="Arial" w:cs="Arial" w:eastAsia="Arial" w:hAnsi="Arial"/>
                <w:sz w:val="14"/>
                <w:szCs w:val="14"/>
                <w:color w:val="auto"/>
              </w:rPr>
              <w:t>First Quarter</w:t>
            </w:r>
          </w:p>
        </w:tc>
        <w:tc>
          <w:tcPr>
            <w:tcW w:w="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7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 - benefits earned during period</w:t>
            </w:r>
          </w:p>
        </w:tc>
        <w:tc>
          <w:tcPr>
            <w:tcW w:w="1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1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340" w:type="dxa"/>
            <w:vAlign w:val="bottom"/>
          </w:tcPr>
          <w:p>
            <w:pPr>
              <w:spacing w:after="0"/>
              <w:rPr>
                <w:sz w:val="19"/>
                <w:szCs w:val="19"/>
                <w:color w:val="auto"/>
              </w:rPr>
            </w:pPr>
          </w:p>
        </w:tc>
        <w:tc>
          <w:tcPr>
            <w:tcW w:w="5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4180"/>
              <w:spacing w:after="0"/>
              <w:rPr>
                <w:sz w:val="20"/>
                <w:szCs w:val="20"/>
                <w:color w:val="auto"/>
              </w:rPr>
            </w:pPr>
            <w:r>
              <w:rPr>
                <w:rFonts w:ascii="Arial" w:cs="Arial" w:eastAsia="Arial" w:hAnsi="Arial"/>
                <w:sz w:val="18"/>
                <w:szCs w:val="18"/>
                <w:color w:val="auto"/>
              </w:rPr>
              <w:t>-15-</w:t>
            </w: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April 10, 2012 Schlumberger entered into an agreement to sell its Wilson distribution business, a component of its Distribution segment, to National Oilwell Varco, Inc. for approximately $0.8 billion in cash (this transaction does not include Schlumberger’s interest in CE Franklin Ltd.). Closing of this transaction is subject to customary regulatory approvals. The Wilson distribution business generated revenue of approximately $2.1 billion during 2011.</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2.</w:t>
            </w:r>
          </w:p>
        </w:tc>
        <w:tc>
          <w:tcPr>
            <w:tcW w:w="180" w:type="dxa"/>
            <w:vAlign w:val="bottom"/>
          </w:tcPr>
          <w:p>
            <w:pPr>
              <w:spacing w:after="0"/>
              <w:rPr>
                <w:sz w:val="17"/>
                <w:szCs w:val="17"/>
                <w:color w:val="auto"/>
              </w:rPr>
            </w:pPr>
          </w:p>
        </w:tc>
        <w:tc>
          <w:tcPr>
            <w:tcW w:w="7760" w:type="dxa"/>
            <w:vAlign w:val="bottom"/>
            <w:gridSpan w:val="12"/>
          </w:tcPr>
          <w:p>
            <w:pPr>
              <w:ind w:left="320"/>
              <w:spacing w:after="0"/>
              <w:rPr>
                <w:sz w:val="20"/>
                <w:szCs w:val="20"/>
                <w:color w:val="auto"/>
              </w:rPr>
            </w:pPr>
            <w:r>
              <w:rPr>
                <w:rFonts w:ascii="Arial" w:cs="Arial" w:eastAsia="Arial" w:hAnsi="Arial"/>
                <w:sz w:val="18"/>
                <w:szCs w:val="18"/>
                <w:b w:val="1"/>
                <w:bCs w:val="1"/>
                <w:color w:val="auto"/>
                <w:w w:val="96"/>
              </w:rPr>
              <w:t>Management’s Discussion and Analysis of Financial Condition and Results of Operations.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240" w:type="dxa"/>
            <w:vAlign w:val="bottom"/>
            <w:gridSpan w:val="10"/>
          </w:tcPr>
          <w:p>
            <w:pPr>
              <w:jc w:val="center"/>
              <w:ind w:right="300"/>
              <w:spacing w:after="0"/>
              <w:rPr>
                <w:sz w:val="20"/>
                <w:szCs w:val="20"/>
                <w:color w:val="auto"/>
              </w:rPr>
            </w:pPr>
            <w:r>
              <w:rPr>
                <w:rFonts w:ascii="Arial" w:cs="Arial" w:eastAsia="Arial" w:hAnsi="Arial"/>
                <w:sz w:val="18"/>
                <w:szCs w:val="18"/>
                <w:b w:val="1"/>
                <w:bCs w:val="1"/>
                <w:color w:val="auto"/>
                <w:w w:val="90"/>
              </w:rPr>
              <w:t>First Quarter 2012 Compared to Fourth Quarter 2011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gridSpan w:val="5"/>
          </w:tcPr>
          <w:p>
            <w:pPr>
              <w:jc w:val="center"/>
              <w:ind w:right="1186"/>
              <w:spacing w:after="0"/>
              <w:rPr>
                <w:sz w:val="20"/>
                <w:szCs w:val="20"/>
                <w:color w:val="auto"/>
              </w:rPr>
            </w:pPr>
            <w:r>
              <w:rPr>
                <w:rFonts w:ascii="Arial" w:cs="Arial" w:eastAsia="Arial" w:hAnsi="Arial"/>
                <w:sz w:val="18"/>
                <w:szCs w:val="18"/>
                <w:b w:val="1"/>
                <w:bCs w:val="1"/>
                <w:color w:val="auto"/>
                <w:w w:val="87"/>
              </w:rPr>
              <w:t>Product Groups</w:t>
            </w:r>
          </w:p>
        </w:tc>
        <w:tc>
          <w:tcPr>
            <w:tcW w:w="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w w:val="93"/>
              </w:rPr>
              <w:t>First Quarter 2012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6"/>
          </w:tcPr>
          <w:p>
            <w:pPr>
              <w:jc w:val="center"/>
              <w:ind w:right="2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6"/>
          </w:tcPr>
          <w:p>
            <w:pPr>
              <w:jc w:val="center"/>
              <w:ind w:right="220"/>
              <w:spacing w:after="0" w:line="159" w:lineRule="exact"/>
              <w:rPr>
                <w:sz w:val="20"/>
                <w:szCs w:val="20"/>
                <w:color w:val="auto"/>
              </w:rPr>
            </w:pPr>
            <w:r>
              <w:rPr>
                <w:rFonts w:ascii="Arial" w:cs="Arial" w:eastAsia="Arial" w:hAnsi="Arial"/>
                <w:sz w:val="14"/>
                <w:szCs w:val="14"/>
                <w:color w:val="auto"/>
                <w:w w:val="86"/>
              </w:rPr>
              <w:t>Fourth Quarter 2011</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4"/>
                <w:szCs w:val="14"/>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color w:val="auto"/>
                <w:w w:val="89"/>
              </w:rPr>
              <w:t>Revenue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8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4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Reservoir Characterization</w:t>
            </w:r>
          </w:p>
        </w:tc>
        <w:tc>
          <w:tcPr>
            <w:tcW w:w="4420" w:type="dxa"/>
            <w:vAlign w:val="bottom"/>
            <w:gridSpan w:val="7"/>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2,586</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672</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2,787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Drilling </w:t>
            </w:r>
            <w:r>
              <w:rPr>
                <w:rFonts w:ascii="Arial" w:cs="Arial" w:eastAsia="Arial" w:hAnsi="Arial"/>
                <w:sz w:val="11"/>
                <w:szCs w:val="11"/>
                <w:color w:val="auto"/>
              </w:rPr>
              <w:t>(1)</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3,785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 xml:space="preserve">Production </w:t>
            </w:r>
            <w:r>
              <w:rPr>
                <w:rFonts w:ascii="Arial" w:cs="Arial" w:eastAsia="Arial" w:hAnsi="Arial"/>
                <w:sz w:val="11"/>
                <w:szCs w:val="11"/>
                <w:color w:val="auto"/>
              </w:rPr>
              <w:t>(1)</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3,539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3,703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Eliminations &amp; other</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9,918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1,943</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10,302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2,169</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Eliminations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240" w:type="dxa"/>
            <w:vAlign w:val="bottom"/>
            <w:gridSpan w:val="5"/>
            <w:vMerge w:val="restart"/>
          </w:tcPr>
          <w:p>
            <w:pPr>
              <w:ind w:left="460"/>
              <w:spacing w:after="0"/>
              <w:rPr>
                <w:sz w:val="20"/>
                <w:szCs w:val="20"/>
                <w:color w:val="auto"/>
              </w:rPr>
            </w:pPr>
            <w:r>
              <w:rPr>
                <w:rFonts w:ascii="Arial" w:cs="Arial" w:eastAsia="Arial" w:hAnsi="Arial"/>
                <w:sz w:val="18"/>
                <w:szCs w:val="18"/>
                <w:b w:val="1"/>
                <w:bCs w:val="1"/>
                <w:color w:val="auto"/>
              </w:rPr>
              <w:t>Corporate &amp; Other</w:t>
            </w: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40" w:type="dxa"/>
            <w:vAlign w:val="bottom"/>
            <w:gridSpan w:val="5"/>
            <w:vMerge w:val="continue"/>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0"/>
              </w:rPr>
              <w:t>(172)</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2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(2)</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10,611</w:t>
            </w:r>
          </w:p>
        </w:tc>
        <w:tc>
          <w:tcPr>
            <w:tcW w:w="3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1,721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10,974</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20" w:type="dxa"/>
            <w:vAlign w:val="bottom"/>
            <w:gridSpan w:val="5"/>
          </w:tcPr>
          <w:p>
            <w:pPr>
              <w:jc w:val="center"/>
              <w:ind w:right="1186"/>
              <w:spacing w:after="0"/>
              <w:rPr>
                <w:sz w:val="20"/>
                <w:szCs w:val="20"/>
                <w:color w:val="auto"/>
              </w:rPr>
            </w:pPr>
            <w:r>
              <w:rPr>
                <w:rFonts w:ascii="Arial" w:cs="Arial" w:eastAsia="Arial" w:hAnsi="Arial"/>
                <w:sz w:val="18"/>
                <w:szCs w:val="18"/>
                <w:b w:val="1"/>
                <w:bCs w:val="1"/>
                <w:color w:val="auto"/>
                <w:w w:val="87"/>
              </w:rPr>
              <w:t>Geographic Areas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w w:val="93"/>
              </w:rPr>
              <w:t>First Quarter 2012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6"/>
          </w:tcPr>
          <w:p>
            <w:pPr>
              <w:jc w:val="center"/>
              <w:ind w:right="2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6"/>
          </w:tcPr>
          <w:p>
            <w:pPr>
              <w:jc w:val="center"/>
              <w:ind w:right="220"/>
              <w:spacing w:after="0" w:line="159" w:lineRule="exact"/>
              <w:rPr>
                <w:sz w:val="20"/>
                <w:szCs w:val="20"/>
                <w:color w:val="auto"/>
              </w:rPr>
            </w:pPr>
            <w:r>
              <w:rPr>
                <w:rFonts w:ascii="Arial" w:cs="Arial" w:eastAsia="Arial" w:hAnsi="Arial"/>
                <w:sz w:val="14"/>
                <w:szCs w:val="14"/>
                <w:color w:val="auto"/>
                <w:w w:val="86"/>
              </w:rPr>
              <w:t>Fourth Quarter 2011</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4"/>
                <w:szCs w:val="14"/>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color w:val="auto"/>
                <w:w w:val="89"/>
              </w:rPr>
              <w:t>Revenue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8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4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North America</w:t>
            </w:r>
          </w:p>
        </w:tc>
        <w:tc>
          <w:tcPr>
            <w:tcW w:w="4420" w:type="dxa"/>
            <w:vAlign w:val="bottom"/>
            <w:gridSpan w:val="7"/>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3,403</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777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3,516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Europe/CIS/Africa</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2,614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2,704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Middle East &amp; Asia</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Eliminations &amp; other</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9,918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1,943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10,302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2,169</w:t>
            </w:r>
          </w:p>
        </w:tc>
        <w:tc>
          <w:tcPr>
            <w:tcW w:w="0" w:type="dxa"/>
            <w:vAlign w:val="bottom"/>
          </w:tcPr>
          <w:p>
            <w:pPr>
              <w:spacing w:after="0"/>
              <w:rPr>
                <w:sz w:val="1"/>
                <w:szCs w:val="1"/>
                <w:color w:val="auto"/>
              </w:rPr>
            </w:pPr>
          </w:p>
        </w:tc>
      </w:tr>
      <w:tr>
        <w:trPr>
          <w:trHeight w:val="20"/>
        </w:trPr>
        <w:tc>
          <w:tcPr>
            <w:tcW w:w="3240" w:type="dxa"/>
            <w:vAlign w:val="bottom"/>
            <w:gridSpan w:val="5"/>
            <w:vMerge w:val="restart"/>
          </w:tcPr>
          <w:p>
            <w:pPr>
              <w:ind w:left="460"/>
              <w:spacing w:after="0"/>
              <w:rPr>
                <w:sz w:val="20"/>
                <w:szCs w:val="20"/>
                <w:color w:val="auto"/>
              </w:rPr>
            </w:pPr>
            <w:r>
              <w:rPr>
                <w:rFonts w:ascii="Arial" w:cs="Arial" w:eastAsia="Arial" w:hAnsi="Arial"/>
                <w:sz w:val="18"/>
                <w:szCs w:val="18"/>
                <w:b w:val="1"/>
                <w:bCs w:val="1"/>
                <w:color w:val="auto"/>
              </w:rPr>
              <w:t>Distribution</w:t>
            </w: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40" w:type="dxa"/>
            <w:vAlign w:val="bottom"/>
            <w:gridSpan w:val="5"/>
            <w:vMerge w:val="continue"/>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713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2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Eliminations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693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(2)</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b w:val="1"/>
                <w:bCs w:val="1"/>
                <w:color w:val="auto"/>
              </w:rPr>
              <w:t>Charges and credits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860" w:type="dxa"/>
            <w:vAlign w:val="bottom"/>
            <w:gridSpan w:val="9"/>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10,611</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1,721</w:t>
            </w:r>
          </w:p>
        </w:tc>
        <w:tc>
          <w:tcPr>
            <w:tcW w:w="2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10,974</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80" w:hanging="452"/>
        <w:spacing w:after="0" w:line="228" w:lineRule="auto"/>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Effective January 1, 2012, a component of the Drilling Group has been reallocated to the Production Group. Historical segment information has been reclassified to conform to this new presentation.</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Excludes interest included in the Product Group and Geographical Area results.</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Pretax operating income represents the segments’ income before taxes and noncontrolling interests. The pretax operating income excludes such items as corporate expenses and interest income and interest expense not allocated to the segments as well as the charges and credits described in detail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interest on postretirement medical benefits, stock-based compensation costs and amortization expense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recorded as a result of the acquisition of Smith International, Inc. (“Smith”).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First-quarter revenue of $9.92 billion decreased 4% sequentially. The strong year-end product, software and multiclient sales experienced in the fourth quarter of 2011 accounted for approximately two-thirds of the sequential decrease in revenue in the first quarter of 2012.</w:t>
      </w:r>
    </w:p>
    <w:p>
      <w:pPr>
        <w:spacing w:after="0" w:line="13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Reservoir Characterization Group revenue decreased primarily on lower WesternGeco multiclient and Schlumberger Information Solutions (SIS) software sales following the fourth quarter of 2011 seasonal highs, but these effects were partially offset by higher WesternGeco marine acquisition activity. Drilling Group revenue was flat as higher M-I SWACO sales in North America land, increasing deepwater activity in the US Gulf of Mexico, and robust international activity across the Group were offset by lower Integrated Project Management (IPM) operations in the Mexico and Iraq GeoMarkets. Production Group revenue decreased sequentially on lower Well Services pricing and fleet utilization in North America land, the effect of strong year-end Artificial Lift and Completions Systems equipment sales experienced in the fourth quarter of 2011, and lower Framo and Schlumberger Production Management activities.</w:t>
      </w:r>
    </w:p>
    <w:p>
      <w:pPr>
        <w:spacing w:after="0" w:line="12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On a geographical basis, North America Area revenue decreased due to lower WesternGeco multiclient sales following the strong fourth-quarter 2011 results. Revenue was otherwise flat sequentially as the decline in US land was partially offset by the stronger winter exploration activity in Western Canada and Alaska, although the effect in Canada was muted by the very early spring break-up. Area revenue also benefited from increased drilling and deepwater exploration activity in the US Gulf of Mexico. In the Latin America Area, revenue declined in the Mexico &amp; Central America GeoMarket from lower IPM project activities; in the Peru, Colombia &amp; Ecuador GeoMarket from the effect of the strong product sales seen in the fourth quarter of 2011; and in the Brazil GeoMarket from reduced WesternGeco multiclient sales. These declines, however, were partially offset by higher WesternGeco marine activity in the Venezuela, Trinidad &amp; Tobago GeoMarket and higher shale-related activity that benefited Well Services, Wireline and M-I SWACO in the Argentina, Bolivia and Chile GeoMarket. In the Europe/CIS/Africa Area, revenue decreased following the seasonally strong product and software sales of the fourth quarter of 2011, and sluggish winter activity in Russia and the North Sea GeoMarket. These factors more than offset Area revenue growth attributable to strong exploration activities in the Southern and Eastern Africa GeoMarket; a continued resumption of activities in the Libya GeoMarket; and robust M-I SWACO sales in the Nigeria and Gulf of Guinea Africa GeoMarket. In the Middle East &amp; Asia Area, revenue decreased from the effect of seasonally strong product and software sales in the fourth quarter of 2011. Reduced IPM project activity in Iraq and the shutdown of operations in Syria and South Sudan also contributed to this decline although the effect was largely mitigated by increased activity in the East Asia GeoMarket following the monsoon-related slowdowns of the fourth quarter of 2011.</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First-quarter pretax operating income of $1.94 billion decreased 10% sequentially. Pretax operating margin decreased 147 basis points (bps) sequentially to 19.6% primarily due to the reduced software and product sales as well as to the lower WesternGeco multiclient sales. North America pretax operating margin decreased 409 bps sequentially to 22.8% from lower WesternGeco multiclient sales and reduced Well Services asset utilization and pricing. International pretax operating margin was flat at 19.1%, with the increase in high-margin exploration and deepwater activities helping sustain robust international margins despite the significant impact of the fourth-quarter 2011 product, software and multiclient sales and the seasonal drop in activity in Russia and the North Sea during the first quarter of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First-quarter revenue of $2.59 billion was 7% lower sequentially. Pretax operating income of $672 million was 14% lower compared to prior quarter.</w:t>
      </w:r>
    </w:p>
    <w:p>
      <w:pPr>
        <w:spacing w:after="0" w:line="19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Sequentially, revenue decreased primarily on lower WesternGeco multiclient and SIS software sales following their fourth-quarter 2011 seasonal highs, but these effects were partially offset by increased WesternGeco marine acquisition on higher vessel utilization. Wireline revenue was flat as strong activity in the North America and Latin America Areas was offset by slowdowns in the Europe/CIS/Africa and Middle East &amp; Asia Areas due to weather and seasonality. Excluding seasonality, the Group grew on stronger deepwater and exploration activity in Sub-Sahara Africa, Latin America and the US Gulf of Mexico.</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Pretax operating margin decreased 189 bps sequentially to 26% primarily due to the seasonally lower WesternGeco multiclient and SIS software sales but this effect was partially mitigated by higher WesternGeco vessel utilization on lower marine transits. Excluding seasonality, margins improved through deepwater and exploration activities and better WesternGeco vessel utilization.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First-quarter revenue of $3.78 billion was flat sequentially. Pretax operating income of $657 million was 1% higher than the fourth quarter.</w:t>
      </w:r>
    </w:p>
    <w:p>
      <w:pPr>
        <w:spacing w:after="0" w:line="17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Sequentially, revenue was flat as higher M-I SWACO sales in North America land, increasing deepwater activity in the US Gulf of Mexico, and robust international activity across the Group were offset by lower IPM activity in the Mexico &amp; Central America and Iraq GeoMarkets. Drilling &amp; Measurements revenue slipped marginally due to winter weather in Russia, although this was partially offset by higher activities in the Latin America and Middle East and Asia Areas. Bits and Advanced Technologies revenue decreased slightly due to the effect of the seasonal product sales experienced in the fourth quarter of 2011.</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Sequentially, pretax operating margin increased 28 bps to 17.4% due to stronger M-I SWACO pricing in North America land, the Group’s increasing high-margin deepwater activity in North America, and an increased international footprint for former Smith Technologies.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First-quarter revenue of $3.54 billion decreased 4% sequentially. Pretax operating income of $621 million was 20% lower sequentially.</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Sequentially, revenue decreased on lower Well Services pricing and fleet utilization in North America land, the effect of the exceptional Artificial Lift and Completions Systems equipment sales seen in the fourth quarter of 2011, and lower Framo and Schlumberger Production Management activities. The transition of Well Services activities from gas-rich to liquids-rich basins in North America also impacted results as the reduced fleet utilization and new industry pressure-pumping capacity led to competitive pricing declines.</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First-quarter pretax operating margin decreased 338 bps to 17.6% reflecting pricing erosion for Well Services technologies through increased competitive forces from the introduction of new industry pressure-pumping capacity into liquids plays following the industry migration from gas-rich basins. Operating margin was also affected by reduced asset fleet utilization and cost inflation for certain materials. The seasonally lower Artificial Lift and Completions Systems equipment sales also contributed to the margin decline.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u w:val="single" w:color="auto"/>
          <w:color w:val="auto"/>
        </w:rPr>
        <w:t>First Quarter 2012 Compared to First Quarter 2011</w:t>
      </w:r>
    </w:p>
    <w:p>
      <w:pPr>
        <w:spacing w:after="0" w:line="17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70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First Quarter 2012</w:t>
            </w:r>
          </w:p>
        </w:tc>
        <w:tc>
          <w:tcPr>
            <w:tcW w:w="160" w:type="dxa"/>
            <w:vAlign w:val="bottom"/>
          </w:tcPr>
          <w:p>
            <w:pPr>
              <w:spacing w:after="0"/>
              <w:rPr>
                <w:sz w:val="14"/>
                <w:szCs w:val="14"/>
                <w:color w:val="auto"/>
              </w:rPr>
            </w:pPr>
          </w:p>
        </w:tc>
        <w:tc>
          <w:tcPr>
            <w:tcW w:w="1500" w:type="dxa"/>
            <w:vAlign w:val="bottom"/>
            <w:gridSpan w:val="5"/>
          </w:tcPr>
          <w:p>
            <w:pPr>
              <w:ind w:left="1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17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ind w:left="200"/>
              <w:spacing w:after="0" w:line="159" w:lineRule="exact"/>
              <w:rPr>
                <w:sz w:val="20"/>
                <w:szCs w:val="20"/>
                <w:color w:val="auto"/>
              </w:rPr>
            </w:pPr>
            <w:r>
              <w:rPr>
                <w:rFonts w:ascii="Arial" w:cs="Arial" w:eastAsia="Arial" w:hAnsi="Arial"/>
                <w:sz w:val="14"/>
                <w:szCs w:val="14"/>
                <w:color w:val="auto"/>
              </w:rPr>
              <w:t>First Quarter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w w:val="82"/>
              </w:rPr>
              <w:t>Revenue</w:t>
            </w:r>
          </w:p>
        </w:tc>
        <w:tc>
          <w:tcPr>
            <w:tcW w:w="1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Reservoir Characterization</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$ 2,586</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672</w:t>
            </w:r>
          </w:p>
        </w:tc>
        <w:tc>
          <w:tcPr>
            <w:tcW w:w="2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$2,193</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Drilling </w:t>
            </w:r>
            <w:r>
              <w:rPr>
                <w:rFonts w:ascii="Arial" w:cs="Arial" w:eastAsia="Arial" w:hAnsi="Arial"/>
                <w:sz w:val="11"/>
                <w:szCs w:val="11"/>
                <w:color w:val="auto"/>
              </w:rPr>
              <w:t>(1)</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3,785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3,112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 xml:space="preserve">Production </w:t>
            </w:r>
            <w:r>
              <w:rPr>
                <w:rFonts w:ascii="Arial" w:cs="Arial" w:eastAsia="Arial" w:hAnsi="Arial"/>
                <w:sz w:val="11"/>
                <w:szCs w:val="11"/>
                <w:color w:val="auto"/>
              </w:rPr>
              <w:t>(1)</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3,539</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621</w:t>
            </w:r>
          </w:p>
        </w:tc>
        <w:tc>
          <w:tcPr>
            <w:tcW w:w="2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2,808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 &amp; 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9,918</w:t>
            </w:r>
          </w:p>
        </w:tc>
        <w:tc>
          <w:tcPr>
            <w:tcW w:w="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1,943</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8,122</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Eliminations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Corporate &amp; Other</w:t>
            </w: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(2)</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(80)</w:t>
            </w:r>
          </w:p>
        </w:tc>
        <w:tc>
          <w:tcPr>
            <w:tcW w:w="1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540" w:type="dxa"/>
            <w:vAlign w:val="bottom"/>
            <w:gridSpan w:val="4"/>
          </w:tcPr>
          <w:p>
            <w:pPr>
              <w:jc w:val="right"/>
              <w:ind w:right="4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10,611</w:t>
            </w: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1,721</w:t>
            </w:r>
          </w:p>
        </w:tc>
        <w:tc>
          <w:tcPr>
            <w:tcW w:w="22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8,716</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540" w:type="dxa"/>
            <w:vAlign w:val="bottom"/>
            <w:gridSpan w:val="4"/>
          </w:tcPr>
          <w:p>
            <w:pPr>
              <w:jc w:val="right"/>
              <w:ind w:right="2180"/>
              <w:spacing w:after="0"/>
              <w:rPr>
                <w:sz w:val="20"/>
                <w:szCs w:val="20"/>
                <w:color w:val="auto"/>
              </w:rPr>
            </w:pPr>
            <w:r>
              <w:rPr>
                <w:rFonts w:ascii="Arial" w:cs="Arial" w:eastAsia="Arial" w:hAnsi="Arial"/>
                <w:sz w:val="18"/>
                <w:szCs w:val="18"/>
                <w:b w:val="1"/>
                <w:bCs w:val="1"/>
                <w:color w:val="auto"/>
                <w:w w:val="86"/>
              </w:rPr>
              <w:t>Geographic Areas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70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First Quarter 2012</w:t>
            </w:r>
          </w:p>
        </w:tc>
        <w:tc>
          <w:tcPr>
            <w:tcW w:w="160" w:type="dxa"/>
            <w:vAlign w:val="bottom"/>
          </w:tcPr>
          <w:p>
            <w:pPr>
              <w:spacing w:after="0"/>
              <w:rPr>
                <w:sz w:val="24"/>
                <w:szCs w:val="24"/>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right"/>
              <w:ind w:right="300"/>
              <w:spacing w:after="0" w:line="159" w:lineRule="exact"/>
              <w:rPr>
                <w:sz w:val="20"/>
                <w:szCs w:val="20"/>
                <w:color w:val="auto"/>
              </w:rPr>
            </w:pPr>
            <w:r>
              <w:rPr>
                <w:rFonts w:ascii="Arial" w:cs="Arial" w:eastAsia="Arial" w:hAnsi="Arial"/>
                <w:sz w:val="14"/>
                <w:szCs w:val="14"/>
                <w:color w:val="auto"/>
              </w:rPr>
              <w:t>First Quarter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w w:val="82"/>
              </w:rPr>
              <w:t>Revenue</w:t>
            </w:r>
          </w:p>
        </w:tc>
        <w:tc>
          <w:tcPr>
            <w:tcW w:w="1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3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35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$ 3,403</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777</w:t>
            </w:r>
          </w:p>
        </w:tc>
        <w:tc>
          <w:tcPr>
            <w:tcW w:w="2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$2,589</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35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1,754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1,386</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35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2,614</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432</w:t>
            </w:r>
          </w:p>
        </w:tc>
        <w:tc>
          <w:tcPr>
            <w:tcW w:w="2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2,190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35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2,058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1,848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Eliminations &amp; other</w:t>
            </w:r>
          </w:p>
        </w:tc>
        <w:tc>
          <w:tcPr>
            <w:tcW w:w="2560" w:type="dxa"/>
            <w:vAlign w:val="bottom"/>
            <w:gridSpan w:val="2"/>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4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(65)</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109</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9,918</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Distribution</w:t>
            </w:r>
          </w:p>
        </w:tc>
        <w:tc>
          <w:tcPr>
            <w:tcW w:w="1360" w:type="dxa"/>
            <w:vAlign w:val="bottom"/>
            <w:vMerge w:val="restart"/>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713</w:t>
            </w:r>
          </w:p>
        </w:tc>
        <w:tc>
          <w:tcPr>
            <w:tcW w:w="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256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693</w:t>
            </w:r>
          </w:p>
        </w:tc>
        <w:tc>
          <w:tcPr>
            <w:tcW w:w="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594</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(2)</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5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10,611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1,721</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8,716</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28"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Effective January 1, 2012, a component of the Drilling Group has been reallocated to the Production Group. Historical segment information has been reclassified to conform to this new presentation.</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Excludes interest included in the Product Group and Geographical Area results.</w:t>
      </w:r>
    </w:p>
    <w:p>
      <w:pPr>
        <w:spacing w:after="0" w:line="23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First-quarter 2012 revenue of $9.92 billion was 22% higher than the same period last year largely due to the significantly improved activity of Well Services technologies in North America and an increase in M-I SWACO, Wireline and Drilling &amp; Measurements exploration activities.</w:t>
      </w:r>
    </w:p>
    <w:p>
      <w:pPr>
        <w:spacing w:after="0" w:line="7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240" w:top="459" w:right="6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First-quarter 2012 pretax operating margin increased 167 bps to 19.6% as a result of higher-margin exploration activities that benefited Wireline and Drilling &amp; Measurements, improved multiclient sales and marine utilization at WesternGeco, partially offset by a decline in margins for Well Services technologies, primarily in North America, as a result of pricing pressure and cost inflation. The first-quarter 2011 margins were adversely impacted by the geopolitical events in North Africa and the Middle East, as well as severe weather in the US and Australia.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First-quarter 2012 revenue of $2.59 billion was 18% higher than the same period last year led by Wireline improvements across all Areas, driven by improved offshore revenues in the US Gulf of Mexico combined with strong performances in the Brazil, Saudi Arabia, Bahrain and Nigeria &amp; Gulf of Guinea Africa GeoMarkets. Testing Services and SIS also increased, mainly in the Latin America and Europe/CIS/Africa Areas, while WesternGeco was up on the improvements in marine activity coupled with stronger multiclient sales.</w:t>
      </w:r>
    </w:p>
    <w:p>
      <w:pPr>
        <w:spacing w:after="0" w:line="14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Year-on-year, pretax operating margin increased 502 basis points to 26.0% largely due to the higher-margin exploration activities that benefited Wireline and the improvements at WesternGeco. The first-quarter 2011 margins were adversely impacted by the geopolitical events in North Africa and the Middle East as well as severe weather in Australia.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First-quarter 2012 revenue of $3.78 billion was 22% higher than the previous year primarily due to significantly improved activity of M-I SWACO in North America and Europe/CIS/Africa Areas, coupled with stronger demand for Drilling &amp; Measurements services across most Areas, most notably in North America as a result of the resumption of activity in the US Gulf of Mexico. Drilling Tools &amp; Remedial and Pathfinder technologies also increased, mainly driven by growth in North America.</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Year-on-year, pretax operating margin increased 244 basis points to 17.4% as a result of the sharp increase in M-I SWACO activity and strong contribution from Drilling &amp; Measurements particularly with the resumption of high-margin deepwater activity in the US Gulf of Mexico, as well as the strong performances of Drilling Tools &amp; Remedial and Pathfinder technologies.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First-quarter 2012 revenue of $3.54 billion increased 26% year-on-year, with notable growth in North America, due to a combination of capacity additions and improvements in asset utilization of Well Services Technologies. Well Services also posted significant growth internationally. Well Intervention Services, Completion Systems and Artificial Lift technologies also contributed to the Group’s growth.</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Year-on-year, pretax operating margin decreased 134 basis points to 17.6% primarily due to Well Services in North America, reflecting pricing pressure and cost inflation.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 for the first quarters of 2012 and 2011:</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i w:val="1"/>
                <w:iCs w:val="1"/>
                <w:color w:val="auto"/>
                <w:w w:val="88"/>
              </w:rPr>
              <w:t>(Stated in millions)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7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240"/>
              <w:spacing w:after="0" w:line="159" w:lineRule="exact"/>
              <w:rPr>
                <w:sz w:val="20"/>
                <w:szCs w:val="20"/>
                <w:color w:val="auto"/>
              </w:rPr>
            </w:pPr>
            <w:r>
              <w:rPr>
                <w:rFonts w:ascii="Arial" w:cs="Arial" w:eastAsia="Arial" w:hAnsi="Arial"/>
                <w:sz w:val="14"/>
                <w:szCs w:val="14"/>
                <w:color w:val="auto"/>
              </w:rPr>
              <w:t>First Quarter</w:t>
            </w: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net earnings of affiliated companies</w:t>
            </w:r>
          </w:p>
        </w:tc>
        <w:tc>
          <w:tcPr>
            <w:tcW w:w="3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79"/>
              </w:rPr>
              <w:t>37</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Interest income</w:t>
            </w:r>
          </w:p>
        </w:tc>
        <w:tc>
          <w:tcPr>
            <w:tcW w:w="3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10</w:t>
            </w: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79"/>
              </w:rPr>
              <w:t>47</w:t>
            </w: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440" w:type="dxa"/>
            <w:vAlign w:val="bottom"/>
            <w:vMerge w:val="restart"/>
          </w:tcPr>
          <w:p>
            <w:pPr>
              <w:jc w:val="right"/>
              <w:ind w:right="2572"/>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first quarter ended March 31, 2012 and 2011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68"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0</wp:posOffset>
            </wp:positionV>
            <wp:extent cx="7543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8660"/>
        <w:spacing w:after="0"/>
        <w:tabs>
          <w:tab w:leader="none" w:pos="956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color w:val="auto"/>
        </w:rPr>
        <w:t>2011</w:t>
      </w:r>
    </w:p>
    <w:p>
      <w:pPr>
        <w:spacing w:after="0" w:line="20" w:lineRule="exact"/>
        <w:rPr>
          <w:sz w:val="20"/>
          <w:szCs w:val="20"/>
          <w:color w:val="auto"/>
        </w:rPr>
      </w:pPr>
    </w:p>
    <w:tbl>
      <w:tblPr>
        <w:tblLayout w:type="fixed"/>
        <w:tblInd w:w="1380" w:type="dxa"/>
        <w:tblCellMar>
          <w:top w:w="0" w:type="dxa"/>
          <w:left w:w="0" w:type="dxa"/>
          <w:bottom w:w="0" w:type="dxa"/>
          <w:right w:w="0" w:type="dxa"/>
        </w:tblCellMar>
      </w:tblPr>
      <w:tr>
        <w:trPr>
          <w:trHeight w:val="20"/>
        </w:trPr>
        <w:tc>
          <w:tcPr>
            <w:tcW w:w="7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80" w:type="dxa"/>
            <w:vAlign w:val="bottom"/>
            <w:vMerge w:val="continue"/>
            <w:shd w:val="clear" w:color="auto" w:fill="CCEEFF"/>
          </w:tcPr>
          <w:p>
            <w:pPr>
              <w:spacing w:after="0"/>
              <w:rPr>
                <w:sz w:val="16"/>
                <w:szCs w:val="16"/>
                <w:color w:val="auto"/>
              </w:rPr>
            </w:pPr>
          </w:p>
        </w:tc>
        <w:tc>
          <w:tcPr>
            <w:tcW w:w="90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8"/>
                <w:szCs w:val="18"/>
                <w:b w:val="1"/>
                <w:bCs w:val="1"/>
                <w:color w:val="auto"/>
              </w:rPr>
              <w:t>2.6%</w:t>
            </w: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8"/>
        </w:trPr>
        <w:tc>
          <w:tcPr>
            <w:tcW w:w="728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0.9%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first quarter of 2012 was $80 million as compared to $73 million for the same period in 2011. This increase was primarily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long-term debt that Schlumberger issued during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first quarter of 2012 was 23.9% compared to 23.8% for the same period in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AND CREDITS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quarters of 2012 and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In the first quarter of 2012, Schlumberger recorded $15 million of pretax merger and integration-related charges ($13 million after-tax) in connection with the acquisition of Smith. This amount is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9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 xml:space="preserve">In the first quarter of 2011, Schlumberger recorded $34 million pretax merger and integration related charges ($28 million after-tax) in connection with the acquisition of Smith and Geoservices. This amount is classified </w:t>
      </w:r>
      <w:r>
        <w:rPr>
          <w:rFonts w:ascii="Arial" w:cs="Arial" w:eastAsia="Arial" w:hAnsi="Arial"/>
          <w:sz w:val="16"/>
          <w:szCs w:val="16"/>
          <w:i w:val="1"/>
          <w:iCs w:val="1"/>
          <w:color w:val="auto"/>
        </w:rPr>
        <w:t>in 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5"/>
              </w:rPr>
              <w:t>Mar. 31,</w:t>
            </w:r>
          </w:p>
        </w:tc>
        <w:tc>
          <w:tcPr>
            <w:tcW w:w="1520" w:type="dxa"/>
            <w:vAlign w:val="bottom"/>
            <w:gridSpan w:val="4"/>
          </w:tcPr>
          <w:p>
            <w:pPr>
              <w:ind w:left="36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420"/>
              <w:spacing w:after="0" w:line="147" w:lineRule="exact"/>
              <w:rPr>
                <w:sz w:val="20"/>
                <w:szCs w:val="20"/>
                <w:color w:val="auto"/>
              </w:rPr>
            </w:pPr>
            <w:r>
              <w:rPr>
                <w:rFonts w:ascii="Arial" w:cs="Arial" w:eastAsia="Arial" w:hAnsi="Arial"/>
                <w:sz w:val="14"/>
                <w:szCs w:val="14"/>
                <w:color w:val="auto"/>
              </w:rPr>
              <w:t>Mar.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8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94"/>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Debt, beginning of year</w:t>
            </w:r>
          </w:p>
        </w:tc>
        <w:tc>
          <w:tcPr>
            <w:tcW w:w="1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$(4,850)</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1,310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(37)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Pension and other postretirement benefits expense</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97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benefits funding</w:t>
            </w:r>
          </w:p>
        </w:tc>
        <w:tc>
          <w:tcPr>
            <w:tcW w:w="2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Increase in working capital</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(1,567)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2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(961)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Multiclient seismic data capitalized</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(101)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(334)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Stock repurchase program</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(324)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Business acquisitions</w:t>
            </w:r>
          </w:p>
        </w:tc>
        <w:tc>
          <w:tcPr>
            <w:tcW w:w="1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effect on net debt</w:t>
            </w:r>
          </w:p>
        </w:tc>
        <w:tc>
          <w:tcPr>
            <w:tcW w:w="2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2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(5,801)</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5560" w:type="dxa"/>
            <w:vAlign w:val="bottom"/>
            <w:vMerge w:val="restart"/>
          </w:tcPr>
          <w:p>
            <w:pPr>
              <w:jc w:val="right"/>
              <w:ind w:right="2572"/>
              <w:spacing w:after="0"/>
              <w:rPr>
                <w:sz w:val="20"/>
                <w:szCs w:val="20"/>
                <w:color w:val="auto"/>
              </w:rPr>
            </w:pPr>
            <w:r>
              <w:rPr>
                <w:rFonts w:ascii="Arial" w:cs="Arial" w:eastAsia="Arial" w:hAnsi="Arial"/>
                <w:sz w:val="18"/>
                <w:szCs w:val="18"/>
                <w:color w:val="auto"/>
                <w:w w:val="93"/>
              </w:rPr>
              <w:t>Includes multiclient seismic data costs.</w:t>
            </w: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5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5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62"/>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Components of Net Debt</w:t>
            </w:r>
          </w:p>
        </w:tc>
        <w:tc>
          <w:tcPr>
            <w:tcW w:w="54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245"/>
              <w:spacing w:after="0"/>
              <w:rPr>
                <w:sz w:val="20"/>
                <w:szCs w:val="20"/>
                <w:color w:val="auto"/>
              </w:rPr>
            </w:pPr>
            <w:r>
              <w:rPr>
                <w:rFonts w:ascii="Arial" w:cs="Arial" w:eastAsia="Arial" w:hAnsi="Arial"/>
                <w:sz w:val="14"/>
                <w:szCs w:val="14"/>
                <w:b w:val="1"/>
                <w:bCs w:val="1"/>
                <w:color w:val="auto"/>
                <w:w w:val="91"/>
              </w:rPr>
              <w:t>Mar. 31,</w:t>
            </w:r>
          </w:p>
        </w:tc>
        <w:tc>
          <w:tcPr>
            <w:tcW w:w="2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8"/>
        </w:trPr>
        <w:tc>
          <w:tcPr>
            <w:tcW w:w="1520" w:type="dxa"/>
            <w:vAlign w:val="bottom"/>
            <w:tcBorders>
              <w:bottom w:val="single" w:sz="8" w:color="auto"/>
            </w:tcBorders>
            <w:vMerge w:val="continue"/>
          </w:tcPr>
          <w:p>
            <w:pPr>
              <w:spacing w:after="0"/>
              <w:rPr>
                <w:sz w:val="14"/>
                <w:szCs w:val="14"/>
                <w:color w:val="auto"/>
              </w:rPr>
            </w:pPr>
          </w:p>
        </w:tc>
        <w:tc>
          <w:tcPr>
            <w:tcW w:w="5420" w:type="dxa"/>
            <w:vAlign w:val="bottom"/>
            <w:vMerge w:val="continue"/>
          </w:tcPr>
          <w:p>
            <w:pPr>
              <w:spacing w:after="0"/>
              <w:rPr>
                <w:sz w:val="14"/>
                <w:szCs w:val="14"/>
                <w:color w:val="auto"/>
              </w:rPr>
            </w:pPr>
          </w:p>
        </w:tc>
        <w:tc>
          <w:tcPr>
            <w:tcW w:w="560" w:type="dxa"/>
            <w:vAlign w:val="bottom"/>
            <w:gridSpan w:val="2"/>
          </w:tcPr>
          <w:p>
            <w:pPr>
              <w:jc w:val="right"/>
              <w:ind w:right="57"/>
              <w:spacing w:after="0" w:line="148"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780" w:type="dxa"/>
            <w:vAlign w:val="bottom"/>
            <w:gridSpan w:val="2"/>
          </w:tcPr>
          <w:p>
            <w:pPr>
              <w:jc w:val="right"/>
              <w:ind w:right="62"/>
              <w:spacing w:after="0" w:line="148"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$ 1,346</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$ 1,705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2,739</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Short-term borrowings and current portionof long-term debt</w:t>
            </w:r>
          </w:p>
        </w:tc>
        <w:tc>
          <w:tcPr>
            <w:tcW w:w="840" w:type="dxa"/>
            <w:vAlign w:val="bottom"/>
            <w:gridSpan w:val="3"/>
          </w:tcPr>
          <w:p>
            <w:pPr>
              <w:jc w:val="right"/>
              <w:ind w:right="145"/>
              <w:spacing w:after="0"/>
              <w:rPr>
                <w:sz w:val="20"/>
                <w:szCs w:val="20"/>
                <w:color w:val="auto"/>
              </w:rPr>
            </w:pPr>
            <w:r>
              <w:rPr>
                <w:rFonts w:ascii="Arial" w:cs="Arial" w:eastAsia="Arial" w:hAnsi="Arial"/>
                <w:sz w:val="18"/>
                <w:szCs w:val="18"/>
                <w:b w:val="1"/>
                <w:bCs w:val="1"/>
                <w:color w:val="auto"/>
              </w:rPr>
              <w:t>(1,728)</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(8,439)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5"/>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(5,801</w:t>
            </w:r>
          </w:p>
        </w:tc>
        <w:tc>
          <w:tcPr>
            <w:tcW w:w="280" w:type="dxa"/>
            <w:vAlign w:val="bottom"/>
            <w:vMerge w:val="continue"/>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three months of 2012 and 2011 included:</w:t>
      </w:r>
    </w:p>
    <w:p>
      <w:pPr>
        <w:spacing w:after="0" w:line="90" w:lineRule="exact"/>
        <w:rPr>
          <w:sz w:val="20"/>
          <w:szCs w:val="20"/>
          <w:color w:val="auto"/>
        </w:rPr>
      </w:pPr>
    </w:p>
    <w:p>
      <w:pPr>
        <w:ind w:left="900" w:right="240" w:hanging="325"/>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April 17, 2008, the Schlumberger Board of Directors approved an $8 billion share repurchase program for shares of Schlumberger common stock, to be acquired in the open market before December 31, 2011, of which $6.5 billion had been repurchased as of March 31, 2012. On July 21, 2011, the Schlumberger Board of Directors approved an extension of this repurchase program to December 31, 2013.</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summarizes the activity, during the three months ended March 31, under the April 17, 2008 share repurchase program:</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gridSpan w:val="7"/>
          </w:tcPr>
          <w:p>
            <w:pPr>
              <w:ind w:left="36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149"/>
        </w:trPr>
        <w:tc>
          <w:tcPr>
            <w:tcW w:w="3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 cost</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87"/>
              </w:rPr>
              <w:t>Total number</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Average price</w:t>
            </w:r>
          </w:p>
        </w:tc>
      </w:tr>
      <w:tr>
        <w:trPr>
          <w:trHeight w:val="149"/>
        </w:trPr>
        <w:tc>
          <w:tcPr>
            <w:tcW w:w="3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of shares</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83"/>
              </w:rPr>
              <w:t>of shares</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paid per</w:t>
            </w:r>
          </w:p>
        </w:tc>
      </w:tr>
      <w:tr>
        <w:trPr>
          <w:trHeight w:val="159"/>
        </w:trPr>
        <w:tc>
          <w:tcPr>
            <w:tcW w:w="36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8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purchased</w:t>
            </w:r>
          </w:p>
        </w:tc>
        <w:tc>
          <w:tcPr>
            <w:tcW w:w="1480" w:type="dxa"/>
            <w:vAlign w:val="bottom"/>
            <w:gridSpan w:val="2"/>
          </w:tcPr>
          <w:p>
            <w:pPr>
              <w:jc w:val="center"/>
              <w:ind w:right="720"/>
              <w:spacing w:after="0" w:line="159" w:lineRule="exact"/>
              <w:rPr>
                <w:sz w:val="20"/>
                <w:szCs w:val="20"/>
                <w:color w:val="auto"/>
              </w:rPr>
            </w:pPr>
            <w:r>
              <w:rPr>
                <w:rFonts w:ascii="Arial" w:cs="Arial" w:eastAsia="Arial" w:hAnsi="Arial"/>
                <w:sz w:val="14"/>
                <w:szCs w:val="14"/>
                <w:color w:val="auto"/>
                <w:w w:val="85"/>
              </w:rPr>
              <w:t>purchased</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79"/>
              </w:rPr>
              <w:t>share</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First quarter 2012</w:t>
            </w:r>
          </w:p>
        </w:tc>
        <w:tc>
          <w:tcPr>
            <w:tcW w:w="2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324</w:t>
            </w:r>
          </w:p>
        </w:tc>
        <w:tc>
          <w:tcPr>
            <w:tcW w:w="7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First quarter 2011</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844</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87.18</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flow provided by operations was $0.7 billion in the first quarter of 2012 compared to $0.8 billion in the first quarter of 2011 with the increase in earnings before depreciation and amortization expense offset in part by an increase in working capital requirements.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 were $1.0 billion in the first quarter of 2012 compared to $0.8 billion during the first quarter of 2011. Capital expenditures for the full year of 2012 are expected to approach $4.5 billion as compared to $4.0 billion in 2011.</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first quarter of 2011, Schlumberger issued $1.1 billion of 4.20% Senior Notes due 2021 and $500 million of 2.65% Senior Notes due 2016.</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first quarter of 2011, Schlumberger repurchased all of its outstanding 9.75% Senior Notes due 2019, 8.625% Senior Notes due 2014 and 6.00% Senior Notes due 2016 for approximately $1.26 billion.</w:t>
      </w:r>
    </w:p>
    <w:p>
      <w:pPr>
        <w:spacing w:after="0" w:line="13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At times, Schlumberger experiences delays in payments from certain of its customers. Schlumberger operates in approximately 85 countries. At March 31, 2012, only five of those countries individually accounted for greater than 5% of Schlumberger’s accounts receivable balance and only one, where cash collections are received on a timely and regular basis, represented greater than 10%. A delay in payment or the nonpayment of amounts that are owed to Schlumberger could have a material adverse effect on Schlumberger’s results of operations and cash flows.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March 31, 2012 Schlumberger had $4.1 billion of cash and short-term investments on hand. Schlumberger had separate committed debt facility agreements aggregating $4.1 billion with commercial banks, of which $2.8 billion was available and unused as of March 31, 2012. This included $3.5 billion of committed facilities which support commercial paper programs in the United States and Europe. Schlumberger believes that these amounts are sufficient to meet future business requirements for at least the next twelve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Schlumberger had $1.0 billion of commercial paper outstanding as of March 31, 2012.</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Schlumberger’s effective tax rate;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current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the ability to respond to increased activity levels;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first-quarter 2012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2011. Schlumberger’s exposure to market risk has not changed materially since December 31,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12 -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On April 17, 2008, the Schlumberger Board of Directors (the “Board”) approved an $8 billion share repurchase program for Schlumberger common stock, which may be acquired in the open market or in negotiated transactions. On July 21, 2011, the Board approved an extension of this repurchase program to December 31, 2013. As of March 31, 2012, $1.5 billion remained available for repurchase under the existing repurchase authorization.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March 31, 2012 was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80" w:type="dxa"/>
            <w:vAlign w:val="bottom"/>
            <w:gridSpan w:val="5"/>
          </w:tcPr>
          <w:p>
            <w:pPr>
              <w:ind w:left="240"/>
              <w:spacing w:after="0"/>
              <w:rPr>
                <w:sz w:val="20"/>
                <w:szCs w:val="20"/>
                <w:color w:val="auto"/>
              </w:rPr>
            </w:pPr>
            <w:r>
              <w:rPr>
                <w:rFonts w:ascii="Arial" w:cs="Arial" w:eastAsia="Arial" w:hAnsi="Arial"/>
                <w:sz w:val="14"/>
                <w:szCs w:val="14"/>
                <w:i w:val="1"/>
                <w:iCs w:val="1"/>
                <w:color w:val="auto"/>
                <w:w w:val="96"/>
              </w:rPr>
              <w:t>(Stated in thousands, except per share amounts)</w:t>
            </w:r>
          </w:p>
        </w:tc>
      </w:tr>
      <w:tr>
        <w:trPr>
          <w:trHeight w:val="149"/>
        </w:trPr>
        <w:tc>
          <w:tcPr>
            <w:tcW w:w="4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 number of</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Maximum value of</w:t>
            </w:r>
          </w:p>
        </w:tc>
      </w:tr>
      <w:tr>
        <w:trPr>
          <w:trHeight w:val="149"/>
        </w:trPr>
        <w:tc>
          <w:tcPr>
            <w:tcW w:w="45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4"/>
              </w:rPr>
              <w:t>Total number</w:t>
            </w:r>
          </w:p>
        </w:tc>
        <w:tc>
          <w:tcPr>
            <w:tcW w:w="6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3"/>
              </w:rPr>
              <w:t>Average price</w:t>
            </w:r>
          </w:p>
        </w:tc>
        <w:tc>
          <w:tcPr>
            <w:tcW w:w="6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3"/>
              </w:rPr>
              <w:t>shares purchased as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shares that may yet</w:t>
            </w:r>
          </w:p>
        </w:tc>
      </w:tr>
      <w:tr>
        <w:trPr>
          <w:trHeight w:val="149"/>
        </w:trPr>
        <w:tc>
          <w:tcPr>
            <w:tcW w:w="45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of shares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79"/>
              <w:spacing w:after="0" w:line="149" w:lineRule="exact"/>
              <w:rPr>
                <w:sz w:val="20"/>
                <w:szCs w:val="20"/>
                <w:color w:val="auto"/>
              </w:rPr>
            </w:pPr>
            <w:r>
              <w:rPr>
                <w:rFonts w:ascii="Arial" w:cs="Arial" w:eastAsia="Arial" w:hAnsi="Arial"/>
                <w:sz w:val="14"/>
                <w:szCs w:val="14"/>
                <w:color w:val="auto"/>
                <w:w w:val="86"/>
              </w:rPr>
              <w:t>paid per</w:t>
            </w:r>
          </w:p>
        </w:tc>
        <w:tc>
          <w:tcPr>
            <w:tcW w:w="6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3"/>
              </w:rPr>
              <w:t>part of publicly</w:t>
            </w:r>
          </w:p>
        </w:tc>
        <w:tc>
          <w:tcPr>
            <w:tcW w:w="68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be purchased under</w:t>
            </w:r>
          </w:p>
        </w:tc>
      </w:tr>
      <w:tr>
        <w:trPr>
          <w:trHeight w:val="159"/>
        </w:trPr>
        <w:tc>
          <w:tcPr>
            <w:tcW w:w="454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4"/>
              </w:rPr>
              <w:t>purchased</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59"/>
              <w:spacing w:after="0" w:line="159" w:lineRule="exact"/>
              <w:rPr>
                <w:sz w:val="20"/>
                <w:szCs w:val="20"/>
                <w:color w:val="auto"/>
              </w:rPr>
            </w:pPr>
            <w:r>
              <w:rPr>
                <w:rFonts w:ascii="Arial" w:cs="Arial" w:eastAsia="Arial" w:hAnsi="Arial"/>
                <w:sz w:val="14"/>
                <w:szCs w:val="14"/>
                <w:color w:val="auto"/>
              </w:rPr>
              <w:t>share</w:t>
            </w:r>
          </w:p>
        </w:tc>
        <w:tc>
          <w:tcPr>
            <w:tcW w:w="660" w:type="dxa"/>
            <w:vAlign w:val="bottom"/>
          </w:tcPr>
          <w:p>
            <w:pPr>
              <w:spacing w:after="0"/>
              <w:rPr>
                <w:sz w:val="13"/>
                <w:szCs w:val="13"/>
                <w:color w:val="auto"/>
              </w:rPr>
            </w:pPr>
          </w:p>
        </w:tc>
        <w:tc>
          <w:tcPr>
            <w:tcW w:w="1200" w:type="dxa"/>
            <w:vAlign w:val="bottom"/>
          </w:tcPr>
          <w:p>
            <w:pPr>
              <w:jc w:val="center"/>
              <w:spacing w:after="0" w:line="159" w:lineRule="exact"/>
              <w:rPr>
                <w:sz w:val="20"/>
                <w:szCs w:val="20"/>
                <w:color w:val="auto"/>
              </w:rPr>
            </w:pPr>
            <w:r>
              <w:rPr>
                <w:rFonts w:ascii="Arial" w:cs="Arial" w:eastAsia="Arial" w:hAnsi="Arial"/>
                <w:sz w:val="14"/>
                <w:szCs w:val="14"/>
                <w:color w:val="auto"/>
                <w:w w:val="86"/>
              </w:rPr>
              <w:t>announced program</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4"/>
              </w:rPr>
              <w:t>the program</w:t>
            </w:r>
          </w:p>
        </w:tc>
      </w:tr>
      <w:tr>
        <w:trPr>
          <w:trHeight w:val="210"/>
        </w:trPr>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January 1 through January 31, 2012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1,642.0</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6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1,642.0</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1,736,334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February 1 through February 29, 2012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1,268.7</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77.87</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1,268.7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1,637,541</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March 1 through March 31, 2012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r>
              <w:rPr>
                <w:rFonts w:ascii="Arial" w:cs="Arial" w:eastAsia="Arial" w:hAnsi="Arial"/>
                <w:sz w:val="18"/>
                <w:szCs w:val="18"/>
                <w:u w:val="single" w:color="auto"/>
                <w:color w:val="auto"/>
              </w:rPr>
              <w:t>17</w:t>
            </w:r>
          </w:p>
        </w:tc>
        <w:tc>
          <w:tcPr>
            <w:tcW w:w="6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1,527,311</w:t>
            </w:r>
          </w:p>
        </w:tc>
        <w:tc>
          <w:tcPr>
            <w:tcW w:w="100" w:type="dxa"/>
            <w:vAlign w:val="bottom"/>
            <w:shd w:val="clear" w:color="auto" w:fill="CCEEFF"/>
          </w:tcPr>
          <w:p>
            <w:pPr>
              <w:spacing w:after="0"/>
              <w:rPr>
                <w:sz w:val="18"/>
                <w:szCs w:val="18"/>
                <w:color w:val="auto"/>
              </w:rPr>
            </w:pPr>
          </w:p>
        </w:tc>
      </w:tr>
      <w:tr>
        <w:trPr>
          <w:trHeight w:val="222"/>
        </w:trPr>
        <w:tc>
          <w:tcPr>
            <w:tcW w:w="45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4,377.1</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w:t>
            </w:r>
            <w:r>
              <w:rPr>
                <w:rFonts w:ascii="Arial" w:cs="Arial" w:eastAsia="Arial" w:hAnsi="Arial"/>
                <w:sz w:val="18"/>
                <w:szCs w:val="18"/>
                <w:u w:val="single" w:color="auto"/>
                <w:color w:val="auto"/>
              </w:rPr>
              <w:t>01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4,377.1</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barite and bentonite mining operations of M-I LLC, which, following our acquisition of Smith, became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5"/>
          <w:szCs w:val="15"/>
          <w:b w:val="1"/>
          <w:bCs w:val="1"/>
          <w:u w:val="single" w:color="auto"/>
          <w:color w:val="auto"/>
        </w:rPr>
        <w:t>Exhibits.</w:t>
      </w:r>
    </w:p>
    <w:p>
      <w:pPr>
        <w:spacing w:after="0" w:line="9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Exhibit 3.1 - Articles of Incorporation of Schlumberger Limited (Schlumberger N.V.) (incorporated by reference to Exhibit 3 to Schlumberger’s Current Report on Form 8-K filed on April 7, 2011).</w:t>
      </w:r>
    </w:p>
    <w:p>
      <w:pPr>
        <w:spacing w:after="0" w:line="51"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Exhibit 3.2 - Amended and Restated By-laws of Schlumberger Limited (Schlumberger N.V.) (incorporated by reference to Exhibit 3.1 to Schlumberger’s Current Report on Form 8-K filed on April 22, 2005).</w:t>
      </w:r>
    </w:p>
    <w:p>
      <w:pPr>
        <w:spacing w:after="0" w:line="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Exhibit 10.1 - Schlumberger 2004 Stock and Deferral Plan for Non-Employee Directors, as amended and restated effective January 19, 2012 (incorporated by reference to Exhibit 10 to Schlumberger’s Current Report on Form 8-K filed with the SEC on April 11, 2012).</w:t>
      </w:r>
    </w:p>
    <w:p>
      <w:pPr>
        <w:spacing w:after="0" w:line="51" w:lineRule="exact"/>
        <w:rPr>
          <w:sz w:val="20"/>
          <w:szCs w:val="20"/>
          <w:color w:val="auto"/>
        </w:rPr>
      </w:pPr>
    </w:p>
    <w:p>
      <w:pPr>
        <w:ind w:left="460" w:right="440" w:firstLine="4"/>
        <w:spacing w:after="0" w:line="268" w:lineRule="auto"/>
        <w:tabs>
          <w:tab w:leader="none" w:pos="5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31.1 - Certification of Chief Executive Officer pursuant to Rule 13a-14(a) of the Securities Exchange Act of 1934, as amended, as adopted pursuant to Section 302 of the Sarbanes-Oxley Act of 2002.</w:t>
      </w:r>
    </w:p>
    <w:p>
      <w:pPr>
        <w:spacing w:after="0" w:line="50" w:lineRule="exact"/>
        <w:rPr>
          <w:rFonts w:ascii="Arial" w:cs="Arial" w:eastAsia="Arial" w:hAnsi="Arial"/>
          <w:sz w:val="18"/>
          <w:szCs w:val="18"/>
          <w:color w:val="auto"/>
        </w:rPr>
      </w:pPr>
    </w:p>
    <w:p>
      <w:pPr>
        <w:ind w:left="460" w:right="500" w:firstLine="4"/>
        <w:spacing w:after="0" w:line="268" w:lineRule="auto"/>
        <w:tabs>
          <w:tab w:leader="none" w:pos="5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31.2 - Certification of Chief Financial Officer pursuant to Rule 13a-14(a) of the Securities Exchange Act of 1934, as amended, as adopted pursuant to Section 302 of the Sarbanes-Oxley Act of 2002.</w:t>
      </w:r>
    </w:p>
    <w:p>
      <w:pPr>
        <w:spacing w:after="0" w:line="51" w:lineRule="exact"/>
        <w:rPr>
          <w:sz w:val="20"/>
          <w:szCs w:val="20"/>
          <w:color w:val="auto"/>
        </w:rPr>
      </w:pPr>
    </w:p>
    <w:p>
      <w:pPr>
        <w:ind w:left="460" w:right="160" w:firstLine="4"/>
        <w:spacing w:after="0" w:line="268"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32.1 - Certification of Chief Executive Officer pursuant to 18 U.S.C. Section 1350, as adopted pursuant to Section 906 of the Sarbanes-Oxley Act of 2002.</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32.2 - Certification Chief Financial Officer pursuant to 18 U.S.C. Section 1350, as adopted pursuant to Section 906 of the Sarbanes-Oxley Act of 2002.</w:t>
      </w:r>
    </w:p>
    <w:p>
      <w:pPr>
        <w:spacing w:after="0" w:line="51" w:lineRule="exact"/>
        <w:rPr>
          <w:sz w:val="20"/>
          <w:szCs w:val="20"/>
          <w:color w:val="auto"/>
        </w:rPr>
      </w:pPr>
    </w:p>
    <w:p>
      <w:pPr>
        <w:ind w:left="600" w:hanging="136"/>
        <w:spacing w:after="0"/>
        <w:tabs>
          <w:tab w:leader="none" w:pos="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Exhibit 95 - Mine Safety Disclosures.</w:t>
      </w:r>
    </w:p>
    <w:p>
      <w:pPr>
        <w:spacing w:after="0" w:line="90" w:lineRule="exact"/>
        <w:rPr>
          <w:rFonts w:ascii="Arial" w:cs="Arial" w:eastAsia="Arial" w:hAnsi="Arial"/>
          <w:sz w:val="18"/>
          <w:szCs w:val="18"/>
          <w:color w:val="auto"/>
        </w:rPr>
      </w:pPr>
    </w:p>
    <w:p>
      <w:pPr>
        <w:jc w:val="both"/>
        <w:ind w:left="460" w:right="40" w:firstLine="4"/>
        <w:spacing w:after="0" w:line="306" w:lineRule="auto"/>
        <w:tabs>
          <w:tab w:leader="none" w:pos="592" w:val="left"/>
        </w:tabs>
        <w:numPr>
          <w:ilvl w:val="1"/>
          <w:numId w:val="26"/>
        </w:numPr>
        <w:rPr>
          <w:rFonts w:ascii="Arial" w:cs="Arial" w:eastAsia="Arial" w:hAnsi="Arial"/>
          <w:sz w:val="16"/>
          <w:szCs w:val="16"/>
          <w:color w:val="auto"/>
        </w:rPr>
      </w:pPr>
      <w:r>
        <w:rPr>
          <w:rFonts w:ascii="Arial" w:cs="Arial" w:eastAsia="Arial" w:hAnsi="Arial"/>
          <w:sz w:val="16"/>
          <w:szCs w:val="16"/>
          <w:color w:val="auto"/>
        </w:rPr>
        <w:t>Exhibit 101 - The following materials from Schlumberger Limited’s Quarterly Report on Form 10-Q for the quarter ended March 31, 2012, formatted in XBRL (Extensible Business Reporting Language): (i) Consolidated Statement of Income; (ii) Consolidated Balance Sheet; (iii) Consolidated Statement of Cash Flows; (iv) Consolidated Statement of Equity, and (v) Notes to Consolidated Financial Statements.</w:t>
      </w:r>
    </w:p>
    <w:p>
      <w:pPr>
        <w:spacing w:after="0" w:line="2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with this Form 10-Q.</w:t>
      </w:r>
    </w:p>
    <w:p>
      <w:pPr>
        <w:spacing w:after="0" w:line="15"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960" w:val="left"/>
          <w:tab w:leader="none" w:pos="8300" w:val="left"/>
        </w:tabs>
        <w:rPr>
          <w:sz w:val="20"/>
          <w:szCs w:val="20"/>
          <w:color w:val="auto"/>
        </w:rPr>
      </w:pPr>
      <w:r>
        <w:rPr>
          <w:rFonts w:ascii="Arial" w:cs="Arial" w:eastAsia="Arial" w:hAnsi="Arial"/>
          <w:sz w:val="18"/>
          <w:szCs w:val="18"/>
          <w:color w:val="auto"/>
        </w:rPr>
        <w:t>Date: April 25, 2012</w:t>
      </w:r>
      <w:r>
        <w:rPr>
          <w:sz w:val="20"/>
          <w:szCs w:val="20"/>
          <w:color w:val="auto"/>
        </w:rPr>
        <w:tab/>
      </w:r>
      <w:r>
        <w:rPr>
          <w:rFonts w:ascii="Arial" w:cs="Arial" w:eastAsia="Arial" w:hAnsi="Arial"/>
          <w:sz w:val="18"/>
          <w:szCs w:val="18"/>
          <w:color w:val="auto"/>
        </w:rPr>
        <w:t>/s/</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240" w:top="459" w:right="7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7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April 25, 2012</w:t>
      </w:r>
      <w:r>
        <w:rPr>
          <w:sz w:val="20"/>
          <w:szCs w:val="20"/>
          <w:color w:val="auto"/>
        </w:rPr>
        <w:tab/>
      </w:r>
      <w:r>
        <w:rPr>
          <w:rFonts w:ascii="Arial" w:cs="Arial" w:eastAsia="Arial" w:hAnsi="Arial"/>
          <w:sz w:val="15"/>
          <w:szCs w:val="15"/>
          <w:color w:val="auto"/>
        </w:rPr>
        <w:t>/s/ Paal Kibsgaard</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71"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April 25, 2012</w:t>
      </w:r>
      <w:r>
        <w:rPr>
          <w:sz w:val="20"/>
          <w:szCs w:val="20"/>
          <w:color w:val="auto"/>
        </w:rPr>
        <w:tab/>
      </w:r>
      <w:r>
        <w:rPr>
          <w:rFonts w:ascii="Arial" w:cs="Arial" w:eastAsia="Arial" w:hAnsi="Arial"/>
          <w:sz w:val="16"/>
          <w:szCs w:val="16"/>
          <w:color w:val="auto"/>
        </w:rPr>
        <w:t>/s/ Simon Ayat</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March 31, 2012 as filed with the Securities and Exchange Commission on the date hereof (the “Report”), I, Paal Kibsgaard, Chief Executive Officer of the Company, certify, pursuant to 18 U.S.C. § 1350, as adopted pursuant to § 906 of the Sarbanes-Oxley Act of 2002, that: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April 25, 2012</w:t>
      </w:r>
      <w:r>
        <w:rPr>
          <w:sz w:val="20"/>
          <w:szCs w:val="20"/>
          <w:color w:val="auto"/>
        </w:rPr>
        <w:tab/>
      </w:r>
      <w:r>
        <w:rPr>
          <w:rFonts w:ascii="Arial" w:cs="Arial" w:eastAsia="Arial" w:hAnsi="Arial"/>
          <w:sz w:val="15"/>
          <w:szCs w:val="15"/>
          <w:color w:val="auto"/>
        </w:rPr>
        <w:t>/s/ Paal Kibsgaard</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Executive Officer</w:t>
      </w:r>
    </w:p>
    <w:p>
      <w:pPr>
        <w:spacing w:after="0" w:line="16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March 31, 2012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April 25, 2012</w:t>
      </w:r>
      <w:r>
        <w:rPr>
          <w:sz w:val="20"/>
          <w:szCs w:val="20"/>
          <w:color w:val="auto"/>
        </w:rPr>
        <w:tab/>
      </w:r>
      <w:r>
        <w:rPr>
          <w:rFonts w:ascii="Arial" w:cs="Arial" w:eastAsia="Arial" w:hAnsi="Arial"/>
          <w:sz w:val="16"/>
          <w:szCs w:val="16"/>
          <w:color w:val="auto"/>
        </w:rPr>
        <w:t>/s/ Simon Ayat</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95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table that follows reflects citations, orders, violations and proposed assessments issued by the Mine Safety and Health Administration (the “MSHA”) to M-I LLC, which, following Schlumberger’s acquisition of Smith International, Inc., became an indirect wholly-owned subsidiary of Schlumberger. The disclosure is with respect to the three months ended March 31, 2012. Due to timing and other factors, the data may not agree with the mine data retrieval system maintained by the MSHA at www.MSHA.gov.</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(whole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Received</w:t>
            </w: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0"/>
              </w:rPr>
              <w:t>Notice</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5"/>
              </w:rPr>
              <w:t>Received</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Notice of</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8"/>
              </w:rPr>
              <w:t>Potential</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7"/>
              </w:rPr>
              <w:t>Legal</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8"/>
              </w:rPr>
              <w:t>Pattern of</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6"/>
              </w:rPr>
              <w:t>to Have</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1"/>
              </w:rPr>
              <w:t>Actions</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Section</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jc w:val="right"/>
              <w:ind w:right="22"/>
              <w:spacing w:after="0" w:line="149" w:lineRule="exact"/>
              <w:rPr>
                <w:sz w:val="20"/>
                <w:szCs w:val="20"/>
                <w:color w:val="auto"/>
              </w:rPr>
            </w:pPr>
            <w:r>
              <w:rPr>
                <w:rFonts w:ascii="Arial" w:cs="Arial" w:eastAsia="Arial" w:hAnsi="Arial"/>
                <w:sz w:val="14"/>
                <w:szCs w:val="14"/>
                <w:color w:val="auto"/>
              </w:rPr>
              <w:t>Violations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4"/>
              </w:rPr>
              <w:t>Pattern</w:t>
            </w:r>
          </w:p>
        </w:tc>
        <w:tc>
          <w:tcPr>
            <w:tcW w:w="640" w:type="dxa"/>
            <w:vAlign w:val="bottom"/>
          </w:tcPr>
          <w:p>
            <w:pPr>
              <w:jc w:val="right"/>
              <w:ind w:right="22"/>
              <w:spacing w:after="0" w:line="149" w:lineRule="exact"/>
              <w:rPr>
                <w:sz w:val="20"/>
                <w:szCs w:val="20"/>
                <w:color w:val="auto"/>
              </w:rPr>
            </w:pPr>
            <w:r>
              <w:rPr>
                <w:rFonts w:ascii="Arial" w:cs="Arial" w:eastAsia="Arial" w:hAnsi="Arial"/>
                <w:sz w:val="14"/>
                <w:szCs w:val="14"/>
                <w:color w:val="auto"/>
              </w:rPr>
              <w:t>Pending</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7"/>
              </w:rPr>
              <w:t>Legal</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7"/>
              </w:rPr>
              <w:t>Legal</w:t>
            </w:r>
          </w:p>
        </w:tc>
      </w:tr>
      <w:tr>
        <w:trPr>
          <w:trHeight w:val="149"/>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8"/>
              </w:rPr>
              <w:t>104(d)</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9"/>
              </w:rPr>
              <w:t>Under</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9"/>
              </w:rPr>
              <w:t>Under</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as of</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1"/>
              </w:rPr>
              <w:t>Actions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Actions</w:t>
            </w:r>
          </w:p>
        </w:tc>
      </w:tr>
      <w:tr>
        <w:trPr>
          <w:trHeight w:val="149"/>
        </w:trPr>
        <w:tc>
          <w:tcPr>
            <w:tcW w:w="2960" w:type="dxa"/>
            <w:vAlign w:val="bottom"/>
          </w:tcPr>
          <w:p>
            <w:pPr>
              <w:spacing w:after="0"/>
              <w:rPr>
                <w:sz w:val="12"/>
                <w:szCs w:val="12"/>
                <w:color w:val="auto"/>
              </w:rPr>
            </w:pPr>
          </w:p>
        </w:tc>
        <w:tc>
          <w:tcPr>
            <w:tcW w:w="640" w:type="dxa"/>
            <w:vAlign w:val="bottom"/>
          </w:tcPr>
          <w:p>
            <w:pPr>
              <w:jc w:val="right"/>
              <w:ind w:right="58"/>
              <w:spacing w:after="0" w:line="149" w:lineRule="exact"/>
              <w:rPr>
                <w:sz w:val="20"/>
                <w:szCs w:val="20"/>
                <w:color w:val="auto"/>
              </w:rPr>
            </w:pPr>
            <w:r>
              <w:rPr>
                <w:rFonts w:ascii="Arial" w:cs="Arial" w:eastAsia="Arial" w:hAnsi="Arial"/>
                <w:sz w:val="14"/>
                <w:szCs w:val="14"/>
                <w:color w:val="auto"/>
              </w:rPr>
              <w:t>Section</w:t>
            </w:r>
          </w:p>
        </w:tc>
        <w:tc>
          <w:tcPr>
            <w:tcW w:w="600" w:type="dxa"/>
            <w:vAlign w:val="bottom"/>
          </w:tcPr>
          <w:p>
            <w:pPr>
              <w:jc w:val="right"/>
              <w:ind w:right="18"/>
              <w:spacing w:after="0" w:line="149" w:lineRule="exact"/>
              <w:rPr>
                <w:sz w:val="20"/>
                <w:szCs w:val="20"/>
                <w:color w:val="auto"/>
              </w:rPr>
            </w:pPr>
            <w:r>
              <w:rPr>
                <w:rFonts w:ascii="Arial" w:cs="Arial" w:eastAsia="Arial" w:hAnsi="Arial"/>
                <w:sz w:val="14"/>
                <w:szCs w:val="14"/>
                <w:color w:val="auto"/>
              </w:rPr>
              <w:t>Section</w:t>
            </w:r>
          </w:p>
        </w:tc>
        <w:tc>
          <w:tcPr>
            <w:tcW w:w="680" w:type="dxa"/>
            <w:vAlign w:val="bottom"/>
          </w:tcPr>
          <w:p>
            <w:pPr>
              <w:jc w:val="right"/>
              <w:ind w:right="20"/>
              <w:spacing w:after="0" w:line="149" w:lineRule="exact"/>
              <w:rPr>
                <w:sz w:val="20"/>
                <w:szCs w:val="20"/>
                <w:color w:val="auto"/>
              </w:rPr>
            </w:pPr>
            <w:r>
              <w:rPr>
                <w:rFonts w:ascii="Arial" w:cs="Arial" w:eastAsia="Arial" w:hAnsi="Arial"/>
                <w:sz w:val="14"/>
                <w:szCs w:val="14"/>
                <w:color w:val="auto"/>
              </w:rPr>
              <w:t>Citations</w:t>
            </w:r>
          </w:p>
        </w:tc>
        <w:tc>
          <w:tcPr>
            <w:tcW w:w="760" w:type="dxa"/>
            <w:vAlign w:val="bottom"/>
          </w:tcPr>
          <w:p>
            <w:pPr>
              <w:jc w:val="right"/>
              <w:ind w:right="98"/>
              <w:spacing w:after="0" w:line="149" w:lineRule="exact"/>
              <w:rPr>
                <w:sz w:val="20"/>
                <w:szCs w:val="20"/>
                <w:color w:val="auto"/>
              </w:rPr>
            </w:pPr>
            <w:r>
              <w:rPr>
                <w:rFonts w:ascii="Arial" w:cs="Arial" w:eastAsia="Arial" w:hAnsi="Arial"/>
                <w:sz w:val="14"/>
                <w:szCs w:val="14"/>
                <w:color w:val="auto"/>
              </w:rPr>
              <w:t>Section</w:t>
            </w:r>
          </w:p>
        </w:tc>
        <w:tc>
          <w:tcPr>
            <w:tcW w:w="600" w:type="dxa"/>
            <w:vAlign w:val="bottom"/>
          </w:tcPr>
          <w:p>
            <w:pPr>
              <w:jc w:val="right"/>
              <w:ind w:right="18"/>
              <w:spacing w:after="0" w:line="149" w:lineRule="exact"/>
              <w:rPr>
                <w:sz w:val="20"/>
                <w:szCs w:val="20"/>
                <w:color w:val="auto"/>
              </w:rPr>
            </w:pPr>
            <w:r>
              <w:rPr>
                <w:rFonts w:ascii="Arial" w:cs="Arial" w:eastAsia="Arial" w:hAnsi="Arial"/>
                <w:sz w:val="14"/>
                <w:szCs w:val="14"/>
                <w:color w:val="auto"/>
              </w:rPr>
              <w:t>Section</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Proposed</w:t>
            </w:r>
          </w:p>
        </w:tc>
        <w:tc>
          <w:tcPr>
            <w:tcW w:w="660" w:type="dxa"/>
            <w:vAlign w:val="bottom"/>
          </w:tcPr>
          <w:p>
            <w:pPr>
              <w:jc w:val="right"/>
              <w:ind w:right="58"/>
              <w:spacing w:after="0" w:line="149" w:lineRule="exact"/>
              <w:rPr>
                <w:sz w:val="20"/>
                <w:szCs w:val="20"/>
                <w:color w:val="auto"/>
              </w:rPr>
            </w:pPr>
            <w:r>
              <w:rPr>
                <w:rFonts w:ascii="Arial" w:cs="Arial" w:eastAsia="Arial" w:hAnsi="Arial"/>
                <w:sz w:val="14"/>
                <w:szCs w:val="14"/>
                <w:color w:val="auto"/>
              </w:rPr>
              <w:t>Mining</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5"/>
              </w:rPr>
              <w:t>Section</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5"/>
              </w:rPr>
              <w:t>Section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2"/>
              </w:rPr>
              <w:t>Last</w:t>
            </w:r>
          </w:p>
        </w:tc>
        <w:tc>
          <w:tcPr>
            <w:tcW w:w="640" w:type="dxa"/>
            <w:vAlign w:val="bottom"/>
          </w:tcPr>
          <w:p>
            <w:pPr>
              <w:jc w:val="right"/>
              <w:ind w:right="20"/>
              <w:spacing w:after="0" w:line="149" w:lineRule="exact"/>
              <w:rPr>
                <w:sz w:val="20"/>
                <w:szCs w:val="20"/>
                <w:color w:val="auto"/>
              </w:rPr>
            </w:pPr>
            <w:r>
              <w:rPr>
                <w:rFonts w:ascii="Arial" w:cs="Arial" w:eastAsia="Arial" w:hAnsi="Arial"/>
                <w:sz w:val="14"/>
                <w:szCs w:val="14"/>
                <w:color w:val="auto"/>
              </w:rPr>
              <w:t>Initiated</w:t>
            </w:r>
          </w:p>
        </w:tc>
        <w:tc>
          <w:tcPr>
            <w:tcW w:w="700" w:type="dxa"/>
            <w:vAlign w:val="bottom"/>
          </w:tcPr>
          <w:p>
            <w:pPr>
              <w:jc w:val="right"/>
              <w:ind w:right="20"/>
              <w:spacing w:after="0" w:line="149" w:lineRule="exact"/>
              <w:rPr>
                <w:sz w:val="20"/>
                <w:szCs w:val="20"/>
                <w:color w:val="auto"/>
              </w:rPr>
            </w:pPr>
            <w:r>
              <w:rPr>
                <w:rFonts w:ascii="Arial" w:cs="Arial" w:eastAsia="Arial" w:hAnsi="Arial"/>
                <w:sz w:val="14"/>
                <w:szCs w:val="14"/>
                <w:color w:val="auto"/>
                <w:w w:val="99"/>
              </w:rPr>
              <w:t>Resolved</w:t>
            </w:r>
          </w:p>
        </w:tc>
      </w:tr>
      <w:tr>
        <w:trPr>
          <w:trHeight w:val="132"/>
        </w:trPr>
        <w:tc>
          <w:tcPr>
            <w:tcW w:w="2960" w:type="dxa"/>
            <w:vAlign w:val="bottom"/>
          </w:tcPr>
          <w:p>
            <w:pPr>
              <w:spacing w:after="0" w:line="133" w:lineRule="exact"/>
              <w:rPr>
                <w:sz w:val="20"/>
                <w:szCs w:val="20"/>
                <w:color w:val="auto"/>
              </w:rPr>
            </w:pPr>
            <w:r>
              <w:rPr>
                <w:rFonts w:ascii="Arial" w:cs="Arial" w:eastAsia="Arial" w:hAnsi="Arial"/>
                <w:sz w:val="14"/>
                <w:szCs w:val="14"/>
                <w:color w:val="auto"/>
              </w:rPr>
              <w:t>Mine or Operating Name/MSHA Identification</w:t>
            </w:r>
          </w:p>
        </w:tc>
        <w:tc>
          <w:tcPr>
            <w:tcW w:w="640" w:type="dxa"/>
            <w:vAlign w:val="bottom"/>
          </w:tcPr>
          <w:p>
            <w:pPr>
              <w:jc w:val="right"/>
              <w:ind w:right="18"/>
              <w:spacing w:after="0" w:line="133" w:lineRule="exact"/>
              <w:rPr>
                <w:sz w:val="20"/>
                <w:szCs w:val="20"/>
                <w:color w:val="auto"/>
              </w:rPr>
            </w:pPr>
            <w:r>
              <w:rPr>
                <w:rFonts w:ascii="Arial" w:cs="Arial" w:eastAsia="Arial" w:hAnsi="Arial"/>
                <w:sz w:val="14"/>
                <w:szCs w:val="14"/>
                <w:color w:val="auto"/>
                <w:w w:val="94"/>
              </w:rPr>
              <w:t>104 S&amp;S</w:t>
            </w:r>
          </w:p>
        </w:tc>
        <w:tc>
          <w:tcPr>
            <w:tcW w:w="600" w:type="dxa"/>
            <w:vAlign w:val="bottom"/>
          </w:tcPr>
          <w:p>
            <w:pPr>
              <w:jc w:val="right"/>
              <w:ind w:right="38"/>
              <w:spacing w:after="0" w:line="133" w:lineRule="exact"/>
              <w:rPr>
                <w:sz w:val="20"/>
                <w:szCs w:val="20"/>
                <w:color w:val="auto"/>
              </w:rPr>
            </w:pPr>
            <w:r>
              <w:rPr>
                <w:rFonts w:ascii="Arial" w:cs="Arial" w:eastAsia="Arial" w:hAnsi="Arial"/>
                <w:sz w:val="14"/>
                <w:szCs w:val="14"/>
                <w:color w:val="auto"/>
              </w:rPr>
              <w:t>104(b)</w:t>
            </w:r>
          </w:p>
        </w:tc>
        <w:tc>
          <w:tcPr>
            <w:tcW w:w="680" w:type="dxa"/>
            <w:vAlign w:val="bottom"/>
          </w:tcPr>
          <w:p>
            <w:pPr>
              <w:jc w:val="center"/>
              <w:spacing w:after="0" w:line="133" w:lineRule="exact"/>
              <w:rPr>
                <w:sz w:val="20"/>
                <w:szCs w:val="20"/>
                <w:color w:val="auto"/>
              </w:rPr>
            </w:pPr>
            <w:r>
              <w:rPr>
                <w:rFonts w:ascii="Arial" w:cs="Arial" w:eastAsia="Arial" w:hAnsi="Arial"/>
                <w:sz w:val="14"/>
                <w:szCs w:val="14"/>
                <w:color w:val="auto"/>
                <w:w w:val="85"/>
              </w:rPr>
              <w:t>and</w:t>
            </w:r>
          </w:p>
        </w:tc>
        <w:tc>
          <w:tcPr>
            <w:tcW w:w="760" w:type="dxa"/>
            <w:vAlign w:val="bottom"/>
          </w:tcPr>
          <w:p>
            <w:pPr>
              <w:jc w:val="right"/>
              <w:ind w:right="38"/>
              <w:spacing w:after="0" w:line="133" w:lineRule="exact"/>
              <w:rPr>
                <w:sz w:val="20"/>
                <w:szCs w:val="20"/>
                <w:color w:val="auto"/>
              </w:rPr>
            </w:pPr>
            <w:r>
              <w:rPr>
                <w:rFonts w:ascii="Arial" w:cs="Arial" w:eastAsia="Arial" w:hAnsi="Arial"/>
                <w:sz w:val="14"/>
                <w:szCs w:val="14"/>
                <w:color w:val="auto"/>
              </w:rPr>
              <w:t>110(b)(2)</w:t>
            </w:r>
          </w:p>
        </w:tc>
        <w:tc>
          <w:tcPr>
            <w:tcW w:w="600" w:type="dxa"/>
            <w:vAlign w:val="bottom"/>
          </w:tcPr>
          <w:p>
            <w:pPr>
              <w:jc w:val="right"/>
              <w:ind w:right="38"/>
              <w:spacing w:after="0" w:line="133" w:lineRule="exact"/>
              <w:rPr>
                <w:sz w:val="20"/>
                <w:szCs w:val="20"/>
                <w:color w:val="auto"/>
              </w:rPr>
            </w:pPr>
            <w:r>
              <w:rPr>
                <w:rFonts w:ascii="Arial" w:cs="Arial" w:eastAsia="Arial" w:hAnsi="Arial"/>
                <w:sz w:val="14"/>
                <w:szCs w:val="14"/>
                <w:color w:val="auto"/>
              </w:rPr>
              <w:t>107(a)</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98"/>
              </w:rPr>
              <w:t>MSHA</w:t>
            </w:r>
          </w:p>
        </w:tc>
        <w:tc>
          <w:tcPr>
            <w:tcW w:w="660" w:type="dxa"/>
            <w:vAlign w:val="bottom"/>
          </w:tcPr>
          <w:p>
            <w:pPr>
              <w:jc w:val="right"/>
              <w:ind w:right="58"/>
              <w:spacing w:after="0" w:line="133" w:lineRule="exact"/>
              <w:rPr>
                <w:sz w:val="20"/>
                <w:szCs w:val="20"/>
                <w:color w:val="auto"/>
              </w:rPr>
            </w:pPr>
            <w:r>
              <w:rPr>
                <w:rFonts w:ascii="Arial" w:cs="Arial" w:eastAsia="Arial" w:hAnsi="Arial"/>
                <w:sz w:val="14"/>
                <w:szCs w:val="14"/>
                <w:color w:val="auto"/>
              </w:rPr>
              <w:t>Related</w:t>
            </w:r>
          </w:p>
        </w:tc>
        <w:tc>
          <w:tcPr>
            <w:tcW w:w="760" w:type="dxa"/>
            <w:vAlign w:val="bottom"/>
          </w:tcPr>
          <w:p>
            <w:pPr>
              <w:jc w:val="center"/>
              <w:spacing w:after="0" w:line="133" w:lineRule="exact"/>
              <w:rPr>
                <w:sz w:val="20"/>
                <w:szCs w:val="20"/>
                <w:color w:val="auto"/>
              </w:rPr>
            </w:pPr>
            <w:r>
              <w:rPr>
                <w:rFonts w:ascii="Arial" w:cs="Arial" w:eastAsia="Arial" w:hAnsi="Arial"/>
                <w:sz w:val="14"/>
                <w:szCs w:val="14"/>
                <w:color w:val="auto"/>
                <w:w w:val="88"/>
              </w:rPr>
              <w:t>104(e)</w:t>
            </w:r>
          </w:p>
        </w:tc>
        <w:tc>
          <w:tcPr>
            <w:tcW w:w="700" w:type="dxa"/>
            <w:vAlign w:val="bottom"/>
          </w:tcPr>
          <w:p>
            <w:pPr>
              <w:jc w:val="center"/>
              <w:spacing w:after="0" w:line="133" w:lineRule="exact"/>
              <w:rPr>
                <w:sz w:val="20"/>
                <w:szCs w:val="20"/>
                <w:color w:val="auto"/>
              </w:rPr>
            </w:pPr>
            <w:r>
              <w:rPr>
                <w:rFonts w:ascii="Arial" w:cs="Arial" w:eastAsia="Arial" w:hAnsi="Arial"/>
                <w:sz w:val="14"/>
                <w:szCs w:val="14"/>
                <w:color w:val="auto"/>
                <w:w w:val="88"/>
              </w:rPr>
              <w:t>104(e)</w:t>
            </w:r>
          </w:p>
        </w:tc>
        <w:tc>
          <w:tcPr>
            <w:tcW w:w="640" w:type="dxa"/>
            <w:vAlign w:val="bottom"/>
          </w:tcPr>
          <w:p>
            <w:pPr>
              <w:jc w:val="center"/>
              <w:spacing w:after="0" w:line="133" w:lineRule="exact"/>
              <w:rPr>
                <w:sz w:val="20"/>
                <w:szCs w:val="20"/>
                <w:color w:val="auto"/>
              </w:rPr>
            </w:pPr>
            <w:r>
              <w:rPr>
                <w:rFonts w:ascii="Arial" w:cs="Arial" w:eastAsia="Arial" w:hAnsi="Arial"/>
                <w:sz w:val="14"/>
                <w:szCs w:val="14"/>
                <w:color w:val="auto"/>
                <w:w w:val="93"/>
              </w:rPr>
              <w:t>Day of</w:t>
            </w:r>
          </w:p>
        </w:tc>
        <w:tc>
          <w:tcPr>
            <w:tcW w:w="640" w:type="dxa"/>
            <w:vAlign w:val="bottom"/>
          </w:tcPr>
          <w:p>
            <w:pPr>
              <w:jc w:val="center"/>
              <w:spacing w:after="0" w:line="133" w:lineRule="exact"/>
              <w:rPr>
                <w:sz w:val="20"/>
                <w:szCs w:val="20"/>
                <w:color w:val="auto"/>
              </w:rPr>
            </w:pPr>
            <w:r>
              <w:rPr>
                <w:rFonts w:ascii="Arial" w:cs="Arial" w:eastAsia="Arial" w:hAnsi="Arial"/>
                <w:sz w:val="14"/>
                <w:szCs w:val="14"/>
                <w:color w:val="auto"/>
                <w:w w:val="92"/>
              </w:rPr>
              <w:t>During</w:t>
            </w:r>
          </w:p>
        </w:tc>
        <w:tc>
          <w:tcPr>
            <w:tcW w:w="700" w:type="dxa"/>
            <w:vAlign w:val="bottom"/>
          </w:tcPr>
          <w:p>
            <w:pPr>
              <w:jc w:val="center"/>
              <w:spacing w:after="0" w:line="133" w:lineRule="exact"/>
              <w:rPr>
                <w:sz w:val="20"/>
                <w:szCs w:val="20"/>
                <w:color w:val="auto"/>
              </w:rPr>
            </w:pPr>
            <w:r>
              <w:rPr>
                <w:rFonts w:ascii="Arial" w:cs="Arial" w:eastAsia="Arial" w:hAnsi="Arial"/>
                <w:sz w:val="14"/>
                <w:szCs w:val="14"/>
                <w:color w:val="auto"/>
                <w:w w:val="92"/>
              </w:rPr>
              <w:t>During</w:t>
            </w:r>
          </w:p>
        </w:tc>
      </w:tr>
      <w:tr>
        <w:trPr>
          <w:trHeight w:val="176"/>
        </w:trPr>
        <w:tc>
          <w:tcPr>
            <w:tcW w:w="2960" w:type="dxa"/>
            <w:vAlign w:val="bottom"/>
          </w:tcPr>
          <w:p>
            <w:pPr>
              <w:spacing w:after="0"/>
              <w:rPr>
                <w:sz w:val="20"/>
                <w:szCs w:val="20"/>
                <w:color w:val="auto"/>
              </w:rPr>
            </w:pPr>
            <w:r>
              <w:rPr>
                <w:rFonts w:ascii="Arial" w:cs="Arial" w:eastAsia="Arial" w:hAnsi="Arial"/>
                <w:sz w:val="14"/>
                <w:szCs w:val="14"/>
                <w:color w:val="auto"/>
              </w:rPr>
              <w:t>Number</w:t>
            </w:r>
          </w:p>
        </w:tc>
        <w:tc>
          <w:tcPr>
            <w:tcW w:w="640" w:type="dxa"/>
            <w:vAlign w:val="bottom"/>
          </w:tcPr>
          <w:p>
            <w:pPr>
              <w:jc w:val="right"/>
              <w:ind w:right="18"/>
              <w:spacing w:after="0"/>
              <w:rPr>
                <w:sz w:val="20"/>
                <w:szCs w:val="20"/>
                <w:color w:val="auto"/>
              </w:rPr>
            </w:pPr>
            <w:r>
              <w:rPr>
                <w:rFonts w:ascii="Arial" w:cs="Arial" w:eastAsia="Arial" w:hAnsi="Arial"/>
                <w:sz w:val="14"/>
                <w:szCs w:val="14"/>
                <w:color w:val="auto"/>
                <w:w w:val="95"/>
              </w:rPr>
              <w:t>Citations</w:t>
            </w:r>
          </w:p>
        </w:tc>
        <w:tc>
          <w:tcPr>
            <w:tcW w:w="600" w:type="dxa"/>
            <w:vAlign w:val="bottom"/>
          </w:tcPr>
          <w:p>
            <w:pPr>
              <w:jc w:val="right"/>
              <w:ind w:right="38"/>
              <w:spacing w:after="0"/>
              <w:rPr>
                <w:sz w:val="20"/>
                <w:szCs w:val="20"/>
                <w:color w:val="auto"/>
              </w:rPr>
            </w:pPr>
            <w:r>
              <w:rPr>
                <w:rFonts w:ascii="Arial" w:cs="Arial" w:eastAsia="Arial" w:hAnsi="Arial"/>
                <w:sz w:val="14"/>
                <w:szCs w:val="14"/>
                <w:color w:val="auto"/>
              </w:rPr>
              <w:t>Orders</w:t>
            </w:r>
          </w:p>
        </w:tc>
        <w:tc>
          <w:tcPr>
            <w:tcW w:w="680" w:type="dxa"/>
            <w:vAlign w:val="bottom"/>
          </w:tcPr>
          <w:p>
            <w:pPr>
              <w:jc w:val="center"/>
              <w:spacing w:after="0"/>
              <w:rPr>
                <w:sz w:val="20"/>
                <w:szCs w:val="20"/>
                <w:color w:val="auto"/>
              </w:rPr>
            </w:pPr>
            <w:r>
              <w:rPr>
                <w:rFonts w:ascii="Arial" w:cs="Arial" w:eastAsia="Arial" w:hAnsi="Arial"/>
                <w:sz w:val="14"/>
                <w:szCs w:val="14"/>
                <w:color w:val="auto"/>
                <w:w w:val="84"/>
              </w:rPr>
              <w:t>Orders</w:t>
            </w:r>
          </w:p>
        </w:tc>
        <w:tc>
          <w:tcPr>
            <w:tcW w:w="760" w:type="dxa"/>
            <w:vAlign w:val="bottom"/>
          </w:tcPr>
          <w:p>
            <w:pPr>
              <w:jc w:val="right"/>
              <w:ind w:right="18"/>
              <w:spacing w:after="0"/>
              <w:rPr>
                <w:sz w:val="20"/>
                <w:szCs w:val="20"/>
                <w:color w:val="auto"/>
              </w:rPr>
            </w:pPr>
            <w:r>
              <w:rPr>
                <w:rFonts w:ascii="Arial" w:cs="Arial" w:eastAsia="Arial" w:hAnsi="Arial"/>
                <w:sz w:val="14"/>
                <w:szCs w:val="14"/>
                <w:color w:val="auto"/>
              </w:rPr>
              <w:t>Violations</w:t>
            </w:r>
          </w:p>
        </w:tc>
        <w:tc>
          <w:tcPr>
            <w:tcW w:w="600" w:type="dxa"/>
            <w:vAlign w:val="bottom"/>
          </w:tcPr>
          <w:p>
            <w:pPr>
              <w:jc w:val="right"/>
              <w:ind w:right="38"/>
              <w:spacing w:after="0"/>
              <w:rPr>
                <w:sz w:val="20"/>
                <w:szCs w:val="20"/>
                <w:color w:val="auto"/>
              </w:rPr>
            </w:pPr>
            <w:r>
              <w:rPr>
                <w:rFonts w:ascii="Arial" w:cs="Arial" w:eastAsia="Arial" w:hAnsi="Arial"/>
                <w:sz w:val="14"/>
                <w:szCs w:val="14"/>
                <w:color w:val="auto"/>
              </w:rPr>
              <w:t>Orders</w:t>
            </w:r>
          </w:p>
        </w:tc>
        <w:tc>
          <w:tcPr>
            <w:tcW w:w="1080" w:type="dxa"/>
            <w:vAlign w:val="bottom"/>
          </w:tcPr>
          <w:p>
            <w:pPr>
              <w:jc w:val="center"/>
              <w:spacing w:after="0" w:line="176" w:lineRule="exact"/>
              <w:rPr>
                <w:sz w:val="20"/>
                <w:szCs w:val="20"/>
                <w:color w:val="auto"/>
              </w:rPr>
            </w:pPr>
            <w:r>
              <w:rPr>
                <w:rFonts w:ascii="Arial" w:cs="Arial" w:eastAsia="Arial" w:hAnsi="Arial"/>
                <w:sz w:val="13"/>
                <w:szCs w:val="13"/>
                <w:color w:val="auto"/>
                <w:w w:val="89"/>
              </w:rPr>
              <w:t>Assessments</w:t>
            </w:r>
            <w:r>
              <w:rPr>
                <w:rFonts w:ascii="Arial" w:cs="Arial" w:eastAsia="Arial" w:hAnsi="Arial"/>
                <w:sz w:val="20"/>
                <w:szCs w:val="20"/>
                <w:color w:val="auto"/>
                <w:w w:val="89"/>
                <w:vertAlign w:val="superscript"/>
              </w:rPr>
              <w:t>(1)</w:t>
            </w:r>
          </w:p>
        </w:tc>
        <w:tc>
          <w:tcPr>
            <w:tcW w:w="660" w:type="dxa"/>
            <w:vAlign w:val="bottom"/>
          </w:tcPr>
          <w:p>
            <w:pPr>
              <w:jc w:val="right"/>
              <w:ind w:right="18"/>
              <w:spacing w:after="0"/>
              <w:rPr>
                <w:sz w:val="20"/>
                <w:szCs w:val="20"/>
                <w:color w:val="auto"/>
              </w:rPr>
            </w:pPr>
            <w:r>
              <w:rPr>
                <w:rFonts w:ascii="Arial" w:cs="Arial" w:eastAsia="Arial" w:hAnsi="Arial"/>
                <w:sz w:val="14"/>
                <w:szCs w:val="14"/>
                <w:color w:val="auto"/>
                <w:w w:val="96"/>
              </w:rPr>
              <w:t>Fatalities</w:t>
            </w: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(yes/no)</w:t>
            </w:r>
          </w:p>
        </w:tc>
        <w:tc>
          <w:tcPr>
            <w:tcW w:w="700" w:type="dxa"/>
            <w:vAlign w:val="bottom"/>
          </w:tcPr>
          <w:p>
            <w:pPr>
              <w:jc w:val="center"/>
              <w:spacing w:after="0"/>
              <w:rPr>
                <w:sz w:val="20"/>
                <w:szCs w:val="20"/>
                <w:color w:val="auto"/>
              </w:rPr>
            </w:pPr>
            <w:r>
              <w:rPr>
                <w:rFonts w:ascii="Arial" w:cs="Arial" w:eastAsia="Arial" w:hAnsi="Arial"/>
                <w:sz w:val="14"/>
                <w:szCs w:val="14"/>
                <w:color w:val="auto"/>
                <w:w w:val="86"/>
              </w:rPr>
              <w:t>(yes/no)</w:t>
            </w:r>
          </w:p>
        </w:tc>
        <w:tc>
          <w:tcPr>
            <w:tcW w:w="640" w:type="dxa"/>
            <w:vAlign w:val="bottom"/>
          </w:tcPr>
          <w:p>
            <w:pPr>
              <w:jc w:val="center"/>
              <w:spacing w:after="0"/>
              <w:rPr>
                <w:sz w:val="20"/>
                <w:szCs w:val="20"/>
                <w:color w:val="auto"/>
              </w:rPr>
            </w:pPr>
            <w:r>
              <w:rPr>
                <w:rFonts w:ascii="Arial" w:cs="Arial" w:eastAsia="Arial" w:hAnsi="Arial"/>
                <w:sz w:val="14"/>
                <w:szCs w:val="14"/>
                <w:color w:val="auto"/>
                <w:w w:val="83"/>
              </w:rPr>
              <w:t>Period</w:t>
            </w:r>
          </w:p>
        </w:tc>
        <w:tc>
          <w:tcPr>
            <w:tcW w:w="640" w:type="dxa"/>
            <w:vAlign w:val="bottom"/>
          </w:tcPr>
          <w:p>
            <w:pPr>
              <w:jc w:val="center"/>
              <w:spacing w:after="0"/>
              <w:rPr>
                <w:sz w:val="20"/>
                <w:szCs w:val="20"/>
                <w:color w:val="auto"/>
              </w:rPr>
            </w:pPr>
            <w:r>
              <w:rPr>
                <w:rFonts w:ascii="Arial" w:cs="Arial" w:eastAsia="Arial" w:hAnsi="Arial"/>
                <w:sz w:val="14"/>
                <w:szCs w:val="14"/>
                <w:color w:val="auto"/>
                <w:w w:val="88"/>
              </w:rPr>
              <w:t>Period</w:t>
            </w:r>
          </w:p>
        </w:tc>
        <w:tc>
          <w:tcPr>
            <w:tcW w:w="700" w:type="dxa"/>
            <w:vAlign w:val="bottom"/>
          </w:tcPr>
          <w:p>
            <w:pPr>
              <w:jc w:val="center"/>
              <w:spacing w:after="0"/>
              <w:rPr>
                <w:sz w:val="20"/>
                <w:szCs w:val="20"/>
                <w:color w:val="auto"/>
              </w:rPr>
            </w:pPr>
            <w:r>
              <w:rPr>
                <w:rFonts w:ascii="Arial" w:cs="Arial" w:eastAsia="Arial" w:hAnsi="Arial"/>
                <w:sz w:val="14"/>
                <w:szCs w:val="14"/>
                <w:color w:val="auto"/>
                <w:w w:val="83"/>
              </w:rPr>
              <w:t>Period</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Amelia Barite Plant/1600825</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$200</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N</w:t>
            </w: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w:t>
            </w: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2"/>
              </w:rPr>
              <w:t>Battle Mountain Grinding Plant/2600828</w:t>
            </w: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N</w:t>
            </w:r>
          </w:p>
        </w:tc>
        <w:tc>
          <w:tcPr>
            <w:tcW w:w="700" w:type="dxa"/>
            <w:vAlign w:val="bottom"/>
          </w:tcPr>
          <w:p>
            <w:pPr>
              <w:ind w:left="480"/>
              <w:spacing w:after="0"/>
              <w:rPr>
                <w:sz w:val="20"/>
                <w:szCs w:val="20"/>
                <w:color w:val="auto"/>
              </w:rPr>
            </w:pPr>
            <w:r>
              <w:rPr>
                <w:rFonts w:ascii="Arial" w:cs="Arial" w:eastAsia="Arial" w:hAnsi="Arial"/>
                <w:sz w:val="18"/>
                <w:szCs w:val="18"/>
                <w:color w:val="auto"/>
              </w:rPr>
              <w:t>N</w:t>
            </w:r>
          </w:p>
        </w:tc>
        <w:tc>
          <w:tcPr>
            <w:tcW w:w="640" w:type="dxa"/>
            <w:vAlign w:val="bottom"/>
          </w:tcPr>
          <w:p>
            <w:pPr>
              <w:jc w:val="right"/>
              <w:ind w:right="22"/>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
              <w:spacing w:after="0"/>
              <w:rPr>
                <w:sz w:val="20"/>
                <w:szCs w:val="20"/>
                <w:color w:val="auto"/>
              </w:rPr>
            </w:pPr>
            <w:r>
              <w:rPr>
                <w:rFonts w:ascii="Arial" w:cs="Arial" w:eastAsia="Arial" w:hAnsi="Arial"/>
                <w:sz w:val="18"/>
                <w:szCs w:val="18"/>
                <w:color w:val="auto"/>
              </w:rPr>
              <w:t>0</w:t>
            </w:r>
          </w:p>
        </w:tc>
      </w:tr>
      <w:tr>
        <w:trPr>
          <w:trHeight w:val="208"/>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Galveston GBT Barite Grinding</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4"/>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Plant/4104675</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$200</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N</w:t>
            </w: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w:t>
            </w: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Greybull Milling Operation/4800602</w:t>
            </w: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2</w:t>
            </w: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$8,964</w:t>
            </w: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N</w:t>
            </w:r>
          </w:p>
        </w:tc>
        <w:tc>
          <w:tcPr>
            <w:tcW w:w="700" w:type="dxa"/>
            <w:vAlign w:val="bottom"/>
          </w:tcPr>
          <w:p>
            <w:pPr>
              <w:ind w:left="480"/>
              <w:spacing w:after="0"/>
              <w:rPr>
                <w:sz w:val="20"/>
                <w:szCs w:val="20"/>
                <w:color w:val="auto"/>
              </w:rPr>
            </w:pPr>
            <w:r>
              <w:rPr>
                <w:rFonts w:ascii="Arial" w:cs="Arial" w:eastAsia="Arial" w:hAnsi="Arial"/>
                <w:sz w:val="18"/>
                <w:szCs w:val="18"/>
                <w:color w:val="auto"/>
              </w:rPr>
              <w:t>N</w:t>
            </w:r>
          </w:p>
        </w:tc>
        <w:tc>
          <w:tcPr>
            <w:tcW w:w="640" w:type="dxa"/>
            <w:vAlign w:val="bottom"/>
          </w:tcPr>
          <w:p>
            <w:pPr>
              <w:jc w:val="right"/>
              <w:ind w:right="22"/>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Greybull Mining Operation/4800603</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N</w:t>
            </w: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w:t>
            </w: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Greystone Mine/2600411</w:t>
            </w: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N</w:t>
            </w:r>
          </w:p>
        </w:tc>
        <w:tc>
          <w:tcPr>
            <w:tcW w:w="700" w:type="dxa"/>
            <w:vAlign w:val="bottom"/>
          </w:tcPr>
          <w:p>
            <w:pPr>
              <w:ind w:left="480"/>
              <w:spacing w:after="0"/>
              <w:rPr>
                <w:sz w:val="20"/>
                <w:szCs w:val="20"/>
                <w:color w:val="auto"/>
              </w:rPr>
            </w:pPr>
            <w:r>
              <w:rPr>
                <w:rFonts w:ascii="Arial" w:cs="Arial" w:eastAsia="Arial" w:hAnsi="Arial"/>
                <w:sz w:val="18"/>
                <w:szCs w:val="18"/>
                <w:color w:val="auto"/>
              </w:rPr>
              <w:t>N</w:t>
            </w:r>
          </w:p>
        </w:tc>
        <w:tc>
          <w:tcPr>
            <w:tcW w:w="640" w:type="dxa"/>
            <w:vAlign w:val="bottom"/>
          </w:tcPr>
          <w:p>
            <w:pPr>
              <w:jc w:val="right"/>
              <w:ind w:right="22"/>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MI SWACO-Alpine/4104829</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N</w:t>
            </w: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w:t>
            </w: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08"/>
        </w:trPr>
        <w:tc>
          <w:tcPr>
            <w:tcW w:w="2960" w:type="dxa"/>
            <w:vAlign w:val="bottom"/>
          </w:tcPr>
          <w:p>
            <w:pPr>
              <w:spacing w:after="0"/>
              <w:rPr>
                <w:sz w:val="20"/>
                <w:szCs w:val="20"/>
                <w:color w:val="auto"/>
              </w:rPr>
            </w:pPr>
            <w:r>
              <w:rPr>
                <w:rFonts w:ascii="Arial" w:cs="Arial" w:eastAsia="Arial" w:hAnsi="Arial"/>
                <w:sz w:val="18"/>
                <w:szCs w:val="18"/>
                <w:color w:val="auto"/>
              </w:rPr>
              <w:t>MI SWACO-Brownsville Grinding</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2"/>
        </w:trPr>
        <w:tc>
          <w:tcPr>
            <w:tcW w:w="2960" w:type="dxa"/>
            <w:vAlign w:val="bottom"/>
          </w:tcPr>
          <w:p>
            <w:pPr>
              <w:ind w:left="220"/>
              <w:spacing w:after="0"/>
              <w:rPr>
                <w:sz w:val="20"/>
                <w:szCs w:val="20"/>
                <w:color w:val="auto"/>
              </w:rPr>
            </w:pPr>
            <w:r>
              <w:rPr>
                <w:rFonts w:ascii="Arial" w:cs="Arial" w:eastAsia="Arial" w:hAnsi="Arial"/>
                <w:sz w:val="18"/>
                <w:szCs w:val="18"/>
                <w:color w:val="auto"/>
              </w:rPr>
              <w:t>Plant/4103033</w:t>
            </w: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$524</w:t>
            </w: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N</w:t>
            </w:r>
          </w:p>
        </w:tc>
        <w:tc>
          <w:tcPr>
            <w:tcW w:w="700" w:type="dxa"/>
            <w:vAlign w:val="bottom"/>
          </w:tcPr>
          <w:p>
            <w:pPr>
              <w:ind w:left="480"/>
              <w:spacing w:after="0"/>
              <w:rPr>
                <w:sz w:val="20"/>
                <w:szCs w:val="20"/>
                <w:color w:val="auto"/>
              </w:rPr>
            </w:pPr>
            <w:r>
              <w:rPr>
                <w:rFonts w:ascii="Arial" w:cs="Arial" w:eastAsia="Arial" w:hAnsi="Arial"/>
                <w:sz w:val="18"/>
                <w:szCs w:val="18"/>
                <w:color w:val="auto"/>
              </w:rPr>
              <w:t>N</w:t>
            </w:r>
          </w:p>
        </w:tc>
        <w:tc>
          <w:tcPr>
            <w:tcW w:w="640" w:type="dxa"/>
            <w:vAlign w:val="bottom"/>
          </w:tcPr>
          <w:p>
            <w:pPr>
              <w:jc w:val="right"/>
              <w:ind w:right="22"/>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96" w:lineRule="exact"/>
        <w:rPr>
          <w:sz w:val="20"/>
          <w:szCs w:val="20"/>
          <w:color w:val="auto"/>
        </w:rPr>
      </w:pPr>
    </w:p>
    <w:p>
      <w:pPr>
        <w:ind w:left="460" w:right="100" w:hanging="452"/>
        <w:spacing w:after="0" w:line="303"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Amounts included are the total dollar value of proposed or outstanding assessments received from MSHA on or before March 31, 2012, regardless of whether the assessment has been challenged or appealed, for citations and orders occurring during the three months ended March 31, 2012. Citations and orders can be contested and appealed, and as part of that process, are sometimes reduced in severity and amount, and sometimes dismissed. The number of</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citations, orders, and proposed assessments vary by inspector and also vary depending on the size and type of the operation.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*Since March 31, 2012, the MSHA has proposed an assessment of $4,329 for a citation at Battle Mountain Grinding Plant that was issued on May 19, 2011.</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assessment is being contested.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2"/>
    </w:lvl>
    <w:lvl w:ilvl="1">
      <w:lvlJc w:val="left"/>
      <w:lvlText w:val="•"/>
      <w:numFmt w:val="bullet"/>
      <w:start w:val="1"/>
    </w:lvl>
  </w:abstractNum>
  <w:abstractNum w:abstractNumId="4">
    <w:nsid w:val="519B500D"/>
    <w:multiLevelType w:val="hybridMultilevel"/>
    <w:lvl w:ilvl="0">
      <w:lvlJc w:val="left"/>
      <w:lvlText w:val="%1."/>
      <w:numFmt w:val="decimal"/>
      <w:start w:val="4"/>
    </w:lvl>
  </w:abstractNum>
  <w:abstractNum w:abstractNumId="5">
    <w:nsid w:val="431BD7B7"/>
    <w:multiLevelType w:val="hybridMultilevel"/>
    <w:lvl w:ilvl="0">
      <w:lvlJc w:val="left"/>
      <w:lvlText w:val="%1."/>
      <w:numFmt w:val="decimal"/>
      <w:start w:val="5"/>
    </w:lvl>
  </w:abstractNum>
  <w:abstractNum w:abstractNumId="6">
    <w:nsid w:val="3F2DBA31"/>
    <w:multiLevelType w:val="hybridMultilevel"/>
    <w:lvl w:ilvl="0">
      <w:lvlJc w:val="left"/>
      <w:lvlText w:val="%1."/>
      <w:numFmt w:val="decimal"/>
      <w:start w:val="6"/>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8"/>
    </w:lvl>
  </w:abstractNum>
  <w:abstractNum w:abstractNumId="11">
    <w:nsid w:val="628C895D"/>
    <w:multiLevelType w:val="hybridMultilevel"/>
    <w:lvl w:ilvl="0">
      <w:lvlJc w:val="left"/>
      <w:lvlText w:val="%1."/>
      <w:numFmt w:val="decimal"/>
      <w:start w:val="9"/>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0"/>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1."/>
      <w:numFmt w:val="decimal"/>
      <w:start w:val="12"/>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4"/>
    </w:lvl>
  </w:abstractNum>
  <w:abstractNum w:abstractNumId="18">
    <w:nsid w:val="8EDBDAB"/>
    <w:multiLevelType w:val="hybridMultilevel"/>
    <w:lvl w:ilvl="0">
      <w:lvlJc w:val="left"/>
      <w:lvlText w:val="%1."/>
      <w:numFmt w:val="decimal"/>
      <w:start w:val="15"/>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lvl w:ilvl="1">
      <w:lvlJc w:val="left"/>
      <w:lvlText w:val="*"/>
      <w:numFmt w:val="bullet"/>
      <w:start w:val="1"/>
    </w:lvl>
  </w:abstractNum>
  <w:abstractNum w:abstractNumId="26">
    <w:nsid w:val="836C40E"/>
    <w:multiLevelType w:val="hybridMultilevel"/>
    <w:lvl w:ilvl="0">
      <w:lvlJc w:val="left"/>
      <w:lvlText w:val="**"/>
      <w:numFmt w:val="bullet"/>
      <w:start w:val="1"/>
    </w:lvl>
    <w:lvl w:ilvl="1">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2019-12-09T07:23:54Z</dcterms:created>
  <dcterms:modified xsi:type="dcterms:W3CDTF">2019-12-09T07:23:54Z</dcterms:modified>
</cp:coreProperties>
</file>