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5599 San Felipe, Houston, Texas </w:t>
      </w:r>
      <w:r>
        <w:rPr>
          <w:rFonts w:ascii="Arial" w:cs="Arial" w:eastAsia="Arial" w:hAnsi="Arial"/>
          <w:sz w:val="18"/>
          <w:szCs w:val="18"/>
          <w:b w:val="1"/>
          <w:bCs w:val="1"/>
          <w:color w:val="FFFFFF"/>
        </w:rPr>
        <w:t>,</w:t>
      </w:r>
      <w:r>
        <w:rPr>
          <w:rFonts w:ascii="Arial" w:cs="Arial" w:eastAsia="Arial" w:hAnsi="Arial"/>
          <w:sz w:val="18"/>
          <w:szCs w:val="18"/>
          <w:b w:val="1"/>
          <w:bCs w:val="1"/>
          <w:color w:val="auto"/>
        </w:rPr>
        <w:t xml:space="preserve"> U.S.A.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On August 11, 2020, Schlumberger Investment SA (the “Issuer”) issued $350,000,000 aggregate principal amount of 2.650% Senior Notes due 2030 (the “Notes”) under a registration statement on Form S-3 under the Securities Act of 1933, as amended (the “Securities Act”). The registration statement was filed with the SEC on April 25, 2019 (Registration No. 333-231029) (the “Registration Statement”).</w:t>
      </w:r>
    </w:p>
    <w:p>
      <w:pPr>
        <w:spacing w:after="0" w:line="16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Notes constitute a further issuance of the 2.650% Senior Notes due 2030, of which $900,000,000 aggregate principal amount was issued on June 26, 2020 (the “Existing Notes”). The Notes are also referred to in this Form 8-K as the “Additional Notes.” The Additional Notes form a single series with, and have the same terms (other than the initial offering price and the issue date) as, the Existing Notes. The Additional Notes have the same CUSIP and will trade interchangeably with the Existing Notes. After giving effect to the issuance of the Additional Notes, there is $1,250,000,000 aggregate principal amount outstanding of 2.650% Senior Notes due 2030.</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Additional Notes are fully and unconditionally guaranteed by Schlumberger Limited (“Schlumberger”). The Additional Notes were sold pursuant to an underwriting agreement dated as of August 4, 2020 (the “Underwriting Agreement”), by and among the Issuer, Schlumberger and Citigroup Global Markets Inc. (the “Underwriter”). The Additional Notes were issued under an Indenture dated as of December 3, 2013 (the “Indenture”), by and among the Issuer, Schlumberger, as guarantor, and The Bank of New York Mellon, as trustee (the “Trustee”), as supplemented by a Second Supplemental Indenture dated as of June 26, 2020 by and among the Issuer, Schlumberger, as guarantor, and the Trustee (the “Second Supplemental Indenture”), and as further supplemented by an Officers’ Certificate dated as of August 11, 2020 executed by the Issuer and Schlumberger (the “Officers’ Certificate”).</w:t>
      </w:r>
    </w:p>
    <w:p>
      <w:pPr>
        <w:spacing w:after="0" w:line="19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relevant terms of the Notes, the Indenture, the Second Supplemental Indenture and the Officers’ Certificate are further described under the caption “Description of the Notes” in the prospectus supplement dated August 4, 2020, filed with the SEC by Schlumberger on August 6, 2020, pursuant to Rule 424(b)(5) under the Securities Act and in the section entitled “Description of Debt Securities” in the base prospectus dated April 25, 2019, included in the Registration Statement. These descriptions are incorporated in this Item 8.01 by reference.</w:t>
      </w:r>
    </w:p>
    <w:p>
      <w:pPr>
        <w:spacing w:after="0" w:line="17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Underwriting Agreement and the Officers’ Certificate (including the form of the Additional Notes) are filed as exhibits to this Current Report on Form 8-K and incorporated by reference. The descriptions of the Underwriting Agreement and the Officers’ Certificate (including the form of the Additional Notes) in this Current Report on Form 8-K are summaries and are qualified in their entirety by the terms of the Underwriting Agreement and the Officers’ Certificate (including the form of the Additional Notes). Schlumberger is filing this Current Report on Form 8-K so as to file with the SEC certain items that are to be incorporated by reference into the Registration Statement.</w:t>
      </w:r>
    </w:p>
    <w:p>
      <w:pPr>
        <w:sectPr>
          <w:pgSz w:w="11900" w:h="16838" w:orient="portrait"/>
          <w:cols w:equalWidth="0" w:num="1">
            <w:col w:w="11000"/>
          </w:cols>
          <w:pgMar w:left="440" w:top="297" w:right="45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exhibits listed below are filed pursuant to Item 9.01 of this Form 8-K.</w:t>
      </w:r>
    </w:p>
    <w:p>
      <w:pPr>
        <w:spacing w:after="0" w:line="252" w:lineRule="exact"/>
        <w:rPr>
          <w:sz w:val="20"/>
          <w:szCs w:val="20"/>
          <w:color w:val="auto"/>
        </w:rPr>
      </w:pPr>
    </w:p>
    <w:p>
      <w:pPr>
        <w:ind w:left="664" w:hanging="439"/>
        <w:spacing w:after="0" w:line="277" w:lineRule="auto"/>
        <w:tabs>
          <w:tab w:leader="none" w:pos="664"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Underwriting Agreement dated August 4, 2020, by and among Schlumberger Investment SA, Schlumberger Limited and Citigroup Global</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Markets Inc.</w:t>
        </w:r>
      </w:hyperlink>
    </w:p>
    <w:p>
      <w:pPr>
        <w:spacing w:after="0" w:line="62" w:lineRule="exact"/>
        <w:rPr>
          <w:rFonts w:ascii="Arial" w:cs="Arial" w:eastAsia="Arial" w:hAnsi="Arial"/>
          <w:sz w:val="18"/>
          <w:szCs w:val="18"/>
          <w:color w:val="auto"/>
        </w:rPr>
      </w:pPr>
    </w:p>
    <w:p>
      <w:pPr>
        <w:ind w:left="8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41">
        <w:r>
          <w:rPr>
            <w:rFonts w:ascii="Arial" w:cs="Arial" w:eastAsia="Arial" w:hAnsi="Arial"/>
            <w:sz w:val="16"/>
            <w:szCs w:val="16"/>
            <w:u w:val="single" w:color="auto"/>
            <w:color w:val="0000EE"/>
          </w:rPr>
          <w:t>Officers’ Certificate dated as of August 11, 2020, executed by Schlumberger Investment SA and Schlumberger Limited.</w:t>
        </w:r>
      </w:hyperlink>
    </w:p>
    <w:p>
      <w:pPr>
        <w:spacing w:after="0" w:line="117" w:lineRule="exact"/>
        <w:rPr>
          <w:rFonts w:ascii="Arial" w:cs="Arial" w:eastAsia="Arial" w:hAnsi="Arial"/>
          <w:sz w:val="18"/>
          <w:szCs w:val="18"/>
          <w:color w:val="auto"/>
        </w:rPr>
      </w:pPr>
    </w:p>
    <w:p>
      <w:pPr>
        <w:ind w:left="8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41">
        <w:r>
          <w:rPr>
            <w:rFonts w:ascii="Arial" w:cs="Arial" w:eastAsia="Arial" w:hAnsi="Arial"/>
            <w:sz w:val="16"/>
            <w:szCs w:val="16"/>
            <w:u w:val="single" w:color="auto"/>
            <w:color w:val="0000EE"/>
          </w:rPr>
          <w:t>Form of 2.650% Senior Notes due 2030 (included as Exhibit A to Exhibit 4.1).</w:t>
        </w:r>
      </w:hyperlink>
    </w:p>
    <w:p>
      <w:pPr>
        <w:spacing w:after="0" w:line="117" w:lineRule="exact"/>
        <w:rPr>
          <w:rFonts w:ascii="Arial" w:cs="Arial" w:eastAsia="Arial" w:hAnsi="Arial"/>
          <w:sz w:val="18"/>
          <w:szCs w:val="18"/>
          <w:color w:val="auto"/>
        </w:rPr>
      </w:pPr>
    </w:p>
    <w:p>
      <w:pPr>
        <w:ind w:left="8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57">
        <w:r>
          <w:rPr>
            <w:rFonts w:ascii="Arial" w:cs="Arial" w:eastAsia="Arial" w:hAnsi="Arial"/>
            <w:sz w:val="16"/>
            <w:szCs w:val="16"/>
            <w:u w:val="single" w:color="auto"/>
            <w:color w:val="0000EE"/>
          </w:rPr>
          <w:t>Opinion of Gibson, Dunn &amp; Crutcher LLP.</w:t>
        </w:r>
      </w:hyperlink>
    </w:p>
    <w:p>
      <w:pPr>
        <w:spacing w:after="0" w:line="117" w:lineRule="exact"/>
        <w:rPr>
          <w:rFonts w:ascii="Arial" w:cs="Arial" w:eastAsia="Arial" w:hAnsi="Arial"/>
          <w:sz w:val="18"/>
          <w:szCs w:val="18"/>
          <w:color w:val="auto"/>
        </w:rPr>
      </w:pPr>
    </w:p>
    <w:p>
      <w:pPr>
        <w:ind w:left="8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60">
        <w:r>
          <w:rPr>
            <w:rFonts w:ascii="Arial" w:cs="Arial" w:eastAsia="Arial" w:hAnsi="Arial"/>
            <w:sz w:val="16"/>
            <w:szCs w:val="16"/>
            <w:u w:val="single" w:color="auto"/>
            <w:color w:val="0000EE"/>
          </w:rPr>
          <w:t>Opinion of Loyens &amp; Loeff Luxembourg S.à r.l</w:t>
        </w:r>
        <w:r>
          <w:rPr>
            <w:rFonts w:ascii="Arial" w:cs="Arial" w:eastAsia="Arial" w:hAnsi="Arial"/>
            <w:sz w:val="16"/>
            <w:szCs w:val="16"/>
            <w:color w:val="0000EE"/>
          </w:rPr>
          <w:t>.</w:t>
        </w:r>
      </w:hyperlink>
    </w:p>
    <w:p>
      <w:pPr>
        <w:spacing w:after="0" w:line="117" w:lineRule="exact"/>
        <w:rPr>
          <w:rFonts w:ascii="Arial" w:cs="Arial" w:eastAsia="Arial" w:hAnsi="Arial"/>
          <w:sz w:val="18"/>
          <w:szCs w:val="18"/>
          <w:color w:val="auto"/>
        </w:rPr>
      </w:pPr>
    </w:p>
    <w:p>
      <w:pPr>
        <w:ind w:left="8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5.3</w:t>
      </w:r>
      <w:r>
        <w:rPr>
          <w:sz w:val="20"/>
          <w:szCs w:val="20"/>
          <w:color w:val="auto"/>
        </w:rPr>
        <w:tab/>
      </w:r>
      <w:hyperlink w:anchor="page71">
        <w:r>
          <w:rPr>
            <w:rFonts w:ascii="Arial" w:cs="Arial" w:eastAsia="Arial" w:hAnsi="Arial"/>
            <w:sz w:val="16"/>
            <w:szCs w:val="16"/>
            <w:u w:val="single" w:color="auto"/>
            <w:color w:val="0000EE"/>
          </w:rPr>
          <w:t>Opinion of STvB Advocaten (Europe) N.V.</w:t>
        </w:r>
      </w:hyperlink>
    </w:p>
    <w:p>
      <w:pPr>
        <w:spacing w:after="0" w:line="117" w:lineRule="exact"/>
        <w:rPr>
          <w:rFonts w:ascii="Arial" w:cs="Arial" w:eastAsia="Arial" w:hAnsi="Arial"/>
          <w:sz w:val="18"/>
          <w:szCs w:val="18"/>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57">
        <w:r>
          <w:rPr>
            <w:rFonts w:ascii="Arial" w:cs="Arial" w:eastAsia="Arial" w:hAnsi="Arial"/>
            <w:sz w:val="16"/>
            <w:szCs w:val="16"/>
            <w:u w:val="single" w:color="auto"/>
            <w:color w:val="0000EE"/>
          </w:rPr>
          <w:t>Consent of Gibson, Dunn &amp; Crutcher LLP (included in Exhibit 5.1).</w:t>
        </w:r>
      </w:hyperlink>
    </w:p>
    <w:p>
      <w:pPr>
        <w:spacing w:after="0" w:line="117" w:lineRule="exact"/>
        <w:rPr>
          <w:rFonts w:ascii="Arial" w:cs="Arial" w:eastAsia="Arial" w:hAnsi="Arial"/>
          <w:sz w:val="18"/>
          <w:szCs w:val="18"/>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60">
        <w:r>
          <w:rPr>
            <w:rFonts w:ascii="Arial" w:cs="Arial" w:eastAsia="Arial" w:hAnsi="Arial"/>
            <w:sz w:val="16"/>
            <w:szCs w:val="16"/>
            <w:u w:val="single" w:color="auto"/>
            <w:color w:val="0000EE"/>
          </w:rPr>
          <w:t>Consent of Loyens &amp; Loeff Luxembourg S.à r.l. (included in Exhibit 5.2).</w:t>
        </w:r>
      </w:hyperlink>
    </w:p>
    <w:p>
      <w:pPr>
        <w:spacing w:after="0" w:line="117" w:lineRule="exact"/>
        <w:rPr>
          <w:rFonts w:ascii="Arial" w:cs="Arial" w:eastAsia="Arial" w:hAnsi="Arial"/>
          <w:sz w:val="18"/>
          <w:szCs w:val="18"/>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71">
        <w:r>
          <w:rPr>
            <w:rFonts w:ascii="Arial" w:cs="Arial" w:eastAsia="Arial" w:hAnsi="Arial"/>
            <w:sz w:val="16"/>
            <w:szCs w:val="16"/>
            <w:u w:val="single" w:color="auto"/>
            <w:color w:val="0000EE"/>
          </w:rPr>
          <w:t>Consent of STvB Advocaten (Europe) N.V. (included in Exhibit 5.3).</w:t>
        </w:r>
      </w:hyperlink>
    </w:p>
    <w:p>
      <w:pPr>
        <w:spacing w:after="0" w:line="117" w:lineRule="exact"/>
        <w:rPr>
          <w:rFonts w:ascii="Arial" w:cs="Arial" w:eastAsia="Arial" w:hAnsi="Arial"/>
          <w:sz w:val="18"/>
          <w:szCs w:val="18"/>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624"/>
          </w:cols>
          <w:pgMar w:left="436" w:top="297" w:right="8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ectPr>
          <w:pgSz w:w="11900" w:h="16838" w:orient="portrait"/>
          <w:cols w:equalWidth="0" w:num="1">
            <w:col w:w="10840"/>
          </w:cols>
          <w:pgMar w:left="440" w:top="297"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INVESTMENT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$350,000,000 2.650% Senior Notes due 2030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guaranteed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 of the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Investment SA, a public limited liability company (société anonyme) organized under the laws of the Grand Duchy of Luxembourg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having its registered address at 42-44 Avenue de la Gare, L-1610 Luxembourg, and registered with the Luxembourg Register of Commerce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Companies under number B 163.122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to issue and sell to the several Underwriters listed in Schedule 1 hereto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are acting as representatives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$350,000,000 principal amount of its 2.650% Senior Notes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2030 (the “</w:t>
      </w:r>
      <w:r>
        <w:rPr>
          <w:rFonts w:ascii="Arial" w:cs="Arial" w:eastAsia="Arial" w:hAnsi="Arial"/>
          <w:sz w:val="16"/>
          <w:szCs w:val="16"/>
          <w:u w:val="single" w:color="auto"/>
          <w:color w:val="auto"/>
        </w:rPr>
        <w:t>Securities</w:t>
      </w:r>
      <w:r>
        <w:rPr>
          <w:rFonts w:ascii="Arial" w:cs="Arial" w:eastAsia="Arial" w:hAnsi="Arial"/>
          <w:sz w:val="16"/>
          <w:szCs w:val="16"/>
          <w:color w:val="auto"/>
        </w:rPr>
        <w:t>”). If no other Underwriters are listed on Schedule 1 hereto, each of the terms Representatives and Underwriters shall refer only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and the terms Representatives and Underwriters shall mean either the singular or plural as the context requires.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will be issued pursuant to an Indenture dated as of December 3, 2013 (the “</w:t>
      </w:r>
      <w:r>
        <w:rPr>
          <w:rFonts w:ascii="Arial" w:cs="Arial" w:eastAsia="Arial" w:hAnsi="Arial"/>
          <w:sz w:val="16"/>
          <w:szCs w:val="16"/>
          <w:u w:val="single" w:color="auto"/>
          <w:color w:val="auto"/>
        </w:rPr>
        <w:t>Base Indenture</w:t>
      </w:r>
      <w:r>
        <w:rPr>
          <w:rFonts w:ascii="Arial" w:cs="Arial" w:eastAsia="Arial" w:hAnsi="Arial"/>
          <w:sz w:val="16"/>
          <w:szCs w:val="16"/>
          <w:color w:val="auto"/>
        </w:rPr>
        <w:t>”) among the Company, Schlumberger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Limited, a company incorporated under the laws of Curaçao, as guarantor (the “</w:t>
      </w:r>
      <w:r>
        <w:rPr>
          <w:rFonts w:ascii="Arial" w:cs="Arial" w:eastAsia="Arial" w:hAnsi="Arial"/>
          <w:sz w:val="17"/>
          <w:szCs w:val="17"/>
          <w:u w:val="single" w:color="auto"/>
          <w:color w:val="auto"/>
        </w:rPr>
        <w:t>Guarantor</w:t>
      </w:r>
      <w:r>
        <w:rPr>
          <w:rFonts w:ascii="Arial" w:cs="Arial" w:eastAsia="Arial" w:hAnsi="Arial"/>
          <w:sz w:val="17"/>
          <w:szCs w:val="17"/>
          <w:color w:val="auto"/>
        </w:rPr>
        <w:t>”), and The Bank of New York Mellon,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as amended and supplemented by a supplemental indenture dated as of June 26, 2020 (the “Second Supplemental Indenture,” together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Base Indenture, the “</w:t>
      </w:r>
      <w:r>
        <w:rPr>
          <w:rFonts w:ascii="Arial" w:cs="Arial" w:eastAsia="Arial" w:hAnsi="Arial"/>
          <w:sz w:val="16"/>
          <w:szCs w:val="16"/>
          <w:u w:val="single" w:color="auto"/>
          <w:color w:val="auto"/>
        </w:rPr>
        <w:t>Existing Indenture</w:t>
      </w:r>
      <w:r>
        <w:rPr>
          <w:rFonts w:ascii="Arial" w:cs="Arial" w:eastAsia="Arial" w:hAnsi="Arial"/>
          <w:sz w:val="16"/>
          <w:szCs w:val="16"/>
          <w:color w:val="auto"/>
        </w:rPr>
        <w:t>”), and as further supplemented by an Officer’s Certificate pursuant to Article II of the Base Indenture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1.2(2)</w:t>
      </w:r>
    </w:p>
    <w:p>
      <w:pPr>
        <w:sectPr>
          <w:pgSz w:w="11900" w:h="16838" w:orient="portrait"/>
          <w:cols w:equalWidth="0" w:num="1">
            <w:col w:w="11020"/>
          </w:cols>
          <w:pgMar w:left="440" w:top="121" w:right="439" w:bottom="1440" w:gutter="0" w:footer="0" w:header="0"/>
        </w:sectPr>
      </w:pPr>
    </w:p>
    <w:bookmarkStart w:id="5" w:name="page6"/>
    <w:bookmarkEnd w:id="5"/>
    <w:p>
      <w:pPr>
        <w:ind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Second Supplemental Indenture to be dated as of the Closing Date (the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and, together with the Existing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and will be unconditionally guaranteed on an unsecured senior basis by the Guarantor (the “</w:t>
      </w:r>
      <w:r>
        <w:rPr>
          <w:rFonts w:ascii="Arial" w:cs="Arial" w:eastAsia="Arial" w:hAnsi="Arial"/>
          <w:sz w:val="17"/>
          <w:szCs w:val="17"/>
          <w:u w:val="single" w:color="auto"/>
          <w:color w:val="auto"/>
        </w:rPr>
        <w:t>Guarantee</w:t>
      </w:r>
      <w:r>
        <w:rPr>
          <w:rFonts w:ascii="Arial" w:cs="Arial" w:eastAsia="Arial" w:hAnsi="Arial"/>
          <w:sz w:val="17"/>
          <w:szCs w:val="17"/>
          <w:color w:val="auto"/>
        </w:rPr>
        <w:t>”).</w:t>
      </w:r>
    </w:p>
    <w:p>
      <w:pPr>
        <w:spacing w:after="0" w:line="14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On June 26, 2020, the Company issued $900,000,000 in aggregate principal amount of 2.650% Senior Notes due 2030 (the “</w:t>
      </w:r>
      <w:r>
        <w:rPr>
          <w:rFonts w:ascii="Arial" w:cs="Arial" w:eastAsia="Arial" w:hAnsi="Arial"/>
          <w:sz w:val="17"/>
          <w:szCs w:val="17"/>
          <w:u w:val="single" w:color="auto"/>
          <w:color w:val="auto"/>
        </w:rPr>
        <w:t>Existing Securities</w:t>
      </w:r>
      <w:r>
        <w:rPr>
          <w:rFonts w:ascii="Arial" w:cs="Arial" w:eastAsia="Arial" w:hAnsi="Arial"/>
          <w:sz w:val="17"/>
          <w:szCs w:val="17"/>
          <w:color w:val="auto"/>
        </w:rPr>
        <w:t>”). The Securities offered hereby by the Company constitute an issuance of “Additional Notes” under the Indenture. Except as otherwise described in the Prospectus, the Securities offered by the Company will have identical terms (other than the issue date and public offering price) to the Existing Securities and will be treated as a single class of securities for all purposes under the Indenture.</w:t>
      </w:r>
    </w:p>
    <w:p>
      <w:pPr>
        <w:spacing w:after="0" w:line="17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and the Guarantor hereby confirm their agreement with the several Underwriters concerning the purchase and sale of the Securities,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and the Guarantor have prepared and filed with the Securities and Exchange Commission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u w:val="single" w:color="auto"/>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Act</w:t>
      </w:r>
      <w:r>
        <w:rPr>
          <w:rFonts w:ascii="Arial" w:cs="Arial" w:eastAsia="Arial" w:hAnsi="Arial"/>
          <w:sz w:val="16"/>
          <w:szCs w:val="16"/>
          <w:color w:val="auto"/>
        </w:rPr>
        <w:t>”), a registration statement on Form S-3 (File No. 333-231029), including a prospectus, relating to the Securities. Such registration statement,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at the time it becomes effective, including the information, if any, deemed pursuant to Rule 430B under the Securities Act to be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at the time of its effectiveness (“</w:t>
      </w:r>
      <w:r>
        <w:rPr>
          <w:rFonts w:ascii="Arial" w:cs="Arial" w:eastAsia="Arial" w:hAnsi="Arial"/>
          <w:sz w:val="16"/>
          <w:szCs w:val="16"/>
          <w:u w:val="single" w:color="auto"/>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as used herein,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means each preliminary prospectus relating to the Securities filed with the Commission pursuant to Rule 424(b)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and the prospectus included in the Registration Statement at the time of its effectiveness that omits Rule 430 Information,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in the form first used (or made available upon request of purchasers pursuant to Rule 173 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in connection with confirmation of sales of the Securities. If the Company and the Guarantor have filed an abbreviated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pursuant to Rule 462(b) under the Securities Act (the “</w:t>
      </w:r>
      <w:r>
        <w:rPr>
          <w:rFonts w:ascii="Arial" w:cs="Arial" w:eastAsia="Arial" w:hAnsi="Arial"/>
          <w:sz w:val="16"/>
          <w:szCs w:val="16"/>
          <w:u w:val="single" w:color="auto"/>
          <w:color w:val="auto"/>
        </w:rPr>
        <w:t>Rule 462 Registration Statement</w:t>
      </w:r>
      <w:r>
        <w:rPr>
          <w:rFonts w:ascii="Arial" w:cs="Arial" w:eastAsia="Arial" w:hAnsi="Arial"/>
          <w:sz w:val="16"/>
          <w:szCs w:val="16"/>
          <w:color w:val="auto"/>
        </w:rPr>
        <w:t>”), then any reference herein to the term “</w:t>
      </w:r>
      <w:r>
        <w:rPr>
          <w:rFonts w:ascii="Arial" w:cs="Arial" w:eastAsia="Arial" w:hAnsi="Arial"/>
          <w:sz w:val="16"/>
          <w:szCs w:val="16"/>
          <w:u w:val="single" w:color="auto"/>
          <w:color w:val="auto"/>
        </w:rPr>
        <w:t>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Statement</w:t>
      </w:r>
      <w:r>
        <w:rPr>
          <w:rFonts w:ascii="Arial" w:cs="Arial" w:eastAsia="Arial" w:hAnsi="Arial"/>
          <w:sz w:val="17"/>
          <w:szCs w:val="17"/>
          <w:color w:val="auto"/>
        </w:rPr>
        <w:t>” shall be deemed to include such Rule 462 Registration Statement. Any reference in this Agreement to the Registration Statement,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Prospectus or the Prospectus shall be deemed to refer to and include the documents incorporated by reference therein pursuant to Item 12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S-3 under the Securities Act, as of the effective date of the Registration Statement or the date of such Preliminary Prospectus or the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and any reference to “</w:t>
      </w:r>
      <w:r>
        <w:rPr>
          <w:rFonts w:ascii="Arial" w:cs="Arial" w:eastAsia="Arial" w:hAnsi="Arial"/>
          <w:sz w:val="16"/>
          <w:szCs w:val="16"/>
          <w:u w:val="single" w:color="auto"/>
          <w:color w:val="auto"/>
        </w:rPr>
        <w:t>amend</w:t>
      </w:r>
      <w:r>
        <w:rPr>
          <w:rFonts w:ascii="Arial" w:cs="Arial" w:eastAsia="Arial" w:hAnsi="Arial"/>
          <w:sz w:val="16"/>
          <w:szCs w:val="16"/>
          <w:color w:val="auto"/>
        </w:rPr>
        <w:t>”, “</w:t>
      </w:r>
      <w:r>
        <w:rPr>
          <w:rFonts w:ascii="Arial" w:cs="Arial" w:eastAsia="Arial" w:hAnsi="Arial"/>
          <w:sz w:val="16"/>
          <w:szCs w:val="16"/>
          <w:u w:val="single" w:color="auto"/>
          <w:color w:val="auto"/>
        </w:rPr>
        <w:t>amendment</w:t>
      </w:r>
      <w:r>
        <w:rPr>
          <w:rFonts w:ascii="Arial" w:cs="Arial" w:eastAsia="Arial" w:hAnsi="Arial"/>
          <w:sz w:val="16"/>
          <w:szCs w:val="16"/>
          <w:color w:val="auto"/>
        </w:rPr>
        <w:t>” or “</w:t>
      </w:r>
      <w:r>
        <w:rPr>
          <w:rFonts w:ascii="Arial" w:cs="Arial" w:eastAsia="Arial" w:hAnsi="Arial"/>
          <w:sz w:val="16"/>
          <w:szCs w:val="16"/>
          <w:u w:val="single" w:color="auto"/>
          <w:color w:val="auto"/>
        </w:rPr>
        <w:t>supplement</w:t>
      </w:r>
      <w:r>
        <w:rPr>
          <w:rFonts w:ascii="Arial" w:cs="Arial" w:eastAsia="Arial" w:hAnsi="Arial"/>
          <w:sz w:val="16"/>
          <w:szCs w:val="16"/>
          <w:color w:val="auto"/>
        </w:rPr>
        <w:t>” with respect to the Registration Statement, any Preliminary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Prospectus shall be deemed to refer to and include any documents filed after such date under the Securities Exchange Act of 1934, as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rules and regulations of the Commission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that are deemed to be incorporated by reference therein.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meanings given to such terms in the Registration Statement and the Prospectus.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or prior to the Time of Sale (as defined below), the Company and the Guarantor had prepared the following information (collectively, the</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a Preliminary Prospectus dated August 4, 2020, and each “</w:t>
      </w:r>
      <w:r>
        <w:rPr>
          <w:rFonts w:ascii="Arial" w:cs="Arial" w:eastAsia="Arial" w:hAnsi="Arial"/>
          <w:sz w:val="18"/>
          <w:szCs w:val="18"/>
          <w:u w:val="single" w:color="auto"/>
          <w:color w:val="auto"/>
        </w:rPr>
        <w:t>free-writing prospectus</w:t>
      </w:r>
      <w:r>
        <w:rPr>
          <w:rFonts w:ascii="Arial" w:cs="Arial" w:eastAsia="Arial" w:hAnsi="Arial"/>
          <w:sz w:val="18"/>
          <w:szCs w:val="18"/>
          <w:color w:val="auto"/>
        </w:rPr>
        <w:t>” (as defined pursuant to Rule 405 under the Securities Act) listed on Annex A hereto.</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means 4:00 p.m., New York City time, on August 4, 2020.</w:t>
      </w:r>
    </w:p>
    <w:p>
      <w:pPr>
        <w:spacing w:after="0" w:line="225" w:lineRule="exact"/>
        <w:rPr>
          <w:sz w:val="20"/>
          <w:szCs w:val="20"/>
          <w:color w:val="auto"/>
        </w:rPr>
      </w:pPr>
    </w:p>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55" w:lineRule="auto"/>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102.635% of the principal amount thereof plus accrued interest deemed to have accrued from and including June 26, 2020, to the Closing Date (as defined below). The Company will not be obligated to deliver any of the Securities except upon payment for all the Securities to be purchased as provided herein.</w:t>
      </w:r>
    </w:p>
    <w:p>
      <w:pPr>
        <w:spacing w:after="0" w:line="192" w:lineRule="exact"/>
        <w:rPr>
          <w:rFonts w:ascii="Arial" w:cs="Arial" w:eastAsia="Arial" w:hAnsi="Arial"/>
          <w:sz w:val="18"/>
          <w:szCs w:val="18"/>
          <w:color w:val="auto"/>
        </w:rPr>
      </w:pPr>
    </w:p>
    <w:p>
      <w:pPr>
        <w:ind w:firstLine="436"/>
        <w:spacing w:after="0" w:line="279"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the Guarantor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and the Guarantor acknowledge and agree that the Underwriters may offer and sell Securities to or through any affiliate of an Underwriter and that any such affiliate may offer and sell Securities purchased by it to or through any Underwriter.</w:t>
      </w:r>
    </w:p>
    <w:p>
      <w:pPr>
        <w:spacing w:after="0" w:line="171" w:lineRule="exact"/>
        <w:rPr>
          <w:rFonts w:ascii="Arial" w:cs="Arial" w:eastAsia="Arial" w:hAnsi="Arial"/>
          <w:sz w:val="17"/>
          <w:szCs w:val="17"/>
          <w:color w:val="auto"/>
        </w:rPr>
      </w:pPr>
    </w:p>
    <w:p>
      <w:pPr>
        <w:ind w:right="40" w:firstLine="436"/>
        <w:spacing w:after="0" w:line="311"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Payment for and delivery of the Securities will be made at the offices of Davis Polk &amp; Wardwell LLP at 10:00 A.M., New York City time, on August 11, 2020,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right="20" w:firstLine="436"/>
        <w:spacing w:after="0" w:line="25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account of the Underwriters, of one or more global notes representing the Securities (collectively, the “</w:t>
      </w:r>
      <w:r>
        <w:rPr>
          <w:rFonts w:ascii="Arial" w:cs="Arial" w:eastAsia="Arial" w:hAnsi="Arial"/>
          <w:sz w:val="18"/>
          <w:szCs w:val="18"/>
          <w:u w:val="single" w:color="auto"/>
          <w:color w:val="auto"/>
        </w:rPr>
        <w:t>Global Note</w:t>
      </w:r>
      <w:r>
        <w:rPr>
          <w:rFonts w:ascii="Arial" w:cs="Arial" w:eastAsia="Arial" w:hAnsi="Arial"/>
          <w:sz w:val="18"/>
          <w:szCs w:val="18"/>
          <w:color w:val="auto"/>
        </w:rPr>
        <w:t>”), with any transfer taxes payable in connection with the sale of the Securities duly paid by the Company. The Global Note will be made available for inspection by the Representatives not later than 1:00 P.M., New York City time, on the business day prior to the Closing Date.</w:t>
      </w:r>
    </w:p>
    <w:p>
      <w:pPr>
        <w:spacing w:after="0" w:line="187" w:lineRule="exact"/>
        <w:rPr>
          <w:rFonts w:ascii="Arial" w:cs="Arial" w:eastAsia="Arial" w:hAnsi="Arial"/>
          <w:sz w:val="18"/>
          <w:szCs w:val="18"/>
          <w:color w:val="auto"/>
        </w:rPr>
      </w:pPr>
    </w:p>
    <w:p>
      <w:pPr>
        <w:ind w:right="180" w:firstLine="436"/>
        <w:spacing w:after="0" w:line="311"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and the Guarantor acknowledge and agree that each Underwriter is acting solely in the capacity of an arm’s length contractual counterparty to the Company and the Guarantor with respect to the offering of Securities contemplated hereby (including in connection with determining the terms of the offering) and not as a financial advisor or a fiduciary to, or an agent of, the Company, the Guarantor or any other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7" w:name="page8"/>
    <w:bookmarkEnd w:id="7"/>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Additionally, neither the Representatives nor any other Underwriter is advising the Company, the Guarantor or any other person as to any legal, tax, investment, accounting or regulatory matters in any jurisdiction. The Company and the Guarantor shall consult with their own advisors concerning such matters and shall be responsible for making their own independent investigation and appraisal of the transactions contemplated hereby, and neither the Representatives nor any other Underwriter shall have any responsibility or liability to the Company or the Guarantor with respect thereto. Any review by the Representatives or any Underwriter of the Company, the Guarantor, the transactions contemplated hereby or other matters relating to such transactions will be performed solely for the benefit of the Representatives or such Underwriter and shall not be on behalf of the Company or the Guarantor or any other person.</w:t>
      </w:r>
    </w:p>
    <w:p>
      <w:pPr>
        <w:spacing w:after="0" w:line="19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3A. </w:t>
      </w:r>
      <w:r>
        <w:rPr>
          <w:rFonts w:ascii="Arial" w:cs="Arial" w:eastAsia="Arial" w:hAnsi="Arial"/>
          <w:sz w:val="18"/>
          <w:szCs w:val="18"/>
          <w:u w:val="single" w:color="auto"/>
          <w:color w:val="auto"/>
        </w:rPr>
        <w:t>Representations and Warranties of the Company and the Guarantor</w:t>
      </w:r>
      <w:r>
        <w:rPr>
          <w:rFonts w:ascii="Arial" w:cs="Arial" w:eastAsia="Arial" w:hAnsi="Arial"/>
          <w:sz w:val="18"/>
          <w:szCs w:val="18"/>
          <w:color w:val="auto"/>
        </w:rPr>
        <w:t>. The Company and the Guarantor jointly and severally represent and warrant to each Underwriter that:</w:t>
      </w:r>
    </w:p>
    <w:p>
      <w:pPr>
        <w:spacing w:after="0" w:line="170" w:lineRule="exact"/>
        <w:rPr>
          <w:sz w:val="20"/>
          <w:szCs w:val="20"/>
          <w:color w:val="auto"/>
        </w:rPr>
      </w:pPr>
    </w:p>
    <w:p>
      <w:pPr>
        <w:ind w:right="20" w:firstLine="436"/>
        <w:spacing w:after="0" w:line="273" w:lineRule="auto"/>
        <w:tabs>
          <w:tab w:leader="none" w:pos="68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w:t>
      </w:r>
    </w:p>
    <w:p>
      <w:pPr>
        <w:spacing w:after="0" w:line="177" w:lineRule="exact"/>
        <w:rPr>
          <w:rFonts w:ascii="Arial" w:cs="Arial" w:eastAsia="Arial" w:hAnsi="Arial"/>
          <w:sz w:val="17"/>
          <w:szCs w:val="17"/>
          <w:color w:val="auto"/>
        </w:rPr>
      </w:pPr>
    </w:p>
    <w:p>
      <w:pPr>
        <w:ind w:firstLine="436"/>
        <w:spacing w:after="0" w:line="254"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Time of Sale Information</w:t>
      </w:r>
      <w:r>
        <w:rPr>
          <w:rFonts w:ascii="Arial" w:cs="Arial" w:eastAsia="Arial" w:hAnsi="Arial"/>
          <w:sz w:val="18"/>
          <w:szCs w:val="18"/>
          <w:color w:val="auto"/>
        </w:rPr>
        <w:t>. The Time of Sale Information, at the Time of Sale did not, and at the Closing Date will not, contain any untrue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94" w:lineRule="exact"/>
        <w:rPr>
          <w:rFonts w:ascii="Arial" w:cs="Arial" w:eastAsia="Arial" w:hAnsi="Arial"/>
          <w:sz w:val="18"/>
          <w:szCs w:val="18"/>
          <w:color w:val="auto"/>
        </w:rPr>
      </w:pPr>
    </w:p>
    <w:p>
      <w:pPr>
        <w:ind w:right="20" w:firstLine="436"/>
        <w:spacing w:after="0" w:line="275" w:lineRule="auto"/>
        <w:tabs>
          <w:tab w:leader="none" w:pos="68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The Company (including its agents and representatives, other than the Underwriters in their capacity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has not prepared, made, used, authorized, approved or referred to and will not prepare, make, use, authorize, approve or refer to any “</w:t>
      </w:r>
      <w:r>
        <w:rPr>
          <w:rFonts w:ascii="Arial" w:cs="Arial" w:eastAsia="Arial" w:hAnsi="Arial"/>
          <w:sz w:val="17"/>
          <w:szCs w:val="17"/>
          <w:u w:val="single" w:color="auto"/>
          <w:color w:val="auto"/>
        </w:rPr>
        <w:t>written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communication</w:t>
      </w:r>
      <w:r>
        <w:rPr>
          <w:rFonts w:ascii="Arial" w:cs="Arial" w:eastAsia="Arial" w:hAnsi="Arial"/>
          <w:sz w:val="17"/>
          <w:szCs w:val="17"/>
          <w:color w:val="auto"/>
        </w:rPr>
        <w:t>” (as defined in Rule 405 under the Securities Act) that constitutes an offer to sell or solicitation of an offer to buy the Securities (each such communication by the Company or its agents and representatives (other than a communication referred to in clauses (i), (ii), (iii) and (iv) below) an “</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other than (i) any document not constituting a prospectus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w:t>
      </w:r>
    </w:p>
    <w:p>
      <w:pPr>
        <w:spacing w:after="0" w:line="185" w:lineRule="exact"/>
        <w:rPr>
          <w:sz w:val="20"/>
          <w:szCs w:val="20"/>
          <w:color w:val="auto"/>
        </w:rPr>
      </w:pPr>
    </w:p>
    <w:p>
      <w:pPr>
        <w:ind w:firstLine="436"/>
        <w:spacing w:after="0" w:line="285"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is an “automatic shelf registration statement” as defined under Rule 405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w:t>
      </w:r>
    </w:p>
    <w:p>
      <w:pPr>
        <w:spacing w:after="0" w:line="176" w:lineRule="exact"/>
        <w:rPr>
          <w:rFonts w:ascii="Arial" w:cs="Arial" w:eastAsia="Arial" w:hAnsi="Arial"/>
          <w:sz w:val="16"/>
          <w:szCs w:val="16"/>
          <w:color w:val="auto"/>
        </w:rPr>
      </w:pPr>
    </w:p>
    <w:p>
      <w:pPr>
        <w:ind w:right="480" w:firstLine="436"/>
        <w:spacing w:after="0" w:line="277"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Organization and Good Standing of the Company</w:t>
      </w:r>
      <w:r>
        <w:rPr>
          <w:rFonts w:ascii="Arial" w:cs="Arial" w:eastAsia="Arial" w:hAnsi="Arial"/>
          <w:sz w:val="18"/>
          <w:szCs w:val="18"/>
          <w:color w:val="auto"/>
        </w:rPr>
        <w:t>. The Company has been duly incorporated, is validly existing as a corporation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to the extent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under the laws of the jurisdiction of its incorporation, has the corporate power and authority to own its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on the financial condition, results of operations or business of the Guarantor and its subsidiaries, taken as a whole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176" w:lineRule="exact"/>
        <w:rPr>
          <w:sz w:val="20"/>
          <w:szCs w:val="20"/>
          <w:color w:val="auto"/>
        </w:rPr>
      </w:pPr>
    </w:p>
    <w:p>
      <w:pPr>
        <w:ind w:right="60" w:firstLine="436"/>
        <w:spacing w:after="0" w:line="301" w:lineRule="auto"/>
        <w:tabs>
          <w:tab w:leader="none" w:pos="66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Due Authorization</w:t>
      </w:r>
      <w:r>
        <w:rPr>
          <w:rFonts w:ascii="Arial" w:cs="Arial" w:eastAsia="Arial" w:hAnsi="Arial"/>
          <w:sz w:val="16"/>
          <w:szCs w:val="16"/>
          <w:color w:val="auto"/>
        </w:rPr>
        <w:t>. The Company has all requisite right, power and authority to execute and deliver the Securities, and the Company has all</w:t>
      </w:r>
      <w:r>
        <w:rPr>
          <w:rFonts w:ascii="Arial" w:cs="Arial" w:eastAsia="Arial" w:hAnsi="Arial"/>
          <w:sz w:val="16"/>
          <w:szCs w:val="16"/>
          <w:i w:val="1"/>
          <w:iCs w:val="1"/>
          <w:color w:val="auto"/>
        </w:rPr>
        <w:t xml:space="preserve"> </w:t>
      </w:r>
      <w:r>
        <w:rPr>
          <w:rFonts w:ascii="Arial" w:cs="Arial" w:eastAsia="Arial" w:hAnsi="Arial"/>
          <w:sz w:val="16"/>
          <w:szCs w:val="16"/>
          <w:color w:val="auto"/>
        </w:rPr>
        <w:t>requisite right, power and authority to execute and deliver this Agreement and the Indenture (collectively, the “</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and to perform its obligations hereunder and thereunder; and all corporate action required to be taken by it for the due and proper authorization, execution and delivery of each of the Transaction Documents and the consummation of the transactions contemplated thereby has been duly and validly taken.</w:t>
      </w:r>
    </w:p>
    <w:p>
      <w:pPr>
        <w:spacing w:after="0" w:line="157" w:lineRule="exact"/>
        <w:rPr>
          <w:rFonts w:ascii="Arial" w:cs="Arial" w:eastAsia="Arial" w:hAnsi="Arial"/>
          <w:sz w:val="16"/>
          <w:szCs w:val="16"/>
          <w:color w:val="auto"/>
        </w:rPr>
      </w:pPr>
    </w:p>
    <w:p>
      <w:pPr>
        <w:jc w:val="both"/>
        <w:ind w:right="140" w:firstLine="436"/>
        <w:spacing w:after="0" w:line="259"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Existing Indenture</w:t>
      </w:r>
      <w:r>
        <w:rPr>
          <w:rFonts w:ascii="Arial" w:cs="Arial" w:eastAsia="Arial" w:hAnsi="Arial"/>
          <w:sz w:val="18"/>
          <w:szCs w:val="18"/>
          <w:color w:val="auto"/>
        </w:rPr>
        <w:t>. The Existing Indenture has been duly authorized, executed and delivered by, and is a valid and binding agreement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(assuming the due authorization, execution and delivery of the other parties thereto), enforceable in accordance with its terms, subject to applicable bankruptcy, insolvency, fraudulent transfer, reorganization, moratorium or similar laws affecting creditors’ rights generally and general principles of equity (collectively,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0" w:firstLine="436"/>
        <w:spacing w:after="0" w:line="263"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The Officer’s Certificate . </w:t>
      </w:r>
      <w:r>
        <w:rPr>
          <w:rFonts w:ascii="Arial" w:cs="Arial" w:eastAsia="Arial" w:hAnsi="Arial"/>
          <w:sz w:val="18"/>
          <w:szCs w:val="18"/>
          <w:color w:val="auto"/>
        </w:rPr>
        <w:t>The Officer’s Certificate has been duly authorized and, when executed and delivered by the Company, will be a</w:t>
      </w:r>
      <w:r>
        <w:rPr>
          <w:rFonts w:ascii="Arial" w:cs="Arial" w:eastAsia="Arial" w:hAnsi="Arial"/>
          <w:sz w:val="18"/>
          <w:szCs w:val="18"/>
          <w:i w:val="1"/>
          <w:iCs w:val="1"/>
          <w:color w:val="auto"/>
        </w:rPr>
        <w:t xml:space="preserve"> </w:t>
      </w:r>
      <w:r>
        <w:rPr>
          <w:rFonts w:ascii="Arial" w:cs="Arial" w:eastAsia="Arial" w:hAnsi="Arial"/>
          <w:sz w:val="18"/>
          <w:szCs w:val="18"/>
          <w:color w:val="auto"/>
        </w:rPr>
        <w:t>valid and binding obligation of the Company (assuming the due authorization, execution and delivery of the other parties thereto), enforceable in accordance with its terms, subject to the Enforceability Exceptions.</w:t>
      </w:r>
    </w:p>
    <w:p>
      <w:pPr>
        <w:spacing w:after="0" w:line="183" w:lineRule="exact"/>
        <w:rPr>
          <w:rFonts w:ascii="Arial" w:cs="Arial" w:eastAsia="Arial" w:hAnsi="Arial"/>
          <w:sz w:val="18"/>
          <w:szCs w:val="18"/>
          <w:color w:val="auto"/>
        </w:rPr>
      </w:pPr>
    </w:p>
    <w:p>
      <w:pPr>
        <w:ind w:right="120" w:firstLine="436"/>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Securities have been duly authorized by the Company and, when executed and authenticated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w:t>
      </w:r>
    </w:p>
    <w:p>
      <w:pPr>
        <w:spacing w:after="0" w:line="186" w:lineRule="exact"/>
        <w:rPr>
          <w:rFonts w:ascii="Arial" w:cs="Arial" w:eastAsia="Arial" w:hAnsi="Arial"/>
          <w:sz w:val="18"/>
          <w:szCs w:val="18"/>
          <w:color w:val="auto"/>
        </w:rPr>
      </w:pPr>
    </w:p>
    <w:p>
      <w:pPr>
        <w:ind w:left="660" w:hanging="22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of the Registration Statement, the Time of Sale Information and the Prospectus.</w:t>
      </w:r>
    </w:p>
    <w:p>
      <w:pPr>
        <w:spacing w:after="0" w:line="170" w:lineRule="exact"/>
        <w:rPr>
          <w:rFonts w:ascii="Arial" w:cs="Arial" w:eastAsia="Arial" w:hAnsi="Arial"/>
          <w:sz w:val="18"/>
          <w:szCs w:val="18"/>
          <w:color w:val="auto"/>
        </w:rPr>
      </w:pPr>
    </w:p>
    <w:p>
      <w:pPr>
        <w:ind w:firstLine="436"/>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No Violation or Default</w:t>
      </w:r>
      <w:r>
        <w:rPr>
          <w:rFonts w:ascii="Arial" w:cs="Arial" w:eastAsia="Arial" w:hAnsi="Arial"/>
          <w:sz w:val="18"/>
          <w:szCs w:val="18"/>
          <w:color w:val="auto"/>
        </w:rPr>
        <w:t>. The Company is not (i) in violation of its charter or by-laws or similar organizational documents; (ii) in default, and no</w:t>
      </w:r>
      <w:r>
        <w:rPr>
          <w:rFonts w:ascii="Arial" w:cs="Arial" w:eastAsia="Arial" w:hAnsi="Arial"/>
          <w:sz w:val="18"/>
          <w:szCs w:val="18"/>
          <w:i w:val="1"/>
          <w:iCs w:val="1"/>
          <w:color w:val="auto"/>
        </w:rPr>
        <w:t xml:space="preserve"> </w:t>
      </w:r>
      <w:r>
        <w:rPr>
          <w:rFonts w:ascii="Arial" w:cs="Arial" w:eastAsia="Arial" w:hAnsi="Arial"/>
          <w:sz w:val="18"/>
          <w:szCs w:val="18"/>
          <w:color w:val="auto"/>
        </w:rPr>
        <w:t>event has occurred that, with notice or lapse of time or both, would constitute such a default, in the due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w:t>
      </w:r>
    </w:p>
    <w:p>
      <w:pPr>
        <w:ind w:left="4" w:hanging="4"/>
        <w:spacing w:after="0" w:line="255"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189" w:lineRule="exact"/>
        <w:rPr>
          <w:rFonts w:ascii="Arial" w:cs="Arial" w:eastAsia="Arial" w:hAnsi="Arial"/>
          <w:sz w:val="18"/>
          <w:szCs w:val="18"/>
          <w:color w:val="auto"/>
        </w:rPr>
      </w:pPr>
    </w:p>
    <w:p>
      <w:pPr>
        <w:ind w:left="4" w:right="40" w:firstLine="436"/>
        <w:spacing w:after="0" w:line="290" w:lineRule="auto"/>
        <w:tabs>
          <w:tab w:leader="none" w:pos="749"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No Conflicts; No Consents Required</w:t>
      </w:r>
      <w:r>
        <w:rPr>
          <w:rFonts w:ascii="Arial" w:cs="Arial" w:eastAsia="Arial" w:hAnsi="Arial"/>
          <w:sz w:val="16"/>
          <w:szCs w:val="16"/>
          <w:color w:val="auto"/>
        </w:rPr>
        <w:t>. The execution and delivery by the Company of, and the performance by the Company of its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Agreement, the Indenture and the Securities will not contravene (i) any provision of applicable law; (ii) the articles of incorporation or by-laws of the Company; (iii) any agreement or other instrument binding upon the Company; or (iv) any judgment, order or decree of any governmental body, agency or court having jurisdiction over the Company,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of its obligations under the Transaction Documents or the Securities, except such as may be required by the securities or Blue Sky laws of the various states of the United States of America or comparable laws of other jurisdictions in connection with the offer and sale of the Securities.</w:t>
      </w:r>
    </w:p>
    <w:p>
      <w:pPr>
        <w:spacing w:after="0" w:line="165" w:lineRule="exact"/>
        <w:rPr>
          <w:rFonts w:ascii="Arial" w:cs="Arial" w:eastAsia="Arial" w:hAnsi="Arial"/>
          <w:sz w:val="16"/>
          <w:szCs w:val="16"/>
          <w:color w:val="auto"/>
        </w:rPr>
      </w:pPr>
    </w:p>
    <w:p>
      <w:pPr>
        <w:ind w:left="4" w:right="40" w:firstLine="436"/>
        <w:spacing w:after="0" w:line="257"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There are no legal or governmental proceedings pending or, to the knowledge of the Company, threatened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a party or to which any of the properties of the Company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to perform its obligations under this Agreement, the Indenture or the Securities or to consummate the transactions contemplated by the Prospectus.</w:t>
      </w:r>
    </w:p>
    <w:p>
      <w:pPr>
        <w:spacing w:after="0" w:line="187" w:lineRule="exact"/>
        <w:rPr>
          <w:rFonts w:ascii="Arial" w:cs="Arial" w:eastAsia="Arial" w:hAnsi="Arial"/>
          <w:sz w:val="18"/>
          <w:szCs w:val="18"/>
          <w:color w:val="auto"/>
        </w:rPr>
      </w:pPr>
    </w:p>
    <w:p>
      <w:pPr>
        <w:ind w:left="4" w:right="80" w:firstLine="436"/>
        <w:spacing w:after="0" w:line="263"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and, after giving effect to the offering and sale of the Securities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each of the Registration Statement, the Time of Sale Information and the Prospectus, will be exempt from regulation as an “investment company” as such term is defined in the Investment Company Act of 1940, as amended.</w:t>
      </w:r>
    </w:p>
    <w:p>
      <w:pPr>
        <w:spacing w:after="0" w:line="183" w:lineRule="exact"/>
        <w:rPr>
          <w:rFonts w:ascii="Arial" w:cs="Arial" w:eastAsia="Arial" w:hAnsi="Arial"/>
          <w:sz w:val="18"/>
          <w:szCs w:val="18"/>
          <w:color w:val="auto"/>
        </w:rPr>
      </w:pPr>
    </w:p>
    <w:p>
      <w:pPr>
        <w:ind w:left="4" w:right="220" w:firstLine="436"/>
        <w:spacing w:after="0" w:line="277"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The Company has not taken, directly or indirectly, any action designed to or that would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Securities.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3B. </w:t>
      </w:r>
      <w:r>
        <w:rPr>
          <w:rFonts w:ascii="Arial" w:cs="Arial" w:eastAsia="Arial" w:hAnsi="Arial"/>
          <w:sz w:val="18"/>
          <w:szCs w:val="18"/>
          <w:u w:val="single" w:color="auto"/>
          <w:color w:val="auto"/>
        </w:rPr>
        <w:t>Representations and Warranties of the Guarantor</w:t>
      </w:r>
      <w:r>
        <w:rPr>
          <w:rFonts w:ascii="Arial" w:cs="Arial" w:eastAsia="Arial" w:hAnsi="Arial"/>
          <w:sz w:val="18"/>
          <w:szCs w:val="18"/>
          <w:color w:val="auto"/>
        </w:rPr>
        <w:t>. The Guarantor represents and warrants to each Underwriter that:</w:t>
      </w:r>
    </w:p>
    <w:p>
      <w:pPr>
        <w:spacing w:after="0" w:line="225" w:lineRule="exact"/>
        <w:rPr>
          <w:sz w:val="20"/>
          <w:szCs w:val="20"/>
          <w:color w:val="auto"/>
        </w:rPr>
      </w:pPr>
    </w:p>
    <w:p>
      <w:pPr>
        <w:ind w:left="-20" w:right="20" w:firstLine="436"/>
        <w:spacing w:after="0" w:line="273" w:lineRule="auto"/>
        <w:tabs>
          <w:tab w:leader="none" w:pos="66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w:t>
      </w:r>
    </w:p>
    <w:p>
      <w:pPr>
        <w:spacing w:after="0" w:line="177" w:lineRule="exact"/>
        <w:rPr>
          <w:rFonts w:ascii="Arial" w:cs="Arial" w:eastAsia="Arial" w:hAnsi="Arial"/>
          <w:sz w:val="17"/>
          <w:szCs w:val="17"/>
          <w:color w:val="auto"/>
        </w:rPr>
      </w:pPr>
    </w:p>
    <w:p>
      <w:pPr>
        <w:ind w:left="-20" w:firstLine="436"/>
        <w:spacing w:after="0" w:line="254"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Time of Sale Information</w:t>
      </w:r>
      <w:r>
        <w:rPr>
          <w:rFonts w:ascii="Arial" w:cs="Arial" w:eastAsia="Arial" w:hAnsi="Arial"/>
          <w:sz w:val="18"/>
          <w:szCs w:val="18"/>
          <w:color w:val="auto"/>
        </w:rPr>
        <w:t>. The Time of Sale Information, at the Time of Sale did not, and at the Closing Date will not, contain any untrue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94" w:lineRule="exact"/>
        <w:rPr>
          <w:rFonts w:ascii="Arial" w:cs="Arial" w:eastAsia="Arial" w:hAnsi="Arial"/>
          <w:sz w:val="18"/>
          <w:szCs w:val="18"/>
          <w:color w:val="auto"/>
        </w:rPr>
      </w:pPr>
    </w:p>
    <w:p>
      <w:pPr>
        <w:ind w:left="-20" w:right="60" w:firstLine="436"/>
        <w:spacing w:after="0" w:line="287" w:lineRule="auto"/>
        <w:tabs>
          <w:tab w:leader="none" w:pos="66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w:t>
      </w:r>
      <w:r>
        <w:rPr>
          <w:rFonts w:ascii="Arial" w:cs="Arial" w:eastAsia="Arial" w:hAnsi="Arial"/>
          <w:sz w:val="16"/>
          <w:szCs w:val="16"/>
          <w:color w:val="auto"/>
        </w:rPr>
        <w:t>The Company and the Guarantor (including their agents and representatives, other than the Underwriters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capacity as such) have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w:t>
      </w:r>
    </w:p>
    <w:p>
      <w:pPr>
        <w:spacing w:after="0" w:line="167" w:lineRule="exact"/>
        <w:rPr>
          <w:rFonts w:ascii="Arial" w:cs="Arial" w:eastAsia="Arial" w:hAnsi="Arial"/>
          <w:sz w:val="16"/>
          <w:szCs w:val="16"/>
          <w:color w:val="auto"/>
        </w:rPr>
      </w:pPr>
    </w:p>
    <w:p>
      <w:pPr>
        <w:ind w:left="-20" w:right="40" w:firstLine="436"/>
        <w:spacing w:after="0" w:line="277"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and Prospectus. </w:t>
      </w:r>
      <w:r>
        <w:rPr>
          <w:rFonts w:ascii="Arial" w:cs="Arial" w:eastAsia="Arial" w:hAnsi="Arial"/>
          <w:sz w:val="18"/>
          <w:szCs w:val="18"/>
          <w:color w:val="auto"/>
        </w:rPr>
        <w:t>The Registration Statement is an “automatic shelf registration statement” as defined under Rule 405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and did not and will not contain any untrue statement of a material fact or omit to state a material fact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w:t>
      </w:r>
    </w:p>
    <w:p>
      <w:pPr>
        <w:spacing w:after="0" w:line="184" w:lineRule="exact"/>
        <w:rPr>
          <w:sz w:val="20"/>
          <w:szCs w:val="20"/>
          <w:color w:val="auto"/>
        </w:rPr>
      </w:pPr>
    </w:p>
    <w:p>
      <w:pPr>
        <w:ind w:firstLine="436"/>
        <w:spacing w:after="0" w:line="293" w:lineRule="auto"/>
        <w:tabs>
          <w:tab w:leader="none" w:pos="68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Incorporated Documents. </w:t>
      </w:r>
      <w:r>
        <w:rPr>
          <w:rFonts w:ascii="Arial" w:cs="Arial" w:eastAsia="Arial" w:hAnsi="Arial"/>
          <w:sz w:val="16"/>
          <w:szCs w:val="16"/>
          <w:color w:val="auto"/>
        </w:rPr>
        <w:t>The documents incorporated by reference in each of the Registration Statement, the Prospectus and the Time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when filed with the Commission, conformed or will conform, as the case may be, in all material respects to the requirements of the Securities Act or the Exchange Act, as applicable, and, when read together with the other information in such Registration Statement, Prospectus or Time of Sale Information, as the case may be, at the time the Registration Statement became effective, at the time the Prospectus was issued, at the Time of Sale and at the Closing Time, did not and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64" w:lineRule="exact"/>
        <w:rPr>
          <w:rFonts w:ascii="Arial" w:cs="Arial" w:eastAsia="Arial" w:hAnsi="Arial"/>
          <w:sz w:val="16"/>
          <w:szCs w:val="16"/>
          <w:color w:val="auto"/>
        </w:rPr>
      </w:pPr>
    </w:p>
    <w:p>
      <w:pPr>
        <w:ind w:right="20" w:firstLine="436"/>
        <w:spacing w:after="0" w:line="254" w:lineRule="auto"/>
        <w:tabs>
          <w:tab w:leader="none" w:pos="66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and the related notes thereto of the Guarantor and its consolidated subsidiaries included or</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 each of the Registration Statement, the Time of Sale Information and the Prospectus comply as to form in all material respects with the applicable accounting requirements of the Securities Act and the Securities Exchange Act of 1934, as amended, and the rules and regulations of the Commission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as applicable, and present fairly in all material respects the financial position of the Guarantor and its consolidated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3" w:name="page14"/>
    <w:bookmarkEnd w:id="1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thereby, except as disclosed therein; and the other Guarantor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incorporated by reference in each of the Registration Statement, the Prospectus and the Time of Sale Information fairly presents the information called for in all material respects and has been prepared in accordance with the Commission’s rules and guidelines applicable thereto.</w:t>
      </w:r>
    </w:p>
    <w:p>
      <w:pPr>
        <w:spacing w:after="0" w:line="176" w:lineRule="exact"/>
        <w:rPr>
          <w:sz w:val="20"/>
          <w:szCs w:val="20"/>
          <w:color w:val="auto"/>
        </w:rPr>
      </w:pPr>
    </w:p>
    <w:p>
      <w:pPr>
        <w:ind w:right="80" w:firstLine="436"/>
        <w:spacing w:after="0" w:line="259"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There has not occurred any material adverse change, in the financial condition, or in the earnings, business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the Guarantor and its consolidated subsidiaries, taken as a whole, from that set forth in the most recent financial statements of the Guarantor and its consolidated subsidiaries contained or incorporated by reference in each of the Registration Statement, the Time of Sale Information and the Prospectus.</w:t>
      </w:r>
    </w:p>
    <w:p>
      <w:pPr>
        <w:spacing w:after="0" w:line="186" w:lineRule="exact"/>
        <w:rPr>
          <w:rFonts w:ascii="Arial" w:cs="Arial" w:eastAsia="Arial" w:hAnsi="Arial"/>
          <w:sz w:val="18"/>
          <w:szCs w:val="18"/>
          <w:color w:val="auto"/>
        </w:rPr>
      </w:pPr>
    </w:p>
    <w:p>
      <w:pPr>
        <w:ind w:right="60" w:firstLine="436"/>
        <w:spacing w:after="0" w:line="255"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of the Company and the Guarantor. </w:t>
      </w:r>
      <w:r>
        <w:rPr>
          <w:rFonts w:ascii="Arial" w:cs="Arial" w:eastAsia="Arial" w:hAnsi="Arial"/>
          <w:sz w:val="18"/>
          <w:szCs w:val="18"/>
          <w:color w:val="auto"/>
        </w:rPr>
        <w:t>Each of the Company and the Guarantor has been duly incorporated, is</w:t>
      </w:r>
      <w:r>
        <w:rPr>
          <w:rFonts w:ascii="Arial" w:cs="Arial" w:eastAsia="Arial" w:hAnsi="Arial"/>
          <w:sz w:val="18"/>
          <w:szCs w:val="18"/>
          <w:i w:val="1"/>
          <w:iCs w:val="1"/>
          <w:color w:val="auto"/>
        </w:rPr>
        <w:t xml:space="preserve"> </w:t>
      </w:r>
      <w:r>
        <w:rPr>
          <w:rFonts w:ascii="Arial" w:cs="Arial" w:eastAsia="Arial" w:hAnsi="Arial"/>
          <w:sz w:val="18"/>
          <w:szCs w:val="18"/>
          <w:color w:val="auto"/>
        </w:rPr>
        <w:t>validly existing as a corporation in good standing, to the extent applicable, under the laws of the jurisdiction of its incorporation, has the corporate power and authority to own its respective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w:t>
      </w:r>
    </w:p>
    <w:p>
      <w:pPr>
        <w:spacing w:after="0" w:line="192" w:lineRule="exact"/>
        <w:rPr>
          <w:rFonts w:ascii="Arial" w:cs="Arial" w:eastAsia="Arial" w:hAnsi="Arial"/>
          <w:sz w:val="18"/>
          <w:szCs w:val="18"/>
          <w:color w:val="auto"/>
        </w:rPr>
      </w:pPr>
    </w:p>
    <w:p>
      <w:pPr>
        <w:ind w:firstLine="436"/>
        <w:spacing w:after="0" w:line="26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of the Guarantor’s Significant Subsidiaries; Capitalization. </w:t>
      </w:r>
      <w:r>
        <w:rPr>
          <w:rFonts w:ascii="Arial" w:cs="Arial" w:eastAsia="Arial" w:hAnsi="Arial"/>
          <w:sz w:val="17"/>
          <w:szCs w:val="17"/>
          <w:color w:val="auto"/>
        </w:rPr>
        <w:t>Each significant subsidiary of the Guarantor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duly incorporated or organized, is validly existing as a corporation or other legal entity in good standing (to the extent applicable to the significant subsidiary) under the laws of the jurisdiction of its incorporation or formation, has the corporate, partnership or other entity power and authority to own its property and to conduct its business and is duly qualified to transact business and is in good standing (to the extent applicable to such significant subsidiary) in each jurisdiction in which the conduct of its business or its ownership or leasing of property requires such qualification, except to the extent that the failure to be so qualified or be in good standing would not be reasonably expected to have a Material Adverse Effect; except as set forth in each of the Registration Statement, the Time of Sale Information and the Prospectus, all of the issued shares of capital stock of each significant subsidiary have been duly and validly authorized and issued, are fully paid and non-assessable and are owned directly or indirectly by the Guarantor, free and clear of all liens, encumbrances, equities or claims (except for such liens, encumbrances, equities or claims as are not, individually or in the aggregate, material to the ownership, use or value thereof or as disclosed in the Registration Statement, the Time of Sale Information and the Prospectus).</w:t>
      </w:r>
    </w:p>
    <w:p>
      <w:pPr>
        <w:spacing w:after="0" w:line="181" w:lineRule="exact"/>
        <w:rPr>
          <w:rFonts w:ascii="Arial" w:cs="Arial" w:eastAsia="Arial" w:hAnsi="Arial"/>
          <w:sz w:val="17"/>
          <w:szCs w:val="17"/>
          <w:color w:val="auto"/>
        </w:rPr>
      </w:pPr>
    </w:p>
    <w:p>
      <w:pPr>
        <w:ind w:right="120" w:firstLine="43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all requisite right, power and authority to execute and deliver the Securities, and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have all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4" w:right="559" w:bottom="1440" w:gutter="0" w:footer="0" w:header="0"/>
        </w:sectPr>
      </w:pPr>
    </w:p>
    <w:bookmarkStart w:id="14" w:name="page15"/>
    <w:bookmarkEnd w:id="14"/>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requisite right, power and authority to execute and deliver the Transaction Documents and to perform their respective obligations hereunder and thereunder; and all corporate action required to be taken by them for the due and proper authorization, execution and delivery of each of the Transaction Documents and the consummation of the transactions contemplated thereby has been duly and validly taken.</w:t>
      </w:r>
    </w:p>
    <w:p>
      <w:pPr>
        <w:spacing w:after="0" w:line="165" w:lineRule="exact"/>
        <w:rPr>
          <w:sz w:val="20"/>
          <w:szCs w:val="20"/>
          <w:color w:val="auto"/>
        </w:rPr>
      </w:pPr>
    </w:p>
    <w:p>
      <w:pPr>
        <w:ind w:right="60" w:firstLine="436"/>
        <w:spacing w:after="0" w:line="263"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Existing Indenture</w:t>
      </w:r>
      <w:r>
        <w:rPr>
          <w:rFonts w:ascii="Arial" w:cs="Arial" w:eastAsia="Arial" w:hAnsi="Arial"/>
          <w:sz w:val="18"/>
          <w:szCs w:val="18"/>
          <w:color w:val="auto"/>
        </w:rPr>
        <w:t>. The Existing Indenture has been duly authorized, executed and delivered by, and is a valid and binding agreement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the Guarantor (assuming the due authorization, execution and delivery of the other parties thereto), enforceable in accordance with its terms, subject to the Enforceability Exceptions.</w:t>
      </w:r>
    </w:p>
    <w:p>
      <w:pPr>
        <w:spacing w:after="0" w:line="183" w:lineRule="exact"/>
        <w:rPr>
          <w:rFonts w:ascii="Arial" w:cs="Arial" w:eastAsia="Arial" w:hAnsi="Arial"/>
          <w:sz w:val="18"/>
          <w:szCs w:val="18"/>
          <w:color w:val="auto"/>
        </w:rPr>
      </w:pPr>
    </w:p>
    <w:p>
      <w:pPr>
        <w:ind w:firstLine="436"/>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Officer’s Certificate . </w:t>
      </w:r>
      <w:r>
        <w:rPr>
          <w:rFonts w:ascii="Arial" w:cs="Arial" w:eastAsia="Arial" w:hAnsi="Arial"/>
          <w:sz w:val="18"/>
          <w:szCs w:val="18"/>
          <w:color w:val="auto"/>
        </w:rPr>
        <w:t>The Officer’s Certificate has been duly authorized and, when executed and delivered by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will be a valid and binding obligation of the Company and the Guarantor (assuming the due authorization, execution and delivery of the other parties thereto), enforceable in accordance with its terms, subject to the Enforceability Exceptions.</w:t>
      </w:r>
    </w:p>
    <w:p>
      <w:pPr>
        <w:spacing w:after="0" w:line="183" w:lineRule="exact"/>
        <w:rPr>
          <w:rFonts w:ascii="Arial" w:cs="Arial" w:eastAsia="Arial" w:hAnsi="Arial"/>
          <w:sz w:val="18"/>
          <w:szCs w:val="18"/>
          <w:color w:val="auto"/>
        </w:rPr>
      </w:pPr>
    </w:p>
    <w:p>
      <w:pPr>
        <w:ind w:right="80" w:firstLine="436"/>
        <w:spacing w:after="0" w:line="272" w:lineRule="auto"/>
        <w:tabs>
          <w:tab w:leader="none" w:pos="74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The Securities and the Guarantee</w:t>
      </w:r>
      <w:r>
        <w:rPr>
          <w:rFonts w:ascii="Arial" w:cs="Arial" w:eastAsia="Arial" w:hAnsi="Arial"/>
          <w:sz w:val="17"/>
          <w:szCs w:val="17"/>
          <w:color w:val="auto"/>
        </w:rPr>
        <w:t>. The Securities have been duly authorized by the Company and, when executed and authenticated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and the Guarantee has been duly authorized by the Guarantor and, when the Securities have been duly executed and authenticated in accordance with the provisions of the Indenture and delivered to and paid for by the Underwriters in accordance with the terms of this Agreement, will be a valid and legally binding obligation of the Guarantor, enforceable against the Guarantor in accordance with its terms, subject to the Enforceability Exceptions, and will be entitled to the benefits of the Indenture.</w:t>
      </w:r>
    </w:p>
    <w:p>
      <w:pPr>
        <w:spacing w:after="0" w:line="177" w:lineRule="exact"/>
        <w:rPr>
          <w:rFonts w:ascii="Arial" w:cs="Arial" w:eastAsia="Arial" w:hAnsi="Arial"/>
          <w:sz w:val="17"/>
          <w:szCs w:val="17"/>
          <w:color w:val="auto"/>
        </w:rPr>
      </w:pPr>
    </w:p>
    <w:p>
      <w:pPr>
        <w:ind w:left="700" w:hanging="264"/>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 and the Guarantor.</w:t>
      </w:r>
    </w:p>
    <w:p>
      <w:pPr>
        <w:spacing w:after="0" w:line="225"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of the Registration Statement, the Time of Sale Information and the Prospectus.</w:t>
      </w:r>
    </w:p>
    <w:p>
      <w:pPr>
        <w:spacing w:after="0" w:line="170" w:lineRule="exact"/>
        <w:rPr>
          <w:rFonts w:ascii="Arial" w:cs="Arial" w:eastAsia="Arial" w:hAnsi="Arial"/>
          <w:sz w:val="18"/>
          <w:szCs w:val="18"/>
          <w:color w:val="auto"/>
        </w:rPr>
      </w:pPr>
    </w:p>
    <w:p>
      <w:pPr>
        <w:ind w:right="60" w:firstLine="436"/>
        <w:spacing w:after="0" w:line="255"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None of the Company, the Guarantor, nor any of the Guarantor’s significant subsidiaries is (i) in violation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Guarantor or any of the Guarantor’s significant subsidiaries is a party or by which the Company, the Guarantor or any of the Guarantor’s significant subsidiaries is bound or to which any of the property or assets of the Company, the Guarantor or any of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Guarantor’s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184" w:lineRule="exact"/>
        <w:rPr>
          <w:sz w:val="20"/>
          <w:szCs w:val="20"/>
          <w:color w:val="auto"/>
        </w:rPr>
      </w:pPr>
    </w:p>
    <w:p>
      <w:pPr>
        <w:ind w:firstLine="436"/>
        <w:spacing w:after="0" w:line="288"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No Consents Required. </w:t>
      </w:r>
      <w:r>
        <w:rPr>
          <w:rFonts w:ascii="Arial" w:cs="Arial" w:eastAsia="Arial" w:hAnsi="Arial"/>
          <w:sz w:val="16"/>
          <w:szCs w:val="16"/>
          <w:color w:val="auto"/>
        </w:rPr>
        <w:t>The execution and delivery by the Company and by the Guarantor of, and the performance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by the Guarantor of their obligations under, this Agreement, the Indenture (including the Guarantee set forth therein) and the Securities will not contravene (i) any provision of applicable law; (ii) the articles of incorporation or by-laws of the Company and of the Guarantor; (iii) any agreement or other instrument binding upon the Company, the Guarantor or any of the Guarantor’s significant subsidiaries; or (iv) any judgment, order or decree of any governmental body, agency or court having jurisdiction over the Company, the Guarantor or any of the Guarantor’s significant subsidiaries,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and by the Guarantor of their obligations under this Agreement, the Indenture (including the Guarantee set forth therein) or the Securities, except such as may be required by the securities or Blue Sky laws of the various states of the United States of America or comparable laws of other jurisdictions in connection with the offer and sale of the Securities.</w:t>
      </w:r>
    </w:p>
    <w:p>
      <w:pPr>
        <w:spacing w:after="0" w:line="168" w:lineRule="exact"/>
        <w:rPr>
          <w:rFonts w:ascii="Arial" w:cs="Arial" w:eastAsia="Arial" w:hAnsi="Arial"/>
          <w:sz w:val="16"/>
          <w:szCs w:val="16"/>
          <w:color w:val="auto"/>
        </w:rPr>
      </w:pPr>
    </w:p>
    <w:p>
      <w:pPr>
        <w:ind w:right="20" w:firstLine="436"/>
        <w:spacing w:after="0" w:line="293" w:lineRule="auto"/>
        <w:tabs>
          <w:tab w:leader="none" w:pos="66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There are no legal or governmental proceedings pending or, to the knowledge of the Company or the Guarantor, threatened</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the Company, the Guarantor or any of the Guarantor’s significant subsidiaries is a party or to which any of the properties of the Company, the Guarantor or any of the Guarantor’s significant subsidiaries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and the Guarantor to perform their obligations under this Agreement, the Indenture (including the Guarantee set forth therein) or the Securities or to consummate the transactions contemplated by the Prospectus.</w:t>
      </w:r>
    </w:p>
    <w:p>
      <w:pPr>
        <w:spacing w:after="0" w:line="164" w:lineRule="exact"/>
        <w:rPr>
          <w:rFonts w:ascii="Arial" w:cs="Arial" w:eastAsia="Arial" w:hAnsi="Arial"/>
          <w:sz w:val="16"/>
          <w:szCs w:val="16"/>
          <w:color w:val="auto"/>
        </w:rPr>
      </w:pPr>
    </w:p>
    <w:p>
      <w:pPr>
        <w:ind w:right="120" w:firstLine="436"/>
        <w:spacing w:after="0" w:line="311" w:lineRule="auto"/>
        <w:tabs>
          <w:tab w:leader="none" w:pos="67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Accountants. </w:t>
      </w:r>
      <w:r>
        <w:rPr>
          <w:rFonts w:ascii="Arial" w:cs="Arial" w:eastAsia="Arial" w:hAnsi="Arial"/>
          <w:sz w:val="16"/>
          <w:szCs w:val="16"/>
          <w:color w:val="auto"/>
        </w:rPr>
        <w:t>PricewaterhouseCoopers LLP, who have certified certain financial statements of the Guarantor and its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are independent public accountants with respect to the Guarantor and its consolidated subsidiaries within the applicable rules and regulations adopted by the Commission and the Public Company Accounting Oversight Board (United States) and as required by the Securities Act.</w:t>
      </w:r>
    </w:p>
    <w:p>
      <w:pPr>
        <w:spacing w:after="0" w:line="148" w:lineRule="exact"/>
        <w:rPr>
          <w:rFonts w:ascii="Arial" w:cs="Arial" w:eastAsia="Arial" w:hAnsi="Arial"/>
          <w:sz w:val="16"/>
          <w:szCs w:val="16"/>
          <w:color w:val="auto"/>
        </w:rPr>
      </w:pPr>
    </w:p>
    <w:p>
      <w:pPr>
        <w:ind w:right="100" w:firstLine="436"/>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No Undisclosed Relationships. </w:t>
      </w:r>
      <w:r>
        <w:rPr>
          <w:rFonts w:ascii="Arial" w:cs="Arial" w:eastAsia="Arial" w:hAnsi="Arial"/>
          <w:sz w:val="18"/>
          <w:szCs w:val="18"/>
          <w:color w:val="auto"/>
        </w:rPr>
        <w:t>No relationship, direct or indirect, exists between the Guarantor or any of its subsidiaries, on the one hand,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directors, officers, stockholders or other affiliates of the Guarantor or any of its subsidiaries, on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6" w:name="page17"/>
    <w:bookmarkEnd w:id="16"/>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that would be required by the Securities Act to be described in each of the Registration Statement and the Prospectus and that is not so described in such documents and in the Time of Sale Information.</w:t>
      </w:r>
    </w:p>
    <w:p>
      <w:pPr>
        <w:spacing w:after="0" w:line="170" w:lineRule="exact"/>
        <w:rPr>
          <w:sz w:val="20"/>
          <w:szCs w:val="20"/>
          <w:color w:val="auto"/>
        </w:rPr>
      </w:pPr>
    </w:p>
    <w:p>
      <w:pPr>
        <w:ind w:right="20" w:firstLine="436"/>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Guarantor is and, after giving effect to the offering and sale of the Securities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each of the Registration Statement, the Time of Sale Information and the Prospectus, will be exempt from regulation as an “investment company” as such term is defined in the Investment Company Act of 1940, as amended.</w:t>
      </w:r>
    </w:p>
    <w:p>
      <w:pPr>
        <w:spacing w:after="0" w:line="183" w:lineRule="exact"/>
        <w:rPr>
          <w:rFonts w:ascii="Arial" w:cs="Arial" w:eastAsia="Arial" w:hAnsi="Arial"/>
          <w:sz w:val="18"/>
          <w:szCs w:val="18"/>
          <w:color w:val="auto"/>
        </w:rPr>
      </w:pPr>
    </w:p>
    <w:p>
      <w:pPr>
        <w:ind w:right="20" w:firstLine="436"/>
        <w:spacing w:after="0" w:line="291"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Environmental Laws. </w:t>
      </w:r>
      <w:r>
        <w:rPr>
          <w:rFonts w:ascii="Arial" w:cs="Arial" w:eastAsia="Arial" w:hAnsi="Arial"/>
          <w:sz w:val="16"/>
          <w:szCs w:val="16"/>
          <w:color w:val="auto"/>
        </w:rPr>
        <w:t>The Guarantor and its significant subsidiaries (i) are in compliance with any and all applicable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as described in each of the Registration Statement, the Time of Sale Information and the Prospectus and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w:t>
      </w:r>
    </w:p>
    <w:p>
      <w:pPr>
        <w:spacing w:after="0" w:line="166" w:lineRule="exact"/>
        <w:rPr>
          <w:rFonts w:ascii="Arial" w:cs="Arial" w:eastAsia="Arial" w:hAnsi="Arial"/>
          <w:sz w:val="16"/>
          <w:szCs w:val="16"/>
          <w:color w:val="auto"/>
        </w:rPr>
      </w:pPr>
    </w:p>
    <w:p>
      <w:pPr>
        <w:ind w:right="60" w:firstLine="436"/>
        <w:spacing w:after="0" w:line="257" w:lineRule="auto"/>
        <w:tabs>
          <w:tab w:leader="none" w:pos="7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 Liabilities Associated with Environmental Laws</w:t>
      </w:r>
      <w:r>
        <w:rPr>
          <w:rFonts w:ascii="Arial" w:cs="Arial" w:eastAsia="Arial" w:hAnsi="Arial"/>
          <w:sz w:val="18"/>
          <w:szCs w:val="18"/>
          <w:color w:val="auto"/>
        </w:rPr>
        <w:t>. There are no costs or liabilities associated with Environmental Laws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any capital or operating expenditures required for clean-up, closure of properties or compliance with Environmental Laws or any permit, license or approval, any related constraints on operating activities and any potential liabilities to third parties) except as described in each of the Registration Statement, the Time of Sale Information and the Prospectus or which would not, singly or in the aggregate, be reasonably expected to have a Material Adverse Effect.</w:t>
      </w:r>
    </w:p>
    <w:p>
      <w:pPr>
        <w:spacing w:after="0" w:line="187" w:lineRule="exact"/>
        <w:rPr>
          <w:rFonts w:ascii="Arial" w:cs="Arial" w:eastAsia="Arial" w:hAnsi="Arial"/>
          <w:sz w:val="18"/>
          <w:szCs w:val="18"/>
          <w:color w:val="auto"/>
        </w:rPr>
      </w:pPr>
    </w:p>
    <w:p>
      <w:pPr>
        <w:ind w:firstLine="436"/>
        <w:spacing w:after="0" w:line="255"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Guarantor maintains an effective system of “disclosure controls and procedures” (as defined in Rule 13a-15(e)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that is designed to ensure that information required to be disclosed by the Guarantor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Guarantor’s management as appropriate to allow timely decisions regarding required disclosure. The Guarantor has carried out evaluations of the effectiveness of its disclosure controls and procedures as required by Rule 13a-15 of the Exchange Act.</w:t>
      </w:r>
    </w:p>
    <w:p>
      <w:pPr>
        <w:spacing w:after="0" w:line="192" w:lineRule="exact"/>
        <w:rPr>
          <w:rFonts w:ascii="Arial" w:cs="Arial" w:eastAsia="Arial" w:hAnsi="Arial"/>
          <w:sz w:val="18"/>
          <w:szCs w:val="18"/>
          <w:color w:val="auto"/>
        </w:rPr>
      </w:pPr>
    </w:p>
    <w:p>
      <w:pPr>
        <w:ind w:right="460" w:firstLine="436"/>
        <w:spacing w:after="0" w:line="277"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Accounting Controls. </w:t>
      </w:r>
      <w:r>
        <w:rPr>
          <w:rFonts w:ascii="Arial" w:cs="Arial" w:eastAsia="Arial" w:hAnsi="Arial"/>
          <w:sz w:val="18"/>
          <w:szCs w:val="18"/>
          <w:color w:val="auto"/>
        </w:rPr>
        <w:t>The Guarantor maintains systems of “internal control over financial reporting” (as defined in Rule 13a-15(f)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that comply with the requirements of the Exchange Act and have been designed by, or under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7" w:name="page18"/>
    <w:bookmarkEnd w:id="17"/>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supervision of, its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The Guarantor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or incorporated by reference in each of the Registration Statement, the Time of Sale Information and the Prospectus, there are no material weaknesses or significant deficiencies in the Guarantor’s internal controls.</w:t>
      </w:r>
    </w:p>
    <w:p>
      <w:pPr>
        <w:spacing w:after="0" w:line="196" w:lineRule="exact"/>
        <w:rPr>
          <w:sz w:val="20"/>
          <w:szCs w:val="20"/>
          <w:color w:val="auto"/>
        </w:rPr>
      </w:pPr>
    </w:p>
    <w:p>
      <w:pPr>
        <w:ind w:right="240" w:firstLine="436"/>
        <w:spacing w:after="0" w:line="286" w:lineRule="auto"/>
        <w:tabs>
          <w:tab w:leader="none" w:pos="68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OFAC. </w:t>
      </w:r>
      <w:r>
        <w:rPr>
          <w:rFonts w:ascii="Arial" w:cs="Arial" w:eastAsia="Arial" w:hAnsi="Arial"/>
          <w:sz w:val="17"/>
          <w:szCs w:val="17"/>
          <w:color w:val="auto"/>
        </w:rPr>
        <w:t>The Guarantor will not directly or indirectly use the proceeds of the offering, or lend, contribute or otherwise make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such proceeds to any subsidiary, joint venture partner or other person or entity, for the purpose of financing the activities of any person currently subject to any U.S. sanctions administered by the Office of Foreign Assets Control of the U.S. Treasury Department.</w:t>
      </w:r>
    </w:p>
    <w:p>
      <w:pPr>
        <w:spacing w:after="0" w:line="165" w:lineRule="exact"/>
        <w:rPr>
          <w:sz w:val="20"/>
          <w:szCs w:val="20"/>
          <w:color w:val="auto"/>
        </w:rPr>
      </w:pPr>
    </w:p>
    <w:p>
      <w:pPr>
        <w:jc w:val="both"/>
        <w:ind w:right="260" w:firstLine="436"/>
        <w:spacing w:after="0" w:line="263"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Guarantor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any Underwriter for a brokerage commission, finder’s fee or like payment in connection with the offering and sale of the Securities.</w:t>
      </w:r>
    </w:p>
    <w:p>
      <w:pPr>
        <w:spacing w:after="0" w:line="183" w:lineRule="exact"/>
        <w:rPr>
          <w:rFonts w:ascii="Arial" w:cs="Arial" w:eastAsia="Arial" w:hAnsi="Arial"/>
          <w:sz w:val="18"/>
          <w:szCs w:val="18"/>
          <w:color w:val="auto"/>
        </w:rPr>
      </w:pPr>
    </w:p>
    <w:p>
      <w:pPr>
        <w:ind w:right="60" w:firstLine="436"/>
        <w:spacing w:after="0" w:line="277" w:lineRule="auto"/>
        <w:tabs>
          <w:tab w:leader="none" w:pos="78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the Guarantor has taken, directly or indirectly, any action designed to or that would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any stabilization or manipulation of the price of the Securities.</w:t>
      </w:r>
    </w:p>
    <w:p>
      <w:pPr>
        <w:spacing w:after="0" w:line="170" w:lineRule="exact"/>
        <w:rPr>
          <w:rFonts w:ascii="Arial" w:cs="Arial" w:eastAsia="Arial" w:hAnsi="Arial"/>
          <w:sz w:val="18"/>
          <w:szCs w:val="18"/>
          <w:color w:val="auto"/>
        </w:rPr>
      </w:pPr>
    </w:p>
    <w:p>
      <w:pPr>
        <w:ind w:right="20" w:firstLine="436"/>
        <w:spacing w:after="0" w:line="277"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Guarantor is in compliance in all material respects with the applicable provisions of the Sarbanes-Oxley Act of 2002</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436"/>
        <w:spacing w:after="0" w:line="291" w:lineRule="auto"/>
        <w:tabs>
          <w:tab w:leader="none" w:pos="78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Cybersecurity</w:t>
      </w:r>
      <w:r>
        <w:rPr>
          <w:rFonts w:ascii="Arial" w:cs="Arial" w:eastAsia="Arial" w:hAnsi="Arial"/>
          <w:sz w:val="16"/>
          <w:szCs w:val="16"/>
          <w:color w:val="auto"/>
        </w:rPr>
        <w:t>;</w:t>
      </w:r>
      <w:r>
        <w:rPr>
          <w:rFonts w:ascii="Arial" w:cs="Arial" w:eastAsia="Arial" w:hAnsi="Arial"/>
          <w:sz w:val="16"/>
          <w:szCs w:val="16"/>
          <w:i w:val="1"/>
          <w:iCs w:val="1"/>
          <w:color w:val="auto"/>
        </w:rPr>
        <w:t xml:space="preserve"> Data Protection</w:t>
      </w:r>
      <w:r>
        <w:rPr>
          <w:rFonts w:ascii="Arial" w:cs="Arial" w:eastAsia="Arial" w:hAnsi="Arial"/>
          <w:sz w:val="16"/>
          <w:szCs w:val="16"/>
          <w:color w:val="auto"/>
        </w:rPr>
        <w:t>. Except as described in each of the Registration Statement, the Time of Sale Information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or as would not, singly or in the aggregate, be reasonably expected to have a Material Adverse Effect, the Company and its significant subsidiaries are in compliance with all applicable laws or statutes, all applicable judgments, orders, rules and regulations of any court or arbitrator or governmental or regulatory authority, and applicable internal policies and contractual obligations, in each case relating to (i) the privacy and security of the Company’s and its significant subsidiaries’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(ii) personal, personally identifiable, sensitive, confidential or regulated data (“</w:t>
      </w:r>
      <w:r>
        <w:rPr>
          <w:rFonts w:ascii="Arial" w:cs="Arial" w:eastAsia="Arial" w:hAnsi="Arial"/>
          <w:sz w:val="16"/>
          <w:szCs w:val="16"/>
          <w:u w:val="single" w:color="auto"/>
          <w:color w:val="auto"/>
        </w:rPr>
        <w:t>Personal Data</w:t>
      </w:r>
      <w:r>
        <w:rPr>
          <w:rFonts w:ascii="Arial" w:cs="Arial" w:eastAsia="Arial" w:hAnsi="Arial"/>
          <w:sz w:val="16"/>
          <w:szCs w:val="16"/>
          <w:color w:val="auto"/>
        </w:rPr>
        <w:t>”) used in their businesses, and (iii) the protection of such IT Systems and Personal Data from unauthorized use, access, misappropriation or modification.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 w:name="page19"/>
    <w:bookmarkEnd w:id="18"/>
    <w:p>
      <w:pPr>
        <w:ind w:right="240" w:firstLine="436"/>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 Agreements of the Company and the Guarantor</w:t>
      </w:r>
      <w:r>
        <w:rPr>
          <w:rFonts w:ascii="Arial" w:cs="Arial" w:eastAsia="Arial" w:hAnsi="Arial"/>
          <w:sz w:val="18"/>
          <w:szCs w:val="18"/>
          <w:color w:val="auto"/>
        </w:rPr>
        <w:t>. The Company and the Guarantor jointly and severally covenant and agree with each Underwriter that:</w:t>
      </w:r>
    </w:p>
    <w:p>
      <w:pPr>
        <w:spacing w:after="0" w:line="170" w:lineRule="exact"/>
        <w:rPr>
          <w:sz w:val="20"/>
          <w:szCs w:val="20"/>
          <w:color w:val="auto"/>
        </w:rPr>
      </w:pPr>
    </w:p>
    <w:p>
      <w:pPr>
        <w:ind w:firstLine="436"/>
        <w:spacing w:after="0" w:line="269"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and the Guarantor will file the final Prospectus with the Commission within the time periods specified by</w:t>
      </w:r>
      <w:r>
        <w:rPr>
          <w:rFonts w:ascii="Arial" w:cs="Arial" w:eastAsia="Arial" w:hAnsi="Arial"/>
          <w:sz w:val="17"/>
          <w:szCs w:val="17"/>
          <w:i w:val="1"/>
          <w:iCs w:val="1"/>
          <w:color w:val="auto"/>
        </w:rPr>
        <w:t xml:space="preserve"> </w:t>
      </w:r>
      <w:r>
        <w:rPr>
          <w:rFonts w:ascii="Arial" w:cs="Arial" w:eastAsia="Arial" w:hAnsi="Arial"/>
          <w:sz w:val="17"/>
          <w:szCs w:val="17"/>
          <w:color w:val="auto"/>
        </w:rPr>
        <w:t>Rule 424(b) and Rule 430B under the Securities Act, will file any Issuer Free Writing Prospectus (including the Pricing Term Sheet referred to in Annex A hereto) to the extent required by Rule 433 under the Securities Act; and the Company and the Guarantor will file promptly all reports and any definitive proxy or information statements required to be filed by the Company and the Guarantor with the Commission pursuant to Section 13(a), 13(c), 14 or 15(d) of the Exchange Act subsequent to the date of the Prospectus and for so long as the delivery of a prospectus is required in connection with the offering or sale of the Securities; and the Company and the Guarantor will furnish, or cause to be furnished,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85" w:lineRule="exact"/>
        <w:rPr>
          <w:rFonts w:ascii="Arial" w:cs="Arial" w:eastAsia="Arial" w:hAnsi="Arial"/>
          <w:sz w:val="17"/>
          <w:szCs w:val="17"/>
          <w:color w:val="auto"/>
        </w:rPr>
      </w:pPr>
    </w:p>
    <w:p>
      <w:pPr>
        <w:ind w:right="20" w:firstLine="436"/>
        <w:spacing w:after="0" w:line="270" w:lineRule="auto"/>
        <w:tabs>
          <w:tab w:leader="none" w:pos="69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Delivery of Copies. </w:t>
      </w:r>
      <w:r>
        <w:rPr>
          <w:rFonts w:ascii="Arial" w:cs="Arial" w:eastAsia="Arial" w:hAnsi="Arial"/>
          <w:sz w:val="17"/>
          <w:szCs w:val="17"/>
          <w:color w:val="auto"/>
        </w:rPr>
        <w:t>The Company and the Guarantor will deliver upon request, without charge, (i) to the Representatives, a conformed copy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Arial" w:cs="Arial" w:eastAsia="Arial" w:hAnsi="Arial"/>
          <w:sz w:val="17"/>
          <w:szCs w:val="17"/>
          <w:u w:val="single" w:color="auto"/>
          <w:color w:val="auto"/>
        </w:rPr>
        <w:t>Prospectus Delivery Period</w:t>
      </w:r>
      <w:r>
        <w:rPr>
          <w:rFonts w:ascii="Arial" w:cs="Arial" w:eastAsia="Arial" w:hAnsi="Arial"/>
          <w:sz w:val="17"/>
          <w:szCs w:val="17"/>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80" w:lineRule="exact"/>
        <w:rPr>
          <w:rFonts w:ascii="Arial" w:cs="Arial" w:eastAsia="Arial" w:hAnsi="Arial"/>
          <w:sz w:val="17"/>
          <w:szCs w:val="17"/>
          <w:color w:val="auto"/>
        </w:rPr>
      </w:pPr>
    </w:p>
    <w:p>
      <w:pPr>
        <w:ind w:right="220" w:firstLine="436"/>
        <w:spacing w:after="0" w:line="255"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Issuer Free Writing Prospectuses. </w:t>
      </w:r>
      <w:r>
        <w:rPr>
          <w:rFonts w:ascii="Arial" w:cs="Arial" w:eastAsia="Arial" w:hAnsi="Arial"/>
          <w:sz w:val="18"/>
          <w:szCs w:val="18"/>
          <w:color w:val="auto"/>
        </w:rPr>
        <w:t>Before using, authorizing, approving, referring to or filing any Issuer Free</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Prospectus, and before filing any amendment or supplement to the Registration Statement or the Prospectus, whether before or after the time that the Registration Statement becomes effective, the Company and the Guarantor will furnish, or cause to be furnished,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 w:name="page20"/>
    <w:bookmarkEnd w:id="19"/>
    <w:p>
      <w:pPr>
        <w:ind w:right="60" w:firstLine="436"/>
        <w:spacing w:after="0" w:line="285"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to the Representatives. </w:t>
      </w:r>
      <w:r>
        <w:rPr>
          <w:rFonts w:ascii="Arial" w:cs="Arial" w:eastAsia="Arial" w:hAnsi="Arial"/>
          <w:sz w:val="16"/>
          <w:szCs w:val="16"/>
          <w:color w:val="auto"/>
        </w:rPr>
        <w:t>From the date hereof until the end of the Prospectus Delivery Period, the Company and the Guarantor will</w:t>
      </w:r>
      <w:r>
        <w:rPr>
          <w:rFonts w:ascii="Arial" w:cs="Arial" w:eastAsia="Arial" w:hAnsi="Arial"/>
          <w:sz w:val="16"/>
          <w:szCs w:val="16"/>
          <w:i w:val="1"/>
          <w:iCs w:val="1"/>
          <w:color w:val="auto"/>
        </w:rPr>
        <w:t xml:space="preserve"> </w:t>
      </w:r>
      <w:r>
        <w:rPr>
          <w:rFonts w:ascii="Arial" w:cs="Arial" w:eastAsia="Arial" w:hAnsi="Arial"/>
          <w:sz w:val="16"/>
          <w:szCs w:val="16"/>
          <w:color w:val="auto"/>
        </w:rPr>
        <w:t>advise the Representatives promptly, and confirm such advice in writing (which advice may be delivered via e-mail),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in writing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under which they were made, not misleading; (vi) of the receipt by the Company and the Guarantor of any notice of objection of the Commission to the use of the Registration Statement or any post-effective amendment thereto pursuant to Rule 401(g)(2) under the Securities Act; and (vii) of the receipt by the Company and the Guarantor of any notice with respect to any suspension of the qualification of the Securities for offer and sale in any jurisdiction or the initiation or threatening of any proceeding for such purpose; and the Company and the Guarantor will use their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their reasonable best efforts to obtain as soon as possible the withdrawal thereof.</w:t>
      </w:r>
    </w:p>
    <w:p>
      <w:pPr>
        <w:spacing w:after="0" w:line="173" w:lineRule="exact"/>
        <w:rPr>
          <w:rFonts w:ascii="Arial" w:cs="Arial" w:eastAsia="Arial" w:hAnsi="Arial"/>
          <w:sz w:val="16"/>
          <w:szCs w:val="16"/>
          <w:color w:val="auto"/>
        </w:rPr>
      </w:pPr>
    </w:p>
    <w:p>
      <w:pPr>
        <w:ind w:firstLine="436"/>
        <w:spacing w:after="0" w:line="270"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Time of Sale Information. </w:t>
      </w:r>
      <w:r>
        <w:rPr>
          <w:rFonts w:ascii="Arial" w:cs="Arial" w:eastAsia="Arial" w:hAnsi="Arial"/>
          <w:sz w:val="17"/>
          <w:szCs w:val="17"/>
          <w:color w:val="auto"/>
        </w:rPr>
        <w:t>If at any time prior to the Closing Date (i) any event shall occur or condition shall exist as a result of which any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in the opinion of counsel to the Guarantor or counsel to the Underwriters, to amend or supplement any of the Time of Sale Information to comply with law, the Company and the Guarantor will immediately notify the Underwriters thereof and forthwith prepare and, subject to paragraph (c) above, file with the Commission (to the extent required) and furnish to the Underwriters, such amendments or supplements to any of the Time of Sale Information (or any document to be filed with the Commission and incorporated by reference therein) as may be necessary so that the statements in any of the Time of Sale Information as so amended or supplemented will not include any untrue statement of a material fact or omit to state any material fact required to be stated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left="4"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therein or necessary in order to make the statements therein, in light of the circumstances under which they were made, not misleading or so that any of the Time of Sale Information will comply with law.</w:t>
      </w:r>
    </w:p>
    <w:p>
      <w:pPr>
        <w:spacing w:after="0" w:line="170" w:lineRule="exact"/>
        <w:rPr>
          <w:sz w:val="20"/>
          <w:szCs w:val="20"/>
          <w:color w:val="auto"/>
        </w:rPr>
      </w:pPr>
    </w:p>
    <w:p>
      <w:pPr>
        <w:ind w:left="4" w:right="380" w:firstLine="436"/>
        <w:spacing w:after="0" w:line="287" w:lineRule="auto"/>
        <w:tabs>
          <w:tab w:leader="none" w:pos="669"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Ongoing Compliance</w:t>
      </w:r>
      <w:r>
        <w:rPr>
          <w:rFonts w:ascii="Arial" w:cs="Arial" w:eastAsia="Arial" w:hAnsi="Arial"/>
          <w:sz w:val="16"/>
          <w:szCs w:val="16"/>
          <w:color w:val="auto"/>
        </w:rPr>
        <w:t>. If during the Prospectus Delivery Period (i) any event shall occur or condition shall exist as a result of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w:t>
      </w:r>
    </w:p>
    <w:p>
      <w:pPr>
        <w:spacing w:after="0" w:line="2" w:lineRule="exact"/>
        <w:rPr>
          <w:rFonts w:ascii="Arial" w:cs="Arial" w:eastAsia="Arial" w:hAnsi="Arial"/>
          <w:sz w:val="16"/>
          <w:szCs w:val="16"/>
          <w:color w:val="auto"/>
        </w:rPr>
      </w:pPr>
    </w:p>
    <w:p>
      <w:pPr>
        <w:ind w:left="4" w:hanging="4"/>
        <w:spacing w:after="0" w:line="252" w:lineRule="auto"/>
        <w:tabs>
          <w:tab w:leader="none" w:pos="2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necessary, in the opinion of counsel to the Guarantor or counsel to the Underwriters, to amend or supplement the Prospectus to comply with law, the Company the Guarantor will immediately notify the Underwriters thereof and forthwith prepare and, subject to paragraph (c) above, file with the Commission and furnish to the Underwriters,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under which they were made, be misleading or so that the Prospectus will comply with law</w:t>
      </w:r>
      <w:r>
        <w:rPr>
          <w:rFonts w:ascii="Arial" w:cs="Arial" w:eastAsia="Arial" w:hAnsi="Arial"/>
          <w:sz w:val="18"/>
          <w:szCs w:val="18"/>
          <w:i w:val="1"/>
          <w:iCs w:val="1"/>
          <w:color w:val="auto"/>
        </w:rPr>
        <w:t>.</w:t>
      </w:r>
    </w:p>
    <w:p>
      <w:pPr>
        <w:spacing w:after="0" w:line="193" w:lineRule="exact"/>
        <w:rPr>
          <w:rFonts w:ascii="Arial" w:cs="Arial" w:eastAsia="Arial" w:hAnsi="Arial"/>
          <w:sz w:val="18"/>
          <w:szCs w:val="18"/>
          <w:color w:val="auto"/>
        </w:rPr>
      </w:pPr>
    </w:p>
    <w:p>
      <w:pPr>
        <w:ind w:left="4" w:right="40" w:firstLine="436"/>
        <w:spacing w:after="0" w:line="296" w:lineRule="auto"/>
        <w:tabs>
          <w:tab w:leader="none" w:pos="699"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and the Guarantor will cooperate with the Underwriters to qualify the Securities for offer and sale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Company nor the Guarantor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61" w:lineRule="exact"/>
        <w:rPr>
          <w:rFonts w:ascii="Arial" w:cs="Arial" w:eastAsia="Arial" w:hAnsi="Arial"/>
          <w:sz w:val="16"/>
          <w:szCs w:val="16"/>
          <w:color w:val="auto"/>
        </w:rPr>
      </w:pPr>
    </w:p>
    <w:p>
      <w:pPr>
        <w:ind w:left="4" w:right="60" w:firstLine="436"/>
        <w:spacing w:after="0" w:line="259" w:lineRule="auto"/>
        <w:tabs>
          <w:tab w:leader="none" w:pos="699"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Guarantor will make generally available to its security holders and the Representatives as soon as practicable, but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event not later than 16 months after the effective date (as defined in Rule 158(c) under the Securities Act), an earning statement (which need not be audited) that satisfies the provisions of Section 11(a) of the Securities Act and the rules and regulations of the Commission thereunder (including, at the option of the Guarantor, Rule 158).</w:t>
      </w:r>
    </w:p>
    <w:p>
      <w:pPr>
        <w:spacing w:after="0" w:line="186" w:lineRule="exact"/>
        <w:rPr>
          <w:rFonts w:ascii="Arial" w:cs="Arial" w:eastAsia="Arial" w:hAnsi="Arial"/>
          <w:sz w:val="18"/>
          <w:szCs w:val="18"/>
          <w:color w:val="auto"/>
        </w:rPr>
      </w:pPr>
    </w:p>
    <w:p>
      <w:pPr>
        <w:ind w:left="4" w:right="220" w:firstLine="436"/>
        <w:spacing w:after="0" w:line="263" w:lineRule="auto"/>
        <w:tabs>
          <w:tab w:leader="none" w:pos="659"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During the period from the date hereof through and including the Closing Date, the Company and the Guarantor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prior written consent of the Representatives, offer, sell, contract to sell or otherwise dispose of any debt securities issued or guaranteed by the Company or the Guarantor and having a tenor of more than one year.</w:t>
      </w:r>
    </w:p>
    <w:p>
      <w:pPr>
        <w:spacing w:after="0" w:line="183" w:lineRule="exact"/>
        <w:rPr>
          <w:rFonts w:ascii="Arial" w:cs="Arial" w:eastAsia="Arial" w:hAnsi="Arial"/>
          <w:sz w:val="18"/>
          <w:szCs w:val="18"/>
          <w:color w:val="auto"/>
        </w:rPr>
      </w:pPr>
    </w:p>
    <w:p>
      <w:pPr>
        <w:ind w:left="4" w:right="180" w:firstLine="436"/>
        <w:spacing w:after="0" w:line="277" w:lineRule="auto"/>
        <w:tabs>
          <w:tab w:leader="none" w:pos="659"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Securities as described in each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Sale Information and the Prospectus under the heading “Use of Proceeds”.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1" w:name="page22"/>
    <w:bookmarkEnd w:id="21"/>
    <w:p>
      <w:pPr>
        <w:ind w:left="680" w:hanging="264"/>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DTC</w:t>
      </w:r>
      <w:r>
        <w:rPr>
          <w:rFonts w:ascii="Arial" w:cs="Arial" w:eastAsia="Arial" w:hAnsi="Arial"/>
          <w:sz w:val="17"/>
          <w:szCs w:val="17"/>
          <w:color w:val="auto"/>
        </w:rPr>
        <w:t>. The Company will assist the Underwriters in arranging for the Securities to be eligible for clearance and settlement through DTC.</w:t>
      </w:r>
    </w:p>
    <w:p>
      <w:pPr>
        <w:spacing w:after="0" w:line="236" w:lineRule="exact"/>
        <w:rPr>
          <w:rFonts w:ascii="Arial" w:cs="Arial" w:eastAsia="Arial" w:hAnsi="Arial"/>
          <w:sz w:val="17"/>
          <w:szCs w:val="17"/>
          <w:color w:val="auto"/>
        </w:rPr>
      </w:pPr>
    </w:p>
    <w:p>
      <w:pPr>
        <w:ind w:left="-20" w:right="220" w:firstLine="436"/>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the Guarantor will take, directly or indirectly, any action designed to or that would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any stabilization or manipulation of the price of the Securities.</w:t>
      </w:r>
    </w:p>
    <w:p>
      <w:pPr>
        <w:spacing w:after="0" w:line="170" w:lineRule="exact"/>
        <w:rPr>
          <w:rFonts w:ascii="Arial" w:cs="Arial" w:eastAsia="Arial" w:hAnsi="Arial"/>
          <w:sz w:val="18"/>
          <w:szCs w:val="18"/>
          <w:color w:val="auto"/>
        </w:rPr>
      </w:pPr>
    </w:p>
    <w:p>
      <w:pPr>
        <w:ind w:left="-20" w:right="260" w:firstLine="436"/>
        <w:spacing w:after="0" w:line="277" w:lineRule="auto"/>
        <w:tabs>
          <w:tab w:leader="none" w:pos="72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auto"/>
        </w:rPr>
        <w:t>Certain Agreements of the Underwriters</w:t>
      </w:r>
      <w:r>
        <w:rPr>
          <w:rFonts w:ascii="Arial" w:cs="Arial" w:eastAsia="Arial" w:hAnsi="Arial"/>
          <w:sz w:val="17"/>
          <w:szCs w:val="17"/>
          <w:color w:val="auto"/>
        </w:rPr>
        <w:t>. Each Underwriter hereby represents to the Company and the Guarantor and agrees that:</w:t>
      </w:r>
    </w:p>
    <w:p>
      <w:pPr>
        <w:spacing w:after="0" w:line="237" w:lineRule="exact"/>
        <w:rPr>
          <w:sz w:val="20"/>
          <w:szCs w:val="20"/>
          <w:color w:val="auto"/>
        </w:rPr>
      </w:pPr>
    </w:p>
    <w:p>
      <w:pPr>
        <w:ind w:left="-20" w:right="80" w:firstLine="436"/>
        <w:spacing w:after="0" w:line="290" w:lineRule="auto"/>
        <w:tabs>
          <w:tab w:leader="none" w:pos="6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w:t>
      </w:r>
      <w:r>
        <w:rPr>
          <w:rFonts w:ascii="Arial" w:cs="Arial" w:eastAsia="Arial" w:hAnsi="Arial"/>
          <w:sz w:val="16"/>
          <w:szCs w:val="16"/>
          <w:u w:val="single" w:color="auto"/>
          <w:color w:val="auto"/>
        </w:rPr>
        <w:t>free writing prospectus</w:t>
      </w:r>
      <w:r>
        <w:rPr>
          <w:rFonts w:ascii="Arial" w:cs="Arial" w:eastAsia="Arial" w:hAnsi="Arial"/>
          <w:sz w:val="16"/>
          <w:szCs w:val="16"/>
          <w:color w:val="auto"/>
        </w:rPr>
        <w:t>”, as defined in Rule 405 under the Securities Act (which term includes use of any written information furnished to the Commission by the Company and the Guarantor and not incorporated by reference into the Registration Statement and any press release issued by the Company and the Guarantor)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3A(c) or 3B(c) or Section 4(c) above (including any electronic road show), or (iii) any free writing prospectus prepared by such Underwriter and approved by the Guarantor in advance in writing (each such free writing prospectus referred to in clauses (i) or (iii), an “</w:t>
      </w:r>
      <w:r>
        <w:rPr>
          <w:rFonts w:ascii="Arial" w:cs="Arial" w:eastAsia="Arial" w:hAnsi="Arial"/>
          <w:sz w:val="16"/>
          <w:szCs w:val="16"/>
          <w:u w:val="single" w:color="auto"/>
          <w:color w:val="auto"/>
        </w:rPr>
        <w:t>Underwriter Free Writing Prospectus</w:t>
      </w:r>
      <w:r>
        <w:rPr>
          <w:rFonts w:ascii="Arial" w:cs="Arial" w:eastAsia="Arial" w:hAnsi="Arial"/>
          <w:sz w:val="16"/>
          <w:szCs w:val="16"/>
          <w:color w:val="auto"/>
        </w:rPr>
        <w:t>”). Notwithstanding the foregoing, the Underwriters may use the Pricing Term Sheet referred to in Annex A hereto without the consent of the Guarantor.</w:t>
      </w:r>
    </w:p>
    <w:p>
      <w:pPr>
        <w:spacing w:after="0" w:line="165" w:lineRule="exact"/>
        <w:rPr>
          <w:rFonts w:ascii="Arial" w:cs="Arial" w:eastAsia="Arial" w:hAnsi="Arial"/>
          <w:sz w:val="16"/>
          <w:szCs w:val="16"/>
          <w:color w:val="auto"/>
        </w:rPr>
      </w:pPr>
    </w:p>
    <w:p>
      <w:pPr>
        <w:ind w:left="-20" w:right="280" w:firstLine="436"/>
        <w:spacing w:after="0" w:line="277" w:lineRule="auto"/>
        <w:tabs>
          <w:tab w:leader="none" w:pos="6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and the Guarantor if any such proceeding against it is initiated during the Prospectus Delivery Period).</w:t>
      </w:r>
    </w:p>
    <w:p>
      <w:pPr>
        <w:spacing w:after="0" w:line="170" w:lineRule="exact"/>
        <w:rPr>
          <w:sz w:val="20"/>
          <w:szCs w:val="20"/>
          <w:color w:val="auto"/>
        </w:rPr>
      </w:pPr>
    </w:p>
    <w:p>
      <w:pPr>
        <w:ind w:left="-20" w:right="160" w:firstLine="436"/>
        <w:spacing w:after="0" w:line="263"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Securities on the Closing Date as provided herein is subject to the performance by the Company and the Guarantor of their respective covenants and other obligations hereunder and to the following additional conditions:</w:t>
      </w:r>
    </w:p>
    <w:p>
      <w:pPr>
        <w:spacing w:after="0" w:line="184" w:lineRule="exact"/>
        <w:rPr>
          <w:sz w:val="20"/>
          <w:szCs w:val="20"/>
          <w:color w:val="auto"/>
        </w:rPr>
      </w:pPr>
    </w:p>
    <w:p>
      <w:pPr>
        <w:ind w:left="-20" w:firstLine="436"/>
        <w:spacing w:after="0" w:line="296" w:lineRule="auto"/>
        <w:tabs>
          <w:tab w:leader="none" w:pos="66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22" w:name="page23"/>
    <w:bookmarkEnd w:id="22"/>
    <w:p>
      <w:pPr>
        <w:ind w:left="-20" w:right="380" w:firstLine="436"/>
        <w:spacing w:after="0" w:line="259"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Representations and Warranties. </w:t>
      </w:r>
      <w:r>
        <w:rPr>
          <w:rFonts w:ascii="Arial" w:cs="Arial" w:eastAsia="Arial" w:hAnsi="Arial"/>
          <w:sz w:val="18"/>
          <w:szCs w:val="18"/>
          <w:color w:val="auto"/>
        </w:rPr>
        <w:t>The representations and warranties of the Company and the Guarantor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and the statements of the Company, the Guarantor and their respective officers or authorized signatories, as the case may be, made in any certificates delivered pursuant to this Agreement shall be true and correct on and as of the Closing Date.</w:t>
      </w:r>
    </w:p>
    <w:p>
      <w:pPr>
        <w:spacing w:after="0" w:line="186" w:lineRule="exact"/>
        <w:rPr>
          <w:rFonts w:ascii="Arial" w:cs="Arial" w:eastAsia="Arial" w:hAnsi="Arial"/>
          <w:sz w:val="18"/>
          <w:szCs w:val="18"/>
          <w:color w:val="auto"/>
        </w:rPr>
      </w:pPr>
    </w:p>
    <w:p>
      <w:pPr>
        <w:ind w:left="-20" w:firstLine="436"/>
        <w:spacing w:after="0" w:line="255" w:lineRule="auto"/>
        <w:tabs>
          <w:tab w:leader="none" w:pos="66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No Downgrade. </w:t>
      </w:r>
      <w:r>
        <w:rPr>
          <w:rFonts w:ascii="Arial" w:cs="Arial" w:eastAsia="Arial" w:hAnsi="Arial"/>
          <w:sz w:val="18"/>
          <w:szCs w:val="18"/>
          <w:color w:val="auto"/>
        </w:rPr>
        <w:t>Subsequent to the earlier of (A) the Time of Sale and (B) the execution and delivery of this Agreement, (i) no downgrading</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occurred in the rating accorded the Securities or any other debt securities or preferred stock issued or guaranteed by the Guarantor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Guarantor or any of its significant subsidiaries (other than an announcement with positive implications of a possible upgrading).</w:t>
      </w:r>
    </w:p>
    <w:p>
      <w:pPr>
        <w:spacing w:after="0" w:line="192" w:lineRule="exact"/>
        <w:rPr>
          <w:rFonts w:ascii="Arial" w:cs="Arial" w:eastAsia="Arial" w:hAnsi="Arial"/>
          <w:sz w:val="18"/>
          <w:szCs w:val="18"/>
          <w:color w:val="auto"/>
        </w:rPr>
      </w:pPr>
    </w:p>
    <w:p>
      <w:pPr>
        <w:ind w:left="-20" w:right="20" w:firstLine="436"/>
        <w:spacing w:after="0" w:line="257"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3B(g) hereof shall have occurred or shall exist, which event</w:t>
      </w:r>
      <w:r>
        <w:rPr>
          <w:rFonts w:ascii="Arial" w:cs="Arial" w:eastAsia="Arial" w:hAnsi="Arial"/>
          <w:sz w:val="18"/>
          <w:szCs w:val="18"/>
          <w:i w:val="1"/>
          <w:iCs w:val="1"/>
          <w:color w:val="auto"/>
        </w:rPr>
        <w:t xml:space="preserve"> </w:t>
      </w:r>
      <w:r>
        <w:rPr>
          <w:rFonts w:ascii="Arial" w:cs="Arial" w:eastAsia="Arial" w:hAnsi="Arial"/>
          <w:sz w:val="18"/>
          <w:szCs w:val="18"/>
          <w:color w:val="auto"/>
        </w:rPr>
        <w:t>or condition is not described in each of the Time of Sale Information (excluding any amendment or supplement thereto after the Time of Sale)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spacing w:after="0" w:line="187" w:lineRule="exact"/>
        <w:rPr>
          <w:rFonts w:ascii="Arial" w:cs="Arial" w:eastAsia="Arial" w:hAnsi="Arial"/>
          <w:sz w:val="18"/>
          <w:szCs w:val="18"/>
          <w:color w:val="auto"/>
        </w:rPr>
      </w:pPr>
    </w:p>
    <w:p>
      <w:pPr>
        <w:ind w:left="-20" w:right="40" w:firstLine="436"/>
        <w:spacing w:after="0" w:line="288" w:lineRule="auto"/>
        <w:tabs>
          <w:tab w:leader="none" w:pos="66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a certificate of an officer or authorized signatory,</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case may be, of the Company and an executive officer or authorized signatory, as the case may be, of the Guarantor reasonably satisfactory to the Representatives (i) confirming that each such officer or authorized signatory, as the case may be, has carefully reviewed the Registration Statement, the Time of Sale Information and the Prospectus and, to the best knowledge of each such officer or authorized signatory, as the case may be, the representations made by the Company or the Guarantor, as applicable, set forth in Sections 3A(b) and 3A(d) with respect to the Company and Sections 3B(b) and 3B(d) with respect to the Guarantor hereof are true and correct, (ii) confirming that, to the best knowledge of each such officer or authorized signatory, as the case may be, the other representations and warranties made by the Company or the Guarantor, as applicable, in this Agreement are true and correct and that the Company or the Guarantor, as applicable, has complied with all agreements and satisfied all conditions on its part to be performed or satisfied hereunder at or prior to the Closing Date and (iii) to the effect set forth in paragraph (b) above with respect to the Company or the Guarantor, as applicable, and to the effect that no event or condition of a type described in Section 3B(g) hereof shall have occurred or shall exist.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23" w:name="page24"/>
    <w:bookmarkEnd w:id="23"/>
    <w:p>
      <w:pPr>
        <w:ind w:right="40" w:firstLine="436"/>
        <w:spacing w:after="0" w:line="273" w:lineRule="auto"/>
        <w:tabs>
          <w:tab w:leader="none" w:pos="66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Comfort Letters. </w:t>
      </w:r>
      <w:r>
        <w:rPr>
          <w:rFonts w:ascii="Arial" w:cs="Arial" w:eastAsia="Arial" w:hAnsi="Arial"/>
          <w:sz w:val="17"/>
          <w:szCs w:val="17"/>
          <w:color w:val="auto"/>
        </w:rPr>
        <w:t>On the date of this Agreement and on the Closing Date, PricewaterhouseCoopers LLP shall have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at the request of the Company and the Guarantor,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Time of Sale Information and the Offering Memorandum; provided that the letter delivered on the Closing Date shall use a “cut-off” date no more than three business days prior to the Closing Date.</w:t>
      </w:r>
    </w:p>
    <w:p>
      <w:pPr>
        <w:spacing w:after="0" w:line="177" w:lineRule="exact"/>
        <w:rPr>
          <w:rFonts w:ascii="Arial" w:cs="Arial" w:eastAsia="Arial" w:hAnsi="Arial"/>
          <w:sz w:val="17"/>
          <w:szCs w:val="17"/>
          <w:color w:val="auto"/>
        </w:rPr>
      </w:pPr>
    </w:p>
    <w:p>
      <w:pPr>
        <w:ind w:firstLine="436"/>
        <w:spacing w:after="0" w:line="253"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w:t>
      </w:r>
      <w:r>
        <w:rPr>
          <w:rFonts w:ascii="Arial" w:cs="Arial" w:eastAsia="Arial" w:hAnsi="Arial"/>
          <w:sz w:val="18"/>
          <w:szCs w:val="18"/>
          <w:color w:val="auto"/>
        </w:rPr>
        <w:t>(i) Gibson Dunn &amp; Crutcher LLP, U.S. counsel for the Company and the Guarantor,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furnished to the Representatives, at the request of the Company and the Guarantor, their written opinion and 10b-5 statement, dated the Closing Date and addressed to the Underwriters, covering the matters reasonably requested by the Representatives substantially to the effect set forth in Annex C hereto; (ii) Loyens &amp; Loeff Luxembourg S.à r.l., Luxembourg counsel for the Company, shall have furnished to the Representatives as well as to Bank of New York Mellon, at the request of the Company, their written opinion, dated the Closing Date and addressed to the Underwriters, covering the matters reasonably requested by the Representatives substantively to the effect set forth in Annex D hereto; and (iii) STvB Advocaten, Curaçao counsel for the Guarantor, shall have furnished to the Representatives, at the request of the Guarantor, their written opinion, dated the Closing Date and addressed to the Underwriters, covering the matters reasonably requested by to the Representatives substantively to the effect set forth in Annex E hereto.</w:t>
      </w:r>
    </w:p>
    <w:p>
      <w:pPr>
        <w:spacing w:after="0" w:line="196"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an</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86" w:lineRule="exact"/>
        <w:rPr>
          <w:rFonts w:ascii="Arial" w:cs="Arial" w:eastAsia="Arial" w:hAnsi="Arial"/>
          <w:sz w:val="18"/>
          <w:szCs w:val="18"/>
          <w:color w:val="auto"/>
        </w:rPr>
      </w:pPr>
    </w:p>
    <w:p>
      <w:pPr>
        <w:ind w:right="100" w:firstLine="436"/>
        <w:spacing w:after="0" w:line="279"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No Legal Impediment to Issuance. </w:t>
      </w:r>
      <w:r>
        <w:rPr>
          <w:rFonts w:ascii="Arial" w:cs="Arial" w:eastAsia="Arial" w:hAnsi="Arial"/>
          <w:sz w:val="17"/>
          <w:szCs w:val="17"/>
          <w:color w:val="auto"/>
        </w:rPr>
        <w:t>No action shall have been taken and no statute, rule, regulation or order shall have been enacted, adopted or</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any federal, state or foreign governmental or regulatory authority that would, as of the Closing Date, prevent the issuance or sale of the Securities or the issuance of the Guarantee; and no injunction or order of any federal, state or foreign court shall have been issued that would, as of the Closing Date, prevent the issuance or sale of the Securities or the issuance of the Guarantee.</w:t>
      </w:r>
    </w:p>
    <w:p>
      <w:pPr>
        <w:spacing w:after="0" w:line="171" w:lineRule="exact"/>
        <w:rPr>
          <w:rFonts w:ascii="Arial" w:cs="Arial" w:eastAsia="Arial" w:hAnsi="Arial"/>
          <w:sz w:val="17"/>
          <w:szCs w:val="17"/>
          <w:color w:val="auto"/>
        </w:rPr>
      </w:pPr>
    </w:p>
    <w:p>
      <w:pPr>
        <w:ind w:right="580" w:firstLine="436"/>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satisfactory evidence of the good 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4" w:name="page25"/>
    <w:bookmarkEnd w:id="2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Guarantor in their respective jurisdictions of organization (as of the closest practical date prior to the Closing Date as possible), in each case in writing or any standard form of telecommunication, from the appropriate governmental authorities of such jurisdictions.</w:t>
      </w:r>
    </w:p>
    <w:p>
      <w:pPr>
        <w:spacing w:after="0" w:line="170" w:lineRule="exact"/>
        <w:rPr>
          <w:sz w:val="20"/>
          <w:szCs w:val="20"/>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Securities shall be eligible for clearance and settlement through DTC.</w:t>
      </w:r>
    </w:p>
    <w:p>
      <w:pPr>
        <w:spacing w:after="0" w:line="225" w:lineRule="exact"/>
        <w:rPr>
          <w:rFonts w:ascii="Arial" w:cs="Arial" w:eastAsia="Arial" w:hAnsi="Arial"/>
          <w:sz w:val="18"/>
          <w:szCs w:val="18"/>
          <w:color w:val="auto"/>
        </w:rPr>
      </w:pPr>
    </w:p>
    <w:p>
      <w:pPr>
        <w:ind w:right="480" w:firstLine="436"/>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and the Guarantor shall have furnished to the Representatives such</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certificates and documents as the Representatives may reasonably request.</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0" w:hanging="184"/>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and the Guarantor jointly and severally agree to indemnify and hold harmless each</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its affiliates, agents,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or the Time of Sale Information, or caused by any omission or alleged omission to state therein a material fact necessary in order to make the statements therein, in the light of the circumstances under which they were made, not misleading, in each case except (x) insofar as such losses, claims, damages or liabilities arise out of, or are based upon, any untrue statement or omission or alleged untrue statement or omission made in reliance upon and in conformity with any information relating to any Underwriter furnished to the Company and the Guarantor in writing by such Underwriter through the Representatives expressly for use therein and (y) insofar as such losses, claims, damages or liabilities arise out of, or are based upon, any untrue statement or omission or alleged untrue statement or omission which pertains exclusively to the Company, only the Company and the Guarantor shall be obligated to indemnify and hold harmless as set forth in this Section 7(a).</w:t>
      </w:r>
    </w:p>
    <w:p>
      <w:pPr>
        <w:spacing w:after="0" w:line="170" w:lineRule="exact"/>
        <w:rPr>
          <w:rFonts w:ascii="Arial" w:cs="Arial" w:eastAsia="Arial" w:hAnsi="Arial"/>
          <w:sz w:val="16"/>
          <w:szCs w:val="16"/>
          <w:color w:val="auto"/>
        </w:rPr>
      </w:pPr>
    </w:p>
    <w:p>
      <w:pPr>
        <w:ind w:right="120" w:firstLine="436"/>
        <w:spacing w:after="0" w:line="263"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Company and the Guarantor. </w:t>
      </w:r>
      <w:r>
        <w:rPr>
          <w:rFonts w:ascii="Arial" w:cs="Arial" w:eastAsia="Arial" w:hAnsi="Arial"/>
          <w:sz w:val="18"/>
          <w:szCs w:val="18"/>
          <w:color w:val="auto"/>
        </w:rPr>
        <w:t>Each Underwriter agrees, severally and not jointly, to indemnify and hold harmless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Guarantor, each of their respective affiliates, agents, directors, authorized signatories and officers who signed the Registration Statement and each person, if any, who controls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5" w:name="page26"/>
    <w:bookmarkEnd w:id="2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or the Guarantor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and the Guarantor by such Underwriter in writing through the Representatives expressly for use in the Registration Statement, the Prospectus (or any amendment or supplement thereto), any Issuer Free Writing Prospectus or the Time of Sale Information, it being understood and agreed that the only such information consists of the following information set forth in the Preliminary Prospectus and the Prospectus under the caption “Underwriting (Conflicts of Interest)”: the name of the Underwriter provided in paragraph 1, paragraph 3, sentences 3 and 4 in paragraph 6 and paragraph 7.</w:t>
      </w:r>
    </w:p>
    <w:p>
      <w:pPr>
        <w:spacing w:after="0" w:line="192" w:lineRule="exact"/>
        <w:rPr>
          <w:sz w:val="20"/>
          <w:szCs w:val="20"/>
          <w:color w:val="auto"/>
        </w:rPr>
      </w:pPr>
    </w:p>
    <w:p>
      <w:pPr>
        <w:ind w:right="20" w:firstLine="436"/>
        <w:spacing w:after="0" w:line="284" w:lineRule="auto"/>
        <w:tabs>
          <w:tab w:leader="none" w:pos="68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or asserted against any person in respect of which indemnification may be sought pursuant to either paragraph (a) or (b) above, such person (the “</w:t>
      </w:r>
      <w:r>
        <w:rPr>
          <w:rFonts w:ascii="Arial" w:cs="Arial" w:eastAsia="Arial" w:hAnsi="Arial"/>
          <w:sz w:val="16"/>
          <w:szCs w:val="16"/>
          <w:u w:val="single" w:color="auto"/>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u w:val="single" w:color="auto"/>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reasonably incurred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reasonably incurred shall be reimbursed as they are incurred. Any such separate firm for any Underwriter, 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affiliates, directors and officers and any control persons of such Underwriter shall be designated in writing by the Representatives and any such separate firm for the Company, the Guarantor, their respective directors, authorized signatories and officers who signed the Registration Statement and any control persons of the Company and the Guarantor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reasonably incurred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1" w:lineRule="exact"/>
        <w:rPr>
          <w:sz w:val="20"/>
          <w:szCs w:val="20"/>
          <w:color w:val="auto"/>
        </w:rPr>
      </w:pPr>
    </w:p>
    <w:p>
      <w:pPr>
        <w:ind w:right="40" w:firstLine="436"/>
        <w:spacing w:after="0" w:line="286"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and (b) above is unavailable to an Indemnified Person or insufficient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 on the one hand and the Underwriters on the other in connection with the statements or omissions that resulted in such losses, claims, damages or liabilities, as well as any other relevant equitable considerations. The relative benefits received by the Company and the Guarantor on the one hand and the Underwriters on the other shall be deemed to be in the same respective proportions as the net proceeds (after deducting discounts and commissions to the Underwriters but before deducting expenses) received by the Company and the Guarantor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and the Guarantor on the one hand and the Underwriters on the other shall be determined by reference to, among other things, whether the untrue or alleged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7" w:name="page28"/>
    <w:bookmarkEnd w:id="27"/>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untrue statement of a material fact or the omission or alleged omission to state a material fact relates to information supplied by the Company or the Guarantor or by the Underwriters and the parties’ relative intent, knowledge, access to information and opportunity to correct or prevent such statement or omission.</w:t>
      </w:r>
    </w:p>
    <w:p>
      <w:pPr>
        <w:spacing w:after="0" w:line="184" w:lineRule="exact"/>
        <w:rPr>
          <w:sz w:val="20"/>
          <w:szCs w:val="20"/>
          <w:color w:val="auto"/>
        </w:rPr>
      </w:pPr>
    </w:p>
    <w:p>
      <w:pPr>
        <w:ind w:firstLine="436"/>
        <w:spacing w:after="0" w:line="269" w:lineRule="auto"/>
        <w:tabs>
          <w:tab w:leader="none" w:pos="68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the Guarantor and the Underwriters agree that it would not be just and equitable if contribution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this Section 7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81" w:lineRule="exact"/>
        <w:rPr>
          <w:rFonts w:ascii="Arial" w:cs="Arial" w:eastAsia="Arial" w:hAnsi="Arial"/>
          <w:sz w:val="17"/>
          <w:szCs w:val="17"/>
          <w:color w:val="auto"/>
        </w:rPr>
      </w:pPr>
    </w:p>
    <w:p>
      <w:pPr>
        <w:ind w:right="400" w:firstLine="436"/>
        <w:spacing w:after="0" w:line="277" w:lineRule="auto"/>
        <w:tabs>
          <w:tab w:leader="none" w:pos="66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170" w:lineRule="exact"/>
        <w:rPr>
          <w:sz w:val="20"/>
          <w:szCs w:val="20"/>
          <w:color w:val="auto"/>
        </w:rPr>
      </w:pPr>
    </w:p>
    <w:p>
      <w:pPr>
        <w:ind w:right="80" w:firstLine="436"/>
        <w:spacing w:after="0" w:line="271"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in the absolute discretion of the Representatives (except as provided in clause (iv) below), by prior notice to the Guarantor, if after the execution and delivery of this Agreement and on or prior to the Closing Date (i) trading generally shall have been suspended or materially limited on the New York Stock Exchange; (ii) trading of any securities issued or guaranteed by the Company or the Guarantor shall have been suspended on any exchange;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78" w:lineRule="exact"/>
        <w:rPr>
          <w:rFonts w:ascii="Arial" w:cs="Arial" w:eastAsia="Arial" w:hAnsi="Arial"/>
          <w:sz w:val="17"/>
          <w:szCs w:val="17"/>
          <w:color w:val="auto"/>
        </w:rPr>
      </w:pPr>
    </w:p>
    <w:p>
      <w:pPr>
        <w:ind w:left="620" w:hanging="184"/>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right="540" w:firstLine="436"/>
        <w:spacing w:after="0" w:line="308" w:lineRule="auto"/>
        <w:tabs>
          <w:tab w:leader="none" w:pos="68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on the Closing Date, any one or more Underwriters defaults on its obligation to purchase the Securities that it has agreed to purchase hereunder and the default exceeds one-eleventh of the aggregate amount of the Securities to be purchased hereunder,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8" w:name="page29"/>
    <w:bookmarkEnd w:id="2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non-defaulting Underwriters may in their discretion arrange for the purchase of such Securities by other persons reasonably satisfactory to the Guarantor on the terms contained in this Agreement. If, within 36 hours after any such default by any one or more Underwriters, the non-defaulting Underwriters do not arrange for the purchase of such Securities, then the Guarantor shall be entitled to a further period of 36 hours within which to procure other persons reasonably satisfactory to the non-defaulting Underwriters to purchase such Securities on such terms. If other persons become obligated or agree to purchase the Securities of any one or more defaulting Underwriters, either the non-defaulting Underwriters or the Guarantor may postpone the Closing Date for up to five full business days in order to effect any changes that in the opinion of U.S. counsel for the Company and the Guarantor or counsel for the Underwriters may be necessary in the Registration Statement, the Time of Sale Information and the Prospectus or in any other document or arrangement, and the Guarantor agrees to promptly prepare any amendment or supplement to the Registration Statement, the Time of Sale Information and the Prospectus that effects any such changes. As used in this Agreement, the term “</w:t>
      </w:r>
      <w:r>
        <w:rPr>
          <w:rFonts w:ascii="Arial" w:cs="Arial" w:eastAsia="Arial" w:hAnsi="Arial"/>
          <w:sz w:val="17"/>
          <w:szCs w:val="17"/>
          <w:u w:val="single" w:color="auto"/>
          <w:color w:val="auto"/>
        </w:rPr>
        <w:t>Underwriter</w:t>
      </w:r>
      <w:r>
        <w:rPr>
          <w:rFonts w:ascii="Arial" w:cs="Arial" w:eastAsia="Arial" w:hAnsi="Arial"/>
          <w:sz w:val="17"/>
          <w:szCs w:val="17"/>
          <w:color w:val="auto"/>
        </w:rPr>
        <w:t>” includes, for all purposes of this Agreement unless the context otherwise requires, any person not listed in Schedule 1 hereto that, pursuant to this Section 9, purchases Securities that one or more defaulting Underwriter agreed but failed to purchase.</w:t>
      </w:r>
    </w:p>
    <w:p>
      <w:pPr>
        <w:spacing w:after="0" w:line="182" w:lineRule="exact"/>
        <w:rPr>
          <w:sz w:val="20"/>
          <w:szCs w:val="20"/>
          <w:color w:val="auto"/>
        </w:rPr>
      </w:pPr>
    </w:p>
    <w:p>
      <w:pPr>
        <w:ind w:right="60" w:firstLine="436"/>
        <w:spacing w:after="0" w:line="257"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the aggregate principal amount of such Securities that remains unpurchased does not exceed one-eleventh of the aggregate principal amount of all the Securities, then the Guarantor shall have the right to require each non-defaulting Underwriter to purchase the principal amount of Securities that such Underwriter agreed to purchase hereunder plus such Underwriter’s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187" w:lineRule="exact"/>
        <w:rPr>
          <w:rFonts w:ascii="Arial" w:cs="Arial" w:eastAsia="Arial" w:hAnsi="Arial"/>
          <w:sz w:val="18"/>
          <w:szCs w:val="18"/>
          <w:color w:val="auto"/>
        </w:rPr>
      </w:pPr>
    </w:p>
    <w:p>
      <w:pPr>
        <w:ind w:right="20" w:firstLine="436"/>
        <w:spacing w:after="0" w:line="254"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Underwriter or Underwriters by the non-defaulting Underwriters and the Guarantor as provided in paragraph (a) above, the aggregate principal amount of such Securities that remains unpurchased exceeds one-eleventh of the aggregate principal amount of all the Securities, or if the Guarantor shall not exercise the right described in paragraph (b) above, then this Agreement shall terminate without liability on the part of the non-defaulting Underwriters. Any termination of this Agreement pursuant to this Section 9 shall be without liability on the part of the Company or the Guarantor, except that the Company and the Guarantor will continue to be liable for the payment of expenses as set forth in Section 10 hereof and except that the provisions of Section 7 hereof shall not terminate and shall remain in effect.</w:t>
      </w:r>
    </w:p>
    <w:p>
      <w:pPr>
        <w:spacing w:after="0" w:line="194" w:lineRule="exact"/>
        <w:rPr>
          <w:rFonts w:ascii="Arial" w:cs="Arial" w:eastAsia="Arial" w:hAnsi="Arial"/>
          <w:sz w:val="18"/>
          <w:szCs w:val="18"/>
          <w:color w:val="auto"/>
        </w:rPr>
      </w:pPr>
    </w:p>
    <w:p>
      <w:pPr>
        <w:ind w:left="700" w:hanging="26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the Guarantor or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non-defaulting Underwriter for damages caused by its default.</w:t>
      </w:r>
    </w:p>
    <w:p>
      <w:pPr>
        <w:spacing w:after="0" w:line="211" w:lineRule="exact"/>
        <w:rPr>
          <w:sz w:val="20"/>
          <w:szCs w:val="20"/>
          <w:color w:val="auto"/>
        </w:rPr>
      </w:pPr>
    </w:p>
    <w:p>
      <w:pPr>
        <w:jc w:val="both"/>
        <w:ind w:firstLine="436"/>
        <w:spacing w:after="0" w:line="263"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avoidance of doubt, to the extent an Underwriter’s obligation to purchase Securities hereunder constitutes a BRRD Liability (as defined below) and such Underwriter does not, at the Closing Date, purchase the full amount of the Securities that it has agreed to purchase hereunder due to the exercise by the Relevant Resolution Authority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 w:name="page30"/>
    <w:bookmarkEnd w:id="29"/>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defined below) of its powers under the relevant Bail-in Legislation as set forth in Section 12 below with respect to such BRRD Liability, such Underwriter shall be deemed, for all purposes of this Section 9, to have defaulted on its obligation to purchase such Securities that it has agreed to purchase hereunder but has not purchased, and this Section 9 shall remain in full force and effect with respect to the obligations of the other Underwriters.</w:t>
      </w:r>
    </w:p>
    <w:p>
      <w:pPr>
        <w:spacing w:after="0" w:line="187" w:lineRule="exact"/>
        <w:rPr>
          <w:sz w:val="20"/>
          <w:szCs w:val="20"/>
          <w:color w:val="auto"/>
        </w:rPr>
      </w:pPr>
    </w:p>
    <w:p>
      <w:pPr>
        <w:ind w:left="700" w:hanging="26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and the Guarantor jointly and severally agree to pay or cause to be paid all out-of-pocket costs and expenses incident to the performance of their respective obligations hereunder, including without limitation, (i) the out-of-pocket costs incident to the authorization, issuance, initial sale, preparation and delivery of the Securities and any taxes payable in that connection; (ii) the out-of-pocket costs incident to the preparation, printing and filing under the Securities Act of the Registration Statement, the Preliminary Prospectus, any Issuer Free Writing Prospectus, the Time of Sale Information and the Prospectus (including all exhibits, amendments and supplements thereto) and the distribution thereof; (iii) the out-of-pocket costs of reproducing and distributing each of the Transaction Documents; (iv) the fees and out-of-pocket expenses of the Company’s and the Guarantor’s counsel and independent accountants; (v) the fees and out-of-pocket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out-of-pocket expenses of the Trustee and any paying agent (including related reasonable fees and expenses of any counsel to such parties); (viii) all out-of-pocket expenses and application fees incurred in connection with any filing with, and clearance of the offering by, the Financial Industry Regulatory Authority, and the approval of the Securities for book-entry transfer by DTC; and (ix) all out-of-pocket expenses incurred by the Company and the Guarantor in connection with any “road show” presentation to potential investors.</w:t>
      </w:r>
    </w:p>
    <w:p>
      <w:pPr>
        <w:spacing w:after="0" w:line="170" w:lineRule="exact"/>
        <w:rPr>
          <w:rFonts w:ascii="Arial" w:cs="Arial" w:eastAsia="Arial" w:hAnsi="Arial"/>
          <w:sz w:val="16"/>
          <w:szCs w:val="16"/>
          <w:color w:val="auto"/>
        </w:rPr>
      </w:pPr>
    </w:p>
    <w:p>
      <w:pPr>
        <w:ind w:right="20" w:firstLine="436"/>
        <w:spacing w:after="0" w:line="273" w:lineRule="auto"/>
        <w:tabs>
          <w:tab w:leader="none" w:pos="6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8, (ii) the Company for any reason fails to tender the Securities for delivery to the Underwriters or (iii) the Underwriters decline to purchase the Securities for any reason permitted under this Agreement, the Company and the Guarantor jointly and severally agree to reimburse the Underwriters for all out-of-pocket costs and expenses (including the fees and expenses reasonably incurred of their counsel) reasonably incurred by the Underwriters in connection with this Agreement and the offering contemplated hereby; provided, however, that in the case of clauses (ii) and (iii) above, the Company and the Guarantor shall not be required to pay such costs and expenses where such failure to consummate the Agreement or termination is by reason of a default by any of the Underwriters.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ind w:left="700" w:hanging="26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59"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120" w:firstLine="436"/>
        <w:spacing w:after="0" w:line="259"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any BHC Act Affiliate of such Underwriter becomes subject to a proceeding under a U.S. Special Resolution Regime, the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Contractual Recognition of Bail-In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of the parties to this Agreement acknowledges, accepts and agrees that a BRRD Liability arising under this Agreement may be subject to the exercise of Bail-in Powers by the Relevant Resolution Authority, and acknowledges, accepts and agrees to be bound by: (i) the effect of the exercise of Bail-in Powers by the Relevant Resolution Authority in relation to any BRRD Liability of the Underwriters to the Company or the Guarantor under this Agreement, which (without limitation) may include and result in any of the following or some combination thereof: (w) the reduction of all, or a portion, of the BRRD Liability or outstanding amounts due thereon; (x) the conversion of all, or a portion, of the BRRD Liability into shares, other securities or other obligations of the Underwriters or another person, and the issue to or conferral on each of the Company and the Guarantor of such shares, securities or obligations; (y) the cancellation of the BRRD Liability; and (z) the amendment or alteration of any interest, if applicable, thereon, the maturity or the dates on which any payments are due, including by suspending payment for a temporary period; and (ii) the variation of the terms of this Agreement, as deemed necessary by the Relevant Resolution Authority, to give effect to the exercise of Bail-in Powers by the Relevant Resolution Authority.</w:t>
      </w:r>
    </w:p>
    <w:p>
      <w:pPr>
        <w:spacing w:after="0" w:line="185" w:lineRule="exact"/>
        <w:rPr>
          <w:rFonts w:ascii="Arial" w:cs="Arial" w:eastAsia="Arial" w:hAnsi="Arial"/>
          <w:sz w:val="17"/>
          <w:szCs w:val="17"/>
          <w:color w:val="auto"/>
        </w:rPr>
      </w:pPr>
    </w:p>
    <w:p>
      <w:pPr>
        <w:ind w:right="400" w:firstLine="436"/>
        <w:spacing w:after="0" w:line="263"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 parties to this Agreement acknowledges and accepts that this provision is exhaustive on the matters described herein to the exclusion of any other term of this Agreement or any other agreements, arrangements, or understandings between the parties hereto, relating to the subject matter of this Agreement.</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used in this Section 12:</w:t>
      </w:r>
    </w:p>
    <w:p>
      <w:pPr>
        <w:spacing w:after="0" w:line="22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in relation to the UK and a member state of the European Economic Area which has implemented, or which at any time implements, the BRRD, the relevant implementing law, regulation, rule or requirement as described in the EU Bail-in Legislation Schedule from time to time.</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Powers</w:t>
      </w:r>
      <w:r>
        <w:rPr>
          <w:rFonts w:ascii="Arial" w:cs="Arial" w:eastAsia="Arial" w:hAnsi="Arial"/>
          <w:sz w:val="18"/>
          <w:szCs w:val="18"/>
          <w:color w:val="auto"/>
        </w:rPr>
        <w:t>” means any Write-down and Conversion Powers as defined in the EU Bail-in Legislation Schedule, in relation to the relevant Bail-in Legislation.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31" w:name="page32"/>
    <w:bookmarkEnd w:id="31"/>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BRRD</w:t>
      </w:r>
      <w:r>
        <w:rPr>
          <w:rFonts w:ascii="Arial" w:cs="Arial" w:eastAsia="Arial" w:hAnsi="Arial"/>
          <w:sz w:val="17"/>
          <w:szCs w:val="17"/>
          <w:color w:val="auto"/>
        </w:rPr>
        <w:t>” means Directive 2014/59/EU establishing a framework for the recovery and resolution of credit institutions and investment firms.</w:t>
      </w:r>
    </w:p>
    <w:p>
      <w:pPr>
        <w:spacing w:after="0" w:line="23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BRRD Liability</w:t>
      </w:r>
      <w:r>
        <w:rPr>
          <w:rFonts w:ascii="Arial" w:cs="Arial" w:eastAsia="Arial" w:hAnsi="Arial"/>
          <w:sz w:val="18"/>
          <w:szCs w:val="18"/>
          <w:color w:val="auto"/>
        </w:rPr>
        <w:t>” has the same meaning as in such laws, regulations, rules or requirements implementing the BRRD under the applicable Bail-in Legislation.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document described as such, then in effect, and published by the Loan Market Association (or any successor person) from time to time at http://www.lma.eu.com/pages.aspx?p=499.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Resolution Authority</w:t>
      </w:r>
      <w:r>
        <w:rPr>
          <w:rFonts w:ascii="Arial" w:cs="Arial" w:eastAsia="Arial" w:hAnsi="Arial"/>
          <w:sz w:val="17"/>
          <w:szCs w:val="17"/>
          <w:color w:val="auto"/>
        </w:rPr>
        <w:t>” means the resolution authority with the ability to exercise any Bail-in Powers in relation to the Underwriters.</w:t>
      </w:r>
    </w:p>
    <w:p>
      <w:pPr>
        <w:spacing w:after="0" w:line="237" w:lineRule="exact"/>
        <w:rPr>
          <w:sz w:val="20"/>
          <w:szCs w:val="20"/>
          <w:color w:val="auto"/>
        </w:rPr>
      </w:pPr>
    </w:p>
    <w:p>
      <w:pPr>
        <w:ind w:right="60" w:firstLine="436"/>
        <w:spacing w:after="0" w:line="257" w:lineRule="auto"/>
        <w:tabs>
          <w:tab w:leader="none" w:pos="71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any controlling persons referred to herein, and the affiliates,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7" w:lineRule="exact"/>
        <w:rPr>
          <w:rFonts w:ascii="Arial" w:cs="Arial" w:eastAsia="Arial" w:hAnsi="Arial"/>
          <w:sz w:val="18"/>
          <w:szCs w:val="18"/>
          <w:color w:val="auto"/>
        </w:rPr>
      </w:pPr>
    </w:p>
    <w:p>
      <w:pPr>
        <w:jc w:val="both"/>
        <w:ind w:firstLine="436"/>
        <w:spacing w:after="0" w:line="301" w:lineRule="auto"/>
        <w:tabs>
          <w:tab w:leader="none" w:pos="71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indemnities, rights of contribution, representations, warranties and agreements of the Company, the Guarantor and the Underwriters contained in this Agreement or made by or on behalf of the Company, the Guarantor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 or the Underwriters.</w:t>
      </w:r>
    </w:p>
    <w:p>
      <w:pPr>
        <w:spacing w:after="0" w:line="157" w:lineRule="exact"/>
        <w:rPr>
          <w:rFonts w:ascii="Arial" w:cs="Arial" w:eastAsia="Arial" w:hAnsi="Arial"/>
          <w:sz w:val="16"/>
          <w:szCs w:val="16"/>
          <w:color w:val="auto"/>
        </w:rPr>
      </w:pPr>
    </w:p>
    <w:p>
      <w:pPr>
        <w:ind w:left="700" w:hanging="26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 except where otherwise expressly provided:</w:t>
      </w:r>
    </w:p>
    <w:p>
      <w:pPr>
        <w:spacing w:after="0" w:line="225" w:lineRule="exact"/>
        <w:rPr>
          <w:sz w:val="20"/>
          <w:szCs w:val="20"/>
          <w:color w:val="auto"/>
        </w:rPr>
      </w:pPr>
    </w:p>
    <w:p>
      <w:pPr>
        <w:ind w:left="680" w:hanging="24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405 under the Securities Act;</w:t>
      </w:r>
    </w:p>
    <w:p>
      <w:pPr>
        <w:spacing w:after="0" w:line="225"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day on which banks are permitted or required to be closed in New York City;</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covered entity</w:t>
      </w:r>
      <w:r>
        <w:rPr>
          <w:rFonts w:ascii="Arial" w:cs="Arial" w:eastAsia="Arial" w:hAnsi="Arial"/>
          <w:sz w:val="18"/>
          <w:szCs w:val="18"/>
          <w:color w:val="auto"/>
        </w:rPr>
        <w:t>” as that term is defined in, and interpreted in accordance with, 12 C.F.R. § 252.82(b);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2" w:name="page33"/>
    <w:bookmarkEnd w:id="32"/>
    <w:p>
      <w:pPr>
        <w:ind w:left="1220" w:hanging="273"/>
        <w:spacing w:after="0"/>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w:t>
      </w:r>
      <w:r>
        <w:rPr>
          <w:rFonts w:ascii="Arial" w:cs="Arial" w:eastAsia="Arial" w:hAnsi="Arial"/>
          <w:sz w:val="18"/>
          <w:szCs w:val="18"/>
          <w:u w:val="single" w:color="auto"/>
          <w:color w:val="auto"/>
        </w:rPr>
        <w:t>covered bank</w:t>
      </w:r>
      <w:r>
        <w:rPr>
          <w:rFonts w:ascii="Arial" w:cs="Arial" w:eastAsia="Arial" w:hAnsi="Arial"/>
          <w:sz w:val="18"/>
          <w:szCs w:val="18"/>
          <w:color w:val="auto"/>
        </w:rPr>
        <w:t>” as that term is defined in, and interpreted in accordance with, 12 C.F.R. § 47.3(b); or</w:t>
      </w:r>
    </w:p>
    <w:p>
      <w:pPr>
        <w:spacing w:after="0" w:line="225" w:lineRule="exact"/>
        <w:rPr>
          <w:rFonts w:ascii="Arial" w:cs="Arial" w:eastAsia="Arial" w:hAnsi="Arial"/>
          <w:sz w:val="18"/>
          <w:szCs w:val="18"/>
          <w:color w:val="auto"/>
        </w:rPr>
      </w:pPr>
    </w:p>
    <w:p>
      <w:pPr>
        <w:ind w:left="1260" w:hanging="313"/>
        <w:spacing w:after="0"/>
        <w:tabs>
          <w:tab w:leader="none" w:pos="1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covered FSI</w:t>
      </w:r>
      <w:r>
        <w:rPr>
          <w:rFonts w:ascii="Arial" w:cs="Arial" w:eastAsia="Arial" w:hAnsi="Arial"/>
          <w:sz w:val="18"/>
          <w:szCs w:val="18"/>
          <w:color w:val="auto"/>
        </w:rPr>
        <w:t>” as that term is defined in, and interpreted in accordance with, 12 C.F.R. § 382.2(b);</w:t>
      </w:r>
    </w:p>
    <w:p>
      <w:pPr>
        <w:spacing w:after="0" w:line="225" w:lineRule="exact"/>
        <w:rPr>
          <w:rFonts w:ascii="Arial" w:cs="Arial" w:eastAsia="Arial" w:hAnsi="Arial"/>
          <w:sz w:val="18"/>
          <w:szCs w:val="18"/>
          <w:color w:val="auto"/>
        </w:rPr>
      </w:pPr>
    </w:p>
    <w:p>
      <w:pPr>
        <w:ind w:left="-40" w:right="240" w:firstLine="436"/>
        <w:spacing w:after="0" w:line="277" w:lineRule="auto"/>
        <w:tabs>
          <w:tab w:leader="none" w:pos="6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rFonts w:ascii="Arial" w:cs="Arial" w:eastAsia="Arial" w:hAnsi="Arial"/>
          <w:sz w:val="18"/>
          <w:szCs w:val="18"/>
          <w:color w:val="auto"/>
        </w:rPr>
      </w:pPr>
    </w:p>
    <w:p>
      <w:pPr>
        <w:ind w:left="620" w:hanging="224"/>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40" w:right="260" w:firstLine="436"/>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has the meaning set forth in Rule 1-02 of Regulation S-X under the Exchange Act and refers only to those significant subsidiaries listed on Exhibit 21 to the Guarantor’s Annual Report on Form 10-K for the year ended December 31, 2019 as filed with the Commission on January 22, 2020;</w:t>
      </w:r>
    </w:p>
    <w:p>
      <w:pPr>
        <w:spacing w:after="0" w:line="183" w:lineRule="exact"/>
        <w:rPr>
          <w:rFonts w:ascii="Arial" w:cs="Arial" w:eastAsia="Arial" w:hAnsi="Arial"/>
          <w:sz w:val="18"/>
          <w:szCs w:val="18"/>
          <w:color w:val="auto"/>
        </w:rPr>
      </w:pPr>
    </w:p>
    <w:p>
      <w:pPr>
        <w:ind w:left="660" w:hanging="264"/>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set forth in Rule 405 under the Securities Act; and</w:t>
      </w:r>
    </w:p>
    <w:p>
      <w:pPr>
        <w:spacing w:after="0" w:line="225" w:lineRule="exact"/>
        <w:rPr>
          <w:rFonts w:ascii="Arial" w:cs="Arial" w:eastAsia="Arial" w:hAnsi="Arial"/>
          <w:sz w:val="18"/>
          <w:szCs w:val="18"/>
          <w:color w:val="auto"/>
        </w:rPr>
      </w:pPr>
    </w:p>
    <w:p>
      <w:pPr>
        <w:ind w:left="-40" w:right="220" w:firstLine="436"/>
        <w:spacing w:after="0" w:line="308" w:lineRule="auto"/>
        <w:tabs>
          <w:tab w:leader="none" w:pos="6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46" w:lineRule="exact"/>
        <w:rPr>
          <w:sz w:val="20"/>
          <w:szCs w:val="20"/>
          <w:color w:val="auto"/>
        </w:rPr>
      </w:pPr>
    </w:p>
    <w:p>
      <w:pPr>
        <w:ind w:left="660" w:hanging="264"/>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0" w:right="980" w:firstLine="436"/>
        <w:spacing w:after="0" w:line="277" w:lineRule="auto"/>
        <w:tabs>
          <w:tab w:leader="none" w:pos="64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Authority of the Representatives. </w:t>
      </w:r>
      <w:r>
        <w:rPr>
          <w:rFonts w:ascii="Arial" w:cs="Arial" w:eastAsia="Arial" w:hAnsi="Arial"/>
          <w:sz w:val="18"/>
          <w:szCs w:val="18"/>
          <w:color w:val="auto"/>
        </w:rPr>
        <w:t>Any action by the Underwriters hereunder may be taken by the Representatives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and any such action taken by the Representatives shall be binding upon the Underwriters.</w:t>
      </w:r>
    </w:p>
    <w:p>
      <w:pPr>
        <w:spacing w:after="0" w:line="170" w:lineRule="exact"/>
        <w:rPr>
          <w:rFonts w:ascii="Arial" w:cs="Arial" w:eastAsia="Arial" w:hAnsi="Arial"/>
          <w:sz w:val="18"/>
          <w:szCs w:val="18"/>
          <w:color w:val="auto"/>
        </w:rPr>
      </w:pPr>
    </w:p>
    <w:p>
      <w:pPr>
        <w:ind w:left="-40" w:firstLine="436"/>
        <w:spacing w:after="0" w:line="275"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 to the Representatives c/o Citigroup Global Markets Inc., 388 Greenwich Street, New York, New York 10013 (fax: 646-291-1469), Attention: General Counsel. Notices to the Company and the Guarantor shall be given to them at Parkstraat 83, The Hague, The Netherlands, Attention: Director of Treasury Operations, and 5599 San Felipe, Houston, TX 77056, Fax: (713) 513-2006, Attention: Vice President &amp; Treasurer.</w:t>
      </w:r>
    </w:p>
    <w:p>
      <w:pPr>
        <w:spacing w:after="0" w:line="176" w:lineRule="exact"/>
        <w:rPr>
          <w:rFonts w:ascii="Arial" w:cs="Arial" w:eastAsia="Arial" w:hAnsi="Arial"/>
          <w:sz w:val="17"/>
          <w:szCs w:val="17"/>
          <w:color w:val="auto"/>
        </w:rPr>
      </w:pPr>
    </w:p>
    <w:p>
      <w:pPr>
        <w:ind w:left="640" w:hanging="244"/>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the State of New York.</w:t>
      </w:r>
    </w:p>
    <w:p>
      <w:pPr>
        <w:spacing w:after="0" w:line="225" w:lineRule="exact"/>
        <w:rPr>
          <w:rFonts w:ascii="Arial" w:cs="Arial" w:eastAsia="Arial" w:hAnsi="Arial"/>
          <w:sz w:val="18"/>
          <w:szCs w:val="18"/>
          <w:color w:val="auto"/>
        </w:rPr>
      </w:pPr>
    </w:p>
    <w:p>
      <w:pPr>
        <w:ind w:left="-40" w:right="240" w:firstLine="436"/>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80" w:top="274" w:right="499" w:bottom="1440" w:gutter="0" w:footer="0" w:header="0"/>
        </w:sectPr>
      </w:pPr>
    </w:p>
    <w:bookmarkStart w:id="33" w:name="page34"/>
    <w:bookmarkEnd w:id="33"/>
    <w:p>
      <w:pPr>
        <w:ind w:firstLine="436"/>
        <w:spacing w:after="0" w:line="254" w:lineRule="auto"/>
        <w:tabs>
          <w:tab w:leader="none" w:pos="68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Counterparts. </w:t>
      </w:r>
      <w:r>
        <w:rPr>
          <w:rFonts w:ascii="Arial" w:cs="Arial" w:eastAsia="Arial" w:hAnsi="Arial"/>
          <w:sz w:val="18"/>
          <w:szCs w:val="18"/>
          <w:color w:val="auto"/>
        </w:rPr>
        <w:t>This Agreement may be signed in counterparts (which may include counterparts delivered by any standard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each of which shall be an original and all of which together shall constitute one and the same instrument. Delivery of an executed counterpart of a signature page to this Agreement by telecopier, facsimile or other electronic transmission (i.e., a “pdf” or “tif”)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1" w:lineRule="exact"/>
        <w:rPr>
          <w:rFonts w:ascii="Arial" w:cs="Arial" w:eastAsia="Arial" w:hAnsi="Arial"/>
          <w:sz w:val="18"/>
          <w:szCs w:val="18"/>
          <w:color w:val="auto"/>
        </w:rPr>
      </w:pPr>
    </w:p>
    <w:p>
      <w:pPr>
        <w:ind w:firstLine="436"/>
        <w:spacing w:after="0" w:line="277" w:lineRule="auto"/>
        <w:tabs>
          <w:tab w:leader="none" w:pos="66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 w:name="page35"/>
    <w:bookmarkEnd w:id="3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INVESTMENT SA</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Halcrow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Halcrow</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Class A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Claudia Jaramillo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Claudia Jaramillo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660"/>
          </w:cols>
          <w:pgMar w:left="440" w:top="274" w:right="7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August 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D. Bednarski</w:t>
      </w:r>
    </w:p>
    <w:p>
      <w:pPr>
        <w:spacing w:after="0" w:line="23"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143"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019"/>
          </w:cols>
          <w:pgMar w:left="440" w:top="274"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w w:val="86"/>
              </w:rPr>
              <w:t>Schedule 1</w:t>
            </w:r>
          </w:p>
        </w:tc>
      </w:tr>
      <w:tr>
        <w:trPr>
          <w:trHeight w:val="398"/>
        </w:trPr>
        <w:tc>
          <w:tcPr>
            <w:tcW w:w="994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1080" w:type="dxa"/>
            <w:vAlign w:val="bottom"/>
            <w:gridSpan w:val="2"/>
          </w:tcPr>
          <w:p>
            <w:pPr>
              <w:spacing w:after="0"/>
              <w:rPr>
                <w:sz w:val="20"/>
                <w:szCs w:val="20"/>
                <w:color w:val="auto"/>
              </w:rPr>
            </w:pPr>
            <w:r>
              <w:rPr>
                <w:rFonts w:ascii="Arial" w:cs="Arial" w:eastAsia="Arial" w:hAnsi="Arial"/>
                <w:sz w:val="14"/>
                <w:szCs w:val="14"/>
                <w:color w:val="auto"/>
              </w:rPr>
              <w:t>Principal Amount</w:t>
            </w:r>
          </w:p>
        </w:tc>
      </w:tr>
      <w:tr>
        <w:trPr>
          <w:trHeight w:val="94"/>
        </w:trPr>
        <w:tc>
          <w:tcPr>
            <w:tcW w:w="720" w:type="dxa"/>
            <w:vAlign w:val="bottom"/>
            <w:tcBorders>
              <w:top w:val="single" w:sz="8" w:color="auto"/>
            </w:tcBorders>
          </w:tcPr>
          <w:p>
            <w:pPr>
              <w:spacing w:after="0"/>
              <w:rPr>
                <w:sz w:val="8"/>
                <w:szCs w:val="8"/>
                <w:color w:val="auto"/>
              </w:rPr>
            </w:pPr>
          </w:p>
        </w:tc>
        <w:tc>
          <w:tcPr>
            <w:tcW w:w="92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$ 350,000,000</w:t>
            </w:r>
          </w:p>
        </w:tc>
      </w:tr>
      <w:tr>
        <w:trPr>
          <w:trHeight w:val="224"/>
        </w:trPr>
        <w:tc>
          <w:tcPr>
            <w:tcW w:w="99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$ 350,000,000</w:t>
            </w:r>
          </w:p>
        </w:tc>
        <w:tc>
          <w:tcPr>
            <w:tcW w:w="6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Sale Information</w:t>
      </w:r>
    </w:p>
    <w:p>
      <w:pPr>
        <w:spacing w:after="0" w:line="135" w:lineRule="exact"/>
        <w:rPr>
          <w:sz w:val="20"/>
          <w:szCs w:val="20"/>
          <w:color w:val="auto"/>
        </w:rPr>
      </w:pPr>
    </w:p>
    <w:p>
      <w:pPr>
        <w:ind w:left="960" w:hanging="4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Pricing Term Sheet, dated August 4, 2020, substantially in the form of Annex B.</w:t>
      </w:r>
    </w:p>
    <w:p>
      <w:pPr>
        <w:sectPr>
          <w:pgSz w:w="11900" w:h="16838" w:orient="portrait"/>
          <w:cols w:equalWidth="0" w:num="1">
            <w:col w:w="11020"/>
          </w:cols>
          <w:pgMar w:left="440" w:top="274"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333-231029</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Schlumberger Investment SA</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$350,000,000 2.650% Senior Notes due 2030</w:t>
      </w:r>
    </w:p>
    <w:p>
      <w:pPr>
        <w:spacing w:after="0" w:line="248"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August 4, 2020</w:t>
      </w:r>
    </w:p>
    <w:p>
      <w:pPr>
        <w:sectPr>
          <w:pgSz w:w="11900" w:h="16838" w:orient="portrait"/>
          <w:cols w:equalWidth="0" w:num="1">
            <w:col w:w="11024"/>
          </w:cols>
          <w:pgMar w:left="436" w:top="274" w:right="43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Guarantor: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Issue Format: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Original Principal Amount: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TAP Amount:</w:t>
      </w:r>
    </w:p>
    <w:p>
      <w:pPr>
        <w:spacing w:after="0" w:line="200" w:lineRule="exact"/>
        <w:rPr>
          <w:sz w:val="20"/>
          <w:szCs w:val="20"/>
          <w:color w:val="auto"/>
        </w:rPr>
      </w:pPr>
    </w:p>
    <w:p>
      <w:pPr>
        <w:spacing w:after="0" w:line="34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Price to Public:</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Make-Whole Call: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 Call: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Treasury Yield: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Spread to Benchmark Treasury:</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Reoffer Yield: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Sole Book-Running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71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Investment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2.650% Senior Notes due 2030 (the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 registered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$900,000,000 as issued on June 26, 2020 (the “Existing Notes”)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$350,000,000 (after giving effect to this issuance of the Notes,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$1,250,000,000 aggregate principal amount of the Notes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2.650%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price to be paid by each investor in the offering, plus aggregate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of $1,159,375 from June 26,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June 26 and December 26, beginning December 26,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26, 2030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 + 30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any time on or after March 26, 2030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0.625% due May 15, 2030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Dependent on price to be paid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Dependent on price to be paid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Dependent on price to be paid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806854 AJ4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US806854AJ48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98" w:lineRule="exact"/>
        <w:rPr>
          <w:sz w:val="20"/>
          <w:szCs w:val="20"/>
          <w:color w:val="auto"/>
        </w:rPr>
      </w:pPr>
    </w:p>
    <w:p>
      <w:pPr>
        <w:sectPr>
          <w:pgSz w:w="11900" w:h="16838" w:orient="portrait"/>
          <w:cols w:equalWidth="0" w:num="2">
            <w:col w:w="5024" w:space="720"/>
            <w:col w:w="5280"/>
          </w:cols>
          <w:pgMar w:left="436" w:top="274" w:right="439" w:bottom="1440" w:gutter="0" w:footer="0" w:header="0"/>
          <w:type w:val="continuous"/>
        </w:sectPr>
      </w:pPr>
    </w:p>
    <w:p>
      <w:pPr>
        <w:ind w:left="424" w:hanging="424"/>
        <w:spacing w:after="0"/>
        <w:tabs>
          <w:tab w:leader="none" w:pos="424" w:val="left"/>
        </w:tabs>
        <w:numPr>
          <w:ilvl w:val="0"/>
          <w:numId w:val="5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Settlement and Sale of the Notes</w:t>
      </w:r>
    </w:p>
    <w:p>
      <w:pPr>
        <w:sectPr>
          <w:pgSz w:w="11900" w:h="16838" w:orient="portrait"/>
          <w:cols w:equalWidth="0" w:num="1">
            <w:col w:w="11024"/>
          </w:cols>
          <w:pgMar w:left="436" w:top="274" w:right="439" w:bottom="1440" w:gutter="0" w:footer="0" w:header="0"/>
          <w:type w:val="continuous"/>
        </w:sectPr>
      </w:pPr>
    </w:p>
    <w:bookmarkStart w:id="39" w:name="page40"/>
    <w:bookmarkEnd w:id="3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Issuer expects to deliver the Notes against payment for the Notes on or about August 11, 2020 which will be the fifth business day following August 4, 2020,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T+5, to specify alternative settlement arrangements to prevent a failed settlement.</w:t>
      </w:r>
    </w:p>
    <w:p>
      <w:pPr>
        <w:spacing w:after="0" w:line="183"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calling Citigroup Global Markets Inc. toll-free at 1-800-831-9146.</w:t>
      </w:r>
    </w:p>
    <w:p>
      <w:pPr>
        <w:sectPr>
          <w:pgSz w:w="11900" w:h="16838" w:orient="portrait"/>
          <w:cols w:equalWidth="0" w:num="1">
            <w:col w:w="10920"/>
          </w:cols>
          <w:pgMar w:left="440" w:top="274" w:right="5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Investment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Sections 2.2, 2.3 and 10.3 of the Base Indenture Dated as of December 3,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undersigned, an Officer of Schlumberger Investment SA (the “Company”) and an Officer of Schlumberger Limited (the “Guarantor”), each hereby certifies, in his or her capacity as an Officer of the Company or the Guarantor, as applicable, that: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Pursuant to Sections 2.2, 2.3 and 10.3 of the Base Indenture, dated as of December 3, 2013 (the “Base Indenture”), by and among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the Guarantor and The Bank of New York Mellon (the “Trustee”), as supplemented by the Second Supplemental Indenture, dated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26, 2020 (the “Second Supplemental Indenture”), by and among the Company, the Guarantor and the Trustee, the undersigned has read the relevant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Base Indenture (including Sections 2.2 and 2.3, Article IX, and Sections 10.3 and 10.4) and the Second Supplemental Indenture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definitions of the defined terms used therein relating to the authentication and delivery by the Trustee of $350,000,000 aggregate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2.650% Senior Notes due June 26, 2030 (the “Additional Notes”). The Base Indenture as supplemented and amended by the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Indenture and as further supplemented and amended by this Officers’ Certificate is referred to herein as the “Indenture.”</w:t>
      </w:r>
    </w:p>
    <w:p>
      <w:pPr>
        <w:spacing w:after="0" w:line="211"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The Additional Notes constitute notes of the same series as the 2.650% Senior Notes due June 26, 2030 that the Company originally issued on June 26, 2020 (the “Initial Notes”) and have the same forms and terms (other than the date of issuance and the initial offering price), and will carry the same right to receive accrued and unpaid interest, as the Initial Notes currently outstanding. The Additional Notes and the Initial Notes constitute a single series of securities under the Base Indenture and the Second Supplemental Indenture, including for purposes of voting and redemptions, and all references to the “Notes” in the Second Supplemental Indenture shall include the Initial Notes and the Additional Notes, unless the context otherwise requires. Upon authentication and delivery of the Additional Notes, there will be $1,250,000,000 aggregate principal amount of the Company’s 2.650% Senior Notes due June 26, 2030 outstanding.</w:t>
      </w:r>
    </w:p>
    <w:p>
      <w:pPr>
        <w:spacing w:after="0" w:line="177"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The terms of the Additional Notes (including the form of Note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as set forth in the Second Supplemental Indenture and this Officers’ Certificate, which terms have been established in accordance with resolutions duly adopted by the Board of Directors of the Company on August 3, 2020 (a copy of such resolutions being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4"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The statements made herein are based either upon the personal knowledge of the persons executing this Officers’ Certificate or on information, data and reports furnished to such persons by the officers, counsel, department heads or employees of the Company or the Guarantor, as applicable, who have knowledge of the facts involved.</w:t>
      </w:r>
    </w:p>
    <w:p>
      <w:pPr>
        <w:sectPr>
          <w:pgSz w:w="11900" w:h="16838" w:orient="portrait"/>
          <w:cols w:equalWidth="0" w:num="1">
            <w:col w:w="11020"/>
          </w:cols>
          <w:pgMar w:left="440" w:top="121" w:right="439" w:bottom="1440" w:gutter="0" w:footer="0" w:header="0"/>
        </w:sectPr>
      </w:pPr>
    </w:p>
    <w:bookmarkStart w:id="41" w:name="page42"/>
    <w:bookmarkEnd w:id="41"/>
    <w:p>
      <w:pPr>
        <w:ind w:right="6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of the undersigned certifies that he or she has examined the global certificate representing the Additional Notes, the Company Order dated August 11, 2020 (the “Order”), the Second Supplemental Indenture, and the Base Indenture, and the undersigned has examined the covenants, conditions and provisions of the Base Indenture and the Second Supplemental Indenture relating to the covenants, conditions and provisions of the Base Indenture and the Second Supplemental Indenture relating to the authentication of the Additional Notes.</w:t>
      </w:r>
    </w:p>
    <w:p>
      <w:pPr>
        <w:spacing w:after="0" w:line="17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In the opinion of the undersigned, the undersigned has made such examination or investigation as is necessary to enable the undersigned to express an informed opinion as to whether or not all conditions provided for in the Base Indenture and the Second Supplemental Indenture with respect to the authentication of the Additional Notes has been complied with.</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In the opinion of the undersigned, all conditions precedent provided in the Base Indenture and the Second Supplemental Indenture to the authentication by the Trustee of $350,000,000 aggregate principal amount of Additional Notes have been complied with, and such Additional Notes may be authenticated and delivered in accordance with the Order as provided in the Indenture.</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Pursuant to Section 2.2 of the Base Indenture and Section 1.2(2) of the Second Supplemental Indenture, the terms of the Additional Notes shall be as follows:</w:t>
      </w:r>
    </w:p>
    <w:p>
      <w:pPr>
        <w:spacing w:after="0" w:line="62" w:lineRule="exact"/>
        <w:rPr>
          <w:sz w:val="20"/>
          <w:szCs w:val="20"/>
          <w:color w:val="auto"/>
        </w:rPr>
      </w:pPr>
    </w:p>
    <w:p>
      <w:pPr>
        <w:ind w:left="1100" w:hanging="241"/>
        <w:spacing w:after="0"/>
        <w:tabs>
          <w:tab w:leader="none" w:pos="11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Additional Notes shall be part of the Series of Securities under the Base Indenture having the title “2.650% Senior Notes due 2030.”</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aggregate principal amount of the Additional Notes that may be issued pursuant to this certificate shall be $350,000,000.</w:t>
      </w:r>
    </w:p>
    <w:p>
      <w:pPr>
        <w:spacing w:after="0" w:line="128" w:lineRule="exact"/>
        <w:rPr>
          <w:rFonts w:ascii="Arial" w:cs="Arial" w:eastAsia="Arial" w:hAnsi="Arial"/>
          <w:sz w:val="17"/>
          <w:szCs w:val="17"/>
          <w:color w:val="auto"/>
        </w:rPr>
      </w:pPr>
    </w:p>
    <w:p>
      <w:pPr>
        <w:ind w:left="1100" w:hanging="241"/>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entire outstanding principal of the Additional Notes shall be payable on June 26, 2030.</w:t>
      </w:r>
    </w:p>
    <w:p>
      <w:pPr>
        <w:spacing w:after="0" w:line="117" w:lineRule="exact"/>
        <w:rPr>
          <w:rFonts w:ascii="Arial" w:cs="Arial" w:eastAsia="Arial" w:hAnsi="Arial"/>
          <w:sz w:val="18"/>
          <w:szCs w:val="18"/>
          <w:color w:val="auto"/>
        </w:rPr>
      </w:pPr>
    </w:p>
    <w:p>
      <w:pPr>
        <w:ind w:left="440" w:right="200" w:firstLine="419"/>
        <w:spacing w:after="0" w:line="255"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rate at which the Additional Notes shall bear interest shall be 2.650% per year. The date from which interest shall accrue on the Additional Notes shall be June 26, 2020, or the most recent Interest Payment Date to which interest has been paid or provided for. The Interest Payment Dates for each of the Additional Notes shall be June 26 and December 26 of each year, beginning December 26, 2020. Interest shall be payable on each Interest Payment Date to the Holders of record at the close of business on the June 11 and December 11 prior to each Interest Payment Date (whether or not a Business Day). The basis upon which interest shall be calculated shall be that of a 360-day year consisting of twelve 30-day months.</w:t>
      </w:r>
    </w:p>
    <w:p>
      <w:pPr>
        <w:spacing w:after="0" w:line="84" w:lineRule="exact"/>
        <w:rPr>
          <w:rFonts w:ascii="Arial" w:cs="Arial" w:eastAsia="Arial" w:hAnsi="Arial"/>
          <w:sz w:val="18"/>
          <w:szCs w:val="18"/>
          <w:color w:val="auto"/>
        </w:rPr>
      </w:pPr>
    </w:p>
    <w:p>
      <w:pPr>
        <w:ind w:left="440" w:right="60" w:firstLine="419"/>
        <w:spacing w:after="0" w:line="259" w:lineRule="auto"/>
        <w:tabs>
          <w:tab w:leader="none" w:pos="11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Additional Notes shall be issuable in whole in the form of one or more registered Global Notes, and the Depositary for such Global Notes shall be DTC. The Additional Notes shall be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terms of which are herein incorporated by reference. The Additional Notes shall be denominated and payable in Dollars and shall be issuable in minimum denominations of $2,000 and any integral multiple of $1,000 in excess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2" w:name="page43"/>
    <w:bookmarkEnd w:id="42"/>
    <w:p>
      <w:pPr>
        <w:ind w:left="440" w:right="80" w:firstLine="419"/>
        <w:spacing w:after="0" w:line="263" w:lineRule="auto"/>
        <w:tabs>
          <w:tab w:leader="none" w:pos="1088" w:val="left"/>
        </w:tabs>
        <w:numPr>
          <w:ilvl w:val="1"/>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Additional Notes may be redeemed at the option of the Company or the Guarantor prior to the Maturity date, as provided in Article III of the Base Indenture, as amended by the Second Supplemental Indenture and as further amended by this Officers’ Certificate, and under the caption “Optional Redemption” in the Additional Notes.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Additional Notes will not have the benefit of any sinking fund.</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Except as provided in Sections 1.3 and 1.5 of the Second Supplemental Indenture, the Holders of the Additional Notes shall have no special rights in addition to those provided in the Base Indenture upon the occurrence of any particular events.</w:t>
      </w:r>
    </w:p>
    <w:p>
      <w:pPr>
        <w:spacing w:after="0" w:line="62" w:lineRule="exact"/>
        <w:rPr>
          <w:rFonts w:ascii="Arial" w:cs="Arial" w:eastAsia="Arial" w:hAnsi="Arial"/>
          <w:sz w:val="18"/>
          <w:szCs w:val="18"/>
          <w:color w:val="auto"/>
        </w:rPr>
      </w:pPr>
    </w:p>
    <w:p>
      <w:pPr>
        <w:ind w:left="440" w:firstLine="419"/>
        <w:spacing w:after="0" w:line="277" w:lineRule="auto"/>
        <w:tabs>
          <w:tab w:leader="none" w:pos="10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Additional Notes will be senior unsecured obligations of the Company and will rank equally and ratably in right of payment to all of the Company’s other unsecured indebtedness.</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Additional Notes are not convertible into shares of common stock or other securities of the Company.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restrictive covenants set forth in Article IV of the Base Indenture shall be applicable to the Additional Notes.</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Additional Notes shall be issued as Unrestricted Securities.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other terms and conditions of the Additional Notes shall be as set forth in the Base Indenture and Second Supplemental Indenture.</w:t>
      </w:r>
    </w:p>
    <w:p>
      <w:pPr>
        <w:spacing w:after="0" w:line="24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Capitalized terms used but not otherwise defined herein shall have the meanings set forth in the Base Indenture and Second Supplemental Indenture. To the extent a defined term is defined in this Officers’ Certificate and in the Base Indenture and Second Supplemental Indenture, the definition in this Officers’ Certificate shall govern with respect to the Additional Notes.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have executed this Officers’ Certificate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Brian Halcrow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Halcrow</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Class A Director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Claudia Jaramillo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Claudia Jaramillo</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5"/>
          <w:szCs w:val="15"/>
          <w:color w:val="auto"/>
        </w:rPr>
        <w:t>Title:</w:t>
        <w:tab/>
        <w:t>Vice President and Treasurer</w:t>
      </w:r>
    </w:p>
    <w:p>
      <w:pPr>
        <w:spacing w:after="0" w:line="17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Base Indenture</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2.650% SENIOR NOTES DUE 2030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2.650% SENIOR NOTES DUE 2030</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No. [</w:t>
        <w:tab/>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9720" w:space="720"/>
            <w:col w:w="160" w:space="360"/>
            <w:col w:w="6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CUSIP: 806854 AJ4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ISIN: US806854AJ48</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SCHLUMBERGER INVESTMENT SA</w:t>
      </w:r>
    </w:p>
    <w:p>
      <w:pPr>
        <w:sectPr>
          <w:pgSz w:w="11900" w:h="16838" w:orient="portrait"/>
          <w:cols w:equalWidth="0" w:num="1">
            <w:col w:w="11020"/>
          </w:cols>
          <w:pgMar w:left="440" w:top="270" w:right="4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 Cede &amp; Co., or registered assigns, the principal sum of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Dollars on June 26, 2030 (as modified by the Schedule of Increases</w:t>
      </w:r>
    </w:p>
    <w:p>
      <w:pPr>
        <w:spacing w:after="0" w:line="46" w:lineRule="exact"/>
        <w:rPr>
          <w:sz w:val="20"/>
          <w:szCs w:val="20"/>
          <w:color w:val="auto"/>
        </w:rPr>
      </w:pPr>
    </w:p>
    <w:p>
      <w:pPr>
        <w:sectPr>
          <w:pgSz w:w="11900" w:h="16838" w:orient="portrait"/>
          <w:cols w:equalWidth="0" w:num="2">
            <w:col w:w="5420" w:space="360"/>
            <w:col w:w="524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and Decreases in the Global Note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June 26 and December 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June 11 and December 11 (whether or not a Business Day)</w:t>
      </w:r>
    </w:p>
    <w:p>
      <w:pPr>
        <w:spacing w:after="0" w:line="225" w:lineRule="exact"/>
        <w:rPr>
          <w:sz w:val="20"/>
          <w:szCs w:val="20"/>
          <w:color w:val="auto"/>
        </w:rPr>
      </w:pPr>
    </w:p>
    <w:p>
      <w:pPr>
        <w:jc w:val="both"/>
        <w:ind w:right="300" w:firstLine="440"/>
        <w:spacing w:after="0" w:line="259" w:lineRule="auto"/>
        <w:rPr>
          <w:sz w:val="20"/>
          <w:szCs w:val="20"/>
          <w:color w:val="auto"/>
        </w:rPr>
      </w:pPr>
      <w:r>
        <w:rPr>
          <w:rFonts w:ascii="Arial" w:cs="Arial" w:eastAsia="Arial" w:hAnsi="Arial"/>
          <w:sz w:val="18"/>
          <w:szCs w:val="18"/>
          <w:color w:val="auto"/>
        </w:rPr>
        <w:t>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8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type w:val="continuous"/>
        </w:sectPr>
      </w:pPr>
    </w:p>
    <w:bookmarkStart w:id="45" w:name="page46"/>
    <w:bookmarkEnd w:id="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signed in accordance with the Indenture.</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019"/>
          </w:cols>
          <w:pgMar w:left="440" w:top="274"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is one of the 2.650% Senior Notes due 2030 issued by Schlumberger Investment SA of the Series designated therein referred to in the within-mentioned Indenture.</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40" w:top="270" w:right="47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Schlumberger Investment SA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2.650% Senior Notes due 2030</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This note is one of a duly authorized Series of debt securities of Schlumberger Investment SA, a public limited liability company (</w:t>
      </w:r>
      <w:r>
        <w:rPr>
          <w:rFonts w:ascii="Arial" w:cs="Arial" w:eastAsia="Arial" w:hAnsi="Arial"/>
          <w:sz w:val="16"/>
          <w:szCs w:val="16"/>
          <w:i w:val="1"/>
          <w:iCs w:val="1"/>
          <w:color w:val="auto"/>
        </w:rPr>
        <w:t>société</w:t>
      </w:r>
      <w:r>
        <w:rPr>
          <w:rFonts w:ascii="Arial" w:cs="Arial" w:eastAsia="Arial" w:hAnsi="Arial"/>
          <w:sz w:val="16"/>
          <w:szCs w:val="16"/>
          <w:color w:val="auto"/>
        </w:rPr>
        <w:t xml:space="preserve"> </w:t>
      </w:r>
      <w:r>
        <w:rPr>
          <w:rFonts w:ascii="Arial" w:cs="Arial" w:eastAsia="Arial" w:hAnsi="Arial"/>
          <w:sz w:val="16"/>
          <w:szCs w:val="16"/>
          <w:i w:val="1"/>
          <w:iCs w:val="1"/>
          <w:color w:val="auto"/>
        </w:rPr>
        <w:t>anonyme</w:t>
      </w:r>
      <w:r>
        <w:rPr>
          <w:rFonts w:ascii="Arial" w:cs="Arial" w:eastAsia="Arial" w:hAnsi="Arial"/>
          <w:sz w:val="16"/>
          <w:szCs w:val="16"/>
          <w:color w:val="auto"/>
        </w:rPr>
        <w:t>) organized under the laws of the Grand Duchy of Luxembourg having its registered address at 42-44 Avenue de la Gare, L-1610 Luxembourg</w:t>
      </w:r>
      <w:r>
        <w:rPr>
          <w:rFonts w:ascii="Arial" w:cs="Arial" w:eastAsia="Arial" w:hAnsi="Arial"/>
          <w:sz w:val="16"/>
          <w:szCs w:val="16"/>
          <w:i w:val="1"/>
          <w:iCs w:val="1"/>
          <w:color w:val="auto"/>
        </w:rPr>
        <w:t xml:space="preserve"> </w:t>
      </w:r>
      <w:r>
        <w:rPr>
          <w:rFonts w:ascii="Arial" w:cs="Arial" w:eastAsia="Arial" w:hAnsi="Arial"/>
          <w:sz w:val="16"/>
          <w:szCs w:val="16"/>
          <w:color w:val="auto"/>
        </w:rPr>
        <w:t>and registered with the Luxembourg Register of Commerce and Companies under number B 163.122 (the “</w:t>
      </w:r>
      <w:r>
        <w:rPr>
          <w:rFonts w:ascii="Arial" w:cs="Arial" w:eastAsia="Arial" w:hAnsi="Arial"/>
          <w:sz w:val="16"/>
          <w:szCs w:val="16"/>
          <w:i w:val="1"/>
          <w:iCs w:val="1"/>
          <w:color w:val="auto"/>
        </w:rPr>
        <w:t>Company</w:t>
      </w:r>
      <w:r>
        <w:rPr>
          <w:rFonts w:ascii="Arial" w:cs="Arial" w:eastAsia="Arial" w:hAnsi="Arial"/>
          <w:sz w:val="16"/>
          <w:szCs w:val="16"/>
          <w:color w:val="auto"/>
        </w:rPr>
        <w:t>”), issued or to be issued in one or more Series under and pursuant to an Indenture for the Company’s debentures, notes or other debt instruments evidencing its indebtedness, dated as of December 3, 2013 (the “</w:t>
      </w:r>
      <w:r>
        <w:rPr>
          <w:rFonts w:ascii="Arial" w:cs="Arial" w:eastAsia="Arial" w:hAnsi="Arial"/>
          <w:sz w:val="16"/>
          <w:szCs w:val="16"/>
          <w:i w:val="1"/>
          <w:iCs w:val="1"/>
          <w:color w:val="auto"/>
        </w:rPr>
        <w:t>Base Indenture</w:t>
      </w:r>
      <w:r>
        <w:rPr>
          <w:rFonts w:ascii="Arial" w:cs="Arial" w:eastAsia="Arial" w:hAnsi="Arial"/>
          <w:sz w:val="16"/>
          <w:szCs w:val="16"/>
          <w:color w:val="auto"/>
        </w:rPr>
        <w:t>”), duly executed and delivered by and among the Company, Schlumberger Limited, a corporation with limited liability governed by the laws of Curaçao (the “</w:t>
      </w:r>
      <w:r>
        <w:rPr>
          <w:rFonts w:ascii="Arial" w:cs="Arial" w:eastAsia="Arial" w:hAnsi="Arial"/>
          <w:sz w:val="16"/>
          <w:szCs w:val="16"/>
          <w:i w:val="1"/>
          <w:iCs w:val="1"/>
          <w:color w:val="auto"/>
        </w:rPr>
        <w:t>Guarantor</w:t>
      </w:r>
      <w:r>
        <w:rPr>
          <w:rFonts w:ascii="Arial" w:cs="Arial" w:eastAsia="Arial" w:hAnsi="Arial"/>
          <w:sz w:val="16"/>
          <w:szCs w:val="16"/>
          <w:color w:val="auto"/>
        </w:rPr>
        <w:t>”) and The Bank of New York Mellon as trustee (the “</w:t>
      </w:r>
      <w:r>
        <w:rPr>
          <w:rFonts w:ascii="Arial" w:cs="Arial" w:eastAsia="Arial" w:hAnsi="Arial"/>
          <w:sz w:val="16"/>
          <w:szCs w:val="16"/>
          <w:i w:val="1"/>
          <w:iCs w:val="1"/>
          <w:color w:val="auto"/>
        </w:rPr>
        <w:t>Trustee</w:t>
      </w:r>
      <w:r>
        <w:rPr>
          <w:rFonts w:ascii="Arial" w:cs="Arial" w:eastAsia="Arial" w:hAnsi="Arial"/>
          <w:sz w:val="16"/>
          <w:szCs w:val="16"/>
          <w:color w:val="auto"/>
        </w:rPr>
        <w:t>”), registrar, paying agent and transfer agent, as supplemented and amended by the Second Supplemental Indenture, dated as of June 26, 2020 (the “</w:t>
      </w:r>
      <w:r>
        <w:rPr>
          <w:rFonts w:ascii="Arial" w:cs="Arial" w:eastAsia="Arial" w:hAnsi="Arial"/>
          <w:sz w:val="16"/>
          <w:szCs w:val="16"/>
          <w:i w:val="1"/>
          <w:iCs w:val="1"/>
          <w:color w:val="auto"/>
        </w:rPr>
        <w:t>Second Supplemental Indenture</w:t>
      </w:r>
      <w:r>
        <w:rPr>
          <w:rFonts w:ascii="Arial" w:cs="Arial" w:eastAsia="Arial" w:hAnsi="Arial"/>
          <w:sz w:val="16"/>
          <w:szCs w:val="16"/>
          <w:color w:val="auto"/>
        </w:rPr>
        <w:t>”), by and among the Company, the Guarantor and the Trustee and as further supplemented and amended by the Officers’ Certificate dated as of August 11, 2020 (the “</w:t>
      </w:r>
      <w:r>
        <w:rPr>
          <w:rFonts w:ascii="Arial" w:cs="Arial" w:eastAsia="Arial" w:hAnsi="Arial"/>
          <w:sz w:val="16"/>
          <w:szCs w:val="16"/>
          <w:i w:val="1"/>
          <w:iCs w:val="1"/>
          <w:color w:val="auto"/>
        </w:rPr>
        <w:t>Officers’ Certificate</w:t>
      </w:r>
      <w:r>
        <w:rPr>
          <w:rFonts w:ascii="Arial" w:cs="Arial" w:eastAsia="Arial" w:hAnsi="Arial"/>
          <w:sz w:val="16"/>
          <w:szCs w:val="16"/>
          <w:color w:val="auto"/>
        </w:rPr>
        <w:t>”). The Base Indenture as supplemented and amended by the Second Supplemental Indenture and the Officers’ Certificate is referred to herein as the “</w:t>
      </w:r>
      <w:r>
        <w:rPr>
          <w:rFonts w:ascii="Arial" w:cs="Arial" w:eastAsia="Arial" w:hAnsi="Arial"/>
          <w:sz w:val="16"/>
          <w:szCs w:val="16"/>
          <w:i w:val="1"/>
          <w:iCs w:val="1"/>
          <w:color w:val="auto"/>
        </w:rPr>
        <w:t>Indenture</w:t>
      </w:r>
      <w:r>
        <w:rPr>
          <w:rFonts w:ascii="Arial" w:cs="Arial" w:eastAsia="Arial" w:hAnsi="Arial"/>
          <w:sz w:val="16"/>
          <w:szCs w:val="16"/>
          <w:color w:val="auto"/>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cs="Arial" w:eastAsia="Arial" w:hAnsi="Arial"/>
          <w:sz w:val="16"/>
          <w:szCs w:val="16"/>
          <w:i w:val="1"/>
          <w:iCs w:val="1"/>
          <w:color w:val="auto"/>
        </w:rPr>
        <w:t>Note,</w:t>
      </w:r>
      <w:r>
        <w:rPr>
          <w:rFonts w:ascii="Arial" w:cs="Arial" w:eastAsia="Arial" w:hAnsi="Arial"/>
          <w:sz w:val="16"/>
          <w:szCs w:val="16"/>
          <w:color w:val="auto"/>
        </w:rPr>
        <w:t>” and collectively, the “</w:t>
      </w:r>
      <w:r>
        <w:rPr>
          <w:rFonts w:ascii="Arial" w:cs="Arial" w:eastAsia="Arial" w:hAnsi="Arial"/>
          <w:sz w:val="16"/>
          <w:szCs w:val="16"/>
          <w:i w:val="1"/>
          <w:iCs w:val="1"/>
          <w:color w:val="auto"/>
        </w:rPr>
        <w:t>Notes</w:t>
      </w:r>
      <w:r>
        <w:rPr>
          <w:rFonts w:ascii="Arial" w:cs="Arial" w:eastAsia="Arial" w:hAnsi="Arial"/>
          <w:sz w:val="16"/>
          <w:szCs w:val="16"/>
          <w:color w:val="auto"/>
        </w:rPr>
        <w:t>”), and reference is hereby made to the Indenture for a description of the rights, limitations of rights, obligations, duties and immunities of the Trustee, the Company and the Holders of the Notes (the “</w:t>
      </w:r>
      <w:r>
        <w:rPr>
          <w:rFonts w:ascii="Arial" w:cs="Arial" w:eastAsia="Arial" w:hAnsi="Arial"/>
          <w:sz w:val="16"/>
          <w:szCs w:val="16"/>
          <w:i w:val="1"/>
          <w:iCs w:val="1"/>
          <w:color w:val="auto"/>
        </w:rPr>
        <w:t>Holders</w:t>
      </w:r>
      <w:r>
        <w:rPr>
          <w:rFonts w:ascii="Arial" w:cs="Arial" w:eastAsia="Arial" w:hAnsi="Arial"/>
          <w:sz w:val="16"/>
          <w:szCs w:val="16"/>
          <w:color w:val="auto"/>
        </w:rPr>
        <w:t>”). Capitalized terms used herein and not otherwise defined shall have the meanings given them in the Indenture.</w:t>
      </w:r>
    </w:p>
    <w:p>
      <w:pPr>
        <w:spacing w:after="0" w:line="171" w:lineRule="exact"/>
        <w:rPr>
          <w:sz w:val="20"/>
          <w:szCs w:val="20"/>
          <w:color w:val="auto"/>
        </w:rPr>
      </w:pPr>
    </w:p>
    <w:p>
      <w:pPr>
        <w:ind w:firstLine="436"/>
        <w:spacing w:after="0" w:line="275"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The rate at which the Notes shall bear interest shall be 2.650% per year. The date from which interest shall accrue on the Notes shall be June 26, 2020, or the most recent Interest Payment Date to which interest has been paid or provided for. The Interest Payment Dates for the Notes shall be June 26 and December 26 of each year, beginning December 26, 2020. Interest shall be payable on each Interest Payment Date to the Holders of record at the close of business on the June 11 and December 11 prior to each Interest Payment Date (whether or not a Business Day). The basis upon which interest shall be calculated shall be that of a 360-day year consisting of twelve 30-day months.</w:t>
      </w:r>
    </w:p>
    <w:p>
      <w:pPr>
        <w:spacing w:after="0" w:line="176" w:lineRule="exact"/>
        <w:rPr>
          <w:rFonts w:ascii="Arial" w:cs="Arial" w:eastAsia="Arial" w:hAnsi="Arial"/>
          <w:sz w:val="17"/>
          <w:szCs w:val="17"/>
          <w:color w:val="auto"/>
        </w:rPr>
      </w:pPr>
    </w:p>
    <w:p>
      <w:pPr>
        <w:ind w:right="40" w:firstLine="436"/>
        <w:spacing w:after="0" w:line="275"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80"/>
          </w:cols>
          <w:pgMar w:left="440" w:top="270" w:right="479" w:bottom="1440" w:gutter="0" w:footer="0" w:header="0"/>
        </w:sectPr>
      </w:pPr>
    </w:p>
    <w:bookmarkStart w:id="48" w:name="page49"/>
    <w:bookmarkEnd w:id="4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w:t>
      </w:r>
    </w:p>
    <w:p>
      <w:pPr>
        <w:spacing w:after="0" w:line="184" w:lineRule="exact"/>
        <w:rPr>
          <w:sz w:val="20"/>
          <w:szCs w:val="20"/>
          <w:color w:val="auto"/>
        </w:rPr>
      </w:pPr>
    </w:p>
    <w:p>
      <w:pPr>
        <w:ind w:right="20" w:firstLine="436"/>
        <w:spacing w:after="0" w:line="263"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Registrar, Paying Agent, and Transfer Agent</w:t>
      </w:r>
      <w:r>
        <w:rPr>
          <w:rFonts w:ascii="Arial" w:cs="Arial" w:eastAsia="Arial" w:hAnsi="Arial"/>
          <w:sz w:val="18"/>
          <w:szCs w:val="18"/>
          <w:color w:val="auto"/>
        </w:rPr>
        <w:t>.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w:t>
      </w:r>
    </w:p>
    <w:p>
      <w:pPr>
        <w:spacing w:after="0" w:line="183" w:lineRule="exact"/>
        <w:rPr>
          <w:rFonts w:ascii="Arial" w:cs="Arial" w:eastAsia="Arial" w:hAnsi="Arial"/>
          <w:sz w:val="18"/>
          <w:szCs w:val="18"/>
          <w:color w:val="auto"/>
        </w:rPr>
      </w:pPr>
    </w:p>
    <w:p>
      <w:pPr>
        <w:ind w:right="240" w:firstLine="436"/>
        <w:spacing w:after="0" w:line="259"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 The Notes are senior unsecured obligations of the Company and constitute the Series designated on the face hereof as the “</w:t>
      </w:r>
      <w:r>
        <w:rPr>
          <w:rFonts w:ascii="Arial" w:cs="Arial" w:eastAsia="Arial" w:hAnsi="Arial"/>
          <w:sz w:val="18"/>
          <w:szCs w:val="18"/>
          <w:i w:val="1"/>
          <w:iCs w:val="1"/>
          <w:color w:val="auto"/>
        </w:rPr>
        <w:t>2.650</w:t>
      </w:r>
      <w:r>
        <w:rPr>
          <w:rFonts w:ascii="Arial" w:cs="Arial" w:eastAsia="Arial" w:hAnsi="Arial"/>
          <w:sz w:val="18"/>
          <w:szCs w:val="18"/>
          <w:color w:val="auto"/>
        </w:rPr>
        <w:t xml:space="preserve"> </w:t>
      </w:r>
      <w:r>
        <w:rPr>
          <w:rFonts w:ascii="Arial" w:cs="Arial" w:eastAsia="Arial" w:hAnsi="Arial"/>
          <w:sz w:val="18"/>
          <w:szCs w:val="18"/>
          <w:i w:val="1"/>
          <w:iCs w:val="1"/>
          <w:color w:val="auto"/>
        </w:rPr>
        <w:t>Senior Notes due 2030</w:t>
      </w:r>
      <w:r>
        <w:rPr>
          <w:rFonts w:ascii="Arial" w:cs="Arial" w:eastAsia="Arial" w:hAnsi="Arial"/>
          <w:sz w:val="18"/>
          <w:szCs w:val="18"/>
          <w:color w:val="auto"/>
        </w:rPr>
        <w:t>”. The Company will furnish to any Holders upon written request and without charge a copy of the Base Indenture,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and the Officers’ Certificate. Requests may be made to: Schlumberger Limited, 5599 San Felipe Street, 17</w:t>
      </w:r>
      <w:r>
        <w:rPr>
          <w:rFonts w:ascii="Arial" w:cs="Arial" w:eastAsia="Arial" w:hAnsi="Arial"/>
          <w:sz w:val="15"/>
          <w:szCs w:val="15"/>
          <w:color w:val="auto"/>
        </w:rPr>
        <w:t>th</w:t>
      </w:r>
      <w:r>
        <w:rPr>
          <w:rFonts w:ascii="Arial" w:cs="Arial" w:eastAsia="Arial" w:hAnsi="Arial"/>
          <w:sz w:val="18"/>
          <w:szCs w:val="18"/>
          <w:color w:val="auto"/>
        </w:rPr>
        <w:t xml:space="preserve"> Floor, Houston, Texas 77057 Attention: Vice President and Treasurer.</w:t>
      </w:r>
    </w:p>
    <w:p>
      <w:pPr>
        <w:spacing w:after="0" w:line="186" w:lineRule="exact"/>
        <w:rPr>
          <w:rFonts w:ascii="Arial" w:cs="Arial" w:eastAsia="Arial" w:hAnsi="Arial"/>
          <w:sz w:val="18"/>
          <w:szCs w:val="18"/>
          <w:color w:val="auto"/>
        </w:rPr>
      </w:pPr>
    </w:p>
    <w:p>
      <w:pPr>
        <w:ind w:right="40" w:firstLine="436"/>
        <w:spacing w:after="0" w:line="263"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At the Company’s option, the Notes may be redeemed or purchased, in each case, in whole or in part at any time or from time to time prior to the Stated Maturity of the Notes, as provided in Article III of the Base Indenture (as amended by the Second Supplemental Indenture), Section 1.2 of the Second Supplemental Indenture and in this Section 5.</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Prior to March 26, 2030 (three months prior to their Maturity date), the Notes may be redeemed in whole at any time or in part from time to time, at the Company’s option, at a redemption price equal to the greater of:</w:t>
      </w:r>
    </w:p>
    <w:p>
      <w:pPr>
        <w:spacing w:after="0" w:line="62" w:lineRule="exact"/>
        <w:rPr>
          <w:sz w:val="20"/>
          <w:szCs w:val="20"/>
          <w:color w:val="auto"/>
        </w:rPr>
      </w:pPr>
    </w:p>
    <w:p>
      <w:pPr>
        <w:ind w:left="1100" w:hanging="241"/>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 of the principal amount of such Notes then outstanding, and</w:t>
      </w:r>
    </w:p>
    <w:p>
      <w:pPr>
        <w:spacing w:after="0" w:line="117" w:lineRule="exact"/>
        <w:rPr>
          <w:rFonts w:ascii="Arial" w:cs="Arial" w:eastAsia="Arial" w:hAnsi="Arial"/>
          <w:sz w:val="18"/>
          <w:szCs w:val="18"/>
          <w:color w:val="auto"/>
        </w:rPr>
      </w:pPr>
    </w:p>
    <w:p>
      <w:pPr>
        <w:ind w:left="440" w:firstLine="419"/>
        <w:spacing w:after="0" w:line="275" w:lineRule="auto"/>
        <w:tabs>
          <w:tab w:leader="none" w:pos="11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such Notes to be redeemed that would have been payable in respect of such Notes calculated as if the Maturity date of such Notes was March 26, 2030 (three months prior to their Maturity date) (not including any portion of such payments of interest accrued to the date of redemption) discounted to the date of redemption on a semiannual basis (assuming a 360-day year consisting of twelve 30-day months) at the applicable treasury rate plus 30 basis points, plus accrued and unpaid interest on the principal amount being redeemed to (but not including) the redemption date.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w:t>
      </w:r>
    </w:p>
    <w:p>
      <w:pPr>
        <w:spacing w:after="0" w:line="117" w:lineRule="exact"/>
        <w:rPr>
          <w:sz w:val="20"/>
          <w:szCs w:val="20"/>
          <w:color w:val="auto"/>
        </w:rPr>
      </w:pPr>
    </w:p>
    <w:p>
      <w:pPr>
        <w:ind w:left="440" w:firstLine="419"/>
        <w:spacing w:after="0" w:line="263" w:lineRule="auto"/>
        <w:tabs>
          <w:tab w:leader="none" w:pos="1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yield, under the heading which represents the average for the immediately preceding week, appearing in the most recently published statistical release designed “</w:t>
      </w:r>
      <w:r>
        <w:rPr>
          <w:rFonts w:ascii="Arial" w:cs="Arial" w:eastAsia="Arial" w:hAnsi="Arial"/>
          <w:sz w:val="18"/>
          <w:szCs w:val="18"/>
          <w:i w:val="1"/>
          <w:iCs w:val="1"/>
          <w:color w:val="auto"/>
        </w:rPr>
        <w:t>H.15(519)</w:t>
      </w:r>
      <w:r>
        <w:rPr>
          <w:rFonts w:ascii="Arial" w:cs="Arial" w:eastAsia="Arial" w:hAnsi="Arial"/>
          <w:sz w:val="18"/>
          <w:szCs w:val="18"/>
          <w:color w:val="auto"/>
        </w:rPr>
        <w:t>” or any successor publication which is published weekly by the Board of Governors of the Federal Reserve System and which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49" w:name="page50"/>
    <w:bookmarkEnd w:id="49"/>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establishes yields on actively traded U.S. Treasury securities adjusted to constant maturity under the caption “</w:t>
      </w:r>
      <w:r>
        <w:rPr>
          <w:rFonts w:ascii="Arial" w:cs="Arial" w:eastAsia="Arial" w:hAnsi="Arial"/>
          <w:sz w:val="16"/>
          <w:szCs w:val="16"/>
          <w:i w:val="1"/>
          <w:iCs w:val="1"/>
          <w:color w:val="auto"/>
        </w:rPr>
        <w:t>Treasury Constant Maturities,</w:t>
      </w:r>
      <w:r>
        <w:rPr>
          <w:rFonts w:ascii="Arial" w:cs="Arial" w:eastAsia="Arial" w:hAnsi="Arial"/>
          <w:sz w:val="16"/>
          <w:szCs w:val="16"/>
          <w:color w:val="auto"/>
        </w:rPr>
        <w:t>”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49" w:lineRule="exact"/>
        <w:rPr>
          <w:sz w:val="20"/>
          <w:szCs w:val="20"/>
          <w:color w:val="auto"/>
        </w:rPr>
      </w:pPr>
    </w:p>
    <w:p>
      <w:pPr>
        <w:ind w:right="20" w:firstLine="419"/>
        <w:spacing w:after="0" w:line="311" w:lineRule="auto"/>
        <w:tabs>
          <w:tab w:leader="none" w:pos="678"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treasury rate will be calculated on the third Business Day preceding the redemption date.</w:t>
      </w:r>
    </w:p>
    <w:p>
      <w:pPr>
        <w:spacing w:after="0" w:line="117" w:lineRule="exact"/>
        <w:rPr>
          <w:sz w:val="20"/>
          <w:szCs w:val="20"/>
          <w:color w:val="auto"/>
        </w:rPr>
      </w:pPr>
    </w:p>
    <w:p>
      <w:pPr>
        <w:jc w:val="both"/>
        <w:ind w:right="40" w:firstLine="423"/>
        <w:spacing w:after="0" w:line="311" w:lineRule="auto"/>
        <w:rPr>
          <w:sz w:val="20"/>
          <w:szCs w:val="20"/>
          <w:color w:val="auto"/>
        </w:rPr>
      </w:pPr>
      <w:r>
        <w:rPr>
          <w:rFonts w:ascii="Arial" w:cs="Arial" w:eastAsia="Arial" w:hAnsi="Arial"/>
          <w:sz w:val="16"/>
          <w:szCs w:val="16"/>
          <w:color w:val="auto"/>
        </w:rPr>
        <w:t>Notwithstanding the foregoing, commencing on March 26, 2030 (three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pacing w:after="0" w:line="41" w:lineRule="exact"/>
        <w:rPr>
          <w:sz w:val="20"/>
          <w:szCs w:val="20"/>
          <w:color w:val="auto"/>
        </w:rPr>
      </w:pPr>
    </w:p>
    <w:p>
      <w:pPr>
        <w:ind w:right="40" w:firstLine="423"/>
        <w:spacing w:after="0" w:line="257" w:lineRule="auto"/>
        <w:rPr>
          <w:sz w:val="20"/>
          <w:szCs w:val="20"/>
          <w:color w:val="auto"/>
        </w:rPr>
      </w:pPr>
      <w:r>
        <w:rPr>
          <w:rFonts w:ascii="Arial" w:cs="Arial" w:eastAsia="Arial" w:hAnsi="Arial"/>
          <w:sz w:val="18"/>
          <w:szCs w:val="18"/>
          <w:color w:val="auto"/>
        </w:rPr>
        <w:t>“comparable treasury issue” means the U.S. Treasury security selected by an independent investment banker as having an actual or interpolated maturity comparable to the remaining term (“remaining life”) of the Notes to be redeemed (assuming that such Notes to be redeemed matured on March 26, 2030) that would be utilized, at the time of selection and in accordance with customary financial practice, in pricing new issues of corporate debt securities of comparable maturity to the remaining term of such Notes (assuming that such Notes matured on March 26, 2030).</w:t>
      </w:r>
    </w:p>
    <w:p>
      <w:pPr>
        <w:spacing w:after="0" w:line="80"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76" w:lineRule="exact"/>
        <w:rPr>
          <w:sz w:val="20"/>
          <w:szCs w:val="20"/>
          <w:color w:val="auto"/>
        </w:rPr>
      </w:pPr>
    </w:p>
    <w:p>
      <w:pPr>
        <w:jc w:val="both"/>
        <w:ind w:right="200" w:firstLine="423"/>
        <w:spacing w:after="0" w:line="263" w:lineRule="auto"/>
        <w:rPr>
          <w:sz w:val="20"/>
          <w:szCs w:val="20"/>
          <w:color w:val="auto"/>
        </w:rPr>
      </w:pPr>
      <w:r>
        <w:rPr>
          <w:rFonts w:ascii="Arial" w:cs="Arial" w:eastAsia="Arial" w:hAnsi="Arial"/>
          <w:sz w:val="18"/>
          <w:szCs w:val="18"/>
          <w:color w:val="auto"/>
        </w:rPr>
        <w:t>“independent investment banker” means Citigroup Global Markets Inc., HSBC Securities (USA) Inc., J.P. Morgan Securities LLC or SG Americas Securities, LLC, or, if these firms are unwilling or unable to select the comparable treasury issue, an independent investment banking institution of national standing appointed by the Company.</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520"/>
          </w:cols>
          <w:pgMar w:left="880" w:top="274" w:right="499" w:bottom="1440" w:gutter="0" w:footer="0" w:header="0"/>
        </w:sectPr>
      </w:pPr>
    </w:p>
    <w:bookmarkStart w:id="50" w:name="page51"/>
    <w:bookmarkEnd w:id="50"/>
    <w:p>
      <w:pPr>
        <w:ind w:left="440" w:right="500" w:firstLine="423"/>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treasury dealer” means (1) Citigroup Global Markets Inc., HSBC Securities (USA) Inc., J.P. Morgan Securities LLC or SG Americas Securities, LLC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49" w:lineRule="exact"/>
        <w:rPr>
          <w:sz w:val="20"/>
          <w:szCs w:val="20"/>
          <w:color w:val="auto"/>
        </w:rPr>
      </w:pPr>
    </w:p>
    <w:p>
      <w:pPr>
        <w:jc w:val="both"/>
        <w:ind w:left="440" w:right="580" w:firstLine="423"/>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 in each case as a percentage of its principal amount) quoted in writing to the independent investment banker at 5:00 p.m., New York City time, on the third Business Day preceding such redemption date.</w:t>
      </w:r>
    </w:p>
    <w:p>
      <w:pPr>
        <w:spacing w:after="0" w:line="18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will not have the benefit of any sinking fund.</w:t>
      </w:r>
    </w:p>
    <w:p>
      <w:pPr>
        <w:spacing w:after="0" w:line="225" w:lineRule="exact"/>
        <w:rPr>
          <w:sz w:val="20"/>
          <w:szCs w:val="20"/>
          <w:color w:val="auto"/>
        </w:rPr>
      </w:pPr>
    </w:p>
    <w:p>
      <w:pPr>
        <w:ind w:firstLine="436"/>
        <w:spacing w:after="0" w:line="254"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94" w:lineRule="exact"/>
        <w:rPr>
          <w:rFonts w:ascii="Arial" w:cs="Arial" w:eastAsia="Arial" w:hAnsi="Arial"/>
          <w:sz w:val="18"/>
          <w:szCs w:val="18"/>
          <w:color w:val="auto"/>
        </w:rPr>
      </w:pPr>
    </w:p>
    <w:p>
      <w:pPr>
        <w:ind w:right="420" w:firstLine="436"/>
        <w:spacing w:after="0" w:line="277"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may be treated as the owner of it for all purposes. Only registered Holders have rights under the Indenture.</w:t>
      </w:r>
    </w:p>
    <w:p>
      <w:pPr>
        <w:spacing w:after="0" w:line="170" w:lineRule="exact"/>
        <w:rPr>
          <w:rFonts w:ascii="Arial" w:cs="Arial" w:eastAsia="Arial" w:hAnsi="Arial"/>
          <w:sz w:val="18"/>
          <w:szCs w:val="18"/>
          <w:color w:val="auto"/>
        </w:rPr>
      </w:pPr>
    </w:p>
    <w:p>
      <w:pPr>
        <w:ind w:right="180" w:firstLine="436"/>
        <w:spacing w:after="0" w:line="277"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Repayment to the Company</w:t>
      </w:r>
      <w:r>
        <w:rPr>
          <w:rFonts w:ascii="Arial" w:cs="Arial" w:eastAsia="Arial" w:hAnsi="Arial"/>
          <w:sz w:val="18"/>
          <w:szCs w:val="18"/>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51" w:name="page52"/>
    <w:bookmarkEnd w:id="5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4" w:lineRule="exact"/>
        <w:rPr>
          <w:sz w:val="20"/>
          <w:szCs w:val="20"/>
          <w:color w:val="auto"/>
        </w:rPr>
      </w:pPr>
    </w:p>
    <w:p>
      <w:pPr>
        <w:ind w:firstLine="436"/>
        <w:spacing w:after="0" w:line="285" w:lineRule="auto"/>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Amendment, Supplements and Waivers</w:t>
      </w:r>
      <w:r>
        <w:rPr>
          <w:rFonts w:ascii="Arial" w:cs="Arial" w:eastAsia="Arial" w:hAnsi="Arial"/>
          <w:sz w:val="16"/>
          <w:szCs w:val="16"/>
          <w:color w:val="auto"/>
        </w:rPr>
        <w:t>.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provided that such additional Notes have the same terms as, and shall be deemed part of the same series as, the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74"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20"/>
          </w:cols>
          <w:pgMar w:left="440" w:top="274" w:right="439" w:bottom="1440" w:gutter="0" w:footer="0" w:header="0"/>
        </w:sectPr>
      </w:pPr>
    </w:p>
    <w:bookmarkStart w:id="52" w:name="page53"/>
    <w:bookmarkEnd w:id="52"/>
    <w:p>
      <w:pPr>
        <w:ind w:left="4" w:right="40" w:firstLine="436"/>
        <w:spacing w:after="0" w:line="287" w:lineRule="auto"/>
        <w:tabs>
          <w:tab w:leader="none" w:pos="714"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Defaults and Remedies</w:t>
      </w:r>
      <w:r>
        <w:rPr>
          <w:rFonts w:ascii="Arial" w:cs="Arial" w:eastAsia="Arial" w:hAnsi="Arial"/>
          <w:sz w:val="16"/>
          <w:szCs w:val="16"/>
          <w:color w:val="auto"/>
        </w:rPr>
        <w:t>.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w:t>
      </w:r>
    </w:p>
    <w:p>
      <w:pPr>
        <w:spacing w:after="0" w:line="2" w:lineRule="exact"/>
        <w:rPr>
          <w:rFonts w:ascii="Arial" w:cs="Arial" w:eastAsia="Arial" w:hAnsi="Arial"/>
          <w:sz w:val="16"/>
          <w:szCs w:val="16"/>
          <w:color w:val="auto"/>
        </w:rPr>
      </w:pPr>
    </w:p>
    <w:p>
      <w:pPr>
        <w:ind w:left="4" w:right="180" w:hanging="4"/>
        <w:spacing w:after="0" w:line="290"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of the Base Indenture occurs with respect to the Company (or with respect to the Guarantor), the principal amount plus accrued and unpaid interest on the Company’s Notes will become immediately due and payable without any action on the part of the Trustee or any Holder.</w:t>
      </w:r>
    </w:p>
    <w:p>
      <w:pPr>
        <w:spacing w:after="0" w:line="161" w:lineRule="exact"/>
        <w:rPr>
          <w:rFonts w:ascii="Arial" w:cs="Arial" w:eastAsia="Arial" w:hAnsi="Arial"/>
          <w:sz w:val="17"/>
          <w:szCs w:val="17"/>
          <w:color w:val="auto"/>
        </w:rPr>
      </w:pPr>
    </w:p>
    <w:p>
      <w:pPr>
        <w:ind w:left="4" w:right="40" w:firstLine="436"/>
        <w:spacing w:after="0" w:line="263" w:lineRule="auto"/>
        <w:tabs>
          <w:tab w:leader="none" w:pos="70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Trustee May Hold Notes</w:t>
      </w:r>
      <w:r>
        <w:rPr>
          <w:rFonts w:ascii="Arial" w:cs="Arial" w:eastAsia="Arial" w:hAnsi="Arial"/>
          <w:sz w:val="18"/>
          <w:szCs w:val="18"/>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w:t>
      </w:r>
    </w:p>
    <w:p>
      <w:pPr>
        <w:spacing w:after="0" w:line="183" w:lineRule="exact"/>
        <w:rPr>
          <w:rFonts w:ascii="Arial" w:cs="Arial" w:eastAsia="Arial" w:hAnsi="Arial"/>
          <w:sz w:val="18"/>
          <w:szCs w:val="18"/>
          <w:color w:val="auto"/>
        </w:rPr>
      </w:pPr>
    </w:p>
    <w:p>
      <w:pPr>
        <w:ind w:left="4" w:firstLine="436"/>
        <w:spacing w:after="0" w:line="257" w:lineRule="auto"/>
        <w:tabs>
          <w:tab w:leader="none" w:pos="71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No Personal Liability of Directors, Officers, Employees and Certain Others</w:t>
      </w:r>
      <w:r>
        <w:rPr>
          <w:rFonts w:ascii="Arial" w:cs="Arial" w:eastAsia="Arial" w:hAnsi="Arial"/>
          <w:sz w:val="18"/>
          <w:szCs w:val="18"/>
          <w:color w:val="auto"/>
        </w:rPr>
        <w:t>.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ind w:left="4" w:right="540" w:firstLine="436"/>
        <w:spacing w:after="0" w:line="277" w:lineRule="auto"/>
        <w:tabs>
          <w:tab w:leader="none" w:pos="71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Discharge of Indenture</w:t>
      </w:r>
      <w:r>
        <w:rPr>
          <w:rFonts w:ascii="Arial" w:cs="Arial" w:eastAsia="Arial" w:hAnsi="Arial"/>
          <w:sz w:val="18"/>
          <w:szCs w:val="18"/>
          <w:color w:val="auto"/>
        </w:rPr>
        <w:t>. The Indenture contains certain provisions pertaining to discharge and defeasance, which provisions shall for all purposes have the same effect as if set forth herein.</w:t>
      </w:r>
    </w:p>
    <w:p>
      <w:pPr>
        <w:spacing w:after="0" w:line="170" w:lineRule="exact"/>
        <w:rPr>
          <w:rFonts w:ascii="Arial" w:cs="Arial" w:eastAsia="Arial" w:hAnsi="Arial"/>
          <w:sz w:val="18"/>
          <w:szCs w:val="18"/>
          <w:color w:val="auto"/>
        </w:rPr>
      </w:pPr>
    </w:p>
    <w:p>
      <w:pPr>
        <w:ind w:left="4" w:right="580" w:firstLine="436"/>
        <w:spacing w:after="0" w:line="277" w:lineRule="auto"/>
        <w:tabs>
          <w:tab w:leader="none" w:pos="71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This Note shall not be valid until the Trustee signs, by manual, facsimile or other electronic signature, the certificate of authentication attached to the other side of this Note.</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Additional Amounts</w:t>
      </w:r>
      <w:r>
        <w:rPr>
          <w:rFonts w:ascii="Arial" w:cs="Arial" w:eastAsia="Arial" w:hAnsi="Arial"/>
          <w:sz w:val="18"/>
          <w:szCs w:val="18"/>
          <w:color w:val="auto"/>
        </w:rPr>
        <w:t>. The Company is obligated to pay Additional Amounts on this Note to the extent provided in the Indenture.</w:t>
      </w:r>
    </w:p>
    <w:p>
      <w:pPr>
        <w:spacing w:after="0" w:line="225" w:lineRule="exact"/>
        <w:rPr>
          <w:rFonts w:ascii="Arial" w:cs="Arial" w:eastAsia="Arial" w:hAnsi="Arial"/>
          <w:sz w:val="18"/>
          <w:szCs w:val="18"/>
          <w:color w:val="auto"/>
        </w:rPr>
      </w:pPr>
    </w:p>
    <w:p>
      <w:pPr>
        <w:ind w:left="4" w:right="40" w:firstLine="436"/>
        <w:spacing w:after="0" w:line="263" w:lineRule="auto"/>
        <w:tabs>
          <w:tab w:leader="none" w:pos="71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tenants in common), TEN ENT(= tenants by the entireties), JT TEN (= joint tenants with right of survivorship and not as tenants in common), CUST (= custodian), and U/G/M/A (= Uniform Gifts to Minors Act).</w:t>
      </w:r>
    </w:p>
    <w:p>
      <w:pPr>
        <w:spacing w:after="0" w:line="180"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INDENTURE, THIS NOTE AND THE NOTE GUARANTEE, INCLUDING ANY CLAIM OR CONTROVERSY</w:t>
      </w:r>
      <w:r>
        <w:rPr>
          <w:rFonts w:ascii="Arial" w:cs="Arial" w:eastAsia="Arial" w:hAnsi="Arial"/>
          <w:sz w:val="18"/>
          <w:szCs w:val="18"/>
          <w:color w:val="auto"/>
        </w:rPr>
        <w:t xml:space="preserve"> </w:t>
      </w:r>
      <w:r>
        <w:rPr>
          <w:rFonts w:ascii="Arial" w:cs="Arial" w:eastAsia="Arial" w:hAnsi="Arial"/>
          <w:sz w:val="18"/>
          <w:szCs w:val="18"/>
          <w:b w:val="1"/>
          <w:bCs w:val="1"/>
          <w:color w:val="auto"/>
        </w:rPr>
        <w:t>ARISING OUT OF OR RELATING TO THE INDENTURE, THE NOTES OR THE NOTE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4"/>
          </w:cols>
          <w:pgMar w:left="436" w:top="274" w:right="459" w:bottom="1440" w:gutter="0" w:footer="0" w:header="0"/>
        </w:sectPr>
      </w:pPr>
    </w:p>
    <w:bookmarkStart w:id="53" w:name="page54"/>
    <w:bookmarkEnd w:id="53"/>
    <w:p>
      <w:pPr>
        <w:ind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GUARANTEE, SHALL BE GOVERNED BY THE LAWS OF THE STATE OF NEW YORK WITHOUT REGARD TO CONFLICT OF LAW PRINCIPLES THAT WOULD RESULT IN THE APPLICATION OF ANY LAW OTHER THAN THE LAW OF THE STATE OF NEW YORK.</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THE APPLICATION OF THE PROVISIONS OF THE ARTICLES 470-1 TO 470-19 (INCLUSIVE) OF THE LUXEMBOURG LAW OF 10 AUGUST 1915 ON COMMERCIAL COMPANIES, AS AMENDED, IS HEREBY EXPRESSLY EXCLUDED.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0" w:right="459" w:bottom="1440" w:gutter="0" w:footer="0" w:header="0"/>
        </w:sectPr>
      </w:pPr>
    </w:p>
    <w:bookmarkStart w:id="54" w:name="page55"/>
    <w:bookmarkEnd w:id="5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460375</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614680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768985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-10160</wp:posOffset>
            </wp:positionV>
            <wp:extent cx="47701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70120" cy="8255"/>
                    </a:xfrm>
                    <a:prstGeom prst="rect">
                      <a:avLst/>
                    </a:prstGeom>
                    <a:noFill/>
                  </pic:spPr>
                </pic:pic>
              </a:graphicData>
            </a:graphic>
          </wp:anchor>
        </w:drawing>
      </w:r>
    </w:p>
    <w:p>
      <w:pPr>
        <w:spacing w:after="0" w:line="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12280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571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14605</wp:posOffset>
            </wp:positionV>
            <wp:extent cx="13284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ectPr>
          <w:pgSz w:w="11900" w:h="16838" w:orient="portrait"/>
          <w:cols w:equalWidth="0" w:num="1">
            <w:col w:w="10760"/>
          </w:cols>
          <w:pgMar w:left="440" w:top="27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17570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(Signature must be guaranteed by a</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participant in a recognized Signature</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Guarantee Medallion Program (or</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other signature guarantor acceptable</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the Trustee))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(Sign exactly as your name appears on the</w:t>
      </w:r>
    </w:p>
    <w:p>
      <w:pPr>
        <w:spacing w:after="0" w:line="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face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A-11</w:t>
      </w:r>
    </w:p>
    <w:p>
      <w:pPr>
        <w:sectPr>
          <w:pgSz w:w="11900" w:h="16838" w:orient="portrait"/>
          <w:cols w:equalWidth="0" w:num="2">
            <w:col w:w="4600" w:space="720"/>
            <w:col w:w="5440"/>
          </w:cols>
          <w:pgMar w:left="440" w:top="270" w:right="699" w:bottom="1440" w:gutter="0" w:footer="0" w:header="0"/>
          <w:type w:val="continuous"/>
        </w:sectPr>
      </w:pPr>
    </w:p>
    <w:bookmarkStart w:id="55" w:name="page56"/>
    <w:bookmarkEnd w:id="55"/>
    <w:p>
      <w:pPr>
        <w:ind w:left="440" w:hanging="439"/>
        <w:spacing w:after="0" w:line="6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INCREASES AND DECREASES IN THE GLOBAL NOTE The following increases and decreases in this Global Note have been made: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Date of Increase or</w:t>
            </w:r>
          </w:p>
        </w:tc>
        <w:tc>
          <w:tcPr>
            <w:tcW w:w="2700" w:type="dxa"/>
            <w:vAlign w:val="bottom"/>
            <w:gridSpan w:val="2"/>
          </w:tcPr>
          <w:p>
            <w:pPr>
              <w:ind w:left="1520"/>
              <w:spacing w:after="0"/>
              <w:rPr>
                <w:sz w:val="20"/>
                <w:szCs w:val="20"/>
                <w:color w:val="auto"/>
              </w:rPr>
            </w:pPr>
            <w:r>
              <w:rPr>
                <w:rFonts w:ascii="Arial" w:cs="Arial" w:eastAsia="Arial" w:hAnsi="Arial"/>
                <w:sz w:val="14"/>
                <w:szCs w:val="14"/>
                <w:color w:val="auto"/>
                <w:w w:val="92"/>
              </w:rPr>
              <w:t>Amount of decrease</w:t>
            </w:r>
          </w:p>
        </w:tc>
        <w:tc>
          <w:tcPr>
            <w:tcW w:w="0" w:type="dxa"/>
            <w:vAlign w:val="bottom"/>
          </w:tcPr>
          <w:p>
            <w:pPr>
              <w:spacing w:after="0"/>
              <w:rPr>
                <w:sz w:val="1"/>
                <w:szCs w:val="1"/>
                <w:color w:val="auto"/>
              </w:rPr>
            </w:pPr>
          </w:p>
        </w:tc>
      </w:tr>
      <w:tr>
        <w:trPr>
          <w:trHeight w:val="140"/>
        </w:trPr>
        <w:tc>
          <w:tcPr>
            <w:tcW w:w="2620" w:type="dxa"/>
            <w:vAlign w:val="bottom"/>
            <w:gridSpan w:val="2"/>
            <w:vMerge w:val="continue"/>
          </w:tcPr>
          <w:p>
            <w:pPr>
              <w:spacing w:after="0"/>
              <w:rPr>
                <w:sz w:val="12"/>
                <w:szCs w:val="12"/>
                <w:color w:val="auto"/>
              </w:rPr>
            </w:pPr>
          </w:p>
        </w:tc>
        <w:tc>
          <w:tcPr>
            <w:tcW w:w="2700" w:type="dxa"/>
            <w:vAlign w:val="bottom"/>
            <w:gridSpan w:val="2"/>
          </w:tcPr>
          <w:p>
            <w:pPr>
              <w:ind w:left="1520"/>
              <w:spacing w:after="0" w:line="141" w:lineRule="exact"/>
              <w:rPr>
                <w:sz w:val="20"/>
                <w:szCs w:val="20"/>
                <w:color w:val="auto"/>
              </w:rPr>
            </w:pPr>
            <w:r>
              <w:rPr>
                <w:rFonts w:ascii="Arial" w:cs="Arial" w:eastAsia="Arial" w:hAnsi="Arial"/>
                <w:sz w:val="14"/>
                <w:szCs w:val="14"/>
                <w:color w:val="auto"/>
                <w:w w:val="96"/>
              </w:rPr>
              <w:t>in Principal Amount</w:t>
            </w:r>
          </w:p>
        </w:tc>
        <w:tc>
          <w:tcPr>
            <w:tcW w:w="0" w:type="dxa"/>
            <w:vAlign w:val="bottom"/>
          </w:tcPr>
          <w:p>
            <w:pPr>
              <w:spacing w:after="0"/>
              <w:rPr>
                <w:sz w:val="1"/>
                <w:szCs w:val="1"/>
                <w:color w:val="auto"/>
              </w:rPr>
            </w:pPr>
          </w:p>
        </w:tc>
      </w:tr>
      <w:tr>
        <w:trPr>
          <w:trHeight w:val="169"/>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Decrease</w:t>
            </w:r>
          </w:p>
        </w:tc>
        <w:tc>
          <w:tcPr>
            <w:tcW w:w="2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9951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265430</wp:posOffset>
            </wp:positionV>
            <wp:extent cx="69951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69951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00" w:type="dxa"/>
            <w:vAlign w:val="bottom"/>
            <w:gridSpan w:val="3"/>
          </w:tcPr>
          <w:p>
            <w:pPr>
              <w:ind w:left="760"/>
              <w:spacing w:after="0"/>
              <w:rPr>
                <w:sz w:val="20"/>
                <w:szCs w:val="20"/>
                <w:color w:val="auto"/>
              </w:rPr>
            </w:pPr>
            <w:r>
              <w:rPr>
                <w:rFonts w:ascii="Arial" w:cs="Arial" w:eastAsia="Arial" w:hAnsi="Arial"/>
                <w:sz w:val="14"/>
                <w:szCs w:val="14"/>
                <w:color w:val="auto"/>
              </w:rPr>
              <w:t>Principal Amount of</w:t>
            </w:r>
          </w:p>
        </w:tc>
        <w:tc>
          <w:tcPr>
            <w:tcW w:w="1040" w:type="dxa"/>
            <w:vAlign w:val="bottom"/>
          </w:tcPr>
          <w:p>
            <w:pPr>
              <w:spacing w:after="0"/>
              <w:rPr>
                <w:sz w:val="14"/>
                <w:szCs w:val="14"/>
                <w:color w:val="auto"/>
              </w:rPr>
            </w:pPr>
          </w:p>
        </w:tc>
      </w:tr>
      <w:tr>
        <w:trPr>
          <w:trHeight w:val="148"/>
        </w:trPr>
        <w:tc>
          <w:tcPr>
            <w:tcW w:w="1160" w:type="dxa"/>
            <w:vAlign w:val="bottom"/>
          </w:tcPr>
          <w:p>
            <w:pPr>
              <w:spacing w:after="0"/>
              <w:rPr>
                <w:sz w:val="12"/>
                <w:szCs w:val="12"/>
                <w:color w:val="auto"/>
              </w:rPr>
            </w:pPr>
          </w:p>
        </w:tc>
        <w:tc>
          <w:tcPr>
            <w:tcW w:w="270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this Global Note</w:t>
            </w:r>
          </w:p>
        </w:tc>
        <w:tc>
          <w:tcPr>
            <w:tcW w:w="1040" w:type="dxa"/>
            <w:vAlign w:val="bottom"/>
          </w:tcPr>
          <w:p>
            <w:pPr>
              <w:spacing w:after="0"/>
              <w:rPr>
                <w:sz w:val="12"/>
                <w:szCs w:val="12"/>
                <w:color w:val="auto"/>
              </w:rPr>
            </w:pPr>
          </w:p>
        </w:tc>
      </w:tr>
      <w:tr>
        <w:trPr>
          <w:trHeight w:val="148"/>
        </w:trPr>
        <w:tc>
          <w:tcPr>
            <w:tcW w:w="1160" w:type="dxa"/>
            <w:vAlign w:val="bottom"/>
          </w:tcPr>
          <w:p>
            <w:pPr>
              <w:spacing w:after="0" w:line="149" w:lineRule="exact"/>
              <w:rPr>
                <w:sz w:val="20"/>
                <w:szCs w:val="20"/>
                <w:color w:val="auto"/>
              </w:rPr>
            </w:pPr>
            <w:r>
              <w:rPr>
                <w:rFonts w:ascii="Arial" w:cs="Arial" w:eastAsia="Arial" w:hAnsi="Arial"/>
                <w:sz w:val="14"/>
                <w:szCs w:val="14"/>
                <w:color w:val="auto"/>
                <w:w w:val="94"/>
              </w:rPr>
              <w:t>Amount of increase</w:t>
            </w:r>
          </w:p>
        </w:tc>
        <w:tc>
          <w:tcPr>
            <w:tcW w:w="270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following such</w:t>
            </w: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Signature of</w:t>
            </w:r>
          </w:p>
        </w:tc>
      </w:tr>
      <w:tr>
        <w:trPr>
          <w:trHeight w:val="149"/>
        </w:trPr>
        <w:tc>
          <w:tcPr>
            <w:tcW w:w="1160" w:type="dxa"/>
            <w:vAlign w:val="bottom"/>
          </w:tcPr>
          <w:p>
            <w:pPr>
              <w:spacing w:after="0" w:line="149" w:lineRule="exact"/>
              <w:rPr>
                <w:sz w:val="20"/>
                <w:szCs w:val="20"/>
                <w:color w:val="auto"/>
              </w:rPr>
            </w:pPr>
            <w:r>
              <w:rPr>
                <w:rFonts w:ascii="Arial" w:cs="Arial" w:eastAsia="Arial" w:hAnsi="Arial"/>
                <w:sz w:val="14"/>
                <w:szCs w:val="14"/>
                <w:color w:val="auto"/>
                <w:w w:val="94"/>
              </w:rPr>
              <w:t>in Principal Amount</w:t>
            </w:r>
          </w:p>
        </w:tc>
        <w:tc>
          <w:tcPr>
            <w:tcW w:w="270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decrease (or</w:t>
            </w:r>
          </w:p>
        </w:tc>
        <w:tc>
          <w:tcPr>
            <w:tcW w:w="1040" w:type="dxa"/>
            <w:vAlign w:val="bottom"/>
          </w:tcPr>
          <w:p>
            <w:pPr>
              <w:spacing w:after="0" w:line="149" w:lineRule="exact"/>
              <w:rPr>
                <w:sz w:val="20"/>
                <w:szCs w:val="20"/>
                <w:color w:val="auto"/>
              </w:rPr>
            </w:pPr>
            <w:r>
              <w:rPr>
                <w:rFonts w:ascii="Arial" w:cs="Arial" w:eastAsia="Arial" w:hAnsi="Arial"/>
                <w:sz w:val="14"/>
                <w:szCs w:val="14"/>
                <w:color w:val="auto"/>
                <w:w w:val="94"/>
              </w:rPr>
              <w:t>authorized officer</w:t>
            </w:r>
          </w:p>
        </w:tc>
      </w:t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of this Global Note</w:t>
            </w:r>
          </w:p>
        </w:tc>
        <w:tc>
          <w:tcPr>
            <w:tcW w:w="76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increase)</w:t>
            </w:r>
          </w:p>
        </w:tc>
        <w:tc>
          <w:tcPr>
            <w:tcW w:w="760" w:type="dxa"/>
            <w:vAlign w:val="bottom"/>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of Registrar</w:t>
            </w:r>
          </w:p>
        </w:tc>
      </w:tr>
    </w:tbl>
    <w:p>
      <w:pPr>
        <w:spacing w:after="0" w:line="200" w:lineRule="exact"/>
        <w:rPr>
          <w:sz w:val="20"/>
          <w:szCs w:val="20"/>
          <w:color w:val="auto"/>
        </w:rPr>
      </w:pPr>
    </w:p>
    <w:p>
      <w:pPr>
        <w:sectPr>
          <w:pgSz w:w="11900" w:h="16838" w:orient="portrait"/>
          <w:cols w:equalWidth="0" w:num="2">
            <w:col w:w="5880" w:space="200"/>
            <w:col w:w="4900"/>
          </w:cols>
          <w:pgMar w:left="440" w:top="27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ectPr>
          <w:pgSz w:w="11900" w:h="16838" w:orient="portrait"/>
          <w:cols w:equalWidth="0" w:num="1">
            <w:col w:w="10980"/>
          </w:cols>
          <w:pgMar w:left="440" w:top="274" w:right="479" w:bottom="1440" w:gutter="0" w:footer="0" w:header="0"/>
          <w:type w:val="continuous"/>
        </w:sectPr>
      </w:pPr>
    </w:p>
    <w:bookmarkStart w:id="56" w:name="page57"/>
    <w:bookmarkEnd w:id="56"/>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88595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0" cy="197485"/>
                    </a:xfrm>
                    <a:prstGeom prst="rect">
                      <a:avLst/>
                    </a:prstGeom>
                    <a:noFill/>
                  </pic:spPr>
                </pic:pic>
              </a:graphicData>
            </a:graphic>
          </wp:anchor>
        </w:drawing>
      </w:r>
    </w:p>
    <w:p>
      <w:pPr>
        <w:spacing w:after="0" w:line="232"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200 Park Avenue</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New York, NY 10166-0193</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Tel 212.351.4000</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www.gibsondunn.com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Investment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 (Schlumberger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Schlumberger N.V.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Schlumberger Investment SA and Schlumberger N.V. (Schlumberger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Registration Statement on Form S-3 (File No. 333-231029)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acted as counsel to Schlumberger Investment SA,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organized under the laws of the Grand Duchy of Luxembourg (the</w:t>
      </w:r>
    </w:p>
    <w:p>
      <w:pPr>
        <w:spacing w:after="0" w:line="3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Schlumberger N.V. (Schlumberger Limited), a Curaçao company (the “</w:t>
      </w:r>
      <w:r>
        <w:rPr>
          <w:rFonts w:ascii="Arial" w:cs="Arial" w:eastAsia="Arial" w:hAnsi="Arial"/>
          <w:sz w:val="16"/>
          <w:szCs w:val="16"/>
          <w:u w:val="single" w:color="auto"/>
          <w:color w:val="auto"/>
        </w:rPr>
        <w:t>Guarantor</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S-3, file no. 333-231029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prospectus included therein, the prospectus supplement, dated August 4, 2020, filed with the Commission on August 6, 2020 pursuant to Rule 424(b) of the Securities Act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and the offering by the Company pursuant thereto of $350,000,000 aggregate principal amount of the Company’s 2.650% Senior Notes due 2030 (the “</w:t>
      </w:r>
      <w:r>
        <w:rPr>
          <w:rFonts w:ascii="Arial" w:cs="Arial" w:eastAsia="Arial" w:hAnsi="Arial"/>
          <w:sz w:val="16"/>
          <w:szCs w:val="16"/>
          <w:u w:val="single" w:color="auto"/>
          <w:color w:val="auto"/>
        </w:rPr>
        <w:t>Notes</w:t>
      </w:r>
      <w:r>
        <w:rPr>
          <w:rFonts w:ascii="Arial" w:cs="Arial" w:eastAsia="Arial" w:hAnsi="Arial"/>
          <w:sz w:val="16"/>
          <w:szCs w:val="16"/>
          <w:color w:val="auto"/>
        </w:rPr>
        <w:t>”).</w:t>
      </w:r>
    </w:p>
    <w:p>
      <w:pPr>
        <w:spacing w:after="0" w:line="162"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Notes have been issued pursuant to the Indenture, dated December 3, 2013 (the “</w:t>
      </w:r>
      <w:r>
        <w:rPr>
          <w:rFonts w:ascii="Arial" w:cs="Arial" w:eastAsia="Arial" w:hAnsi="Arial"/>
          <w:sz w:val="16"/>
          <w:szCs w:val="16"/>
          <w:u w:val="single" w:color="auto"/>
          <w:color w:val="auto"/>
        </w:rPr>
        <w:t>Base Indenture</w:t>
      </w:r>
      <w:r>
        <w:rPr>
          <w:rFonts w:ascii="Arial" w:cs="Arial" w:eastAsia="Arial" w:hAnsi="Arial"/>
          <w:sz w:val="16"/>
          <w:szCs w:val="16"/>
          <w:color w:val="auto"/>
        </w:rPr>
        <w:t>”), among the Company, the Guarantor and The Bank of New York Mellon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the Second Supplemental Indenture, dated June 26, 2020, relating to the Notes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Existing Indenture</w:t>
      </w:r>
      <w:r>
        <w:rPr>
          <w:rFonts w:ascii="Arial" w:cs="Arial" w:eastAsia="Arial" w:hAnsi="Arial"/>
          <w:sz w:val="16"/>
          <w:szCs w:val="16"/>
          <w:color w:val="auto"/>
        </w:rPr>
        <w:t>”) between the Company, the Guarantor and the Trustee, as further supplemented by the Officers’ Certificate delivered pursuant to the Existing Indenture, dated August 11, 2020 (the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and together with the Existing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and are guaranteed pursuant to the terms of the Indenture by the Guarantor (the “</w:t>
      </w:r>
      <w:r>
        <w:rPr>
          <w:rFonts w:ascii="Arial" w:cs="Arial" w:eastAsia="Arial" w:hAnsi="Arial"/>
          <w:sz w:val="16"/>
          <w:szCs w:val="16"/>
          <w:u w:val="single" w:color="auto"/>
          <w:color w:val="auto"/>
        </w:rPr>
        <w:t>Guarantee</w:t>
      </w:r>
      <w:r>
        <w:rPr>
          <w:rFonts w:ascii="Arial" w:cs="Arial" w:eastAsia="Arial" w:hAnsi="Arial"/>
          <w:sz w:val="16"/>
          <w:szCs w:val="16"/>
          <w:color w:val="auto"/>
        </w:rPr>
        <w:t>”).</w:t>
      </w:r>
    </w:p>
    <w:p>
      <w:pPr>
        <w:spacing w:after="0" w:line="16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arriving at the opinion expressed below, we have examined originals, or copies certified or otherwise identified to our satisfaction as being true and complete copies of the originals, of the Base Indenture, the Supplemental Indenture, the Officers’ Certificate, the Notes, the Guarantee and such other documents, corporate records, certificates of officers of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Beijng • Brussels • Century City • Dallas • Denver • Dubai • Frankfurt • Hong Kong • Houston • London • Los Angeles • Munich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 York • Orange County • Palo Alto • Paris • San Francisco • São Paulo • Singapore • Washington, D.C</w:t>
      </w:r>
    </w:p>
    <w:p>
      <w:pPr>
        <w:sectPr>
          <w:pgSz w:w="11900" w:h="16838" w:orient="portrait"/>
          <w:cols w:equalWidth="0" w:num="1">
            <w:col w:w="11020"/>
          </w:cols>
          <w:pgMar w:left="440" w:top="121"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85950"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885950" cy="196850"/>
                    </a:xfrm>
                    <a:prstGeom prst="rect">
                      <a:avLst/>
                    </a:prstGeom>
                    <a:noFill/>
                  </pic:spPr>
                </pic:pic>
              </a:graphicData>
            </a:graphic>
          </wp:anchor>
        </w:drawing>
        <w:t>August 11,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Company and the Guarantor and of public officials and other instruments as we have deemed necessary or advisable to enable us to render these opinions.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not admitted or qualified to practice law in Luxembourg or Curaçao. Therefore, we have relied upon the opinions of Loyens &amp; Loeff Luxembourg S.à r.l. and STvB Advocaten (Europe) N.V., filed as exhibits to the Guarantor’s Current Report on Form 8-K filed with the Commission on August 11, 2020, with respect to matters governed by the laws of Luxembourg and Curaçao.</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Based upon the foregoing, and subject to the assumptions, exceptions, qualifications and limitations set forth herein, we are of the opinion that the Notes are legal, valid and binding obligations of the Company, enforceable against the Company in accordance with their respective terms, and the Guarantee of the Notes is a legal, valid and binding obligations of the Guarantor obligated thereon, enforceable against the Guarantor in accordance with its terms.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opinion expressed above is subject to the following additional exceptions, qualifications, limitations and assumptions:</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8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B. 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88"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C. We express no opinion regarding the effectiveness of (i) any waiver of stay, extension or usury laws or of unknown future rights; (ii) any waiver (whether or not</w:t>
      </w:r>
    </w:p>
    <w:p>
      <w:pPr>
        <w:sectPr>
          <w:pgSz w:w="11900" w:h="16838" w:orient="portrait"/>
          <w:cols w:equalWidth="0" w:num="1">
            <w:col w:w="11000"/>
          </w:cols>
          <w:pgMar w:left="440" w:top="800"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8595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885950" cy="196850"/>
                    </a:xfrm>
                    <a:prstGeom prst="rect">
                      <a:avLst/>
                    </a:prstGeom>
                    <a:noFill/>
                  </pic:spPr>
                </pic:pic>
              </a:graphicData>
            </a:graphic>
          </wp:anchor>
        </w:drawing>
        <w:t>August 11,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stated as such) under the Indenture, the Guarantee or the certificates evidencing the global Notes (collectively, the “</w:t>
      </w:r>
      <w:r>
        <w:rPr>
          <w:rFonts w:ascii="Arial" w:cs="Arial" w:eastAsia="Arial" w:hAnsi="Arial"/>
          <w:sz w:val="17"/>
          <w:szCs w:val="17"/>
          <w:u w:val="single" w:color="auto"/>
          <w:color w:val="auto"/>
        </w:rPr>
        <w:t>Specified Note Documents</w:t>
      </w:r>
      <w:r>
        <w:rPr>
          <w:rFonts w:ascii="Arial" w:cs="Arial" w:eastAsia="Arial" w:hAnsi="Arial"/>
          <w:sz w:val="17"/>
          <w:szCs w:val="17"/>
          <w:color w:val="auto"/>
        </w:rPr>
        <w:t>”) of, or any consent thereunder relating to, unknown future rights or the rights of any party thereto existing, or duties owing to it, as a matter of law; (iii) any waiver (whether or not stated as such) contained in the Specified Note Documents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Specified Note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“Validity of the Securities”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Gibson, Dunn &amp; Crutcher LLP</w:t>
      </w:r>
    </w:p>
    <w:p>
      <w:pPr>
        <w:sectPr>
          <w:pgSz w:w="11900" w:h="16838" w:orient="portrait"/>
          <w:cols w:equalWidth="0" w:num="1">
            <w:col w:w="10980"/>
          </w:cols>
          <w:pgMar w:left="440" w:top="800" w:right="4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585595" cy="531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85595" cy="5314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284"/>
        <w:spacing w:after="0"/>
        <w:tabs>
          <w:tab w:leader="none" w:pos="8684" w:val="left"/>
        </w:tabs>
        <w:rPr>
          <w:sz w:val="20"/>
          <w:szCs w:val="20"/>
          <w:color w:val="auto"/>
        </w:rPr>
      </w:pPr>
      <w:r>
        <w:rPr>
          <w:rFonts w:ascii="Arial" w:cs="Arial" w:eastAsia="Arial" w:hAnsi="Arial"/>
          <w:sz w:val="15"/>
          <w:szCs w:val="15"/>
          <w:color w:val="auto"/>
        </w:rPr>
        <w:t>OFFICE ADDRESS</w:t>
      </w:r>
      <w:r>
        <w:rPr>
          <w:sz w:val="20"/>
          <w:szCs w:val="20"/>
          <w:color w:val="auto"/>
        </w:rPr>
        <w:tab/>
      </w:r>
      <w:r>
        <w:rPr>
          <w:rFonts w:ascii="Arial" w:cs="Arial" w:eastAsia="Arial" w:hAnsi="Arial"/>
          <w:sz w:val="16"/>
          <w:szCs w:val="16"/>
          <w:color w:val="auto"/>
        </w:rPr>
        <w:t>18-20, rue Edward Steichen</w:t>
      </w:r>
    </w:p>
    <w:p>
      <w:pPr>
        <w:spacing w:after="0" w:line="46" w:lineRule="exact"/>
        <w:rPr>
          <w:sz w:val="20"/>
          <w:szCs w:val="20"/>
          <w:color w:val="auto"/>
        </w:rPr>
      </w:pPr>
    </w:p>
    <w:p>
      <w:pPr>
        <w:ind w:left="8704"/>
        <w:spacing w:after="0"/>
        <w:rPr>
          <w:sz w:val="20"/>
          <w:szCs w:val="20"/>
          <w:color w:val="auto"/>
        </w:rPr>
      </w:pPr>
      <w:r>
        <w:rPr>
          <w:rFonts w:ascii="Arial" w:cs="Arial" w:eastAsia="Arial" w:hAnsi="Arial"/>
          <w:sz w:val="18"/>
          <w:szCs w:val="18"/>
          <w:color w:val="auto"/>
        </w:rPr>
        <w:t>L-2540 LUXEMBOURG</w:t>
      </w:r>
    </w:p>
    <w:p>
      <w:pPr>
        <w:jc w:val="right"/>
        <w:ind w:right="1320"/>
        <w:spacing w:after="0" w:line="185" w:lineRule="auto"/>
        <w:rPr>
          <w:sz w:val="20"/>
          <w:szCs w:val="20"/>
          <w:color w:val="auto"/>
        </w:rPr>
      </w:pPr>
      <w:r>
        <w:rPr>
          <w:rFonts w:ascii="Arial" w:cs="Arial" w:eastAsia="Arial" w:hAnsi="Arial"/>
          <w:sz w:val="27"/>
          <w:szCs w:val="27"/>
          <w:color w:val="auto"/>
          <w:vertAlign w:val="superscript"/>
        </w:rPr>
        <w:t>TELEPHONE</w:t>
      </w:r>
      <w:r>
        <w:rPr>
          <w:rFonts w:ascii="Arial" w:cs="Arial" w:eastAsia="Arial" w:hAnsi="Arial"/>
          <w:sz w:val="17"/>
          <w:szCs w:val="17"/>
          <w:color w:val="auto"/>
        </w:rPr>
        <w:t xml:space="preserve">  +352 466 230</w:t>
      </w:r>
    </w:p>
    <w:p>
      <w:pPr>
        <w:jc w:val="right"/>
        <w:ind w:right="1320"/>
        <w:spacing w:after="0" w:line="180" w:lineRule="auto"/>
        <w:rPr>
          <w:sz w:val="20"/>
          <w:szCs w:val="20"/>
          <w:color w:val="auto"/>
        </w:rPr>
      </w:pPr>
      <w:r>
        <w:rPr>
          <w:rFonts w:ascii="Arial" w:cs="Arial" w:eastAsia="Arial" w:hAnsi="Arial"/>
          <w:sz w:val="25"/>
          <w:szCs w:val="25"/>
          <w:color w:val="auto"/>
          <w:vertAlign w:val="superscript"/>
        </w:rPr>
        <w:t>FAX</w:t>
      </w:r>
      <w:r>
        <w:rPr>
          <w:rFonts w:ascii="Arial" w:cs="Arial" w:eastAsia="Arial" w:hAnsi="Arial"/>
          <w:sz w:val="16"/>
          <w:szCs w:val="16"/>
          <w:color w:val="auto"/>
        </w:rPr>
        <w:t xml:space="preserve">  +352 466 234</w:t>
      </w:r>
    </w:p>
    <w:p>
      <w:pPr>
        <w:spacing w:after="0" w:line="1" w:lineRule="exact"/>
        <w:rPr>
          <w:sz w:val="20"/>
          <w:szCs w:val="20"/>
          <w:color w:val="auto"/>
        </w:rPr>
      </w:pPr>
    </w:p>
    <w:p>
      <w:pPr>
        <w:jc w:val="right"/>
        <w:ind w:right="1320"/>
        <w:spacing w:after="0"/>
        <w:rPr>
          <w:sz w:val="20"/>
          <w:szCs w:val="20"/>
          <w:color w:val="auto"/>
        </w:rPr>
      </w:pPr>
      <w:r>
        <w:rPr>
          <w:rFonts w:ascii="Arial" w:cs="Arial" w:eastAsia="Arial" w:hAnsi="Arial"/>
          <w:sz w:val="29"/>
          <w:szCs w:val="29"/>
          <w:color w:val="auto"/>
          <w:vertAlign w:val="superscript"/>
        </w:rPr>
        <w:t>INTERNET</w:t>
      </w:r>
      <w:r>
        <w:rPr>
          <w:rFonts w:ascii="Arial" w:cs="Arial" w:eastAsia="Arial" w:hAnsi="Arial"/>
          <w:sz w:val="18"/>
          <w:szCs w:val="18"/>
          <w:color w:val="auto"/>
        </w:rPr>
        <w:t xml:space="preserve">  loyensloeff.lu</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Addressees</w:t>
      </w:r>
    </w:p>
    <w:p>
      <w:pPr>
        <w:spacing w:after="0" w:line="137"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30"/>
          <w:szCs w:val="30"/>
          <w:color w:val="auto"/>
          <w:vertAlign w:val="superscript"/>
        </w:rPr>
        <w:t>RE</w:t>
      </w:r>
      <w:r>
        <w:rPr>
          <w:sz w:val="20"/>
          <w:szCs w:val="20"/>
          <w:color w:val="auto"/>
        </w:rPr>
        <w:tab/>
      </w:r>
      <w:r>
        <w:rPr>
          <w:rFonts w:ascii="Arial" w:cs="Arial" w:eastAsia="Arial" w:hAnsi="Arial"/>
          <w:sz w:val="18"/>
          <w:szCs w:val="18"/>
          <w:b w:val="1"/>
          <w:bCs w:val="1"/>
          <w:color w:val="auto"/>
        </w:rPr>
        <w:t>Luxembourg law legal opinion – Schlumberger Investment S.A. – Exhibit 5 opinion</w:t>
      </w:r>
    </w:p>
    <w:p>
      <w:pPr>
        <w:spacing w:after="0" w:line="1"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5"/>
          <w:szCs w:val="15"/>
          <w:color w:val="auto"/>
        </w:rPr>
        <w:t>REFERENCE</w:t>
      </w:r>
      <w:r>
        <w:rPr>
          <w:sz w:val="20"/>
          <w:szCs w:val="20"/>
          <w:color w:val="auto"/>
        </w:rPr>
        <w:tab/>
      </w:r>
      <w:r>
        <w:rPr>
          <w:rFonts w:ascii="Arial" w:cs="Arial" w:eastAsia="Arial" w:hAnsi="Arial"/>
          <w:sz w:val="18"/>
          <w:szCs w:val="18"/>
          <w:color w:val="auto"/>
        </w:rPr>
        <w:t>70135624</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Luxembourg, 11 August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 or Madam,</w:t>
      </w:r>
    </w:p>
    <w:p>
      <w:pPr>
        <w:spacing w:after="0" w:line="370"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rFonts w:ascii="Arial" w:cs="Arial" w:eastAsia="Arial" w:hAnsi="Arial"/>
          <w:sz w:val="18"/>
          <w:szCs w:val="18"/>
          <w:b w:val="1"/>
          <w:bCs w:val="1"/>
          <w:color w:val="auto"/>
        </w:rPr>
      </w:pPr>
    </w:p>
    <w:p>
      <w:pPr>
        <w:ind w:left="444"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acted as special legal counsel on certain matters of Luxembourg law to the Company (as defined below). We render this opinion regarding the Opinion Documents.</w:t>
      </w:r>
    </w:p>
    <w:p>
      <w:pPr>
        <w:spacing w:after="0" w:line="315"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2.1    Capitalised terms which are not otherwise defined herein are used as defined in the Schedules to this opinion letter.</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2.2    In this opinion letter:</w:t>
      </w:r>
    </w:p>
    <w:p>
      <w:pPr>
        <w:spacing w:after="0" w:line="11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United States Securities Act of 1933, as amended.</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Addressees </w:t>
      </w:r>
      <w:r>
        <w:rPr>
          <w:rFonts w:ascii="Arial" w:cs="Arial" w:eastAsia="Arial" w:hAnsi="Arial"/>
          <w:sz w:val="18"/>
          <w:szCs w:val="18"/>
          <w:color w:val="auto"/>
        </w:rPr>
        <w:t>means the addressees of this opinion letter, listed in Schedule 1 (Addressees).</w:t>
      </w:r>
    </w:p>
    <w:p>
      <w:pPr>
        <w:spacing w:after="0" w:line="117" w:lineRule="exact"/>
        <w:rPr>
          <w:rFonts w:ascii="Arial" w:cs="Arial" w:eastAsia="Arial" w:hAnsi="Arial"/>
          <w:sz w:val="18"/>
          <w:szCs w:val="18"/>
          <w:b w:val="1"/>
          <w:bCs w:val="1"/>
          <w:color w:val="auto"/>
        </w:rPr>
      </w:pPr>
    </w:p>
    <w:p>
      <w:pPr>
        <w:ind w:left="444" w:right="4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Indenture </w:t>
      </w:r>
      <w:r>
        <w:rPr>
          <w:rFonts w:ascii="Arial" w:cs="Arial" w:eastAsia="Arial" w:hAnsi="Arial"/>
          <w:sz w:val="18"/>
          <w:szCs w:val="18"/>
          <w:color w:val="auto"/>
        </w:rPr>
        <w:t>means an indenture, dated 3 December 2013, governed by the laws of the State of New York, entered into by and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amongst others, the Company as issuer, the Guarantor and The Bank of New York Mellon as trustee, as supplemented by the Supplemental Indenture (as defined below), as further supplemented by the Officers’ Certificate (as defined below), pursuant to which the Notes have been issued.</w:t>
      </w:r>
    </w:p>
    <w:p>
      <w:pPr>
        <w:spacing w:after="0" w:line="71" w:lineRule="exact"/>
        <w:rPr>
          <w:rFonts w:ascii="Arial" w:cs="Arial" w:eastAsia="Arial" w:hAnsi="Arial"/>
          <w:sz w:val="18"/>
          <w:szCs w:val="18"/>
          <w:b w:val="1"/>
          <w:bCs w:val="1"/>
          <w:color w:val="auto"/>
        </w:rPr>
      </w:pPr>
    </w:p>
    <w:p>
      <w:pPr>
        <w:ind w:left="444" w:right="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Schlumberger Investment S.A., a Luxembourg 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with its registered address at</w:t>
      </w:r>
      <w:r>
        <w:rPr>
          <w:rFonts w:ascii="Arial" w:cs="Arial" w:eastAsia="Arial" w:hAnsi="Arial"/>
          <w:sz w:val="16"/>
          <w:szCs w:val="16"/>
          <w:b w:val="1"/>
          <w:bCs w:val="1"/>
          <w:color w:val="auto"/>
        </w:rPr>
        <w:t xml:space="preserve"> </w:t>
      </w:r>
      <w:r>
        <w:rPr>
          <w:rFonts w:ascii="Arial" w:cs="Arial" w:eastAsia="Arial" w:hAnsi="Arial"/>
          <w:sz w:val="16"/>
          <w:szCs w:val="16"/>
          <w:color w:val="auto"/>
        </w:rPr>
        <w:t>42-44, Avenue de la Gare, L-1610 Luxembourg, Grand Duchy of Luxembourg and registered with the RCS under number B163122.</w:t>
      </w:r>
    </w:p>
    <w:p>
      <w:pPr>
        <w:spacing w:after="0" w:line="52"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All services are provided by Loyens &amp; Loeff Luxembourg S.à r.l., a private limited liability company (société à responsabilité limitée) having its registered office at 18-20, rue Edward Steichen, L-2540 Luxembourg, Luxembourg, registered with the Luxembourg Register of Commerce and Companies Luxembourg (Registre de Commerce et des Sociétés, Luxembourg) under number B 174.248. All its services are governed by its General Terms and Conditions, which include a limitation of liability, the applicability of Luxembourg law and the competence of the Luxembourg courts. These General Terms and Conditions may be consulted via loyensloeff.lu.</w:t>
      </w:r>
    </w:p>
    <w:p>
      <w:pPr>
        <w:sectPr>
          <w:pgSz w:w="11900" w:h="16838" w:orient="portrait"/>
          <w:cols w:equalWidth="0" w:num="1">
            <w:col w:w="11024"/>
          </w:cols>
          <w:pgMar w:left="436" w:top="121" w:right="439" w:bottom="1440" w:gutter="0" w:footer="0" w:header="0"/>
        </w:sectPr>
      </w:pPr>
    </w:p>
    <w:p>
      <w:pPr>
        <w:spacing w:after="0" w:line="188" w:lineRule="exact"/>
        <w:rPr>
          <w:sz w:val="20"/>
          <w:szCs w:val="20"/>
          <w:color w:val="auto"/>
        </w:rPr>
      </w:pPr>
    </w:p>
    <w:p>
      <w:pPr>
        <w:ind w:left="1164" w:hanging="109"/>
        <w:spacing w:after="0" w:line="308" w:lineRule="auto"/>
        <w:rPr>
          <w:sz w:val="20"/>
          <w:szCs w:val="20"/>
          <w:color w:val="auto"/>
        </w:rPr>
      </w:pPr>
      <w:r>
        <w:rPr>
          <w:rFonts w:ascii="Arial" w:cs="Arial" w:eastAsia="Arial" w:hAnsi="Arial"/>
          <w:sz w:val="17"/>
          <w:szCs w:val="17"/>
          <w:color w:val="auto"/>
        </w:rPr>
        <w:t>AMSTERDAM LONDON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BRUSSELS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60"/>
        <w:spacing w:after="0"/>
        <w:tabs>
          <w:tab w:leader="none" w:pos="700" w:val="left"/>
          <w:tab w:leader="none" w:pos="2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LUXEMBOURG</w:t>
      </w:r>
      <w:r>
        <w:rPr>
          <w:sz w:val="20"/>
          <w:szCs w:val="20"/>
          <w:color w:val="auto"/>
        </w:rPr>
        <w:tab/>
      </w:r>
      <w:r>
        <w:rPr>
          <w:rFonts w:ascii="Arial" w:cs="Arial" w:eastAsia="Arial" w:hAnsi="Arial"/>
          <w:sz w:val="16"/>
          <w:szCs w:val="16"/>
          <w:color w:val="auto"/>
        </w:rPr>
        <w:t>●</w:t>
      </w:r>
    </w:p>
    <w:p>
      <w:pPr>
        <w:spacing w:after="0" w:line="23" w:lineRule="exact"/>
        <w:rPr>
          <w:sz w:val="20"/>
          <w:szCs w:val="20"/>
          <w:color w:val="auto"/>
        </w:rPr>
      </w:pPr>
    </w:p>
    <w:p>
      <w:pPr>
        <w:spacing w:after="0"/>
        <w:tabs>
          <w:tab w:leader="none" w:pos="440" w:val="left"/>
          <w:tab w:leader="none" w:pos="130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PARIS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SINGAPORE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ROTTERDAM</w:t>
      </w:r>
    </w:p>
    <w:p>
      <w:pPr>
        <w:spacing w:after="0" w:line="23"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TOKYO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060" w:firstLine="164"/>
        <w:spacing w:after="0" w:line="308" w:lineRule="auto"/>
        <w:rPr>
          <w:sz w:val="20"/>
          <w:szCs w:val="20"/>
          <w:color w:val="auto"/>
        </w:rPr>
      </w:pPr>
      <w:r>
        <w:rPr>
          <w:rFonts w:ascii="Arial" w:cs="Arial" w:eastAsia="Arial" w:hAnsi="Arial"/>
          <w:sz w:val="17"/>
          <w:szCs w:val="17"/>
          <w:color w:val="auto"/>
        </w:rPr>
        <w:t>HONG KONG ● ZURICH</w:t>
      </w:r>
    </w:p>
    <w:p>
      <w:pPr>
        <w:sectPr>
          <w:pgSz w:w="11900" w:h="16838" w:orient="portrait"/>
          <w:cols w:equalWidth="0" w:num="7">
            <w:col w:w="2204" w:space="80"/>
            <w:col w:w="100" w:space="180"/>
            <w:col w:w="1360" w:space="140"/>
            <w:col w:w="2800" w:space="20"/>
            <w:col w:w="1480" w:space="40"/>
            <w:col w:w="120" w:space="200"/>
            <w:col w:w="2300"/>
          </w:cols>
          <w:pgMar w:left="436" w:top="121" w:right="439" w:bottom="1440" w:gutter="0" w:footer="0" w:header="0"/>
          <w:type w:val="continuous"/>
        </w:sectPr>
      </w:pPr>
    </w:p>
    <w:bookmarkStart w:id="60" w:name="page61"/>
    <w:bookmarkEnd w:id="6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 xml:space="preserve">Companies Law </w:t>
      </w:r>
      <w:r>
        <w:rPr>
          <w:rFonts w:ascii="Arial" w:cs="Arial" w:eastAsia="Arial" w:hAnsi="Arial"/>
          <w:sz w:val="18"/>
          <w:szCs w:val="18"/>
          <w:color w:val="auto"/>
        </w:rPr>
        <w:t>means the Luxembourg law on commercial companies, dated 10 August 1915, as amended.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Schlumberger Limited, the ultimate parent of the Company.</w:t>
      </w:r>
    </w:p>
    <w:p>
      <w:pPr>
        <w:spacing w:after="0" w:line="117" w:lineRule="exact"/>
        <w:rPr>
          <w:sz w:val="20"/>
          <w:szCs w:val="20"/>
          <w:color w:val="auto"/>
        </w:rPr>
      </w:pPr>
    </w:p>
    <w:p>
      <w:pPr>
        <w:ind w:left="444" w:right="500"/>
        <w:spacing w:after="0" w:line="282" w:lineRule="auto"/>
        <w:rPr>
          <w:sz w:val="20"/>
          <w:szCs w:val="20"/>
          <w:color w:val="auto"/>
        </w:rPr>
      </w:pPr>
      <w:r>
        <w:rPr>
          <w:rFonts w:ascii="Arial" w:cs="Arial" w:eastAsia="Arial" w:hAnsi="Arial"/>
          <w:sz w:val="18"/>
          <w:szCs w:val="18"/>
          <w:b w:val="1"/>
          <w:bCs w:val="1"/>
          <w:color w:val="auto"/>
        </w:rPr>
        <w:t xml:space="preserve">Insolvency Regulation </w:t>
      </w:r>
      <w:r>
        <w:rPr>
          <w:rFonts w:ascii="Arial" w:cs="Arial" w:eastAsia="Arial" w:hAnsi="Arial"/>
          <w:sz w:val="18"/>
          <w:szCs w:val="18"/>
          <w:color w:val="auto"/>
        </w:rPr>
        <w:t>means the Regulation (EU) 2015/848 of the European Parliament and of the Council of 20 May 2015 on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(recast).</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Luxembourg </w:t>
      </w:r>
      <w:r>
        <w:rPr>
          <w:rFonts w:ascii="Arial" w:cs="Arial" w:eastAsia="Arial" w:hAnsi="Arial"/>
          <w:sz w:val="18"/>
          <w:szCs w:val="18"/>
          <w:color w:val="auto"/>
        </w:rPr>
        <w:t>means the Grand Duchy of Luxembourg.</w:t>
      </w:r>
    </w:p>
    <w:p>
      <w:pPr>
        <w:spacing w:after="0" w:line="117" w:lineRule="exact"/>
        <w:rPr>
          <w:sz w:val="20"/>
          <w:szCs w:val="20"/>
          <w:color w:val="auto"/>
        </w:rPr>
      </w:pPr>
    </w:p>
    <w:p>
      <w:pPr>
        <w:ind w:left="444" w:right="260"/>
        <w:spacing w:after="0" w:line="282" w:lineRule="auto"/>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the US$350,000,000 2.650% senior notes due 2030, issued by the Company as further described in the Prospectus and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w:t>
      </w:r>
    </w:p>
    <w:p>
      <w:pPr>
        <w:spacing w:after="0" w:line="54" w:lineRule="exact"/>
        <w:rPr>
          <w:sz w:val="20"/>
          <w:szCs w:val="20"/>
          <w:color w:val="auto"/>
        </w:rPr>
      </w:pPr>
    </w:p>
    <w:p>
      <w:pPr>
        <w:ind w:left="444" w:right="100"/>
        <w:spacing w:after="0" w:line="282" w:lineRule="auto"/>
        <w:rPr>
          <w:sz w:val="20"/>
          <w:szCs w:val="20"/>
          <w:color w:val="auto"/>
        </w:rPr>
      </w:pPr>
      <w:r>
        <w:rPr>
          <w:rFonts w:ascii="Arial" w:cs="Arial" w:eastAsia="Arial" w:hAnsi="Arial"/>
          <w:sz w:val="18"/>
          <w:szCs w:val="18"/>
          <w:b w:val="1"/>
          <w:bCs w:val="1"/>
          <w:color w:val="auto"/>
        </w:rPr>
        <w:t xml:space="preserve">Offering Documents </w:t>
      </w:r>
      <w:r>
        <w:rPr>
          <w:rFonts w:ascii="Arial" w:cs="Arial" w:eastAsia="Arial" w:hAnsi="Arial"/>
          <w:sz w:val="18"/>
          <w:szCs w:val="18"/>
          <w:color w:val="auto"/>
        </w:rPr>
        <w:t>means the documents described in paragraph 1 (Offering Documents) and paragraph 2 (Opinion Documents) of 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Documents).</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Opinion Documents </w:t>
      </w:r>
      <w:r>
        <w:rPr>
          <w:rFonts w:ascii="Arial" w:cs="Arial" w:eastAsia="Arial" w:hAnsi="Arial"/>
          <w:sz w:val="18"/>
          <w:szCs w:val="18"/>
          <w:color w:val="auto"/>
        </w:rPr>
        <w:t>means the documents described in paragraph 2 (Opinion Documents) of Schedule 2 (Reviewed Documents).</w:t>
      </w:r>
    </w:p>
    <w:p>
      <w:pPr>
        <w:spacing w:after="0" w:line="117" w:lineRule="exact"/>
        <w:rPr>
          <w:sz w:val="20"/>
          <w:szCs w:val="20"/>
          <w:color w:val="auto"/>
        </w:rPr>
      </w:pPr>
    </w:p>
    <w:p>
      <w:pPr>
        <w:ind w:left="444" w:right="160"/>
        <w:spacing w:after="0" w:line="282" w:lineRule="auto"/>
        <w:rPr>
          <w:sz w:val="20"/>
          <w:szCs w:val="20"/>
          <w:color w:val="auto"/>
        </w:rPr>
      </w:pPr>
      <w:r>
        <w:rPr>
          <w:rFonts w:ascii="Arial" w:cs="Arial" w:eastAsia="Arial" w:hAnsi="Arial"/>
          <w:sz w:val="18"/>
          <w:szCs w:val="18"/>
          <w:b w:val="1"/>
          <w:bCs w:val="1"/>
          <w:color w:val="auto"/>
        </w:rPr>
        <w:t xml:space="preserve">Prospectus </w:t>
      </w:r>
      <w:r>
        <w:rPr>
          <w:rFonts w:ascii="Arial" w:cs="Arial" w:eastAsia="Arial" w:hAnsi="Arial"/>
          <w:sz w:val="18"/>
          <w:szCs w:val="18"/>
          <w:color w:val="auto"/>
        </w:rPr>
        <w:t>means the prospectus dated 25 April 2019, with regard to the offering of debt securities by the Company, as supplemented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which forms part of the Registration Statement.</w:t>
      </w:r>
    </w:p>
    <w:p>
      <w:pPr>
        <w:spacing w:after="0" w:line="54" w:lineRule="exact"/>
        <w:rPr>
          <w:sz w:val="20"/>
          <w:szCs w:val="20"/>
          <w:color w:val="auto"/>
        </w:rPr>
      </w:pPr>
    </w:p>
    <w:p>
      <w:pPr>
        <w:ind w:left="444" w:right="80"/>
        <w:spacing w:after="0" w:line="282" w:lineRule="auto"/>
        <w:rPr>
          <w:sz w:val="20"/>
          <w:szCs w:val="20"/>
          <w:color w:val="auto"/>
        </w:rPr>
      </w:pPr>
      <w:r>
        <w:rPr>
          <w:rFonts w:ascii="Arial" w:cs="Arial" w:eastAsia="Arial" w:hAnsi="Arial"/>
          <w:sz w:val="18"/>
          <w:szCs w:val="18"/>
          <w:b w:val="1"/>
          <w:bCs w:val="1"/>
          <w:color w:val="auto"/>
        </w:rPr>
        <w:t xml:space="preserve">Prospectus Supplements </w:t>
      </w:r>
      <w:r>
        <w:rPr>
          <w:rFonts w:ascii="Arial" w:cs="Arial" w:eastAsia="Arial" w:hAnsi="Arial"/>
          <w:sz w:val="18"/>
          <w:szCs w:val="18"/>
          <w:color w:val="auto"/>
        </w:rPr>
        <w:t>means the preliminary prospectus supplement dated 4 August 2020 and the final prospectus supplement dated 4 August</w:t>
      </w:r>
      <w:r>
        <w:rPr>
          <w:rFonts w:ascii="Arial" w:cs="Arial" w:eastAsia="Arial" w:hAnsi="Arial"/>
          <w:sz w:val="18"/>
          <w:szCs w:val="18"/>
          <w:b w:val="1"/>
          <w:bCs w:val="1"/>
          <w:color w:val="auto"/>
        </w:rPr>
        <w:t xml:space="preserve"> </w:t>
      </w:r>
      <w:r>
        <w:rPr>
          <w:rFonts w:ascii="Arial" w:cs="Arial" w:eastAsia="Arial" w:hAnsi="Arial"/>
          <w:sz w:val="18"/>
          <w:szCs w:val="18"/>
          <w:color w:val="auto"/>
        </w:rPr>
        <w:t>2020, regarding the offering of the Notes by the Company and supplementing the Prospectus.</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RCS </w:t>
      </w:r>
      <w:r>
        <w:rPr>
          <w:rFonts w:ascii="Arial" w:cs="Arial" w:eastAsia="Arial" w:hAnsi="Arial"/>
          <w:sz w:val="18"/>
          <w:szCs w:val="18"/>
          <w:color w:val="auto"/>
        </w:rPr>
        <w:t>means the Luxembourg Register of Commerce and Companies.</w:t>
      </w:r>
    </w:p>
    <w:p>
      <w:pPr>
        <w:spacing w:after="0" w:line="117" w:lineRule="exact"/>
        <w:rPr>
          <w:sz w:val="20"/>
          <w:szCs w:val="20"/>
          <w:color w:val="auto"/>
        </w:rPr>
      </w:pPr>
    </w:p>
    <w:p>
      <w:pPr>
        <w:ind w:left="444" w:right="260"/>
        <w:spacing w:after="0" w:line="282" w:lineRule="auto"/>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means the registration statement on Form S-3 (File No. 333-231029) under the Act, dated 25 April 2019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 by the Company which includes the Prospectus.</w:t>
      </w:r>
    </w:p>
    <w:p>
      <w:pPr>
        <w:spacing w:after="0" w:line="54" w:lineRule="exact"/>
        <w:rPr>
          <w:sz w:val="20"/>
          <w:szCs w:val="20"/>
          <w:color w:val="auto"/>
        </w:rPr>
      </w:pPr>
    </w:p>
    <w:p>
      <w:pPr>
        <w:ind w:left="444" w:right="360"/>
        <w:spacing w:after="0" w:line="282" w:lineRule="auto"/>
        <w:rPr>
          <w:sz w:val="20"/>
          <w:szCs w:val="20"/>
          <w:color w:val="auto"/>
        </w:rPr>
      </w:pPr>
      <w:r>
        <w:rPr>
          <w:rFonts w:ascii="Arial" w:cs="Arial" w:eastAsia="Arial" w:hAnsi="Arial"/>
          <w:sz w:val="18"/>
          <w:szCs w:val="18"/>
          <w:b w:val="1"/>
          <w:bCs w:val="1"/>
          <w:color w:val="auto"/>
        </w:rPr>
        <w:t xml:space="preserve">Relevant Date </w:t>
      </w:r>
      <w:r>
        <w:rPr>
          <w:rFonts w:ascii="Arial" w:cs="Arial" w:eastAsia="Arial" w:hAnsi="Arial"/>
          <w:sz w:val="18"/>
          <w:szCs w:val="18"/>
          <w:color w:val="auto"/>
        </w:rPr>
        <w:t>means the date of the Resolutions, the date of the Offering Documents, the date of the Opinion Documents and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letter, as the case may be.</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374"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SCOPE OF INQUIRY</w:t>
      </w:r>
    </w:p>
    <w:p>
      <w:pPr>
        <w:spacing w:after="0" w:line="135" w:lineRule="exact"/>
        <w:rPr>
          <w:sz w:val="20"/>
          <w:szCs w:val="20"/>
          <w:color w:val="auto"/>
        </w:rPr>
      </w:pPr>
    </w:p>
    <w:p>
      <w:pPr>
        <w:ind w:left="424" w:right="140" w:hanging="431"/>
        <w:spacing w:after="0" w:line="263" w:lineRule="auto"/>
        <w:tabs>
          <w:tab w:leader="none" w:pos="404" w:val="left"/>
        </w:tabs>
        <w:rPr>
          <w:sz w:val="20"/>
          <w:szCs w:val="20"/>
          <w:color w:val="auto"/>
        </w:rPr>
      </w:pPr>
      <w:r>
        <w:rPr>
          <w:rFonts w:ascii="Arial" w:cs="Arial" w:eastAsia="Arial" w:hAnsi="Arial"/>
          <w:sz w:val="18"/>
          <w:szCs w:val="18"/>
          <w:color w:val="auto"/>
        </w:rPr>
        <w:t>3.1</w:t>
        <w:tab/>
        <w:t>For the purpose of rendering this opinion letter, we have only examined and relied upon electronically transmitted copies of (i) the executed Offering Documents, (ii) the executed Opinion Documents and (iii) the documents listed in paragraph 3 (Organisational Documents) of Schedule 2 (Reviewed Documents).</w:t>
      </w:r>
    </w:p>
    <w:p>
      <w:pPr>
        <w:spacing w:after="0" w:line="89" w:lineRule="exact"/>
        <w:rPr>
          <w:sz w:val="20"/>
          <w:szCs w:val="20"/>
          <w:color w:val="auto"/>
        </w:rPr>
      </w:pPr>
    </w:p>
    <w:p>
      <w:pPr>
        <w:ind w:left="424" w:right="760" w:hanging="431"/>
        <w:spacing w:after="0" w:line="277" w:lineRule="auto"/>
        <w:tabs>
          <w:tab w:leader="none" w:pos="404" w:val="left"/>
        </w:tabs>
        <w:rPr>
          <w:sz w:val="20"/>
          <w:szCs w:val="20"/>
          <w:color w:val="auto"/>
        </w:rPr>
      </w:pPr>
      <w:r>
        <w:rPr>
          <w:rFonts w:ascii="Arial" w:cs="Arial" w:eastAsia="Arial" w:hAnsi="Arial"/>
          <w:sz w:val="18"/>
          <w:szCs w:val="18"/>
          <w:color w:val="auto"/>
        </w:rPr>
        <w:t>3.2</w:t>
        <w:tab/>
        <w:t>We have not reviewed any documents incorporated by reference or referred to in the Opinion Documents (unless included as an Opinion Document) and therefore our opinions do not extend to such documents.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24"/>
          </w:cols>
          <w:pgMar w:left="436" w:top="864" w:right="439" w:bottom="1440" w:gutter="0" w:footer="0" w:header="0"/>
        </w:sectPr>
      </w:pPr>
    </w:p>
    <w:bookmarkStart w:id="61" w:name="page62"/>
    <w:bookmarkEnd w:id="61"/>
    <w:p>
      <w:pPr>
        <w:ind w:left="424" w:hanging="424"/>
        <w:spacing w:after="0"/>
        <w:tabs>
          <w:tab w:leader="none" w:pos="42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NATURE OF OPINION</w:t>
      </w:r>
    </w:p>
    <w:p>
      <w:pPr>
        <w:spacing w:after="0" w:line="135" w:lineRule="exact"/>
        <w:rPr>
          <w:sz w:val="20"/>
          <w:szCs w:val="20"/>
          <w:color w:val="auto"/>
        </w:rPr>
      </w:pPr>
    </w:p>
    <w:p>
      <w:pPr>
        <w:ind w:left="424" w:right="700" w:hanging="431"/>
        <w:spacing w:after="0" w:line="308" w:lineRule="auto"/>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We only express an opinion on matters of Luxembourg law in force on the date of this opinion letter, excluding unpublished case law. We undertake no obligation to update it or to advise of any changes in such laws or case law, their construction or application.</w:t>
      </w:r>
    </w:p>
    <w:p>
      <w:pPr>
        <w:spacing w:after="0" w:line="52" w:lineRule="exact"/>
        <w:rPr>
          <w:sz w:val="20"/>
          <w:szCs w:val="20"/>
          <w:color w:val="auto"/>
        </w:rPr>
      </w:pPr>
    </w:p>
    <w:p>
      <w:pPr>
        <w:ind w:left="424" w:right="20" w:hanging="431"/>
        <w:spacing w:after="0" w:line="296" w:lineRule="auto"/>
        <w:tabs>
          <w:tab w:leader="none" w:pos="40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Except as expressly stated in this opinion letter, we do not express an opinion on public international law or on the rules of, or promulgated under, any treaty or by any treaty organisation or European law (save for rules implemented into Luxembourg law or directly applicable in Luxembourg), on the European Market Infrastructure Regulation (EU) 648/2012 and any laws and regulations relating thereto, any Luxembourg laws implementing the Directive 2011/61/EU of the European Parliament and of the Council on Alternative Investment Fund Managers, tax, transfer pricing, regulatory, competition, data protection, accounting or administrative law, sanction laws and regulations or as to the consequences thereof.</w:t>
      </w:r>
    </w:p>
    <w:p>
      <w:pPr>
        <w:spacing w:after="0" w:line="67" w:lineRule="exact"/>
        <w:rPr>
          <w:sz w:val="20"/>
          <w:szCs w:val="20"/>
          <w:color w:val="auto"/>
        </w:rPr>
      </w:pPr>
    </w:p>
    <w:p>
      <w:pPr>
        <w:ind w:left="424" w:right="380" w:hanging="431"/>
        <w:spacing w:after="0" w:line="259" w:lineRule="auto"/>
        <w:tabs>
          <w:tab w:leader="none" w:pos="404" w:val="left"/>
        </w:tabs>
        <w:rPr>
          <w:sz w:val="20"/>
          <w:szCs w:val="20"/>
          <w:color w:val="auto"/>
        </w:rPr>
      </w:pPr>
      <w:r>
        <w:rPr>
          <w:rFonts w:ascii="Arial" w:cs="Arial" w:eastAsia="Arial" w:hAnsi="Arial"/>
          <w:sz w:val="18"/>
          <w:szCs w:val="18"/>
          <w:color w:val="auto"/>
        </w:rPr>
        <w:t>4.3</w:t>
        <w:tab/>
        <w:t>Our opinion is strictly limited to the matters stated herein. We do not express any opinion on matters of fact, on the commercial and other non-legal aspects of the transactions contemplated by the Opinion Documents and on any representations, warranties or other information included in the Opinion Documents and any other document examined in connection with this opinion letter, except as expressly stated in this opinion letter.</w:t>
      </w:r>
    </w:p>
    <w:p>
      <w:pPr>
        <w:spacing w:after="0" w:line="9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We express no opinion in respect of the validity and enforceability of the Opinion Documents.</w:t>
      </w:r>
    </w:p>
    <w:p>
      <w:pPr>
        <w:spacing w:after="0" w:line="131" w:lineRule="exact"/>
        <w:rPr>
          <w:sz w:val="20"/>
          <w:szCs w:val="20"/>
          <w:color w:val="auto"/>
        </w:rPr>
      </w:pPr>
    </w:p>
    <w:p>
      <w:pPr>
        <w:ind w:left="424" w:right="320" w:hanging="431"/>
        <w:spacing w:after="0" w:line="277" w:lineRule="auto"/>
        <w:tabs>
          <w:tab w:leader="none" w:pos="404" w:val="left"/>
        </w:tabs>
        <w:rPr>
          <w:sz w:val="20"/>
          <w:szCs w:val="20"/>
          <w:color w:val="auto"/>
        </w:rPr>
      </w:pPr>
      <w:r>
        <w:rPr>
          <w:rFonts w:ascii="Arial" w:cs="Arial" w:eastAsia="Arial" w:hAnsi="Arial"/>
          <w:sz w:val="18"/>
          <w:szCs w:val="18"/>
          <w:color w:val="auto"/>
        </w:rPr>
        <w:t>4.5</w:t>
        <w:tab/>
        <w:t>We express no opinion with respect to the Offering Documents nor as regards the accuracy, truth or completeness of the information contained therein except as expressly stated in this opinion letter.</w:t>
      </w:r>
    </w:p>
    <w:p>
      <w:pPr>
        <w:spacing w:after="0" w:line="76" w:lineRule="exact"/>
        <w:rPr>
          <w:sz w:val="20"/>
          <w:szCs w:val="20"/>
          <w:color w:val="auto"/>
        </w:rPr>
      </w:pPr>
    </w:p>
    <w:p>
      <w:pPr>
        <w:ind w:left="424" w:right="100" w:hanging="431"/>
        <w:spacing w:after="0" w:line="286" w:lineRule="auto"/>
        <w:tabs>
          <w:tab w:leader="none" w:pos="404"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In this opinion letter Luxembourg legal concepts are sometimes expressed in English terms and not in their original French or German terms. The concepts concerned may not be identical to the concepts described by the same English terms as they exist under the laws of other jurisdictions. For the purpose of tax law, a term may have a different meaning than for the purpose of other areas of Luxembourg law.</w:t>
      </w:r>
    </w:p>
    <w:p>
      <w:pPr>
        <w:spacing w:after="0" w:line="71" w:lineRule="exact"/>
        <w:rPr>
          <w:sz w:val="20"/>
          <w:szCs w:val="20"/>
          <w:color w:val="auto"/>
        </w:rPr>
      </w:pPr>
    </w:p>
    <w:p>
      <w:pPr>
        <w:ind w:left="424" w:right="560" w:hanging="431"/>
        <w:spacing w:after="0" w:line="308" w:lineRule="auto"/>
        <w:tabs>
          <w:tab w:leader="none" w:pos="404"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This opinion letter may only be relied upon under the express condition that any issue of interpretation or liability arising hereunder will be governed by Luxembourg law and be brought exclusively before the Courts of the District of Luxembourg-City.</w:t>
      </w:r>
    </w:p>
    <w:p>
      <w:pPr>
        <w:spacing w:after="0" w:line="52" w:lineRule="exact"/>
        <w:rPr>
          <w:sz w:val="20"/>
          <w:szCs w:val="20"/>
          <w:color w:val="auto"/>
        </w:rPr>
      </w:pPr>
    </w:p>
    <w:p>
      <w:pPr>
        <w:ind w:left="424" w:right="160" w:hanging="431"/>
        <w:spacing w:after="0" w:line="263" w:lineRule="auto"/>
        <w:tabs>
          <w:tab w:leader="none" w:pos="404" w:val="left"/>
        </w:tabs>
        <w:rPr>
          <w:sz w:val="20"/>
          <w:szCs w:val="20"/>
          <w:color w:val="auto"/>
        </w:rPr>
      </w:pPr>
      <w:r>
        <w:rPr>
          <w:rFonts w:ascii="Arial" w:cs="Arial" w:eastAsia="Arial" w:hAnsi="Arial"/>
          <w:sz w:val="18"/>
          <w:szCs w:val="18"/>
          <w:color w:val="auto"/>
        </w:rPr>
        <w:t>4.8</w:t>
        <w:tab/>
        <w:t>This opinion letter is issued by Loyens &amp; Loeff Luxembourg SARL and may only be relied upon under the express condition that any liability of Loyens &amp; Loeff Luxembourg SARL is limited to the amount paid out under its professional liability insurance policies. Only Loyens &amp; Loeff Luxembourg SARL can be held liable in connection with this opinion letter.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024"/>
          </w:cols>
          <w:pgMar w:left="436" w:top="864" w:right="439" w:bottom="1440" w:gutter="0" w:footer="0" w:header="0"/>
        </w:sectPr>
      </w:pPr>
    </w:p>
    <w:bookmarkStart w:id="62" w:name="page63"/>
    <w:bookmarkEnd w:id="62"/>
    <w:p>
      <w:pPr>
        <w:ind w:left="424" w:hanging="424"/>
        <w:spacing w:after="0"/>
        <w:tabs>
          <w:tab w:leader="none" w:pos="4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OPINIONS</w:t>
      </w:r>
    </w:p>
    <w:p>
      <w:pPr>
        <w:spacing w:after="0" w:line="121" w:lineRule="exact"/>
        <w:rPr>
          <w:rFonts w:ascii="Arial" w:cs="Arial" w:eastAsia="Arial" w:hAnsi="Arial"/>
          <w:sz w:val="18"/>
          <w:szCs w:val="18"/>
          <w:b w:val="1"/>
          <w:bCs w:val="1"/>
          <w:color w:val="auto"/>
        </w:rPr>
      </w:pPr>
    </w:p>
    <w:p>
      <w:pPr>
        <w:ind w:left="444" w:right="1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opinions expressed in this paragraph 5 (Opinions) should be read in conjunction with the assumptions set out in Schedule 3 (Assumptions) and the qualifications set out in Schedule 4 (Qualifications). On the basis of these assumptions and subject to these qualifications and any factual matters or information not disclosed to us in the course of our investigation, we are of the opinion that as at the date of this opinion letter:</w:t>
      </w:r>
    </w:p>
    <w:p>
      <w:pPr>
        <w:spacing w:after="0" w:line="5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Corporate status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The Company has been incorporated and is existing as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(public limited liability company) for an unlimited duration.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Due authorisation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execution by the Company of the Opinion Documents has been duly authorised by all requisite corporate action on the part of the Company.</w:t>
      </w:r>
    </w:p>
    <w:p>
      <w:pPr>
        <w:spacing w:after="0" w:line="15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Due execution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Opinion Documents have been duly executed by the Company.</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No violation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execution by the Company of the Opinion Documents does not conflict with, or result in a violation of the Articles or the Companies Law.</w:t>
      </w:r>
    </w:p>
    <w:p>
      <w:pPr>
        <w:spacing w:after="0" w:line="381"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ADDRESSEES</w:t>
      </w:r>
    </w:p>
    <w:p>
      <w:pPr>
        <w:spacing w:after="0" w:line="135" w:lineRule="exact"/>
        <w:rPr>
          <w:sz w:val="20"/>
          <w:szCs w:val="20"/>
          <w:color w:val="auto"/>
        </w:rPr>
      </w:pPr>
    </w:p>
    <w:p>
      <w:pPr>
        <w:ind w:left="424" w:right="220" w:hanging="431"/>
        <w:spacing w:after="0" w:line="277" w:lineRule="auto"/>
        <w:tabs>
          <w:tab w:leader="none" w:pos="404" w:val="left"/>
        </w:tabs>
        <w:rPr>
          <w:sz w:val="20"/>
          <w:szCs w:val="20"/>
          <w:color w:val="auto"/>
        </w:rPr>
      </w:pPr>
      <w:r>
        <w:rPr>
          <w:rFonts w:ascii="Arial" w:cs="Arial" w:eastAsia="Arial" w:hAnsi="Arial"/>
          <w:sz w:val="18"/>
          <w:szCs w:val="18"/>
          <w:color w:val="auto"/>
        </w:rPr>
        <w:t>6.1</w:t>
        <w:tab/>
        <w:t>This opinion letter is addressed to you and may only be relied upon by you in connection with the transactions to which the Opinion Documents relate and may not be disclosed to and relied upon by any other person without our prior written consent.</w:t>
      </w:r>
    </w:p>
    <w:p>
      <w:pPr>
        <w:spacing w:after="0" w:line="76" w:lineRule="exact"/>
        <w:rPr>
          <w:sz w:val="20"/>
          <w:szCs w:val="20"/>
          <w:color w:val="auto"/>
        </w:rPr>
      </w:pPr>
    </w:p>
    <w:p>
      <w:pPr>
        <w:ind w:left="424" w:right="80" w:hanging="431"/>
        <w:spacing w:after="0" w:line="308" w:lineRule="auto"/>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We hereby consent to the filing of this opinion as Exhibit 5 to the Current Report of Form 8-K. In giving this consent, we do not admit that we are in the category of persons whose consent is required under Section 7 of the Act or the rules and regulations of the SEC thereunder.</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 Loyens &amp; Loeff Luxembourg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4/11</w:t>
      </w:r>
    </w:p>
    <w:p>
      <w:pPr>
        <w:sectPr>
          <w:pgSz w:w="11900" w:h="16838" w:orient="portrait"/>
          <w:cols w:equalWidth="0" w:num="1">
            <w:col w:w="11024"/>
          </w:cols>
          <w:pgMar w:left="436" w:top="864" w:right="439" w:bottom="1440" w:gutter="0" w:footer="0" w:header="0"/>
        </w:sectPr>
      </w:pPr>
    </w:p>
    <w:bookmarkStart w:id="63" w:name="page64"/>
    <w:bookmarkEnd w:id="63"/>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Schedule 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ADDRESSEES</w:t>
      </w:r>
    </w:p>
    <w:p>
      <w:pPr>
        <w:spacing w:after="0" w:line="252" w:lineRule="exact"/>
        <w:rPr>
          <w:sz w:val="20"/>
          <w:szCs w:val="20"/>
          <w:color w:val="auto"/>
        </w:rPr>
      </w:pPr>
    </w:p>
    <w:p>
      <w:pPr>
        <w:ind w:left="444" w:right="8240" w:hanging="444"/>
        <w:spacing w:after="0" w:line="377" w:lineRule="auto"/>
        <w:tabs>
          <w:tab w:leader="none" w:pos="436"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Schlumberger Investment S.A. </w:t>
      </w:r>
      <w:r>
        <w:rPr>
          <w:rFonts w:ascii="Arial" w:cs="Arial" w:eastAsia="Arial" w:hAnsi="Arial"/>
          <w:sz w:val="18"/>
          <w:szCs w:val="18"/>
          <w:color w:val="auto"/>
        </w:rPr>
        <w:t>42-44, Avenue de la Gare, L-1610 Luxembourg,</w:t>
      </w:r>
    </w:p>
    <w:p>
      <w:pPr>
        <w:ind w:left="444" w:right="8440"/>
        <w:spacing w:after="0" w:line="449" w:lineRule="auto"/>
        <w:rPr>
          <w:rFonts w:ascii="Arial" w:cs="Arial" w:eastAsia="Arial" w:hAnsi="Arial"/>
          <w:sz w:val="18"/>
          <w:szCs w:val="18"/>
          <w:color w:val="auto"/>
        </w:rPr>
      </w:pPr>
      <w:r>
        <w:rPr>
          <w:rFonts w:ascii="Arial" w:cs="Arial" w:eastAsia="Arial" w:hAnsi="Arial"/>
          <w:sz w:val="16"/>
          <w:szCs w:val="16"/>
          <w:color w:val="auto"/>
        </w:rPr>
        <w:t>Grand Duchy of Luxembourg RCS : B163122</w:t>
      </w:r>
    </w:p>
    <w:p>
      <w:pPr>
        <w:jc w:val="right"/>
        <w:spacing w:after="0"/>
        <w:rPr>
          <w:sz w:val="20"/>
          <w:szCs w:val="20"/>
          <w:color w:val="auto"/>
        </w:rPr>
      </w:pPr>
      <w:r>
        <w:rPr>
          <w:rFonts w:ascii="Arial" w:cs="Arial" w:eastAsia="Arial" w:hAnsi="Arial"/>
          <w:sz w:val="18"/>
          <w:szCs w:val="18"/>
          <w:color w:val="auto"/>
        </w:rPr>
        <w:t>5/11</w:t>
      </w:r>
    </w:p>
    <w:p>
      <w:pPr>
        <w:sectPr>
          <w:pgSz w:w="11900" w:h="16838" w:orient="portrait"/>
          <w:cols w:equalWidth="0" w:num="1">
            <w:col w:w="11024"/>
          </w:cols>
          <w:pgMar w:left="436" w:top="864" w:right="439" w:bottom="1440" w:gutter="0" w:footer="0" w:header="0"/>
        </w:sectPr>
      </w:pPr>
    </w:p>
    <w:bookmarkStart w:id="64" w:name="page65"/>
    <w:bookmarkEnd w:id="64"/>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Schedule 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REVIEWED DOCUMENTS</w:t>
      </w:r>
    </w:p>
    <w:p>
      <w:pPr>
        <w:spacing w:after="0" w:line="252" w:lineRule="exact"/>
        <w:rPr>
          <w:sz w:val="20"/>
          <w:szCs w:val="20"/>
          <w:color w:val="auto"/>
        </w:rPr>
      </w:pPr>
    </w:p>
    <w:p>
      <w:pPr>
        <w:ind w:left="424" w:hanging="424"/>
        <w:spacing w:after="0"/>
        <w:tabs>
          <w:tab w:leader="none" w:pos="42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DOCUMENTS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Registration Statement.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the Prospectus Supplements.</w:t>
      </w:r>
    </w:p>
    <w:p>
      <w:pPr>
        <w:spacing w:after="0" w:line="370" w:lineRule="exact"/>
        <w:rPr>
          <w:sz w:val="20"/>
          <w:szCs w:val="20"/>
          <w:color w:val="auto"/>
        </w:rPr>
      </w:pPr>
    </w:p>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OPINION DOCUMENTS</w:t>
      </w:r>
    </w:p>
    <w:p>
      <w:pPr>
        <w:spacing w:after="0" w:line="135"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2.1</w:t>
        <w:tab/>
        <w:t xml:space="preserve">the Base Indenture, as last supplemented by a second supplemental indenture dated 26 June 2020, governed by the laws of the State of New York, entered into by and between, the Company, the Guarantor and the Trustee (the </w:t>
      </w:r>
      <w:r>
        <w:rPr>
          <w:rFonts w:ascii="Arial" w:cs="Arial" w:eastAsia="Arial" w:hAnsi="Arial"/>
          <w:sz w:val="18"/>
          <w:szCs w:val="18"/>
          <w:b w:val="1"/>
          <w:bCs w:val="1"/>
          <w:color w:val="auto"/>
        </w:rPr>
        <w:t>Existing Indenture</w:t>
      </w:r>
      <w:r>
        <w:rPr>
          <w:rFonts w:ascii="Arial" w:cs="Arial" w:eastAsia="Arial" w:hAnsi="Arial"/>
          <w:sz w:val="18"/>
          <w:szCs w:val="18"/>
          <w:color w:val="auto"/>
        </w:rPr>
        <w:t>).</w:t>
      </w:r>
    </w:p>
    <w:p>
      <w:pPr>
        <w:spacing w:after="0" w:line="76" w:lineRule="exact"/>
        <w:rPr>
          <w:sz w:val="20"/>
          <w:szCs w:val="20"/>
          <w:color w:val="auto"/>
        </w:rPr>
      </w:pPr>
    </w:p>
    <w:p>
      <w:pPr>
        <w:ind w:left="424" w:right="300" w:hanging="431"/>
        <w:spacing w:after="0" w:line="342" w:lineRule="auto"/>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 xml:space="preserve">an officers’ certificate dated 11 August 2020, governed by the laws of the State of New York, executed by the Company and the Guarantor (the </w:t>
      </w:r>
      <w:r>
        <w:rPr>
          <w:rFonts w:ascii="Arial" w:cs="Arial" w:eastAsia="Arial" w:hAnsi="Arial"/>
          <w:sz w:val="16"/>
          <w:szCs w:val="16"/>
          <w:b w:val="1"/>
          <w:bCs w:val="1"/>
          <w:color w:val="auto"/>
        </w:rPr>
        <w:t>Officers’ Certificate</w:t>
      </w:r>
      <w:r>
        <w:rPr>
          <w:rFonts w:ascii="Arial" w:cs="Arial" w:eastAsia="Arial" w:hAnsi="Arial"/>
          <w:sz w:val="16"/>
          <w:szCs w:val="16"/>
          <w:color w:val="auto"/>
        </w:rPr>
        <w:t>, and together with the Existing Indenture, the</w:t>
      </w:r>
      <w:r>
        <w:rPr>
          <w:rFonts w:ascii="Arial" w:cs="Arial" w:eastAsia="Arial" w:hAnsi="Arial"/>
          <w:sz w:val="16"/>
          <w:szCs w:val="16"/>
          <w:b w:val="1"/>
          <w:bCs w:val="1"/>
          <w:color w:val="auto"/>
        </w:rPr>
        <w:t xml:space="preserve"> Indenture</w:t>
      </w:r>
      <w:r>
        <w:rPr>
          <w:rFonts w:ascii="Arial" w:cs="Arial" w:eastAsia="Arial" w:hAnsi="Arial"/>
          <w:sz w:val="16"/>
          <w:szCs w:val="16"/>
          <w:color w:val="auto"/>
        </w:rPr>
        <w:t>), pursuant to which the Notes will be issued.</w:t>
      </w:r>
    </w:p>
    <w:p>
      <w:pPr>
        <w:spacing w:after="0" w:line="29" w:lineRule="exact"/>
        <w:rPr>
          <w:sz w:val="20"/>
          <w:szCs w:val="20"/>
          <w:color w:val="auto"/>
        </w:rPr>
      </w:pPr>
    </w:p>
    <w:p>
      <w:pPr>
        <w:ind w:left="424" w:right="320" w:hanging="431"/>
        <w:spacing w:after="0" w:line="277" w:lineRule="auto"/>
        <w:tabs>
          <w:tab w:leader="none" w:pos="404" w:val="left"/>
        </w:tabs>
        <w:rPr>
          <w:sz w:val="20"/>
          <w:szCs w:val="20"/>
          <w:color w:val="auto"/>
        </w:rPr>
      </w:pPr>
      <w:r>
        <w:rPr>
          <w:rFonts w:ascii="Arial" w:cs="Arial" w:eastAsia="Arial" w:hAnsi="Arial"/>
          <w:sz w:val="18"/>
          <w:szCs w:val="18"/>
          <w:color w:val="auto"/>
        </w:rPr>
        <w:t>2.3</w:t>
        <w:tab/>
        <w:t xml:space="preserve">1 global notes representing the Notes, governed by the laws of the State of New York, each dated 11 August 2020, issued by the Company (the </w:t>
      </w:r>
      <w:r>
        <w:rPr>
          <w:rFonts w:ascii="Arial" w:cs="Arial" w:eastAsia="Arial" w:hAnsi="Arial"/>
          <w:sz w:val="18"/>
          <w:szCs w:val="18"/>
          <w:b w:val="1"/>
          <w:bCs w:val="1"/>
          <w:color w:val="auto"/>
        </w:rPr>
        <w:t>Global Notes</w:t>
      </w:r>
      <w:r>
        <w:rPr>
          <w:rFonts w:ascii="Arial" w:cs="Arial" w:eastAsia="Arial" w:hAnsi="Arial"/>
          <w:sz w:val="18"/>
          <w:szCs w:val="18"/>
          <w:color w:val="auto"/>
        </w:rPr>
        <w:t>).</w:t>
      </w:r>
    </w:p>
    <w:p>
      <w:pPr>
        <w:spacing w:after="0" w:line="315" w:lineRule="exact"/>
        <w:rPr>
          <w:sz w:val="20"/>
          <w:szCs w:val="20"/>
          <w:color w:val="auto"/>
        </w:rPr>
      </w:pPr>
    </w:p>
    <w:p>
      <w:pPr>
        <w:ind w:left="424" w:hanging="424"/>
        <w:spacing w:after="0"/>
        <w:tabs>
          <w:tab w:leader="none" w:pos="42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ORGANISATIONAL DOCUMENTS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RCS Documents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3.1.1 an excerpt pertaining to the Company delivered by the RCS dated 11 August 2020(the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135" w:lineRule="exact"/>
        <w:rPr>
          <w:sz w:val="20"/>
          <w:szCs w:val="20"/>
          <w:color w:val="auto"/>
        </w:rPr>
      </w:pPr>
    </w:p>
    <w:p>
      <w:pPr>
        <w:ind w:left="424" w:right="140" w:hanging="431"/>
        <w:spacing w:after="0" w:line="277" w:lineRule="auto"/>
        <w:rPr>
          <w:sz w:val="20"/>
          <w:szCs w:val="20"/>
          <w:color w:val="auto"/>
        </w:rPr>
      </w:pPr>
      <w:r>
        <w:rPr>
          <w:rFonts w:ascii="Arial" w:cs="Arial" w:eastAsia="Arial" w:hAnsi="Arial"/>
          <w:sz w:val="18"/>
          <w:szCs w:val="18"/>
          <w:color w:val="auto"/>
        </w:rPr>
        <w:t xml:space="preserve">3.1.2 a certificate of absence of a judicial decision pertaining to the Company delivered by the RCS dated 11 August 2020, with respect to the situation of the Company as at 10 August 2020 (the </w:t>
      </w:r>
      <w:r>
        <w:rPr>
          <w:rFonts w:ascii="Arial" w:cs="Arial" w:eastAsia="Arial" w:hAnsi="Arial"/>
          <w:sz w:val="18"/>
          <w:szCs w:val="18"/>
          <w:b w:val="1"/>
          <w:bCs w:val="1"/>
          <w:color w:val="auto"/>
        </w:rPr>
        <w:t>RCS Certificate</w:t>
      </w:r>
      <w:r>
        <w:rPr>
          <w:rFonts w:ascii="Arial" w:cs="Arial" w:eastAsia="Arial" w:hAnsi="Arial"/>
          <w:sz w:val="18"/>
          <w:szCs w:val="18"/>
          <w:color w:val="auto"/>
        </w:rPr>
        <w:t>).</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Corporate Documents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7"/>
          <w:szCs w:val="17"/>
          <w:color w:val="auto"/>
        </w:rPr>
        <w:t>3.2.1 the deed of incorporation of the Company, as drawn up by Maître Martine Schaeffer, notary residing in Luxembourg, Luxembourg, dated</w:t>
      </w:r>
    </w:p>
    <w:p>
      <w:pPr>
        <w:spacing w:after="0" w:line="35"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18 August 2011 (the </w:t>
      </w:r>
      <w:r>
        <w:rPr>
          <w:rFonts w:ascii="Arial" w:cs="Arial" w:eastAsia="Arial" w:hAnsi="Arial"/>
          <w:sz w:val="18"/>
          <w:szCs w:val="18"/>
          <w:b w:val="1"/>
          <w:bCs w:val="1"/>
          <w:color w:val="auto"/>
        </w:rPr>
        <w:t>Deed of Incorporation)</w:t>
      </w:r>
      <w:r>
        <w:rPr>
          <w:rFonts w:ascii="Arial" w:cs="Arial" w:eastAsia="Arial" w:hAnsi="Arial"/>
          <w:sz w:val="18"/>
          <w:szCs w:val="18"/>
          <w:color w:val="auto"/>
        </w:rPr>
        <w:t>.</w:t>
      </w:r>
    </w:p>
    <w:p>
      <w:pPr>
        <w:spacing w:after="0" w:line="116" w:lineRule="exact"/>
        <w:rPr>
          <w:sz w:val="20"/>
          <w:szCs w:val="20"/>
          <w:color w:val="auto"/>
        </w:rPr>
      </w:pPr>
    </w:p>
    <w:p>
      <w:pPr>
        <w:ind w:left="424" w:right="420" w:hanging="431"/>
        <w:spacing w:after="0" w:line="277" w:lineRule="auto"/>
        <w:rPr>
          <w:sz w:val="20"/>
          <w:szCs w:val="20"/>
          <w:color w:val="auto"/>
        </w:rPr>
      </w:pPr>
      <w:r>
        <w:rPr>
          <w:rFonts w:ascii="Arial" w:cs="Arial" w:eastAsia="Arial" w:hAnsi="Arial"/>
          <w:sz w:val="18"/>
          <w:szCs w:val="18"/>
          <w:color w:val="auto"/>
        </w:rPr>
        <w:t xml:space="preserve">3.2.2 the consolidated text of the articles of association of the Company, as drawn up by Maître Martine Schaeffer, notary residing in Luxembourg, Luxembourg, dated 2 September 2011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color w:val="auto"/>
        </w:rPr>
        <w:t>Resolutions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the circular resolutions of the directors of the Company dated 3 August 2020 in relation to the Opinion Documents (the </w:t>
      </w:r>
      <w:r>
        <w:rPr>
          <w:rFonts w:ascii="Arial" w:cs="Arial" w:eastAsia="Arial" w:hAnsi="Arial"/>
          <w:sz w:val="17"/>
          <w:szCs w:val="17"/>
          <w:b w:val="1"/>
          <w:bCs w:val="1"/>
          <w:color w:val="auto"/>
        </w:rPr>
        <w:t>Resolutions</w:t>
      </w:r>
      <w:r>
        <w:rPr>
          <w:rFonts w:ascii="Arial" w:cs="Arial" w:eastAsia="Arial" w:hAnsi="Arial"/>
          <w:sz w:val="17"/>
          <w:szCs w:val="17"/>
          <w:color w:val="auto"/>
        </w:rPr>
        <w:t>).</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6/11</w:t>
      </w:r>
    </w:p>
    <w:p>
      <w:pPr>
        <w:sectPr>
          <w:pgSz w:w="11900" w:h="16838" w:orient="portrait"/>
          <w:cols w:equalWidth="0" w:num="1">
            <w:col w:w="11024"/>
          </w:cols>
          <w:pgMar w:left="436" w:top="864" w:right="439" w:bottom="1440" w:gutter="0" w:footer="0" w:header="0"/>
        </w:sectPr>
      </w:pPr>
    </w:p>
    <w:bookmarkStart w:id="65" w:name="page66"/>
    <w:bookmarkEnd w:id="65"/>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Schedule 3</w:t>
      </w:r>
    </w:p>
    <w:p>
      <w:pPr>
        <w:spacing w:after="0" w:line="225" w:lineRule="exact"/>
        <w:rPr>
          <w:sz w:val="20"/>
          <w:szCs w:val="20"/>
          <w:color w:val="auto"/>
        </w:rPr>
      </w:pPr>
    </w:p>
    <w:p>
      <w:pPr>
        <w:ind w:left="4864"/>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in this opinion letter are subject to the following assumptions:</w:t>
      </w:r>
    </w:p>
    <w:p>
      <w:pPr>
        <w:spacing w:after="0" w:line="370" w:lineRule="exact"/>
        <w:rPr>
          <w:sz w:val="20"/>
          <w:szCs w:val="20"/>
          <w:color w:val="auto"/>
        </w:rPr>
      </w:pPr>
    </w:p>
    <w:p>
      <w:pPr>
        <w:ind w:left="424" w:hanging="424"/>
        <w:spacing w:after="0"/>
        <w:tabs>
          <w:tab w:leader="none" w:pos="42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All signatures are genuine, all original documents are authentic and all copies are complete and conform to the originals.</w:t>
      </w:r>
    </w:p>
    <w:p>
      <w:pPr>
        <w:spacing w:after="0" w:line="131"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1.2</w:t>
        <w:tab/>
        <w:t>The information contained and the statements made in the Excerpt, the RCS Certificate and the Resolutions are true, accurate and complete at the Relevant Date.</w:t>
      </w:r>
    </w:p>
    <w:p>
      <w:pPr>
        <w:spacing w:after="0" w:line="315"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EXISTENCE, CORPORATE POWER</w:t>
      </w:r>
    </w:p>
    <w:p>
      <w:pPr>
        <w:spacing w:after="0" w:line="135" w:lineRule="exact"/>
        <w:rPr>
          <w:sz w:val="20"/>
          <w:szCs w:val="20"/>
          <w:color w:val="auto"/>
        </w:rPr>
      </w:pPr>
    </w:p>
    <w:p>
      <w:pPr>
        <w:ind w:left="424" w:right="220" w:hanging="431"/>
        <w:spacing w:after="0" w:line="277" w:lineRule="auto"/>
        <w:tabs>
          <w:tab w:leader="none" w:pos="404" w:val="left"/>
        </w:tabs>
        <w:rPr>
          <w:sz w:val="20"/>
          <w:szCs w:val="20"/>
          <w:color w:val="auto"/>
        </w:rPr>
      </w:pPr>
      <w:r>
        <w:rPr>
          <w:rFonts w:ascii="Arial" w:cs="Arial" w:eastAsia="Arial" w:hAnsi="Arial"/>
          <w:sz w:val="18"/>
          <w:szCs w:val="18"/>
          <w:color w:val="auto"/>
        </w:rPr>
        <w:t>2.1</w:t>
        <w:tab/>
        <w:t>There were no defects in the incorporation process of the Company (not appearing on the face of the Deed of Incorporation). The Articles are in full force and effect on the Relevant Date.</w:t>
      </w:r>
    </w:p>
    <w:p>
      <w:pPr>
        <w:spacing w:after="0" w:line="76" w:lineRule="exact"/>
        <w:rPr>
          <w:sz w:val="20"/>
          <w:szCs w:val="20"/>
          <w:color w:val="auto"/>
        </w:rPr>
      </w:pPr>
    </w:p>
    <w:p>
      <w:pPr>
        <w:jc w:val="center"/>
        <w:ind w:right="856"/>
        <w:spacing w:after="0" w:line="342" w:lineRule="auto"/>
        <w:rPr>
          <w:sz w:val="20"/>
          <w:szCs w:val="20"/>
          <w:color w:val="auto"/>
        </w:rPr>
      </w:pPr>
      <w:r>
        <w:rPr>
          <w:rFonts w:ascii="Arial" w:cs="Arial" w:eastAsia="Arial" w:hAnsi="Arial"/>
          <w:sz w:val="16"/>
          <w:szCs w:val="16"/>
          <w:color w:val="auto"/>
        </w:rPr>
        <w:t>2.2   The Company has its central administration (</w:t>
      </w:r>
      <w:r>
        <w:rPr>
          <w:rFonts w:ascii="Arial" w:cs="Arial" w:eastAsia="Arial" w:hAnsi="Arial"/>
          <w:sz w:val="16"/>
          <w:szCs w:val="16"/>
          <w:i w:val="1"/>
          <w:iCs w:val="1"/>
          <w:color w:val="auto"/>
        </w:rPr>
        <w:t>administration centrale</w:t>
      </w:r>
      <w:r>
        <w:rPr>
          <w:rFonts w:ascii="Arial" w:cs="Arial" w:eastAsia="Arial" w:hAnsi="Arial"/>
          <w:sz w:val="16"/>
          <w:szCs w:val="16"/>
          <w:color w:val="auto"/>
        </w:rPr>
        <w:t>) and has its centre of main interest (as described in the Insolvency Regulation) in Luxembourg and does not have an establishment (as described in the Insolvency Regulation) outside Luxembourg.</w:t>
      </w:r>
    </w:p>
    <w:p>
      <w:pPr>
        <w:spacing w:after="0" w:line="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Company complies with and adheres to all laws and regulations on the domiciliation of companies.</w:t>
      </w:r>
    </w:p>
    <w:p>
      <w:pPr>
        <w:spacing w:after="0" w:line="131" w:lineRule="exact"/>
        <w:rPr>
          <w:sz w:val="20"/>
          <w:szCs w:val="20"/>
          <w:color w:val="auto"/>
        </w:rPr>
      </w:pPr>
    </w:p>
    <w:p>
      <w:pPr>
        <w:ind w:left="424" w:right="20" w:hanging="431"/>
        <w:spacing w:after="0" w:line="275" w:lineRule="auto"/>
        <w:tabs>
          <w:tab w:leader="none" w:pos="40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The Company (a) is not, and will not, as a result of its entry into the Opinion Documents or the performance of its obligations thereunder, be in a state of cessation of payments (</w:t>
      </w:r>
      <w:r>
        <w:rPr>
          <w:rFonts w:ascii="Arial" w:cs="Arial" w:eastAsia="Arial" w:hAnsi="Arial"/>
          <w:sz w:val="17"/>
          <w:szCs w:val="17"/>
          <w:i w:val="1"/>
          <w:iCs w:val="1"/>
          <w:color w:val="auto"/>
        </w:rPr>
        <w:t>cessation des paiements</w:t>
      </w:r>
      <w:r>
        <w:rPr>
          <w:rFonts w:ascii="Arial" w:cs="Arial" w:eastAsia="Arial" w:hAnsi="Arial"/>
          <w:sz w:val="17"/>
          <w:szCs w:val="17"/>
          <w:color w:val="auto"/>
        </w:rPr>
        <w:t>), or be deemed to be in such state, and has not lost, and will not, as a result of its entry into the Opinion Documents or the performance of its obligations thereunder, lose its creditworthiness (</w:t>
      </w:r>
      <w:r>
        <w:rPr>
          <w:rFonts w:ascii="Arial" w:cs="Arial" w:eastAsia="Arial" w:hAnsi="Arial"/>
          <w:sz w:val="17"/>
          <w:szCs w:val="17"/>
          <w:i w:val="1"/>
          <w:iCs w:val="1"/>
          <w:color w:val="auto"/>
        </w:rPr>
        <w:t>ébranlement de crédit</w:t>
      </w:r>
      <w:r>
        <w:rPr>
          <w:rFonts w:ascii="Arial" w:cs="Arial" w:eastAsia="Arial" w:hAnsi="Arial"/>
          <w:sz w:val="17"/>
          <w:szCs w:val="17"/>
          <w:color w:val="auto"/>
        </w:rPr>
        <w:t>), or be deemed to have lost such creditworthiness and no party to the Opinion Documents is aware, or may be reasonably expected to have been aware, of such circumstances, and (b) does not meet the criteria to be subject to any Insolvency Proceedings (as defined below).</w:t>
      </w:r>
    </w:p>
    <w:p>
      <w:pPr>
        <w:spacing w:after="0" w:line="82" w:lineRule="exact"/>
        <w:rPr>
          <w:sz w:val="20"/>
          <w:szCs w:val="20"/>
          <w:color w:val="auto"/>
        </w:rPr>
      </w:pPr>
    </w:p>
    <w:p>
      <w:pPr>
        <w:ind w:left="424" w:right="160" w:hanging="431"/>
        <w:spacing w:after="0" w:line="308" w:lineRule="auto"/>
        <w:tabs>
          <w:tab w:leader="none" w:pos="40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The execution, entry into and performance by the Company of the Opinion Documents, and the transactions in connection therewith (a) are in its corporate interest, (b) with the intent of pursuing profit (</w:t>
      </w:r>
      <w:r>
        <w:rPr>
          <w:rFonts w:ascii="Arial" w:cs="Arial" w:eastAsia="Arial" w:hAnsi="Arial"/>
          <w:sz w:val="17"/>
          <w:szCs w:val="17"/>
          <w:i w:val="1"/>
          <w:iCs w:val="1"/>
          <w:color w:val="auto"/>
        </w:rPr>
        <w:t>but lucratif</w:t>
      </w:r>
      <w:r>
        <w:rPr>
          <w:rFonts w:ascii="Arial" w:cs="Arial" w:eastAsia="Arial" w:hAnsi="Arial"/>
          <w:sz w:val="17"/>
          <w:szCs w:val="17"/>
          <w:color w:val="auto"/>
        </w:rPr>
        <w:t>) and (c) serving the corporate object of the Company.</w:t>
      </w:r>
    </w:p>
    <w:p>
      <w:pPr>
        <w:spacing w:after="0" w:line="291" w:lineRule="exact"/>
        <w:rPr>
          <w:sz w:val="20"/>
          <w:szCs w:val="20"/>
          <w:color w:val="auto"/>
        </w:rPr>
      </w:pPr>
    </w:p>
    <w:p>
      <w:pPr>
        <w:ind w:left="424" w:hanging="424"/>
        <w:spacing w:after="0"/>
        <w:tabs>
          <w:tab w:leader="none" w:pos="42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AUTHORISATIONS</w:t>
      </w:r>
    </w:p>
    <w:p>
      <w:pPr>
        <w:spacing w:after="0" w:line="135" w:lineRule="exact"/>
        <w:rPr>
          <w:sz w:val="20"/>
          <w:szCs w:val="20"/>
          <w:color w:val="auto"/>
        </w:rPr>
      </w:pPr>
    </w:p>
    <w:p>
      <w:pPr>
        <w:ind w:left="424" w:right="480" w:hanging="431"/>
        <w:spacing w:after="0" w:line="277" w:lineRule="auto"/>
        <w:tabs>
          <w:tab w:leader="none" w:pos="404" w:val="left"/>
        </w:tabs>
        <w:rPr>
          <w:sz w:val="20"/>
          <w:szCs w:val="20"/>
          <w:color w:val="auto"/>
        </w:rPr>
      </w:pPr>
      <w:r>
        <w:rPr>
          <w:rFonts w:ascii="Arial" w:cs="Arial" w:eastAsia="Arial" w:hAnsi="Arial"/>
          <w:sz w:val="18"/>
          <w:szCs w:val="18"/>
          <w:color w:val="auto"/>
        </w:rPr>
        <w:t>3.1</w:t>
        <w:tab/>
        <w:t>The Resolutions (a) correctly reflect the resolutions adopted by the members of the board of directors of the Company, (b) have been validly adopted, with due observance of the Articles and any applicable by-laws and (c) are in full force and effect.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7/11</w:t>
      </w:r>
    </w:p>
    <w:p>
      <w:pPr>
        <w:sectPr>
          <w:pgSz w:w="11900" w:h="16838" w:orient="portrait"/>
          <w:cols w:equalWidth="0" w:num="1">
            <w:col w:w="11024"/>
          </w:cols>
          <w:pgMar w:left="436" w:top="864" w:right="439" w:bottom="1440" w:gutter="0" w:footer="0" w:header="0"/>
        </w:sectPr>
      </w:pPr>
    </w:p>
    <w:bookmarkStart w:id="66" w:name="page67"/>
    <w:bookmarkEnd w:id="66"/>
    <w:p>
      <w:pPr>
        <w:ind w:left="424" w:right="180" w:hanging="431"/>
        <w:spacing w:after="0" w:line="308"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3.2</w:t>
      </w:r>
      <w:r>
        <w:rPr>
          <w:sz w:val="20"/>
          <w:szCs w:val="20"/>
          <w:color w:val="auto"/>
        </w:rPr>
        <w:tab/>
      </w:r>
      <w:r>
        <w:rPr>
          <w:rFonts w:ascii="Arial" w:cs="Arial" w:eastAsia="Arial" w:hAnsi="Arial"/>
          <w:sz w:val="17"/>
          <w:szCs w:val="17"/>
          <w:color w:val="auto"/>
        </w:rPr>
        <w:t>The Company is not under any contractual obligation to obtain the consent, approval, co-operation, permission or otherwise of any third party or person in connection with the execution of, entry into, and performance of its obligations under, the Opinion Documents.</w:t>
      </w:r>
    </w:p>
    <w:p>
      <w:pPr>
        <w:spacing w:after="0" w:line="291" w:lineRule="exact"/>
        <w:rPr>
          <w:sz w:val="20"/>
          <w:szCs w:val="20"/>
          <w:color w:val="auto"/>
        </w:rPr>
      </w:pPr>
    </w:p>
    <w:p>
      <w:pPr>
        <w:ind w:left="424" w:hanging="424"/>
        <w:spacing w:after="0"/>
        <w:tabs>
          <w:tab w:leader="none" w:pos="42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Opinion Documents have in fact been signed on behalf of the Company by the persons authorised to that effect.</w:t>
      </w:r>
    </w:p>
    <w:p>
      <w:pPr>
        <w:spacing w:after="0" w:line="131" w:lineRule="exact"/>
        <w:rPr>
          <w:sz w:val="20"/>
          <w:szCs w:val="20"/>
          <w:color w:val="auto"/>
        </w:rPr>
      </w:pPr>
    </w:p>
    <w:p>
      <w:pPr>
        <w:ind w:left="424" w:right="300" w:hanging="431"/>
        <w:spacing w:after="0" w:line="277" w:lineRule="auto"/>
        <w:tabs>
          <w:tab w:leader="none" w:pos="404" w:val="left"/>
        </w:tabs>
        <w:rPr>
          <w:sz w:val="20"/>
          <w:szCs w:val="20"/>
          <w:color w:val="auto"/>
        </w:rPr>
      </w:pPr>
      <w:r>
        <w:rPr>
          <w:rFonts w:ascii="Arial" w:cs="Arial" w:eastAsia="Arial" w:hAnsi="Arial"/>
          <w:sz w:val="18"/>
          <w:szCs w:val="18"/>
          <w:color w:val="auto"/>
        </w:rPr>
        <w:t>4.2</w:t>
        <w:tab/>
        <w:t>All individuals having signed the Reviewed Documents and the Opinion Documents have legal capacity and power under all relevant laws and regulations to do so.</w:t>
      </w:r>
    </w:p>
    <w:p>
      <w:pPr>
        <w:spacing w:after="0" w:line="315"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w:t>
      </w:r>
    </w:p>
    <w:p>
      <w:pPr>
        <w:spacing w:after="0" w:line="121" w:lineRule="exact"/>
        <w:rPr>
          <w:rFonts w:ascii="Arial" w:cs="Arial" w:eastAsia="Arial" w:hAnsi="Arial"/>
          <w:sz w:val="18"/>
          <w:szCs w:val="18"/>
          <w:b w:val="1"/>
          <w:bCs w:val="1"/>
          <w:color w:val="auto"/>
        </w:rPr>
      </w:pPr>
    </w:p>
    <w:p>
      <w:pPr>
        <w:ind w:left="444"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does not carry out any activity in the financial sector or insurance on a professional basis (as referred to in the Luxembourg law dated 5 April 1993 on the financial sector, as amended, and the Luxembourg Law dated 7 December 2015 on the insurance sector, as amended) or any activity requiring the granting of a business licence under the Luxembourg law dated 2 September 2011 governing the access to the professions of skilled craftsman, tradesman, manufacturer, as well as to certain liberal professions, as amended.</w:t>
      </w:r>
    </w:p>
    <w:p>
      <w:pPr>
        <w:spacing w:after="0" w:line="316" w:lineRule="exact"/>
        <w:rPr>
          <w:sz w:val="20"/>
          <w:szCs w:val="20"/>
          <w:color w:val="auto"/>
        </w:rPr>
      </w:pPr>
    </w:p>
    <w:p>
      <w:pPr>
        <w:ind w:left="424" w:hanging="424"/>
        <w:spacing w:after="0"/>
        <w:tabs>
          <w:tab w:leader="none" w:pos="42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ISSUE OF NOTES</w:t>
      </w:r>
    </w:p>
    <w:p>
      <w:pPr>
        <w:spacing w:after="0" w:line="135" w:lineRule="exact"/>
        <w:rPr>
          <w:sz w:val="20"/>
          <w:szCs w:val="20"/>
          <w:color w:val="auto"/>
        </w:rPr>
      </w:pPr>
    </w:p>
    <w:p>
      <w:pPr>
        <w:ind w:left="424" w:right="540" w:hanging="431"/>
        <w:spacing w:after="0" w:line="263" w:lineRule="auto"/>
        <w:tabs>
          <w:tab w:leader="none" w:pos="404" w:val="left"/>
        </w:tabs>
        <w:rPr>
          <w:sz w:val="20"/>
          <w:szCs w:val="20"/>
          <w:color w:val="auto"/>
        </w:rPr>
      </w:pPr>
      <w:r>
        <w:rPr>
          <w:rFonts w:ascii="Arial" w:cs="Arial" w:eastAsia="Arial" w:hAnsi="Arial"/>
          <w:sz w:val="18"/>
          <w:szCs w:val="18"/>
          <w:color w:val="auto"/>
        </w:rPr>
        <w:t>6.1</w:t>
        <w:tab/>
        <w:t xml:space="preserve">The Notes will only be offered pursuant to an exemption from the requirement to draw up a prospectus in accordance with Regulation (EU) 2017/1129 and the relevant implementing measures in any Member States (the </w:t>
      </w:r>
      <w:r>
        <w:rPr>
          <w:rFonts w:ascii="Arial" w:cs="Arial" w:eastAsia="Arial" w:hAnsi="Arial"/>
          <w:sz w:val="18"/>
          <w:szCs w:val="18"/>
          <w:b w:val="1"/>
          <w:bCs w:val="1"/>
          <w:color w:val="auto"/>
        </w:rPr>
        <w:t>Prospectus Regulation</w:t>
      </w:r>
      <w:r>
        <w:rPr>
          <w:rFonts w:ascii="Arial" w:cs="Arial" w:eastAsia="Arial" w:hAnsi="Arial"/>
          <w:sz w:val="18"/>
          <w:szCs w:val="18"/>
          <w:color w:val="auto"/>
        </w:rPr>
        <w:t>) or in circumstances which do not constitute an offer of securities to the public within the meaning of the Prospectus Regulation.</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Notes will not be listed on any market.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Notes are issued in registered form only.</w:t>
      </w:r>
    </w:p>
    <w:p>
      <w:pPr>
        <w:spacing w:after="0" w:line="127" w:lineRule="exact"/>
        <w:rPr>
          <w:sz w:val="20"/>
          <w:szCs w:val="20"/>
          <w:color w:val="auto"/>
        </w:rPr>
      </w:pPr>
    </w:p>
    <w:p>
      <w:pPr>
        <w:ind w:left="424" w:right="300" w:hanging="431"/>
        <w:spacing w:after="0" w:line="282" w:lineRule="auto"/>
        <w:tabs>
          <w:tab w:leader="none" w:pos="404" w:val="left"/>
        </w:tabs>
        <w:rPr>
          <w:sz w:val="20"/>
          <w:szCs w:val="20"/>
          <w:color w:val="auto"/>
        </w:rPr>
      </w:pPr>
      <w:r>
        <w:rPr>
          <w:rFonts w:ascii="Arial" w:cs="Arial" w:eastAsia="Arial" w:hAnsi="Arial"/>
          <w:sz w:val="18"/>
          <w:szCs w:val="18"/>
          <w:color w:val="auto"/>
        </w:rPr>
        <w:t>6.4</w:t>
        <w:tab/>
        <w:t>The Global Notes will be executed</w:t>
      </w:r>
      <w:r>
        <w:rPr>
          <w:rFonts w:ascii="Arial" w:cs="Arial" w:eastAsia="Arial" w:hAnsi="Arial"/>
          <w:sz w:val="18"/>
          <w:szCs w:val="18"/>
          <w:b w:val="1"/>
          <w:bCs w:val="1"/>
          <w:color w:val="auto"/>
        </w:rPr>
        <w:t>,</w:t>
      </w:r>
      <w:r>
        <w:rPr>
          <w:rFonts w:ascii="Arial" w:cs="Arial" w:eastAsia="Arial" w:hAnsi="Arial"/>
          <w:sz w:val="18"/>
          <w:szCs w:val="18"/>
          <w:color w:val="auto"/>
        </w:rPr>
        <w:t xml:space="preserve"> authenticated and delivered, and the Notes will be subscribed, paid for, issued and registered in accordance with the terms of the Opinion Documents.</w:t>
      </w:r>
    </w:p>
    <w:p>
      <w:pPr>
        <w:spacing w:after="0" w:line="310" w:lineRule="exact"/>
        <w:rPr>
          <w:sz w:val="20"/>
          <w:szCs w:val="20"/>
          <w:color w:val="auto"/>
        </w:rPr>
      </w:pPr>
    </w:p>
    <w:p>
      <w:pPr>
        <w:ind w:left="424" w:hanging="424"/>
        <w:spacing w:after="0"/>
        <w:tabs>
          <w:tab w:leader="none" w:pos="42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424" w:right="300" w:hanging="431"/>
        <w:spacing w:after="0" w:line="342" w:lineRule="auto"/>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transaction entered into pursuant to, or in connection with, the Opinion Documents (both together and individually) and all payments and transfers made by, on behalf of, or in favour of, the Company are made at arm’s length and in accordance with market practice.</w:t>
      </w:r>
    </w:p>
    <w:p>
      <w:pPr>
        <w:spacing w:after="0" w:line="29" w:lineRule="exact"/>
        <w:rPr>
          <w:sz w:val="20"/>
          <w:szCs w:val="20"/>
          <w:color w:val="auto"/>
        </w:rPr>
      </w:pPr>
    </w:p>
    <w:p>
      <w:pPr>
        <w:jc w:val="both"/>
        <w:ind w:left="424" w:right="100" w:hanging="431"/>
        <w:spacing w:after="0" w:line="263" w:lineRule="auto"/>
        <w:tabs>
          <w:tab w:leader="none" w:pos="404" w:val="left"/>
        </w:tabs>
        <w:rPr>
          <w:sz w:val="20"/>
          <w:szCs w:val="20"/>
          <w:color w:val="auto"/>
        </w:rPr>
      </w:pPr>
      <w:r>
        <w:rPr>
          <w:rFonts w:ascii="Arial" w:cs="Arial" w:eastAsia="Arial" w:hAnsi="Arial"/>
          <w:sz w:val="18"/>
          <w:szCs w:val="18"/>
          <w:color w:val="auto"/>
        </w:rPr>
        <w:t>7.2</w:t>
        <w:tab/>
        <w:t>Each party to the Opinion Documents entered into and will perform its obligations under the Opinion Documents in good faith, for the purpose of carrying out its business and without any intention to defraud or deprive of any legal benefit any other party (including third party creditors) or to circumvent any mandatory law, regulation of any jurisdiction or contractual arrangements.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8/11</w:t>
      </w:r>
    </w:p>
    <w:p>
      <w:pPr>
        <w:sectPr>
          <w:pgSz w:w="11900" w:h="16838" w:orient="portrait"/>
          <w:cols w:equalWidth="0" w:num="1">
            <w:col w:w="11024"/>
          </w:cols>
          <w:pgMar w:left="436" w:top="868" w:right="439" w:bottom="1440" w:gutter="0" w:footer="0" w:header="0"/>
        </w:sectPr>
      </w:pPr>
    </w:p>
    <w:bookmarkStart w:id="67" w:name="page68"/>
    <w:bookmarkEnd w:id="67"/>
    <w:p>
      <w:pPr>
        <w:ind w:left="420" w:right="420" w:hanging="431"/>
        <w:spacing w:after="0" w:line="277"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7.3</w:t>
        <w:tab/>
        <w:t>There are no provisions in the laws of any jurisdiction outside Luxembourg or in the documents mentioned in the Opinion Documents, which would adversely affect, or otherwise have any negative impact on this opinion letter.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9/11</w:t>
      </w:r>
    </w:p>
    <w:p>
      <w:pPr>
        <w:sectPr>
          <w:pgSz w:w="11900" w:h="16838" w:orient="portrait"/>
          <w:cols w:equalWidth="0" w:num="1">
            <w:col w:w="11020"/>
          </w:cols>
          <w:pgMar w:left="440" w:top="868" w:right="439" w:bottom="1440" w:gutter="0" w:footer="0" w:header="0"/>
        </w:sectPr>
      </w:pPr>
    </w:p>
    <w:bookmarkStart w:id="68" w:name="page69"/>
    <w:bookmarkEnd w:id="68"/>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Schedule 4</w:t>
      </w:r>
    </w:p>
    <w:p>
      <w:pPr>
        <w:spacing w:after="0" w:line="225" w:lineRule="exact"/>
        <w:rPr>
          <w:sz w:val="20"/>
          <w:szCs w:val="20"/>
          <w:color w:val="auto"/>
        </w:rPr>
      </w:pPr>
    </w:p>
    <w:p>
      <w:pPr>
        <w:ind w:left="4724"/>
        <w:spacing w:after="0"/>
        <w:rPr>
          <w:sz w:val="20"/>
          <w:szCs w:val="20"/>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in this opinion letter are subject to the following qualifications:</w:t>
      </w:r>
    </w:p>
    <w:p>
      <w:pPr>
        <w:spacing w:after="0" w:line="370" w:lineRule="exact"/>
        <w:rPr>
          <w:sz w:val="20"/>
          <w:szCs w:val="20"/>
          <w:color w:val="auto"/>
        </w:rPr>
      </w:pPr>
    </w:p>
    <w:p>
      <w:pPr>
        <w:ind w:left="424" w:hanging="424"/>
        <w:spacing w:after="0"/>
        <w:tabs>
          <w:tab w:leader="none" w:pos="42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121" w:lineRule="exact"/>
        <w:rPr>
          <w:rFonts w:ascii="Arial" w:cs="Arial" w:eastAsia="Arial" w:hAnsi="Arial"/>
          <w:sz w:val="18"/>
          <w:szCs w:val="18"/>
          <w:b w:val="1"/>
          <w:bCs w:val="1"/>
          <w:color w:val="auto"/>
        </w:rPr>
      </w:pPr>
    </w:p>
    <w:p>
      <w:pPr>
        <w:ind w:left="444"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This opinion letter is subject to all limitations resulting from the application of Luxembourg public policy rules, overriding statutes and mandatory laws as well as to all limitations by reasons of bankruptcy (</w:t>
      </w:r>
      <w:r>
        <w:rPr>
          <w:rFonts w:ascii="Arial" w:cs="Arial" w:eastAsia="Arial" w:hAnsi="Arial"/>
          <w:sz w:val="18"/>
          <w:szCs w:val="18"/>
          <w:i w:val="1"/>
          <w:iCs w:val="1"/>
          <w:color w:val="auto"/>
        </w:rPr>
        <w:t>faillite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 préventif de la faillite</w:t>
      </w:r>
      <w:r>
        <w:rPr>
          <w:rFonts w:ascii="Arial" w:cs="Arial" w:eastAsia="Arial" w:hAnsi="Arial"/>
          <w:sz w:val="18"/>
          <w:szCs w:val="18"/>
          <w:color w:val="auto"/>
        </w:rPr>
        <w:t>), suspension of payments (</w:t>
      </w:r>
      <w:r>
        <w:rPr>
          <w:rFonts w:ascii="Arial" w:cs="Arial" w:eastAsia="Arial" w:hAnsi="Arial"/>
          <w:sz w:val="18"/>
          <w:szCs w:val="18"/>
          <w:i w:val="1"/>
          <w:iCs w:val="1"/>
          <w:color w:val="auto"/>
        </w:rPr>
        <w:t>sursis de paiements</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insolvency, liquidation, reorganisation or the appointment of a temporary administrator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 and any similar Luxembourg or foreign proceedings, regimes or officers relating to, or affecting, the rights of creditors generally (</w:t>
      </w:r>
      <w:r>
        <w:rPr>
          <w:rFonts w:ascii="Arial" w:cs="Arial" w:eastAsia="Arial" w:hAnsi="Arial"/>
          <w:sz w:val="18"/>
          <w:szCs w:val="18"/>
          <w:b w:val="1"/>
          <w:bCs w:val="1"/>
          <w:color w:val="auto"/>
        </w:rPr>
        <w:t>Insolvency Proceedings</w:t>
      </w:r>
      <w:r>
        <w:rPr>
          <w:rFonts w:ascii="Arial" w:cs="Arial" w:eastAsia="Arial" w:hAnsi="Arial"/>
          <w:sz w:val="18"/>
          <w:szCs w:val="18"/>
          <w:color w:val="auto"/>
        </w:rPr>
        <w:t>).</w:t>
      </w:r>
    </w:p>
    <w:p>
      <w:pPr>
        <w:spacing w:after="0" w:line="332" w:lineRule="exact"/>
        <w:rPr>
          <w:sz w:val="20"/>
          <w:szCs w:val="20"/>
          <w:color w:val="auto"/>
        </w:rPr>
      </w:pPr>
    </w:p>
    <w:p>
      <w:pPr>
        <w:ind w:left="424" w:hanging="424"/>
        <w:spacing w:after="0"/>
        <w:tabs>
          <w:tab w:leader="none" w:pos="42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ACCURACY OF INFORMATION</w:t>
      </w:r>
    </w:p>
    <w:p>
      <w:pPr>
        <w:spacing w:after="0" w:line="135" w:lineRule="exact"/>
        <w:rPr>
          <w:sz w:val="20"/>
          <w:szCs w:val="20"/>
          <w:color w:val="auto"/>
        </w:rPr>
      </w:pPr>
    </w:p>
    <w:p>
      <w:pPr>
        <w:ind w:left="424" w:right="40" w:hanging="431"/>
        <w:spacing w:after="0" w:line="263" w:lineRule="auto"/>
        <w:tabs>
          <w:tab w:leader="none" w:pos="404" w:val="left"/>
        </w:tabs>
        <w:rPr>
          <w:sz w:val="20"/>
          <w:szCs w:val="20"/>
          <w:color w:val="auto"/>
        </w:rPr>
      </w:pPr>
      <w:r>
        <w:rPr>
          <w:rFonts w:ascii="Arial" w:cs="Arial" w:eastAsia="Arial" w:hAnsi="Arial"/>
          <w:sz w:val="18"/>
          <w:szCs w:val="18"/>
          <w:color w:val="auto"/>
        </w:rPr>
        <w:t>2.1</w:t>
        <w:tab/>
        <w:t>Corporate documents of, and court orders affecting, the Company may not be available at the RCS forthwith upon their execution and filing and there may be a delay in the filing and publication of the documents or notices related thereto. We express no opinion as to the consequences of any failure by the Company to comply with its filing, notification, reporting and publication obligations.</w:t>
      </w:r>
    </w:p>
    <w:p>
      <w:pPr>
        <w:spacing w:after="0" w:line="89" w:lineRule="exact"/>
        <w:rPr>
          <w:sz w:val="20"/>
          <w:szCs w:val="20"/>
          <w:color w:val="auto"/>
        </w:rPr>
      </w:pPr>
    </w:p>
    <w:p>
      <w:pPr>
        <w:jc w:val="center"/>
        <w:ind w:right="56"/>
        <w:spacing w:after="0"/>
        <w:tabs>
          <w:tab w:leader="none" w:pos="1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Documents relating to a Luxembourg company the publication of which is required by law will only be valid towards third parties from the day of</w:t>
      </w:r>
    </w:p>
    <w:p>
      <w:pPr>
        <w:spacing w:after="0" w:line="23" w:lineRule="exact"/>
        <w:rPr>
          <w:sz w:val="20"/>
          <w:szCs w:val="20"/>
          <w:color w:val="auto"/>
        </w:rPr>
      </w:pPr>
    </w:p>
    <w:p>
      <w:pPr>
        <w:ind w:left="424" w:right="20"/>
        <w:spacing w:after="0" w:line="253" w:lineRule="auto"/>
        <w:rPr>
          <w:sz w:val="20"/>
          <w:szCs w:val="20"/>
          <w:color w:val="auto"/>
        </w:rPr>
      </w:pPr>
      <w:r>
        <w:rPr>
          <w:rFonts w:ascii="Arial" w:cs="Arial" w:eastAsia="Arial" w:hAnsi="Arial"/>
          <w:sz w:val="18"/>
          <w:szCs w:val="18"/>
          <w:color w:val="auto"/>
        </w:rPr>
        <w:t>their publication with the Electronic Register of Companies and Associations (</w:t>
      </w:r>
      <w:r>
        <w:rPr>
          <w:rFonts w:ascii="Arial" w:cs="Arial" w:eastAsia="Arial" w:hAnsi="Arial"/>
          <w:sz w:val="18"/>
          <w:szCs w:val="18"/>
          <w:i w:val="1"/>
          <w:iCs w:val="1"/>
          <w:color w:val="auto"/>
        </w:rPr>
        <w:t>Recueil Electronique des Sociétés et Associations)</w:t>
      </w:r>
      <w:r>
        <w:rPr>
          <w:rFonts w:ascii="Arial" w:cs="Arial" w:eastAsia="Arial" w:hAnsi="Arial"/>
          <w:sz w:val="18"/>
          <w:szCs w:val="18"/>
          <w:color w:val="auto"/>
        </w:rPr>
        <w:t>, unless the company proves that the relevant third parties had prior knowledge thereof. Third parties may however rely upon such documents which have not yet been published. For 15 days following their publication, such documents will not be valid towards third parties who prove the impossibility for them to have knowledge thereof.</w:t>
      </w:r>
    </w:p>
    <w:p>
      <w:pPr>
        <w:spacing w:after="0" w:line="98" w:lineRule="exact"/>
        <w:rPr>
          <w:sz w:val="20"/>
          <w:szCs w:val="20"/>
          <w:color w:val="auto"/>
        </w:rPr>
      </w:pPr>
    </w:p>
    <w:p>
      <w:pPr>
        <w:ind w:left="424" w:right="260" w:hanging="431"/>
        <w:spacing w:after="0" w:line="263" w:lineRule="auto"/>
        <w:tabs>
          <w:tab w:leader="none" w:pos="404" w:val="left"/>
        </w:tabs>
        <w:rPr>
          <w:sz w:val="20"/>
          <w:szCs w:val="20"/>
          <w:color w:val="auto"/>
        </w:rPr>
      </w:pPr>
      <w:r>
        <w:rPr>
          <w:rFonts w:ascii="Arial" w:cs="Arial" w:eastAsia="Arial" w:hAnsi="Arial"/>
          <w:sz w:val="18"/>
          <w:szCs w:val="18"/>
          <w:color w:val="auto"/>
        </w:rPr>
        <w:t>2.3</w:t>
        <w:tab/>
        <w:t>The Articles, the Excerpt and the RCS Certificate do not constitute conclusive evidence whether or not a winding-up, administration petition or order has been presented or made, a receiver has been appointed, an arrangement with creditors has been proposed or approved or any other Insolvency Proceedings have commenced.</w:t>
      </w:r>
    </w:p>
    <w:p>
      <w:pPr>
        <w:spacing w:after="0" w:line="328" w:lineRule="exact"/>
        <w:rPr>
          <w:sz w:val="20"/>
          <w:szCs w:val="20"/>
          <w:color w:val="auto"/>
        </w:rPr>
      </w:pPr>
    </w:p>
    <w:p>
      <w:pPr>
        <w:ind w:left="424" w:hanging="424"/>
        <w:spacing w:after="0"/>
        <w:tabs>
          <w:tab w:leader="none" w:pos="42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EXISTENCE AND CORPORATE POWER</w:t>
      </w:r>
    </w:p>
    <w:p>
      <w:pPr>
        <w:spacing w:after="0" w:line="121" w:lineRule="exact"/>
        <w:rPr>
          <w:rFonts w:ascii="Arial" w:cs="Arial" w:eastAsia="Arial" w:hAnsi="Arial"/>
          <w:sz w:val="18"/>
          <w:szCs w:val="18"/>
          <w:b w:val="1"/>
          <w:bCs w:val="1"/>
          <w:color w:val="auto"/>
        </w:rPr>
      </w:pPr>
    </w:p>
    <w:p>
      <w:pPr>
        <w:ind w:left="444" w:right="1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Our opinion that the Company exists is based on the Corporate Documents, the Excerpt and the RCS Certificate (which confirms, in particular, that no judicial decision in respect of bankruptcy (</w:t>
      </w:r>
      <w:r>
        <w:rPr>
          <w:rFonts w:ascii="Arial" w:cs="Arial" w:eastAsia="Arial" w:hAnsi="Arial"/>
          <w:sz w:val="17"/>
          <w:szCs w:val="17"/>
          <w:i w:val="1"/>
          <w:iCs w:val="1"/>
          <w:color w:val="auto"/>
        </w:rPr>
        <w:t>faillite</w:t>
      </w:r>
      <w:r>
        <w:rPr>
          <w:rFonts w:ascii="Arial" w:cs="Arial" w:eastAsia="Arial" w:hAnsi="Arial"/>
          <w:sz w:val="17"/>
          <w:szCs w:val="17"/>
          <w:color w:val="auto"/>
        </w:rPr>
        <w:t>), composition with creditors (</w:t>
      </w:r>
      <w:r>
        <w:rPr>
          <w:rFonts w:ascii="Arial" w:cs="Arial" w:eastAsia="Arial" w:hAnsi="Arial"/>
          <w:sz w:val="17"/>
          <w:szCs w:val="17"/>
          <w:i w:val="1"/>
          <w:iCs w:val="1"/>
          <w:color w:val="auto"/>
        </w:rPr>
        <w:t>concordat préventif de la faillite</w:t>
      </w:r>
      <w:r>
        <w:rPr>
          <w:rFonts w:ascii="Arial" w:cs="Arial" w:eastAsia="Arial" w:hAnsi="Arial"/>
          <w:sz w:val="17"/>
          <w:szCs w:val="17"/>
          <w:color w:val="auto"/>
        </w:rPr>
        <w:t>), suspension of payments (</w:t>
      </w:r>
      <w:r>
        <w:rPr>
          <w:rFonts w:ascii="Arial" w:cs="Arial" w:eastAsia="Arial" w:hAnsi="Arial"/>
          <w:sz w:val="17"/>
          <w:szCs w:val="17"/>
          <w:i w:val="1"/>
          <w:iCs w:val="1"/>
          <w:color w:val="auto"/>
        </w:rPr>
        <w:t>sursis de paiements</w:t>
      </w:r>
      <w:r>
        <w:rPr>
          <w:rFonts w:ascii="Arial" w:cs="Arial" w:eastAsia="Arial" w:hAnsi="Arial"/>
          <w:sz w:val="17"/>
          <w:szCs w:val="17"/>
          <w:color w:val="auto"/>
        </w:rPr>
        <w:t>), controlled management (</w:t>
      </w:r>
      <w:r>
        <w:rPr>
          <w:rFonts w:ascii="Arial" w:cs="Arial" w:eastAsia="Arial" w:hAnsi="Arial"/>
          <w:sz w:val="17"/>
          <w:szCs w:val="17"/>
          <w:i w:val="1"/>
          <w:iCs w:val="1"/>
          <w:color w:val="auto"/>
        </w:rPr>
        <w:t>gestion contrôlée</w:t>
      </w:r>
      <w:r>
        <w:rPr>
          <w:rFonts w:ascii="Arial" w:cs="Arial" w:eastAsia="Arial" w:hAnsi="Arial"/>
          <w:sz w:val="17"/>
          <w:szCs w:val="17"/>
          <w:color w:val="auto"/>
        </w:rPr>
        <w:t>), judicial liquidation (</w:t>
      </w:r>
      <w:r>
        <w:rPr>
          <w:rFonts w:ascii="Arial" w:cs="Arial" w:eastAsia="Arial" w:hAnsi="Arial"/>
          <w:sz w:val="17"/>
          <w:szCs w:val="17"/>
          <w:i w:val="1"/>
          <w:iCs w:val="1"/>
          <w:color w:val="auto"/>
        </w:rPr>
        <w:t>liquidation judiciaire</w:t>
      </w:r>
      <w:r>
        <w:rPr>
          <w:rFonts w:ascii="Arial" w:cs="Arial" w:eastAsia="Arial" w:hAnsi="Arial"/>
          <w:sz w:val="17"/>
          <w:szCs w:val="17"/>
          <w:color w:val="auto"/>
        </w:rPr>
        <w:t>) or the appointment of a temporary administrator (</w:t>
      </w:r>
      <w:r>
        <w:rPr>
          <w:rFonts w:ascii="Arial" w:cs="Arial" w:eastAsia="Arial" w:hAnsi="Arial"/>
          <w:sz w:val="17"/>
          <w:szCs w:val="17"/>
          <w:i w:val="1"/>
          <w:iCs w:val="1"/>
          <w:color w:val="auto"/>
        </w:rPr>
        <w:t>administrateur provisoire</w:t>
      </w:r>
      <w:r>
        <w:rPr>
          <w:rFonts w:ascii="Arial" w:cs="Arial" w:eastAsia="Arial" w:hAnsi="Arial"/>
          <w:sz w:val="17"/>
          <w:szCs w:val="17"/>
          <w:color w:val="auto"/>
        </w:rPr>
        <w:t>) pertaining to the Company have been registered with the RCS.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10/11</w:t>
      </w:r>
    </w:p>
    <w:p>
      <w:pPr>
        <w:sectPr>
          <w:pgSz w:w="11900" w:h="16838" w:orient="portrait"/>
          <w:cols w:equalWidth="0" w:num="1">
            <w:col w:w="11024"/>
          </w:cols>
          <w:pgMar w:left="436" w:top="864" w:right="439" w:bottom="1440" w:gutter="0" w:footer="0" w:header="0"/>
        </w:sectPr>
      </w:pPr>
    </w:p>
    <w:bookmarkStart w:id="69" w:name="page70"/>
    <w:bookmarkEnd w:id="69"/>
    <w:p>
      <w:pPr>
        <w:ind w:left="424" w:hanging="424"/>
        <w:spacing w:after="0"/>
        <w:tabs>
          <w:tab w:leader="none" w:pos="42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82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82575"/>
                    </a:xfrm>
                    <a:prstGeom prst="rect">
                      <a:avLst/>
                    </a:prstGeom>
                    <a:noFill/>
                  </pic:spPr>
                </pic:pic>
              </a:graphicData>
            </a:graphic>
          </wp:anchor>
        </w:drawing>
        <w:t>POWERS OF ATTORNEY</w:t>
      </w:r>
    </w:p>
    <w:p>
      <w:pPr>
        <w:spacing w:after="0" w:line="121" w:lineRule="exact"/>
        <w:rPr>
          <w:rFonts w:ascii="Arial" w:cs="Arial" w:eastAsia="Arial" w:hAnsi="Arial"/>
          <w:sz w:val="18"/>
          <w:szCs w:val="18"/>
          <w:b w:val="1"/>
          <w:bCs w:val="1"/>
          <w:color w:val="auto"/>
        </w:rPr>
      </w:pPr>
    </w:p>
    <w:p>
      <w:pPr>
        <w:ind w:left="444" w:right="3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Under Luxembourg law, each power of attorney, mandate or appointment of agent, whether or not irrevocable, may terminate by virtue of law without notice upon the occurrence of Insolvency Proceedings and may be revoked despite being expressed to be irrevocable.</w:t>
      </w:r>
    </w:p>
    <w:p>
      <w:pPr>
        <w:spacing w:after="0" w:line="291" w:lineRule="exact"/>
        <w:rPr>
          <w:sz w:val="20"/>
          <w:szCs w:val="20"/>
          <w:color w:val="auto"/>
        </w:rPr>
      </w:pPr>
    </w:p>
    <w:p>
      <w:pPr>
        <w:ind w:left="424" w:hanging="424"/>
        <w:spacing w:after="0"/>
        <w:tabs>
          <w:tab w:leader="none" w:pos="42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We express no opinion on general defences under Luxembourg law, such as duress, deceit (</w:t>
      </w:r>
      <w:r>
        <w:rPr>
          <w:rFonts w:ascii="Arial" w:cs="Arial" w:eastAsia="Arial" w:hAnsi="Arial"/>
          <w:sz w:val="16"/>
          <w:szCs w:val="16"/>
          <w:i w:val="1"/>
          <w:iCs w:val="1"/>
          <w:color w:val="auto"/>
        </w:rPr>
        <w:t>dol</w:t>
      </w:r>
      <w:r>
        <w:rPr>
          <w:rFonts w:ascii="Arial" w:cs="Arial" w:eastAsia="Arial" w:hAnsi="Arial"/>
          <w:sz w:val="16"/>
          <w:szCs w:val="16"/>
          <w:color w:val="auto"/>
        </w:rPr>
        <w:t>) or mistake (</w:t>
      </w:r>
      <w:r>
        <w:rPr>
          <w:rFonts w:ascii="Arial" w:cs="Arial" w:eastAsia="Arial" w:hAnsi="Arial"/>
          <w:sz w:val="16"/>
          <w:szCs w:val="16"/>
          <w:i w:val="1"/>
          <w:iCs w:val="1"/>
          <w:color w:val="auto"/>
        </w:rPr>
        <w:t>erreur</w:t>
      </w:r>
      <w:r>
        <w:rPr>
          <w:rFonts w:ascii="Arial" w:cs="Arial" w:eastAsia="Arial" w:hAnsi="Arial"/>
          <w:sz w:val="16"/>
          <w:szCs w:val="16"/>
          <w:color w:val="auto"/>
        </w:rPr>
        <w:t>).</w:t>
      </w:r>
    </w:p>
    <w:p>
      <w:pPr>
        <w:spacing w:after="0" w:line="131" w:lineRule="exact"/>
        <w:rPr>
          <w:sz w:val="20"/>
          <w:szCs w:val="20"/>
          <w:color w:val="auto"/>
        </w:rPr>
      </w:pPr>
    </w:p>
    <w:p>
      <w:pPr>
        <w:ind w:left="424" w:right="260" w:hanging="431"/>
        <w:spacing w:after="0" w:line="287" w:lineRule="auto"/>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registration of the Opinion Documents (and/or any documents in connection therewith) with the Registration, Estates and VAT Department (</w:t>
      </w:r>
      <w:r>
        <w:rPr>
          <w:rFonts w:ascii="Arial" w:cs="Arial" w:eastAsia="Arial" w:hAnsi="Arial"/>
          <w:sz w:val="16"/>
          <w:szCs w:val="16"/>
          <w:i w:val="1"/>
          <w:iCs w:val="1"/>
          <w:color w:val="auto"/>
        </w:rPr>
        <w:t>Administration de l’enregistrement, des domaines et de la TVA</w:t>
      </w:r>
      <w:r>
        <w:rPr>
          <w:rFonts w:ascii="Arial" w:cs="Arial" w:eastAsia="Arial" w:hAnsi="Arial"/>
          <w:sz w:val="16"/>
          <w:szCs w:val="16"/>
          <w:color w:val="auto"/>
        </w:rPr>
        <w:t>) in Luxembourg is required in case the Opinion Documents (and/or any documents in connection therewith) are (i) enclosed to a deed which is compulsorily registrable (</w:t>
      </w:r>
      <w:r>
        <w:rPr>
          <w:rFonts w:ascii="Arial" w:cs="Arial" w:eastAsia="Arial" w:hAnsi="Arial"/>
          <w:sz w:val="16"/>
          <w:szCs w:val="16"/>
          <w:i w:val="1"/>
          <w:iCs w:val="1"/>
          <w:color w:val="auto"/>
        </w:rPr>
        <w:t>acte obligatoirement enregistrable</w:t>
      </w:r>
      <w:r>
        <w:rPr>
          <w:rFonts w:ascii="Arial" w:cs="Arial" w:eastAsia="Arial" w:hAnsi="Arial"/>
          <w:sz w:val="16"/>
          <w:szCs w:val="16"/>
          <w:color w:val="auto"/>
        </w:rPr>
        <w:t>) or</w:t>
      </w:r>
    </w:p>
    <w:p>
      <w:pPr>
        <w:spacing w:after="0" w:line="2" w:lineRule="exact"/>
        <w:rPr>
          <w:sz w:val="20"/>
          <w:szCs w:val="20"/>
          <w:color w:val="auto"/>
        </w:rPr>
      </w:pPr>
    </w:p>
    <w:p>
      <w:pPr>
        <w:ind w:left="424" w:right="40" w:firstLine="8"/>
        <w:spacing w:after="0" w:line="253" w:lineRule="auto"/>
        <w:tabs>
          <w:tab w:leader="none" w:pos="6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deposited with the official records of a notary (</w:t>
      </w:r>
      <w:r>
        <w:rPr>
          <w:rFonts w:ascii="Arial" w:cs="Arial" w:eastAsia="Arial" w:hAnsi="Arial"/>
          <w:sz w:val="18"/>
          <w:szCs w:val="18"/>
          <w:i w:val="1"/>
          <w:iCs w:val="1"/>
          <w:color w:val="auto"/>
        </w:rPr>
        <w:t>déposé au rang des minutes d’un notaire</w:t>
      </w:r>
      <w:r>
        <w:rPr>
          <w:rFonts w:ascii="Arial" w:cs="Arial" w:eastAsia="Arial" w:hAnsi="Arial"/>
          <w:sz w:val="18"/>
          <w:szCs w:val="18"/>
          <w:color w:val="auto"/>
        </w:rPr>
        <w:t>). Even if registration is not required by law, the Opinion Documents (and/or any documents in connection therewith) can also be produced for registration (</w:t>
      </w:r>
      <w:r>
        <w:rPr>
          <w:rFonts w:ascii="Arial" w:cs="Arial" w:eastAsia="Arial" w:hAnsi="Arial"/>
          <w:sz w:val="18"/>
          <w:szCs w:val="18"/>
          <w:i w:val="1"/>
          <w:iCs w:val="1"/>
          <w:color w:val="auto"/>
        </w:rPr>
        <w:t>présenté à l’enregistrement</w:t>
      </w:r>
      <w:r>
        <w:rPr>
          <w:rFonts w:ascii="Arial" w:cs="Arial" w:eastAsia="Arial" w:hAnsi="Arial"/>
          <w:sz w:val="18"/>
          <w:szCs w:val="18"/>
          <w:color w:val="auto"/>
        </w:rPr>
        <w:t xml:space="preserve">). In case of registration, registration duties will apply in the form of a fixed amount or an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amount depending on the nature of the document. The Luxembourg courts or the official Luxembourg authority may require that the Opinion Documents (and any documents in connection therewith) are translated into French, German or Luxembourgish.</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11/11</w:t>
      </w:r>
    </w:p>
    <w:p>
      <w:pPr>
        <w:sectPr>
          <w:pgSz w:w="11900" w:h="16838" w:orient="portrait"/>
          <w:cols w:equalWidth="0" w:num="1">
            <w:col w:w="11024"/>
          </w:cols>
          <w:pgMar w:left="436" w:top="864" w:right="4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5.3</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Houston, Texas 77056-2722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2020</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Schlumberger N.V. (also referred to as Schlumberger Limited)</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We have acted as legal counsel to Schlumberger N.V. (also referred to as Schlumberger Limited), a limited liability company organized under the laws of Curaçao (the “Company”), in connection with the preparation of the filing by the Company and Schlumberger Investment SA, a public company limited by shares (</w:t>
      </w:r>
      <w:r>
        <w:rPr>
          <w:rFonts w:ascii="Arial" w:cs="Arial" w:eastAsia="Arial" w:hAnsi="Arial"/>
          <w:sz w:val="16"/>
          <w:szCs w:val="16"/>
          <w:i w:val="1"/>
          <w:iCs w:val="1"/>
          <w:u w:val="single" w:color="auto"/>
          <w:color w:val="auto"/>
        </w:rPr>
        <w:t>société anonyme</w:t>
      </w:r>
      <w:r>
        <w:rPr>
          <w:rFonts w:ascii="Arial" w:cs="Arial" w:eastAsia="Arial" w:hAnsi="Arial"/>
          <w:sz w:val="16"/>
          <w:szCs w:val="16"/>
          <w:color w:val="auto"/>
        </w:rPr>
        <w:t>) organized under the laws of the Grand Duchy of Luxembourg (“SISA”), of a Registration Statement on Form S-3 (Registration No. 333-231029) (the “Registration Statement”), with the Securities and Exchange Commission (the “Commission”) under the Securities Act of 1933, as amended (the “Act”), relating to the registration under the Act of (i) senior unsecured debt securities of SISA (the “Debt Securities”) and</w:t>
      </w:r>
    </w:p>
    <w:p>
      <w:pPr>
        <w:spacing w:after="0" w:line="2" w:lineRule="exact"/>
        <w:rPr>
          <w:sz w:val="20"/>
          <w:szCs w:val="20"/>
          <w:color w:val="auto"/>
        </w:rPr>
      </w:pPr>
    </w:p>
    <w:p>
      <w:pPr>
        <w:jc w:val="both"/>
        <w:ind w:left="4" w:right="220" w:hanging="4"/>
        <w:spacing w:after="0" w:line="255" w:lineRule="auto"/>
        <w:tabs>
          <w:tab w:leader="none" w:pos="269" w:val="left"/>
        </w:tabs>
        <w:numPr>
          <w:ilvl w:val="0"/>
          <w:numId w:val="88"/>
        </w:numPr>
        <w:rPr>
          <w:rFonts w:ascii="Arial" w:cs="Arial" w:eastAsia="Arial" w:hAnsi="Arial"/>
          <w:sz w:val="18"/>
          <w:szCs w:val="18"/>
          <w:color w:val="auto"/>
        </w:rPr>
      </w:pPr>
      <w:r>
        <w:rPr>
          <w:rFonts w:ascii="Arial" w:cs="Arial" w:eastAsia="Arial" w:hAnsi="Arial"/>
          <w:sz w:val="18"/>
          <w:szCs w:val="18"/>
          <w:color w:val="auto"/>
        </w:rPr>
        <w:t>guarantees of the Debt Securities by the Company, that may be issued and sold from time to time pursuant to Rule 415 under the Act, certain legal matters in connection with the Notes and the Guarantee (as defined below) are being passed upon for you by us. At your request, this opinion is being furnished to you for filing as Exhibit 5 to the Current Report on Form 8-K.</w:t>
      </w:r>
    </w:p>
    <w:p>
      <w:pPr>
        <w:spacing w:after="0" w:line="190"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The Registration Statement has been filed with the Commission. A related prospectus dated April 25, 2019 and a prospectus supplement dated August 4, 2020 relating to the Notes and the Guarantee (as defined below) (collectively the “Prospectus”) have been filed by SISA and the Company with the Commission pursuant to Rule 424(b) under the Act.</w:t>
      </w:r>
    </w:p>
    <w:p>
      <w:pPr>
        <w:spacing w:after="0" w:line="184"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On August 4, 2020, SISA and the Company entered into an underwriting agreement (the “Underwriting Agreement”) with Citigroup Global Markets Inc., as underwriter (the “Underwriter”), providing for the issuance and sale by SISA to the Underwriter of $350,000,000 aggregate principal amount of SISA’s 2.650% Senior Notes due 2030 (the “Notes”), all to be fully and unconditionally guaranteed (the “Guarantee”) by the Company, as guarantor.</w:t>
      </w:r>
    </w:p>
    <w:p>
      <w:pPr>
        <w:sectPr>
          <w:pgSz w:w="11900" w:h="16838" w:orient="portrait"/>
          <w:cols w:equalWidth="0" w:num="1">
            <w:col w:w="11024"/>
          </w:cols>
          <w:pgMar w:left="436" w:top="121" w:right="439" w:bottom="1440" w:gutter="0" w:footer="0" w:header="0"/>
        </w:sectPr>
      </w:pPr>
    </w:p>
    <w:bookmarkStart w:id="71" w:name="page72"/>
    <w:bookmarkEnd w:id="7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opinion is limited to matters governed by the laws of Curaçao.</w:t>
      </w:r>
    </w:p>
    <w:p>
      <w:pPr>
        <w:spacing w:after="0" w:line="22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We have reviewed each of the Articles of Incorporation, the Amended and Restated Bylaws of the Company, each as amended to date, the Registration Statement, the Prospectus, the Indenture (the “Base Indenture”) among SISA, the Company, as guarantor, and The Bank of New York Mellon, as trustee, registrar, paying agent and transfer agent (the “Trustee”), in the form of Exhibit 4.1 to the Registration Statement, the Second Supplemental Indenture (the “Second Supplemental Indenture” and together with the Base Indenture, the “Existing Indenture”) among SISA, the Company and the Trustee, in the form of Exhibit 4.1 to the Current Report on Form 8-K filed on June 26, 2020, the Officers’ Certificate (the “Officers’ Certificate” and together with the Existing Indenture, the “Indenture”) executed by SISA and the Company, in the form of Exhibit 4.1 to the Current Report on Form 8-K filed on the date hereof, pursuant to which the Notes will be issued, and the Underwriting Agreement; have familiarized ourselves with the matters discussed in the Registration Statement and the Prospectus; and have examined all statutes and other records, instruments and corporate documents pertaining to the Company and the matters discussed in the Registration Statement and the Prospectus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Based upon our examination as aforesaid, we are of the opinion that:</w:t>
      </w:r>
    </w:p>
    <w:p>
      <w:pPr>
        <w:spacing w:after="0" w:line="131" w:lineRule="exact"/>
        <w:rPr>
          <w:sz w:val="20"/>
          <w:szCs w:val="20"/>
          <w:color w:val="auto"/>
        </w:rPr>
      </w:pPr>
    </w:p>
    <w:p>
      <w:pPr>
        <w:ind w:left="424" w:right="140" w:hanging="424"/>
        <w:spacing w:after="0" w:line="277" w:lineRule="auto"/>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and is currently validly existing as a limited liability company (</w:t>
      </w:r>
      <w:r>
        <w:rPr>
          <w:rFonts w:ascii="Arial" w:cs="Arial" w:eastAsia="Arial" w:hAnsi="Arial"/>
          <w:sz w:val="18"/>
          <w:szCs w:val="18"/>
          <w:i w:val="1"/>
          <w:iCs w:val="1"/>
          <w:u w:val="single" w:color="auto"/>
          <w:color w:val="auto"/>
        </w:rPr>
        <w:t>naamloze vennootschap</w:t>
      </w:r>
      <w:r>
        <w:rPr>
          <w:rFonts w:ascii="Arial" w:cs="Arial" w:eastAsia="Arial" w:hAnsi="Arial"/>
          <w:sz w:val="18"/>
          <w:szCs w:val="18"/>
          <w:color w:val="auto"/>
        </w:rPr>
        <w:t>) under the laws of Curaçao.</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Guarantee has been duly authorized and the Indenture has been duly authorized, executed and delivered by the Company.</w:t>
      </w:r>
    </w:p>
    <w:p>
      <w:pPr>
        <w:spacing w:after="0" w:line="225" w:lineRule="exact"/>
        <w:rPr>
          <w:sz w:val="20"/>
          <w:szCs w:val="20"/>
          <w:color w:val="auto"/>
        </w:rPr>
      </w:pPr>
    </w:p>
    <w:p>
      <w:pPr>
        <w:ind w:left="4" w:right="20" w:firstLine="440"/>
        <w:spacing w:after="0" w:line="342" w:lineRule="auto"/>
        <w:rPr>
          <w:sz w:val="20"/>
          <w:szCs w:val="20"/>
          <w:color w:val="auto"/>
        </w:rPr>
      </w:pPr>
      <w:r>
        <w:rPr>
          <w:rFonts w:ascii="Arial" w:cs="Arial" w:eastAsia="Arial" w:hAnsi="Arial"/>
          <w:sz w:val="16"/>
          <w:szCs w:val="16"/>
          <w:color w:val="auto"/>
        </w:rPr>
        <w:t>We hereby consent to the filing of this opinion as Exhibit 5 to the Current Report on Form 8-K. In giving this consent, we do not admit that we are in the category of persons whose consent is required under Section 7 of the Act or the rules and regulations of the Commission thereunder.</w:t>
      </w:r>
    </w:p>
    <w:p>
      <w:pPr>
        <w:spacing w:after="0" w:line="124" w:lineRule="exact"/>
        <w:rPr>
          <w:sz w:val="20"/>
          <w:szCs w:val="20"/>
          <w:color w:val="auto"/>
        </w:rPr>
      </w:pPr>
    </w:p>
    <w:p>
      <w:pPr>
        <w:ind w:left="4" w:right="300" w:firstLine="440"/>
        <w:spacing w:after="0" w:line="342" w:lineRule="auto"/>
        <w:rPr>
          <w:sz w:val="20"/>
          <w:szCs w:val="20"/>
          <w:color w:val="auto"/>
        </w:rPr>
      </w:pPr>
      <w:r>
        <w:rPr>
          <w:rFonts w:ascii="Arial" w:cs="Arial" w:eastAsia="Arial" w:hAnsi="Arial"/>
          <w:sz w:val="16"/>
          <w:szCs w:val="16"/>
          <w:color w:val="auto"/>
        </w:rPr>
        <w:t>We understand that Gibson, Dunn &amp; Crutcher LLP intends to rely upon this opinion for purposes of the opinion such firm expects to deliver in connection with the Notes and the Guarantee and we hereby consent to such reliance as though this opinion were addressed to such firm.</w:t>
      </w:r>
    </w:p>
    <w:p>
      <w:pPr>
        <w:spacing w:after="0" w:line="15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STvB Advocaten (Europe) N.V.</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1)"/>
      <w:numFmt w:val="lowerLetter"/>
      <w:start w:val="4"/>
    </w:lvl>
  </w:abstractNum>
  <w:abstractNum w:abstractNumId="2">
    <w:nsid w:val="4B588F54"/>
    <w:multiLevelType w:val="hybridMultilevel"/>
    <w:lvl w:ilvl="0">
      <w:lvlJc w:val="left"/>
      <w:lvlText w:val="1"/>
      <w:numFmt w:val="bullet"/>
      <w:start w:val="1"/>
    </w:lvl>
  </w:abstractNum>
  <w:abstractNum w:abstractNumId="3">
    <w:nsid w:val="542289EC"/>
    <w:multiLevelType w:val="hybridMultilevel"/>
    <w:lvl w:ilvl="0">
      <w:lvlJc w:val="left"/>
      <w:lvlText w:val="%1."/>
      <w:numFmt w:val="decimal"/>
      <w:start w:val="2"/>
    </w:lvl>
  </w:abstractNum>
  <w:abstractNum w:abstractNumId="4">
    <w:nsid w:val="6DE91B18"/>
    <w:multiLevelType w:val="hybridMultilevel"/>
    <w:lvl w:ilvl="0">
      <w:lvlJc w:val="left"/>
      <w:lvlText w:val="(%1)"/>
      <w:numFmt w:val="lowerLetter"/>
      <w:start w:val="1"/>
    </w:lvl>
  </w:abstractNum>
  <w:abstractNum w:abstractNumId="5">
    <w:nsid w:val="38437FDB"/>
    <w:multiLevelType w:val="hybridMultilevel"/>
    <w:lvl w:ilvl="0">
      <w:lvlJc w:val="left"/>
      <w:lvlText w:val="(%1)"/>
      <w:numFmt w:val="lowerLetter"/>
      <w:start w:val="1"/>
    </w:lvl>
  </w:abstractNum>
  <w:abstractNum w:abstractNumId="6">
    <w:nsid w:val="7644A45C"/>
    <w:multiLevelType w:val="hybridMultilevel"/>
    <w:lvl w:ilvl="0">
      <w:lvlJc w:val="left"/>
      <w:lvlText w:val="(%1)"/>
      <w:numFmt w:val="lowerLetter"/>
      <w:start w:val="4"/>
    </w:lvl>
  </w:abstractNum>
  <w:abstractNum w:abstractNumId="7">
    <w:nsid w:val="32FFF902"/>
    <w:multiLevelType w:val="hybridMultilevel"/>
    <w:lvl w:ilvl="0">
      <w:lvlJc w:val="left"/>
      <w:lvlText w:val="(%1)"/>
      <w:numFmt w:val="lowerLetter"/>
      <w:start w:val="6"/>
    </w:lvl>
  </w:abstractNum>
  <w:abstractNum w:abstractNumId="8">
    <w:nsid w:val="684A481A"/>
    <w:multiLevelType w:val="hybridMultilevel"/>
    <w:lvl w:ilvl="0">
      <w:lvlJc w:val="left"/>
      <w:lvlText w:val="(%1)"/>
      <w:numFmt w:val="lowerLetter"/>
      <w:start w:val="61"/>
    </w:lvl>
    <w:lvl w:ilvl="1">
      <w:lvlJc w:val="left"/>
      <w:lvlText w:val="(%2)"/>
      <w:numFmt w:val="lowerLetter"/>
      <w:start w:val="13"/>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lowerLetter"/>
      <w:start w:val="5"/>
    </w:lvl>
  </w:abstractNum>
  <w:abstractNum w:abstractNumId="11">
    <w:nsid w:val="3DC240FB"/>
    <w:multiLevelType w:val="hybridMultilevel"/>
    <w:lvl w:ilvl="0">
      <w:lvlJc w:val="left"/>
      <w:lvlText w:val="(%1)"/>
      <w:numFmt w:val="lowerLetter"/>
      <w:start w:val="7"/>
    </w:lvl>
  </w:abstractNum>
  <w:abstractNum w:abstractNumId="12">
    <w:nsid w:val="1BA026FA"/>
    <w:multiLevelType w:val="hybridMultilevel"/>
    <w:lvl w:ilvl="0">
      <w:lvlJc w:val="left"/>
      <w:lvlText w:val="(%1)"/>
      <w:numFmt w:val="lowerLetter"/>
      <w:start w:val="11"/>
    </w:lvl>
  </w:abstractNum>
  <w:abstractNum w:abstractNumId="13">
    <w:nsid w:val="79A1DEAA"/>
    <w:multiLevelType w:val="hybridMultilevel"/>
    <w:lvl w:ilvl="0">
      <w:lvlJc w:val="left"/>
      <w:lvlText w:val="(%1)"/>
      <w:numFmt w:val="lowerLetter"/>
      <w:start w:val="17"/>
    </w:lvl>
  </w:abstractNum>
  <w:abstractNum w:abstractNumId="14">
    <w:nsid w:val="75C6C33A"/>
    <w:multiLevelType w:val="hybridMultilevel"/>
    <w:lvl w:ilvl="0">
      <w:lvlJc w:val="left"/>
      <w:lvlText w:val="(%1)"/>
      <w:numFmt w:val="lowerLetter"/>
      <w:start w:val="21"/>
    </w:lvl>
  </w:abstractNum>
  <w:abstractNum w:abstractNumId="15">
    <w:nsid w:val="12E685FB"/>
    <w:multiLevelType w:val="hybridMultilevel"/>
    <w:lvl w:ilvl="0">
      <w:lvlJc w:val="left"/>
      <w:lvlText w:val="(%1)"/>
      <w:numFmt w:val="lowerLetter"/>
      <w:start w:val="26"/>
    </w:lvl>
  </w:abstractNum>
  <w:abstractNum w:abstractNumId="16">
    <w:nsid w:val="70C6A529"/>
    <w:multiLevelType w:val="hybridMultilevel"/>
    <w:lvl w:ilvl="0">
      <w:lvlJc w:val="left"/>
      <w:lvlText w:val="(%1)"/>
      <w:numFmt w:val="lowerLetter"/>
      <w:start w:val="27"/>
    </w:lvl>
  </w:abstractNum>
  <w:abstractNum w:abstractNumId="17">
    <w:nsid w:val="520EEDD1"/>
    <w:multiLevelType w:val="hybridMultilevel"/>
    <w:lvl w:ilvl="0">
      <w:lvlJc w:val="left"/>
      <w:lvlText w:val="%1."/>
      <w:numFmt w:val="decimal"/>
      <w:start w:val="4"/>
    </w:lvl>
  </w:abstractNum>
  <w:abstractNum w:abstractNumId="18">
    <w:nsid w:val="374A3FE6"/>
    <w:multiLevelType w:val="hybridMultilevel"/>
    <w:lvl w:ilvl="0">
      <w:lvlJc w:val="left"/>
      <w:lvlText w:val="(%1)"/>
      <w:numFmt w:val="lowerLetter"/>
      <w:start w:val="1"/>
    </w:lvl>
  </w:abstractNum>
  <w:abstractNum w:abstractNumId="19">
    <w:nsid w:val="4F4EF005"/>
    <w:multiLevelType w:val="hybridMultilevel"/>
    <w:lvl w:ilvl="0">
      <w:lvlJc w:val="left"/>
      <w:lvlText w:val="(%1)"/>
      <w:numFmt w:val="lowerLetter"/>
      <w:start w:val="4"/>
    </w:lvl>
  </w:abstractNum>
  <w:abstractNum w:abstractNumId="20">
    <w:nsid w:val="23F9C13C"/>
    <w:multiLevelType w:val="hybridMultilevel"/>
    <w:lvl w:ilvl="0">
      <w:lvlJc w:val="left"/>
      <w:lvlText w:val="%1"/>
      <w:numFmt w:val="lowerLetter"/>
      <w:start w:val="1"/>
    </w:lvl>
    <w:lvl w:ilvl="1">
      <w:lvlJc w:val="left"/>
      <w:lvlText w:val="(%2)"/>
      <w:numFmt w:val="lowerLetter"/>
      <w:start w:val="6"/>
    </w:lvl>
  </w:abstractNum>
  <w:abstractNum w:abstractNumId="21">
    <w:nsid w:val="649BB77C"/>
    <w:multiLevelType w:val="hybridMultilevel"/>
    <w:lvl w:ilvl="0">
      <w:lvlJc w:val="left"/>
      <w:lvlText w:val="(%1)"/>
      <w:numFmt w:val="lowerLetter"/>
      <w:start w:val="35"/>
    </w:lvl>
    <w:lvl w:ilvl="1">
      <w:lvlJc w:val="left"/>
      <w:lvlText w:val="(%2)"/>
      <w:numFmt w:val="lowerLetter"/>
      <w:start w:val="7"/>
    </w:lvl>
  </w:abstractNum>
  <w:abstractNum w:abstractNumId="22">
    <w:nsid w:val="275AC794"/>
    <w:multiLevelType w:val="hybridMultilevel"/>
    <w:lvl w:ilvl="0">
      <w:lvlJc w:val="left"/>
      <w:lvlText w:val="(%1)"/>
      <w:numFmt w:val="lowerLetter"/>
      <w:start w:val="1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decimal"/>
      <w:start w:val="6"/>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lowerLetter"/>
      <w:start w:val="2"/>
    </w:lvl>
  </w:abstractNum>
  <w:abstractNum w:abstractNumId="27">
    <w:nsid w:val="47398C89"/>
    <w:multiLevelType w:val="hybridMultilevel"/>
    <w:lvl w:ilvl="0">
      <w:lvlJc w:val="left"/>
      <w:lvlText w:val="(%1)"/>
      <w:numFmt w:val="lowerLetter"/>
      <w:start w:val="6"/>
    </w:lvl>
  </w:abstractNum>
  <w:abstractNum w:abstractNumId="28">
    <w:nsid w:val="354FE9F9"/>
    <w:multiLevelType w:val="hybridMultilevel"/>
    <w:lvl w:ilvl="0">
      <w:lvlJc w:val="left"/>
      <w:lvlText w:val="(%1)"/>
      <w:numFmt w:val="lowerLetter"/>
      <w:start w:val="11"/>
    </w:lvl>
  </w:abstractNum>
  <w:abstractNum w:abstractNumId="29">
    <w:nsid w:val="15B5AF5C"/>
    <w:multiLevelType w:val="hybridMultilevel"/>
    <w:lvl w:ilvl="0">
      <w:lvlJc w:val="left"/>
      <w:lvlText w:val="%1."/>
      <w:numFmt w:val="decimal"/>
      <w:start w:val="7"/>
    </w:lvl>
  </w:abstractNum>
  <w:abstractNum w:abstractNumId="30">
    <w:nsid w:val="741226BB"/>
    <w:multiLevelType w:val="hybridMultilevel"/>
    <w:lvl w:ilvl="0">
      <w:lvlJc w:val="left"/>
      <w:lvlText w:val="(%1)"/>
      <w:numFmt w:val="lowerLetter"/>
      <w:start w:val="1"/>
    </w:lvl>
  </w:abstractNum>
  <w:abstractNum w:abstractNumId="31">
    <w:nsid w:val="D34B6A8"/>
    <w:multiLevelType w:val="hybridMultilevel"/>
    <w:lvl w:ilvl="0">
      <w:lvlJc w:val="left"/>
      <w:lvlText w:val="(%1)"/>
      <w:numFmt w:val="lowerLetter"/>
      <w:start w:val="3"/>
    </w:lvl>
  </w:abstractNum>
  <w:abstractNum w:abstractNumId="32">
    <w:nsid w:val="10233C99"/>
    <w:multiLevelType w:val="hybridMultilevel"/>
    <w:lvl w:ilvl="0">
      <w:lvlJc w:val="left"/>
      <w:lvlText w:val="(%1)"/>
      <w:numFmt w:val="lowerLetter"/>
      <w:start w:val="4"/>
    </w:lvl>
  </w:abstractNum>
  <w:abstractNum w:abstractNumId="33">
    <w:nsid w:val="3F6AB60F"/>
    <w:multiLevelType w:val="hybridMultilevel"/>
    <w:lvl w:ilvl="0">
      <w:lvlJc w:val="left"/>
      <w:lvlText w:val="(%1)"/>
      <w:numFmt w:val="lowerLetter"/>
      <w:start w:val="5"/>
    </w:lvl>
  </w:abstractNum>
  <w:abstractNum w:abstractNumId="34">
    <w:nsid w:val="61574095"/>
    <w:multiLevelType w:val="hybridMultilevel"/>
    <w:lvl w:ilvl="0">
      <w:lvlJc w:val="left"/>
      <w:lvlText w:val="%1."/>
      <w:numFmt w:val="decimal"/>
      <w:start w:val="8"/>
    </w:lvl>
  </w:abstractNum>
  <w:abstractNum w:abstractNumId="35">
    <w:nsid w:val="7E0C57B1"/>
    <w:multiLevelType w:val="hybridMultilevel"/>
    <w:lvl w:ilvl="0">
      <w:lvlJc w:val="left"/>
      <w:lvlText w:val="(%1)"/>
      <w:numFmt w:val="lowerLetter"/>
      <w:start w:val="1"/>
    </w:lvl>
  </w:abstractNum>
  <w:abstractNum w:abstractNumId="36">
    <w:nsid w:val="77AE35EB"/>
    <w:multiLevelType w:val="hybridMultilevel"/>
    <w:lvl w:ilvl="0">
      <w:lvlJc w:val="left"/>
      <w:lvlText w:val="(%1)"/>
      <w:numFmt w:val="lowerLetter"/>
      <w:start w:val="2"/>
    </w:lvl>
  </w:abstractNum>
  <w:abstractNum w:abstractNumId="37">
    <w:nsid w:val="579BE4F1"/>
    <w:multiLevelType w:val="hybridMultilevel"/>
    <w:lvl w:ilvl="0">
      <w:lvlJc w:val="left"/>
      <w:lvlText w:val="(%1)"/>
      <w:numFmt w:val="lowerLetter"/>
      <w:start w:val="5"/>
    </w:lvl>
  </w:abstractNum>
  <w:abstractNum w:abstractNumId="38">
    <w:nsid w:val="310C50B3"/>
    <w:multiLevelType w:val="hybridMultilevel"/>
    <w:lvl w:ilvl="0">
      <w:lvlJc w:val="left"/>
      <w:lvlText w:val="%1."/>
      <w:numFmt w:val="decimal"/>
      <w:start w:val="10"/>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decimal"/>
      <w:start w:val="11"/>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decimal"/>
      <w:start w:val="12"/>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decimal"/>
      <w:start w:val="13"/>
    </w:lvl>
  </w:abstractNum>
  <w:abstractNum w:abstractNumId="45">
    <w:nsid w:val="1381823A"/>
    <w:multiLevelType w:val="hybridMultilevel"/>
    <w:lvl w:ilvl="0">
      <w:lvlJc w:val="left"/>
      <w:lvlText w:val="(%1)"/>
      <w:numFmt w:val="lowerLetter"/>
      <w:start w:val="1"/>
    </w:lvl>
    <w:lvl w:ilvl="1">
      <w:lvlJc w:val="left"/>
      <w:lvlText w:val="(%2)"/>
      <w:numFmt w:val="lowerLetter"/>
      <w:start w:val="9"/>
    </w:lvl>
  </w:abstractNum>
  <w:abstractNum w:abstractNumId="46">
    <w:nsid w:val="5DB70AE5"/>
    <w:multiLevelType w:val="hybridMultilevel"/>
    <w:lvl w:ilvl="0">
      <w:lvlJc w:val="left"/>
      <w:lvlText w:val="%1"/>
      <w:numFmt w:val="lowerLetter"/>
      <w:start w:val="1"/>
    </w:lvl>
    <w:lvl w:ilvl="1">
      <w:lvlJc w:val="left"/>
      <w:lvlText w:val="(%2)"/>
      <w:numFmt w:val="lowerRoman"/>
      <w:start w:val="2"/>
    </w:lvl>
  </w:abstractNum>
  <w:abstractNum w:abstractNumId="47">
    <w:nsid w:val="100F8FCA"/>
    <w:multiLevelType w:val="hybridMultilevel"/>
    <w:lvl w:ilvl="0">
      <w:lvlJc w:val="left"/>
      <w:lvlText w:val="(%1)"/>
      <w:numFmt w:val="lowerLetter"/>
      <w:start w:val="5"/>
    </w:lvl>
    <w:lvl w:ilvl="1">
      <w:lvlJc w:val="left"/>
      <w:lvlText w:val="%2"/>
      <w:numFmt w:val="lowerRoman"/>
      <w:start w:val="1"/>
    </w:lvl>
  </w:abstractNum>
  <w:abstractNum w:abstractNumId="48">
    <w:nsid w:val="6590700B"/>
    <w:multiLevelType w:val="hybridMultilevel"/>
    <w:lvl w:ilvl="0">
      <w:lvlJc w:val="left"/>
      <w:lvlText w:val="%1."/>
      <w:numFmt w:val="decimal"/>
      <w:start w:val="16"/>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5"/>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upperLetter"/>
      <w:start w:val="1"/>
    </w:lvl>
    <w:lvl w:ilvl="1">
      <w:lvlJc w:val="left"/>
      <w:lvlText w:val="(%2)"/>
      <w:numFmt w:val="lowerLetter"/>
      <w:start w:val="6"/>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3"/>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2"/>
    </w:lvl>
  </w:abstractNum>
  <w:abstractNum w:abstractNumId="60">
    <w:nsid w:val="7BD3EE7B"/>
    <w:multiLevelType w:val="hybridMultilevel"/>
    <w:lvl w:ilvl="0">
      <w:lvlJc w:val="left"/>
      <w:lvlText w:val="%1."/>
      <w:numFmt w:val="decimal"/>
      <w:start w:val="6"/>
    </w:lvl>
  </w:abstractNum>
  <w:abstractNum w:abstractNumId="61">
    <w:nsid w:val="51D9C564"/>
    <w:multiLevelType w:val="hybridMultilevel"/>
    <w:lvl w:ilvl="0">
      <w:lvlJc w:val="left"/>
      <w:lvlText w:val="%1."/>
      <w:numFmt w:val="decimal"/>
      <w:start w:val="9"/>
    </w:lvl>
  </w:abstractNum>
  <w:abstractNum w:abstractNumId="62">
    <w:nsid w:val="613EFDC5"/>
    <w:multiLevelType w:val="hybridMultilevel"/>
    <w:lvl w:ilvl="0">
      <w:lvlJc w:val="left"/>
      <w:lvlText w:val="%1"/>
      <w:numFmt w:val="lowerLetter"/>
      <w:start w:val="1"/>
    </w:lvl>
    <w:lvl w:ilvl="1">
      <w:lvlJc w:val="left"/>
      <w:lvlText w:val="%2."/>
      <w:numFmt w:val="decimal"/>
      <w:start w:val="10"/>
    </w:lvl>
  </w:abstractNum>
  <w:abstractNum w:abstractNumId="63">
    <w:nsid w:val="BF72B14"/>
    <w:multiLevelType w:val="hybridMultilevel"/>
    <w:lvl w:ilvl="0">
      <w:lvlJc w:val="left"/>
      <w:lvlText w:val="(%1)"/>
      <w:numFmt w:val="lowerLetter"/>
      <w:start w:val="7"/>
    </w:lvl>
    <w:lvl w:ilvl="1">
      <w:lvlJc w:val="left"/>
      <w:lvlText w:val="%2."/>
      <w:numFmt w:val="decimal"/>
      <w:start w:val="11"/>
    </w:lvl>
  </w:abstractNum>
  <w:abstractNum w:abstractNumId="64">
    <w:nsid w:val="11447B73"/>
    <w:multiLevelType w:val="hybridMultilevel"/>
    <w:lvl w:ilvl="0">
      <w:lvlJc w:val="left"/>
      <w:lvlText w:val="1"/>
      <w:numFmt w:val="bullet"/>
      <w:start w:val="1"/>
    </w:lvl>
  </w:abstractNum>
  <w:abstractNum w:abstractNumId="65">
    <w:nsid w:val="42963E5A"/>
    <w:multiLevelType w:val="hybridMultilevel"/>
    <w:lvl w:ilvl="0">
      <w:lvlJc w:val="left"/>
      <w:lvlText w:val="2"/>
      <w:numFmt w:val="bullet"/>
      <w:start w:val="1"/>
    </w:lvl>
  </w:abstractNum>
  <w:abstractNum w:abstractNumId="66">
    <w:nsid w:val="A0382C5"/>
    <w:multiLevelType w:val="hybridMultilevel"/>
    <w:lvl w:ilvl="0">
      <w:lvlJc w:val="left"/>
      <w:lvlText w:val="3"/>
      <w:numFmt w:val="bullet"/>
      <w:start w:val="1"/>
    </w:lvl>
  </w:abstractNum>
  <w:abstractNum w:abstractNumId="67">
    <w:nsid w:val="8F2B15E"/>
    <w:multiLevelType w:val="hybridMultilevel"/>
    <w:lvl w:ilvl="0">
      <w:lvlJc w:val="left"/>
      <w:lvlText w:val="4"/>
      <w:numFmt w:val="bullet"/>
      <w:start w:val="1"/>
    </w:lvl>
  </w:abstractNum>
  <w:abstractNum w:abstractNumId="68">
    <w:nsid w:val="1A32234B"/>
    <w:multiLevelType w:val="hybridMultilevel"/>
    <w:lvl w:ilvl="0">
      <w:lvlJc w:val="left"/>
      <w:lvlText w:val="5"/>
      <w:numFmt w:val="bullet"/>
      <w:start w:val="1"/>
    </w:lvl>
  </w:abstractNum>
  <w:abstractNum w:abstractNumId="69">
    <w:nsid w:val="3B0FD379"/>
    <w:multiLevelType w:val="hybridMultilevel"/>
    <w:lvl w:ilvl="0">
      <w:lvlJc w:val="left"/>
      <w:lvlText w:val="6"/>
      <w:numFmt w:val="bullet"/>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bullet"/>
      <w:start w:val="1"/>
    </w:lvl>
  </w:abstractNum>
  <w:abstractNum w:abstractNumId="72">
    <w:nsid w:val="60B6DF70"/>
    <w:multiLevelType w:val="hybridMultilevel"/>
    <w:lvl w:ilvl="0">
      <w:lvlJc w:val="left"/>
      <w:lvlText w:val="2"/>
      <w:numFmt w:val="bullet"/>
      <w:start w:val="1"/>
    </w:lvl>
  </w:abstractNum>
  <w:abstractNum w:abstractNumId="73">
    <w:nsid w:val="6A5EE64"/>
    <w:multiLevelType w:val="hybridMultilevel"/>
    <w:lvl w:ilvl="0">
      <w:lvlJc w:val="left"/>
      <w:lvlText w:val="3"/>
      <w:numFmt w:val="bullet"/>
      <w:start w:val="1"/>
    </w:lvl>
  </w:abstractNum>
  <w:abstractNum w:abstractNumId="74">
    <w:nsid w:val="14330624"/>
    <w:multiLevelType w:val="hybridMultilevel"/>
    <w:lvl w:ilvl="0">
      <w:lvlJc w:val="left"/>
      <w:lvlText w:val="1"/>
      <w:numFmt w:val="bullet"/>
      <w:start w:val="1"/>
    </w:lvl>
  </w:abstractNum>
  <w:abstractNum w:abstractNumId="75">
    <w:nsid w:val="7FFFCA11"/>
    <w:multiLevelType w:val="hybridMultilevel"/>
    <w:lvl w:ilvl="0">
      <w:lvlJc w:val="left"/>
      <w:lvlText w:val="2"/>
      <w:numFmt w:val="bullet"/>
      <w:start w:val="1"/>
    </w:lvl>
  </w:abstractNum>
  <w:abstractNum w:abstractNumId="76">
    <w:nsid w:val="1A27709E"/>
    <w:multiLevelType w:val="hybridMultilevel"/>
    <w:lvl w:ilvl="0">
      <w:lvlJc w:val="left"/>
      <w:lvlText w:val="3"/>
      <w:numFmt w:val="bullet"/>
      <w:start w:val="1"/>
    </w:lvl>
  </w:abstractNum>
  <w:abstractNum w:abstractNumId="77">
    <w:nsid w:val="71EA1109"/>
    <w:multiLevelType w:val="hybridMultilevel"/>
    <w:lvl w:ilvl="0">
      <w:lvlJc w:val="left"/>
      <w:lvlText w:val="4"/>
      <w:numFmt w:val="bullet"/>
      <w:start w:val="1"/>
    </w:lvl>
  </w:abstractNum>
  <w:abstractNum w:abstractNumId="78">
    <w:nsid w:val="100F59DC"/>
    <w:multiLevelType w:val="hybridMultilevel"/>
    <w:lvl w:ilvl="0">
      <w:lvlJc w:val="left"/>
      <w:lvlText w:val="5"/>
      <w:numFmt w:val="bullet"/>
      <w:start w:val="1"/>
    </w:lvl>
  </w:abstractNum>
  <w:abstractNum w:abstractNumId="79">
    <w:nsid w:val="7FB7E0AA"/>
    <w:multiLevelType w:val="hybridMultilevel"/>
    <w:lvl w:ilvl="0">
      <w:lvlJc w:val="left"/>
      <w:lvlText w:val="6"/>
      <w:numFmt w:val="bullet"/>
      <w:start w:val="1"/>
    </w:lvl>
  </w:abstractNum>
  <w:abstractNum w:abstractNumId="80">
    <w:nsid w:val="6EB5BD4"/>
    <w:multiLevelType w:val="hybridMultilevel"/>
    <w:lvl w:ilvl="0">
      <w:lvlJc w:val="left"/>
      <w:lvlText w:val="7"/>
      <w:numFmt w:val="bullet"/>
      <w:start w:val="1"/>
    </w:lvl>
  </w:abstractNum>
  <w:abstractNum w:abstractNumId="81">
    <w:nsid w:val="6F6DD9AC"/>
    <w:multiLevelType w:val="hybridMultilevel"/>
    <w:lvl w:ilvl="0">
      <w:lvlJc w:val="left"/>
      <w:lvlText w:val="1"/>
      <w:numFmt w:val="bullet"/>
      <w:start w:val="1"/>
    </w:lvl>
  </w:abstractNum>
  <w:abstractNum w:abstractNumId="82">
    <w:nsid w:val="94211F2"/>
    <w:multiLevelType w:val="hybridMultilevel"/>
    <w:lvl w:ilvl="0">
      <w:lvlJc w:val="left"/>
      <w:lvlText w:val="2"/>
      <w:numFmt w:val="bullet"/>
      <w:start w:val="1"/>
    </w:lvl>
  </w:abstractNum>
  <w:abstractNum w:abstractNumId="83">
    <w:nsid w:val="885E1B"/>
    <w:multiLevelType w:val="hybridMultilevel"/>
    <w:lvl w:ilvl="0">
      <w:lvlJc w:val="left"/>
      <w:lvlText w:val="3"/>
      <w:numFmt w:val="bullet"/>
      <w:start w:val="1"/>
    </w:lvl>
  </w:abstractNum>
  <w:abstractNum w:abstractNumId="84">
    <w:nsid w:val="76272110"/>
    <w:multiLevelType w:val="hybridMultilevel"/>
    <w:lvl w:ilvl="0">
      <w:lvlJc w:val="left"/>
      <w:lvlText w:val="4"/>
      <w:numFmt w:val="bullet"/>
      <w:start w:val="1"/>
    </w:lvl>
  </w:abstractNum>
  <w:abstractNum w:abstractNumId="85">
    <w:nsid w:val="4C04A8AF"/>
    <w:multiLevelType w:val="hybridMultilevel"/>
    <w:lvl w:ilvl="0">
      <w:lvlJc w:val="left"/>
      <w:lvlText w:val="5"/>
      <w:numFmt w:val="bullet"/>
      <w:start w:val="1"/>
    </w:lvl>
  </w:abstractNum>
  <w:abstractNum w:abstractNumId="86">
    <w:nsid w:val="1716703B"/>
    <w:multiLevelType w:val="hybridMultilevel"/>
    <w:lvl w:ilvl="0">
      <w:lvlJc w:val="left"/>
      <w:lvlText w:val="(%1)"/>
      <w:numFmt w:val="lowerRoman"/>
      <w:start w:val="2"/>
    </w:lvl>
  </w:abstractNum>
  <w:abstractNum w:abstractNumId="87">
    <w:nsid w:val="14E17E33"/>
    <w:multiLevelType w:val="hybridMultilevel"/>
    <w:lvl w:ilvl="0">
      <w:lvlJc w:val="left"/>
      <w:lvlText w:val="(%1)"/>
      <w:numFmt w:val="lowerRoman"/>
      <w:start w:val="2"/>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2020-08-11T15:16:18Z</dcterms:created>
  <dcterms:modified xsi:type="dcterms:W3CDTF">2020-08-11T15:16:18Z</dcterms:modified>
</cp:coreProperties>
</file>