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14,980,100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51,520,099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51,520,099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5599 San Felipe, 17th Floor</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806857108</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51,520,099 shares or 4.3% of the 1,200,764,000 shares of Common Stock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Schlumberger Limited.</w:t>
      </w:r>
    </w:p>
    <w:p>
      <w:pPr>
        <w:spacing w:after="0" w:line="209"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9, 2010</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3039"/>
        <w:spacing w:after="0" w:line="290" w:lineRule="auto"/>
        <w:rPr>
          <w:sz w:val="20"/>
          <w:szCs w:val="20"/>
          <w:color w:val="auto"/>
        </w:rPr>
      </w:pPr>
      <w:r>
        <w:rPr>
          <w:rFonts w:ascii="Courier New" w:cs="Courier New" w:eastAsia="Courier New" w:hAnsi="Courier New"/>
          <w:sz w:val="16"/>
          <w:szCs w:val="16"/>
          <w:color w:val="auto"/>
        </w:rPr>
        <w:t>Signed pursuant to a Power of Attorney dated December 21, 2007 included as an Exhibit to Schedule 13G filed with the</w:t>
      </w:r>
    </w:p>
    <w:p>
      <w:pPr>
        <w:sectPr>
          <w:pgSz w:w="11900" w:h="16838" w:orient="portrait"/>
          <w:cols w:equalWidth="0" w:num="1">
            <w:col w:w="10219"/>
          </w:cols>
          <w:pgMar w:left="240" w:top="136" w:right="1440" w:bottom="0" w:gutter="0" w:footer="0" w:header="0"/>
        </w:sectPr>
      </w:pPr>
    </w:p>
    <w:bookmarkStart w:id="3" w:name="page4"/>
    <w:bookmarkEnd w:id="3"/>
    <w:p>
      <w:pPr>
        <w:ind w:left="1060" w:right="2739"/>
        <w:spacing w:after="0" w:line="236" w:lineRule="auto"/>
        <w:rPr>
          <w:sz w:val="20"/>
          <w:szCs w:val="20"/>
          <w:color w:val="auto"/>
        </w:rPr>
      </w:pPr>
      <w:r>
        <w:rPr>
          <w:rFonts w:ascii="Courier New" w:cs="Courier New" w:eastAsia="Courier New" w:hAnsi="Courier New"/>
          <w:sz w:val="18"/>
          <w:szCs w:val="18"/>
          <w:color w:val="auto"/>
        </w:rPr>
        <w:t>Securities and Exchange Commission by Capital Research Global Investors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2019-12-10T03:09:34Z</dcterms:created>
  <dcterms:modified xsi:type="dcterms:W3CDTF">2019-12-10T03:09:34Z</dcterms:modified>
</cp:coreProperties>
</file>