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140805ds8.htm"/>
      <w:bookmarkStart w:id="1" w:name="ksd140805ds8"/>
      <w:bookmarkEnd w:id="0"/>
      <w:bookmarkEnd w:id="1"/>
      <w:r>
        <w:rPr>
          <w:rFonts w:ascii="Times New Roman" w:hAnsi="Times New Roman"/>
          <w:b/>
          <w:sz w:val="20"/>
        </w:rPr>
        <w:t xml:space="preserve">As filed with the Securities and Exchange Commission on August 14, 2026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S-8 </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SLB N.V. (SLB LIMITED)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Curaçao</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52-0684746</w:t>
            </w:r>
          </w:p>
        </w:tc>
      </w:tr>
      <w:tr>
        <w:trPr/>
        <w:tc>
          <w:tcPr>
            <w:tcW w:w="5153" w:type="dxa"/>
            <w:tcBorders/>
          </w:tcPr>
          <w:p>
            <w:pPr>
              <w:pStyle w:val="TableContents"/>
              <w:bidi w:val="0"/>
              <w:spacing w:before="0" w:after="283"/>
              <w:jc w:val="center"/>
              <w:rPr>
                <w:b/>
              </w:rPr>
            </w:pPr>
            <w:r>
              <w:rPr>
                <w:b/>
              </w:rPr>
              <w:t>(State or other jurisdiction of</w:t>
              <w:b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(I.R.S. Employer</w:t>
              <w:br/>
              <w:t>Identification No.)</w:t>
            </w:r>
          </w:p>
        </w:tc>
      </w:tr>
      <w:tr>
        <w:trPr>
          <w:trHeight w:val="240" w:hRule="atLeast"/>
        </w:trPr>
        <w:tc>
          <w:tcPr>
            <w:tcW w:w="5153" w:type="dxa"/>
            <w:tcBorders/>
            <w:vAlign w:val="center"/>
          </w:tcPr>
          <w:p>
            <w:pPr>
              <w:pStyle w:val="TableContents"/>
              <w:bidi w:val="0"/>
              <w:spacing w:before="0" w:after="283"/>
              <w:jc w:val="left"/>
              <w:rPr>
                <w:sz w:val="4"/>
                <w:szCs w:val="4"/>
              </w:rPr>
            </w:pPr>
            <w:r>
              <w:rPr>
                <w:sz w:val="4"/>
                <w:szCs w:val="4"/>
              </w:rPr>
            </w:r>
          </w:p>
        </w:tc>
        <w:tc>
          <w:tcPr>
            <w:tcW w:w="5052" w:type="dxa"/>
            <w:gridSpan w:val="2"/>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0"/>
              <w:jc w:val="center"/>
              <w:rPr>
                <w:rFonts w:ascii="Times New Roman" w:hAnsi="Times New Roman"/>
                <w:b/>
                <w:sz w:val="20"/>
              </w:rPr>
            </w:pPr>
            <w:r>
              <w:rPr>
                <w:rFonts w:ascii="Times New Roman" w:hAnsi="Times New Roman"/>
                <w:b/>
                <w:sz w:val="20"/>
              </w:rPr>
              <w:t>42 rue Saint-Dominique</w:t>
            </w:r>
          </w:p>
          <w:p>
            <w:pPr>
              <w:pStyle w:val="TableContents"/>
              <w:bidi w:val="0"/>
              <w:spacing w:before="0" w:after="20"/>
              <w:jc w:val="center"/>
              <w:rPr>
                <w:rFonts w:ascii="Times New Roman" w:hAnsi="Times New Roman"/>
                <w:b/>
                <w:sz w:val="20"/>
              </w:rPr>
            </w:pPr>
            <w:r>
              <w:rPr>
                <w:rFonts w:ascii="Times New Roman" w:hAnsi="Times New Roman"/>
                <w:b/>
                <w:sz w:val="20"/>
              </w:rPr>
              <w:t>Paris, France</w:t>
            </w:r>
          </w:p>
        </w:tc>
        <w:tc>
          <w:tcPr>
            <w:tcW w:w="103"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75007</w:t>
            </w:r>
          </w:p>
        </w:tc>
      </w:tr>
      <w:tr>
        <w:trPr>
          <w:trHeight w:val="240" w:hRule="atLeast"/>
        </w:trPr>
        <w:tc>
          <w:tcPr>
            <w:tcW w:w="5153" w:type="dxa"/>
            <w:tcBorders/>
            <w:vAlign w:val="center"/>
          </w:tcPr>
          <w:p>
            <w:pPr>
              <w:pStyle w:val="TableContents"/>
              <w:bidi w:val="0"/>
              <w:spacing w:before="0" w:after="283"/>
              <w:jc w:val="left"/>
              <w:rPr>
                <w:sz w:val="4"/>
                <w:szCs w:val="4"/>
              </w:rPr>
            </w:pPr>
            <w:r>
              <w:rPr>
                <w:sz w:val="4"/>
                <w:szCs w:val="4"/>
              </w:rPr>
            </w:r>
          </w:p>
        </w:tc>
        <w:tc>
          <w:tcPr>
            <w:tcW w:w="5052" w:type="dxa"/>
            <w:gridSpan w:val="2"/>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0"/>
              <w:jc w:val="center"/>
              <w:rPr>
                <w:rFonts w:ascii="Times New Roman" w:hAnsi="Times New Roman"/>
                <w:b/>
                <w:sz w:val="20"/>
              </w:rPr>
            </w:pPr>
            <w:r>
              <w:rPr>
                <w:rFonts w:ascii="Times New Roman" w:hAnsi="Times New Roman"/>
                <w:b/>
                <w:sz w:val="20"/>
              </w:rPr>
              <w:t>5599 San Felipe</w:t>
            </w:r>
          </w:p>
          <w:p>
            <w:pPr>
              <w:pStyle w:val="TableContents"/>
              <w:bidi w:val="0"/>
              <w:spacing w:before="0" w:after="20"/>
              <w:jc w:val="center"/>
              <w:rPr>
                <w:rFonts w:ascii="Times New Roman" w:hAnsi="Times New Roman"/>
                <w:b/>
                <w:sz w:val="20"/>
              </w:rPr>
            </w:pPr>
            <w:r>
              <w:rPr>
                <w:rFonts w:ascii="Times New Roman" w:hAnsi="Times New Roman"/>
                <w:b/>
                <w:sz w:val="20"/>
              </w:rPr>
              <w:t>Houston, Texas, U.S.A.</w:t>
            </w:r>
          </w:p>
        </w:tc>
        <w:tc>
          <w:tcPr>
            <w:tcW w:w="103"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77056</w:t>
            </w:r>
          </w:p>
        </w:tc>
      </w:tr>
      <w:tr>
        <w:trPr>
          <w:trHeight w:val="240" w:hRule="atLeast"/>
        </w:trPr>
        <w:tc>
          <w:tcPr>
            <w:tcW w:w="5153" w:type="dxa"/>
            <w:tcBorders/>
            <w:vAlign w:val="center"/>
          </w:tcPr>
          <w:p>
            <w:pPr>
              <w:pStyle w:val="TableContents"/>
              <w:bidi w:val="0"/>
              <w:spacing w:before="0" w:after="283"/>
              <w:jc w:val="left"/>
              <w:rPr>
                <w:sz w:val="4"/>
                <w:szCs w:val="4"/>
              </w:rPr>
            </w:pPr>
            <w:r>
              <w:rPr>
                <w:sz w:val="4"/>
                <w:szCs w:val="4"/>
              </w:rPr>
            </w:r>
          </w:p>
        </w:tc>
        <w:tc>
          <w:tcPr>
            <w:tcW w:w="5052" w:type="dxa"/>
            <w:gridSpan w:val="2"/>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0"/>
              <w:jc w:val="center"/>
              <w:rPr>
                <w:rFonts w:ascii="Times New Roman" w:hAnsi="Times New Roman"/>
                <w:b/>
                <w:sz w:val="20"/>
              </w:rPr>
            </w:pPr>
            <w:r>
              <w:rPr>
                <w:rFonts w:ascii="Times New Roman" w:hAnsi="Times New Roman"/>
                <w:b/>
                <w:sz w:val="20"/>
              </w:rPr>
              <w:t>Parkstraat 83</w:t>
            </w:r>
          </w:p>
          <w:p>
            <w:pPr>
              <w:pStyle w:val="TableContents"/>
              <w:bidi w:val="0"/>
              <w:spacing w:before="0" w:after="20"/>
              <w:jc w:val="center"/>
              <w:rPr>
                <w:rFonts w:ascii="Times New Roman" w:hAnsi="Times New Roman"/>
                <w:b/>
                <w:sz w:val="20"/>
              </w:rPr>
            </w:pPr>
            <w:r>
              <w:rPr>
                <w:rFonts w:ascii="Times New Roman" w:hAnsi="Times New Roman"/>
                <w:b/>
                <w:sz w:val="20"/>
              </w:rPr>
              <w:t>The Hague, The Netherlands</w:t>
            </w:r>
          </w:p>
        </w:tc>
        <w:tc>
          <w:tcPr>
            <w:tcW w:w="103"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2514 JG</w:t>
            </w:r>
          </w:p>
        </w:tc>
      </w:tr>
      <w:tr>
        <w:trPr/>
        <w:tc>
          <w:tcPr>
            <w:tcW w:w="5153" w:type="dxa"/>
            <w:tcBorders/>
          </w:tcPr>
          <w:p>
            <w:pPr>
              <w:pStyle w:val="TableContents"/>
              <w:bidi w:val="0"/>
              <w:spacing w:before="0" w:after="283"/>
              <w:jc w:val="center"/>
              <w:rPr>
                <w:b/>
              </w:rPr>
            </w:pPr>
            <w:r>
              <w:rPr>
                <w:b/>
              </w:rPr>
              <w:t>(Addresses of Principal Executive Offices)</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(Zip Codes)</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2017 SLB OMNIBUS STOCK INCENTIVE PLAN </w:t>
      </w:r>
    </w:p>
    <w:p>
      <w:pPr>
        <w:pStyle w:val="TextBody"/>
        <w:bidi w:val="0"/>
        <w:spacing w:before="0" w:after="0"/>
        <w:jc w:val="center"/>
        <w:rPr>
          <w:rFonts w:ascii="Times New Roman" w:hAnsi="Times New Roman"/>
          <w:b/>
          <w:sz w:val="16"/>
        </w:rPr>
      </w:pPr>
      <w:r>
        <w:rPr>
          <w:rFonts w:ascii="Times New Roman" w:hAnsi="Times New Roman"/>
          <w:b/>
          <w:sz w:val="16"/>
        </w:rPr>
        <w:t xml:space="preserve">(Full title of the plan) </w:t>
      </w:r>
    </w:p>
    <w:p>
      <w:pPr>
        <w:pStyle w:val="TextBody"/>
        <w:bidi w:val="0"/>
        <w:spacing w:before="240" w:after="0"/>
        <w:jc w:val="center"/>
        <w:rPr>
          <w:rFonts w:ascii="Times New Roman" w:hAnsi="Times New Roman"/>
          <w:b/>
          <w:sz w:val="20"/>
        </w:rPr>
      </w:pPr>
      <w:r>
        <w:rPr>
          <w:rFonts w:ascii="Times New Roman" w:hAnsi="Times New Roman"/>
          <w:b/>
          <w:sz w:val="20"/>
        </w:rPr>
        <w:t xml:space="preserve">Dianne B. Ralston </w:t>
      </w:r>
    </w:p>
    <w:p>
      <w:pPr>
        <w:pStyle w:val="TextBody"/>
        <w:bidi w:val="0"/>
        <w:spacing w:before="0" w:after="0"/>
        <w:jc w:val="center"/>
        <w:rPr>
          <w:rFonts w:ascii="Times New Roman" w:hAnsi="Times New Roman"/>
          <w:b/>
          <w:sz w:val="20"/>
        </w:rPr>
      </w:pPr>
      <w:r>
        <w:rPr>
          <w:rFonts w:ascii="Times New Roman" w:hAnsi="Times New Roman"/>
          <w:b/>
          <w:sz w:val="20"/>
        </w:rPr>
        <w:t xml:space="preserve">Chief Legal Officer and Secretary </w:t>
      </w:r>
    </w:p>
    <w:p>
      <w:pPr>
        <w:pStyle w:val="TextBody"/>
        <w:bidi w:val="0"/>
        <w:spacing w:before="0" w:after="0"/>
        <w:jc w:val="center"/>
        <w:rPr>
          <w:rFonts w:ascii="Times New Roman" w:hAnsi="Times New Roman"/>
          <w:b/>
          <w:sz w:val="20"/>
        </w:rPr>
      </w:pPr>
      <w:r>
        <w:rPr>
          <w:rFonts w:ascii="Times New Roman" w:hAnsi="Times New Roman"/>
          <w:b/>
          <w:sz w:val="20"/>
        </w:rPr>
        <w:t xml:space="preserve">SLB N.V. (SLB Limited) </w:t>
      </w:r>
    </w:p>
    <w:p>
      <w:pPr>
        <w:pStyle w:val="TextBody"/>
        <w:bidi w:val="0"/>
        <w:spacing w:before="0" w:after="0"/>
        <w:jc w:val="center"/>
        <w:rPr>
          <w:rFonts w:ascii="Times New Roman" w:hAnsi="Times New Roman"/>
          <w:b/>
          <w:sz w:val="20"/>
        </w:rPr>
      </w:pPr>
      <w:r>
        <w:rPr>
          <w:rFonts w:ascii="Times New Roman" w:hAnsi="Times New Roman"/>
          <w:b/>
          <w:sz w:val="20"/>
        </w:rPr>
        <w:t xml:space="preserve">5599 San Felipe </w:t>
      </w:r>
    </w:p>
    <w:p>
      <w:pPr>
        <w:pStyle w:val="TextBody"/>
        <w:bidi w:val="0"/>
        <w:spacing w:before="0" w:after="0"/>
        <w:jc w:val="center"/>
        <w:rPr>
          <w:rFonts w:ascii="Times New Roman" w:hAnsi="Times New Roman"/>
          <w:b/>
          <w:sz w:val="20"/>
        </w:rPr>
      </w:pPr>
      <w:r>
        <w:rPr>
          <w:rFonts w:ascii="Times New Roman" w:hAnsi="Times New Roman"/>
          <w:b/>
          <w:sz w:val="20"/>
        </w:rPr>
        <w:t xml:space="preserve">Houston, Texas, U.S.A. 77056 </w:t>
      </w:r>
    </w:p>
    <w:p>
      <w:pPr>
        <w:pStyle w:val="TextBody"/>
        <w:bidi w:val="0"/>
        <w:spacing w:before="0" w:after="0"/>
        <w:jc w:val="center"/>
        <w:rPr>
          <w:rFonts w:ascii="Times New Roman" w:hAnsi="Times New Roman"/>
          <w:b/>
          <w:sz w:val="20"/>
        </w:rPr>
      </w:pPr>
      <w:r>
        <w:rPr>
          <w:rFonts w:ascii="Times New Roman" w:hAnsi="Times New Roman"/>
          <w:b/>
          <w:sz w:val="20"/>
        </w:rPr>
        <w:t xml:space="preserve">(713) 513-2000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00"/>
        <w:gridCol w:w="103"/>
        <w:gridCol w:w="4780"/>
        <w:gridCol w:w="127"/>
        <w:gridCol w:w="2636"/>
        <w:gridCol w:w="103"/>
        <w:gridCol w:w="256"/>
      </w:tblGrid>
      <w:tr>
        <w:trPr/>
        <w:tc>
          <w:tcPr>
            <w:tcW w:w="2200"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78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200"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780" w:type="dxa"/>
            <w:tcBorders/>
            <w:vAlign w:val="bottom"/>
          </w:tcPr>
          <w:p>
            <w:pPr>
              <w:pStyle w:val="TableContents"/>
              <w:bidi w:val="0"/>
              <w:spacing w:before="0" w:after="283"/>
              <w:jc w:val="left"/>
              <w:rPr/>
            </w:pPr>
            <w:r>
              <w:rPr/>
              <w:t>☒</w:t>
            </w:r>
          </w:p>
        </w:tc>
        <w:tc>
          <w:tcPr>
            <w:tcW w:w="127" w:type="dxa"/>
            <w:tcBorders/>
            <w:vAlign w:val="bottom"/>
          </w:tcPr>
          <w:p>
            <w:pPr>
              <w:pStyle w:val="TableContents"/>
              <w:bidi w:val="0"/>
              <w:spacing w:before="0" w:after="283"/>
              <w:jc w:val="left"/>
              <w:rPr/>
            </w:pPr>
            <w:r>
              <w:rPr/>
              <w:t>  </w:t>
            </w:r>
          </w:p>
        </w:tc>
        <w:tc>
          <w:tcPr>
            <w:tcW w:w="2636"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200" w:type="dxa"/>
            <w:tcBorders/>
            <w:vAlign w:val="center"/>
          </w:tcPr>
          <w:p>
            <w:pPr>
              <w:pStyle w:val="TableContents"/>
              <w:bidi w:val="0"/>
              <w:spacing w:before="0" w:after="283"/>
              <w:jc w:val="left"/>
              <w:rPr>
                <w:sz w:val="4"/>
                <w:szCs w:val="4"/>
              </w:rPr>
            </w:pPr>
            <w:r>
              <w:rPr>
                <w:sz w:val="4"/>
                <w:szCs w:val="4"/>
              </w:rPr>
            </w:r>
          </w:p>
        </w:tc>
        <w:tc>
          <w:tcPr>
            <w:tcW w:w="4883"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200"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780" w:type="dxa"/>
            <w:tcBorders/>
            <w:vAlign w:val="bottom"/>
          </w:tcPr>
          <w:p>
            <w:pPr>
              <w:pStyle w:val="TableContents"/>
              <w:bidi w:val="0"/>
              <w:spacing w:before="0" w:after="283"/>
              <w:jc w:val="left"/>
              <w:rPr/>
            </w:pPr>
            <w:r>
              <w:rPr/>
              <w:t>☐</w:t>
            </w:r>
          </w:p>
        </w:tc>
        <w:tc>
          <w:tcPr>
            <w:tcW w:w="127" w:type="dxa"/>
            <w:tcBorders/>
            <w:vAlign w:val="bottom"/>
          </w:tcPr>
          <w:p>
            <w:pPr>
              <w:pStyle w:val="TableContents"/>
              <w:bidi w:val="0"/>
              <w:spacing w:before="0" w:after="283"/>
              <w:jc w:val="left"/>
              <w:rPr/>
            </w:pPr>
            <w:r>
              <w:rPr/>
              <w:t>  </w:t>
            </w:r>
          </w:p>
        </w:tc>
        <w:tc>
          <w:tcPr>
            <w:tcW w:w="2636"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200" w:type="dxa"/>
            <w:tcBorders/>
            <w:vAlign w:val="center"/>
          </w:tcPr>
          <w:p>
            <w:pPr>
              <w:pStyle w:val="TableContents"/>
              <w:bidi w:val="0"/>
              <w:spacing w:before="0" w:after="283"/>
              <w:jc w:val="left"/>
              <w:rPr>
                <w:sz w:val="4"/>
                <w:szCs w:val="4"/>
              </w:rPr>
            </w:pPr>
            <w:r>
              <w:rPr>
                <w:sz w:val="4"/>
                <w:szCs w:val="4"/>
              </w:rPr>
            </w:r>
          </w:p>
        </w:tc>
        <w:tc>
          <w:tcPr>
            <w:tcW w:w="4883"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200"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780"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2636"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This Registration Statement on Form S-8 (the “Registration Statement”) is being filed by SLB Limited (SLB N.V.), a Curaçao corporation (“SLB” or the “Registrant”), to register 43,401,574 shares of common stock, par value $0.01 per share, of SLB (“Common Stock”) issuable under the 2017 SLB Omnibus Stock Incentive Plan (as amended and restated, the “Plan”). This amount includes 3,401,574 shares of Common Stock that were subject to awards that expired, were cancelled, forfeited or otherwise terminated without shares being issued and are available for future grants under the Plan. </w:t>
      </w:r>
    </w:p>
    <w:p>
      <w:pPr>
        <w:pStyle w:val="TextBody"/>
        <w:bidi w:val="0"/>
        <w:spacing w:before="240" w:after="0"/>
        <w:jc w:val="left"/>
        <w:rPr/>
      </w:pPr>
      <w:r>
        <w:rPr>
          <w:rFonts w:ascii="Times New Roman" w:hAnsi="Times New Roman"/>
          <w:sz w:val="20"/>
        </w:rPr>
        <w:t xml:space="preserve">On April 8, 2026, shareholders of the Registrant approved an amendment and restatement to the Plan at the Registrant’s 2026 Annual General Meeting of Shareholders, which increased the number of shares available for issuance under the Plan by 40,000,000 shares. In addition, 1,139,233 shares authorized for issuance under the Plan remain registered on Form S-8 file number </w:t>
      </w:r>
      <w:hyperlink r:id="rId2">
        <w:r>
          <w:rPr>
            <w:rStyle w:val="InternetLink"/>
            <w:rFonts w:ascii="Times New Roman" w:hAnsi="Times New Roman"/>
            <w:sz w:val="20"/>
          </w:rPr>
          <w:t>333-261482</w:t>
        </w:r>
      </w:hyperlink>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PART I </w:t>
      </w:r>
    </w:p>
    <w:p>
      <w:pPr>
        <w:pStyle w:val="TextBody"/>
        <w:bidi w:val="0"/>
        <w:spacing w:before="120" w:after="0"/>
        <w:jc w:val="center"/>
        <w:rPr>
          <w:rFonts w:ascii="Times New Roman" w:hAnsi="Times New Roman"/>
          <w:b/>
          <w:sz w:val="20"/>
        </w:rPr>
      </w:pPr>
      <w:r>
        <w:rPr>
          <w:rFonts w:ascii="Times New Roman" w:hAnsi="Times New Roman"/>
          <w:b/>
          <w:sz w:val="20"/>
        </w:rPr>
        <w:t xml:space="preserve">INFORMATION REQUIRED IN THE SECTION 10(a) PROSPECTUS </w:t>
      </w:r>
    </w:p>
    <w:p>
      <w:pPr>
        <w:pStyle w:val="TextBody"/>
        <w:bidi w:val="0"/>
        <w:spacing w:before="240" w:after="0"/>
        <w:jc w:val="left"/>
        <w:rPr>
          <w:rFonts w:ascii="Times New Roman" w:hAnsi="Times New Roman"/>
          <w:sz w:val="20"/>
        </w:rPr>
      </w:pPr>
      <w:r>
        <w:rPr>
          <w:rFonts w:ascii="Times New Roman" w:hAnsi="Times New Roman"/>
          <w:b/>
          <w:sz w:val="20"/>
        </w:rPr>
        <w:t>Item 1.</w:t>
      </w:r>
      <w:r>
        <w:rPr>
          <w:rFonts w:ascii="Times New Roman" w:hAnsi="Times New Roman"/>
          <w:sz w:val="20"/>
        </w:rPr>
        <w:t xml:space="preserve"> </w:t>
      </w:r>
      <w:r>
        <w:rPr>
          <w:rFonts w:ascii="Times New Roman" w:hAnsi="Times New Roman"/>
          <w:b/>
          <w:i/>
          <w:sz w:val="20"/>
        </w:rPr>
        <w:t>Plan Information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See Item 2. </w:t>
      </w:r>
    </w:p>
    <w:p>
      <w:pPr>
        <w:pStyle w:val="TextBody"/>
        <w:bidi w:val="0"/>
        <w:spacing w:before="360" w:after="0"/>
        <w:jc w:val="left"/>
        <w:rPr>
          <w:rFonts w:ascii="Times New Roman" w:hAnsi="Times New Roman"/>
          <w:sz w:val="20"/>
        </w:rPr>
      </w:pPr>
      <w:r>
        <w:rPr>
          <w:rFonts w:ascii="Times New Roman" w:hAnsi="Times New Roman"/>
          <w:b/>
          <w:sz w:val="20"/>
        </w:rPr>
        <w:t xml:space="preserve">Item 2. </w:t>
      </w:r>
      <w:r>
        <w:rPr>
          <w:rFonts w:ascii="Times New Roman" w:hAnsi="Times New Roman"/>
          <w:b/>
          <w:i/>
          <w:sz w:val="20"/>
        </w:rPr>
        <w:t>Registrant Information and Employee Plan Annual Information.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document(s) containing the information required by Item 1 of Form S-8 and the statement of availability of Registrant information and other information required by Item 2 of Form S-8 will be sent or given to eligible employees as specified by Rule 428 under the Securities Act of 1933, as amended (the “Securities Act”). In accordance with Rule 428 and the requirements of Part I of Form S-8, such documents are not being filed with the Securities and Exchange Commission (the “Commission” or the “SEC”) either as part of this Registration Statement or as prospectuses or prospectus supplements pursuant to Rule 424 under the Securities Act. The Registrant will maintain a file of such documents in accordance with the provisions of Rule 428. Upon request, the Registrant will furnish to the Commission or its staff a copy of any or all of the documents included in such file.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120" w:after="0"/>
        <w:jc w:val="center"/>
        <w:rPr>
          <w:rFonts w:ascii="Times New Roman" w:hAnsi="Times New Roman"/>
          <w:b/>
          <w:sz w:val="20"/>
        </w:rPr>
      </w:pPr>
      <w:r>
        <w:rPr>
          <w:rFonts w:ascii="Times New Roman" w:hAnsi="Times New Roman"/>
          <w:b/>
          <w:sz w:val="20"/>
        </w:rPr>
        <w:t xml:space="preserve">INFORMATION REQUIRED IN THE REGISTRATION STATEMENT </w:t>
      </w:r>
    </w:p>
    <w:p>
      <w:pPr>
        <w:pStyle w:val="TextBody"/>
        <w:bidi w:val="0"/>
        <w:spacing w:before="240" w:after="0"/>
        <w:jc w:val="left"/>
        <w:rPr>
          <w:rFonts w:ascii="Times New Roman" w:hAnsi="Times New Roman"/>
          <w:sz w:val="20"/>
        </w:rPr>
      </w:pPr>
      <w:r>
        <w:rPr>
          <w:rFonts w:ascii="Times New Roman" w:hAnsi="Times New Roman"/>
          <w:b/>
          <w:sz w:val="20"/>
        </w:rPr>
        <w:t xml:space="preserve">Item 3. </w:t>
      </w:r>
      <w:r>
        <w:rPr>
          <w:rFonts w:ascii="Times New Roman" w:hAnsi="Times New Roman"/>
          <w:b/>
          <w:i/>
          <w:sz w:val="20"/>
        </w:rPr>
        <w:t>Incorporation of Documents by Reference.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This Registration Statement incorporates herein by reference the following documents, which have been filed with the Commission by the Registrant (SEC File No. 001-04601 unless otherwise indicated) pursuant to the Securities Exchange Act of 1934, as amended (the “Exchange Act”):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pPr>
            <w:r>
              <w:rPr>
                <w:rFonts w:ascii="Times New Roman" w:hAnsi="Times New Roman"/>
                <w:sz w:val="20"/>
              </w:rPr>
              <w:t xml:space="preserve">the Registrant’s </w:t>
            </w:r>
            <w:hyperlink r:id="rId3">
              <w:r>
                <w:rPr>
                  <w:rStyle w:val="InternetLink"/>
                  <w:rFonts w:ascii="Times New Roman" w:hAnsi="Times New Roman"/>
                  <w:sz w:val="20"/>
                </w:rPr>
                <w:t>Annual Report on Form 10-K for the fiscal year ended December 31, 2025</w:t>
              </w:r>
            </w:hyperlink>
            <w:r>
              <w:rPr>
                <w:rFonts w:ascii="Times New Roman" w:hAnsi="Times New Roman"/>
                <w:sz w:val="20"/>
              </w:rPr>
              <w:t xml:space="preserve">, as filed with the SEC on January 23, 2026 (the “2025 Annual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pPr>
            <w:r>
              <w:rPr>
                <w:rFonts w:ascii="Times New Roman" w:hAnsi="Times New Roman"/>
                <w:sz w:val="20"/>
              </w:rPr>
              <w:t xml:space="preserve">the portions of the Registrant’s </w:t>
            </w:r>
            <w:hyperlink r:id="rId4">
              <w:r>
                <w:rPr>
                  <w:rStyle w:val="InternetLink"/>
                  <w:rFonts w:ascii="Times New Roman" w:hAnsi="Times New Roman"/>
                  <w:sz w:val="20"/>
                </w:rPr>
                <w:t>Definitive Proxy Statement for its 2026 Annual General Meeting of Shareholders</w:t>
              </w:r>
            </w:hyperlink>
            <w:r>
              <w:rPr>
                <w:rFonts w:ascii="Times New Roman" w:hAnsi="Times New Roman"/>
                <w:sz w:val="20"/>
              </w:rPr>
              <w:t xml:space="preserve"> that are incorporated by reference into the 2025 Annual Report, as filed with the SEC on February 26, 2026 (the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pPr>
            <w:r>
              <w:rPr>
                <w:rFonts w:ascii="Times New Roman" w:hAnsi="Times New Roman"/>
                <w:sz w:val="20"/>
              </w:rPr>
              <w:t xml:space="preserve">the Registrant’s Quarterly Reports on Form 10-Q for the quarter ended </w:t>
            </w:r>
            <w:hyperlink r:id="rId5">
              <w:r>
                <w:rPr>
                  <w:rStyle w:val="InternetLink"/>
                  <w:rFonts w:ascii="Times New Roman" w:hAnsi="Times New Roman"/>
                  <w:sz w:val="20"/>
                </w:rPr>
                <w:t>March  31, 2026</w:t>
              </w:r>
            </w:hyperlink>
            <w:r>
              <w:rPr>
                <w:rFonts w:ascii="Times New Roman" w:hAnsi="Times New Roman"/>
                <w:sz w:val="20"/>
              </w:rPr>
              <w:t xml:space="preserve"> and </w:t>
            </w:r>
            <w:hyperlink r:id="rId6">
              <w:r>
                <w:rPr>
                  <w:rStyle w:val="InternetLink"/>
                  <w:rFonts w:ascii="Times New Roman" w:hAnsi="Times New Roman"/>
                  <w:sz w:val="20"/>
                </w:rPr>
                <w:t>June 30, 2026</w:t>
              </w:r>
            </w:hyperlink>
            <w:r>
              <w:rPr>
                <w:rFonts w:ascii="Times New Roman" w:hAnsi="Times New Roman"/>
                <w:sz w:val="20"/>
              </w:rPr>
              <w:t xml:space="preserve">, as filed with the SEC on April 29, 2026 and July 29, 2026,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pPr>
            <w:r>
              <w:rPr>
                <w:rFonts w:ascii="Times New Roman" w:hAnsi="Times New Roman"/>
                <w:sz w:val="20"/>
              </w:rPr>
              <w:t xml:space="preserve">the Registrant’s Current Reports on Form 8-K filed with the SEC on </w:t>
            </w:r>
            <w:hyperlink r:id="rId7">
              <w:r>
                <w:rPr>
                  <w:rStyle w:val="InternetLink"/>
                  <w:rFonts w:ascii="Times New Roman" w:hAnsi="Times New Roman"/>
                  <w:sz w:val="20"/>
                </w:rPr>
                <w:t>April  8, 2026</w:t>
              </w:r>
            </w:hyperlink>
            <w:r>
              <w:rPr>
                <w:rFonts w:ascii="Times New Roman" w:hAnsi="Times New Roman"/>
                <w:sz w:val="20"/>
              </w:rPr>
              <w:t xml:space="preserve"> and </w:t>
            </w:r>
            <w:hyperlink r:id="rId8">
              <w:r>
                <w:rPr>
                  <w:rStyle w:val="InternetLink"/>
                  <w:rFonts w:ascii="Times New Roman" w:hAnsi="Times New Roman"/>
                  <w:sz w:val="20"/>
                </w:rPr>
                <w:t>May 12,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7" w:type="dxa"/>
            <w:tcBorders/>
          </w:tcPr>
          <w:p>
            <w:pPr>
              <w:pStyle w:val="TableContents"/>
              <w:bidi w:val="0"/>
              <w:spacing w:before="0" w:after="0"/>
              <w:jc w:val="left"/>
              <w:rPr/>
            </w:pPr>
            <w:r>
              <w:rPr>
                <w:rFonts w:ascii="Times New Roman" w:hAnsi="Times New Roman"/>
                <w:sz w:val="20"/>
              </w:rPr>
              <w:t xml:space="preserve">the </w:t>
            </w:r>
            <w:hyperlink r:id="rId9">
              <w:r>
                <w:rPr>
                  <w:rStyle w:val="InternetLink"/>
                  <w:rFonts w:ascii="Times New Roman" w:hAnsi="Times New Roman"/>
                  <w:sz w:val="20"/>
                </w:rPr>
                <w:t>description of the Common Stock contained in Exhibit 4.1</w:t>
              </w:r>
            </w:hyperlink>
            <w:r>
              <w:rPr>
                <w:rFonts w:ascii="Times New Roman" w:hAnsi="Times New Roman"/>
                <w:sz w:val="20"/>
              </w:rPr>
              <w:t xml:space="preserve"> of the 2025 Annual Report, as subsequently amended or updated.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document filed by the Registrant pursuant to Sections 13(a), 13(c), 14 or 15(d) of the Exchange Act, subsequent to the date of this Registration Statement and prior to the filing of a post-effective amendment that indicates that all securities offered have been sold or that deregisters all securities then remaining unsold, shall be deemed to be incorporated by reference in this Registration Statement and to be a part hereof from the date of filing such documents.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in this Registration Statement, in an amendment hereto or in a document incorporated by reference herein shall be deemed to be modified or superseded for purposes of this Registration Statement to the extent that a statement contained herein or in any subsequently filed amendment to this Registration Statement or in any document that also is incorporated by reference herein modifies or supersedes such statement. Any statement so modified or superseded shall not be deemed, except as so modified or superseded, to constitute a part of this Registration Statement. </w:t>
      </w:r>
    </w:p>
    <w:p>
      <w:pPr>
        <w:pStyle w:val="TextBody"/>
        <w:bidi w:val="0"/>
        <w:spacing w:before="360" w:after="0"/>
        <w:jc w:val="left"/>
        <w:rPr>
          <w:rFonts w:ascii="Times New Roman" w:hAnsi="Times New Roman"/>
          <w:sz w:val="20"/>
        </w:rPr>
      </w:pPr>
      <w:r>
        <w:rPr>
          <w:rFonts w:ascii="Times New Roman" w:hAnsi="Times New Roman"/>
          <w:b/>
          <w:sz w:val="20"/>
        </w:rPr>
        <w:t xml:space="preserve">Item 4. </w:t>
      </w:r>
      <w:r>
        <w:rPr>
          <w:rFonts w:ascii="Times New Roman" w:hAnsi="Times New Roman"/>
          <w:b/>
          <w:i/>
          <w:sz w:val="20"/>
        </w:rPr>
        <w:t>Description of 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sz w:val="20"/>
        </w:rPr>
      </w:pPr>
      <w:r>
        <w:rPr>
          <w:rFonts w:ascii="Times New Roman" w:hAnsi="Times New Roman"/>
          <w:b/>
          <w:sz w:val="20"/>
        </w:rPr>
        <w:t xml:space="preserve">Item 5. </w:t>
      </w:r>
      <w:r>
        <w:rPr>
          <w:rFonts w:ascii="Times New Roman" w:hAnsi="Times New Roman"/>
          <w:b/>
          <w:i/>
          <w:sz w:val="20"/>
        </w:rPr>
        <w:t>Interests of Named Experts and Counsel.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sz w:val="20"/>
        </w:rPr>
      </w:pPr>
      <w:r>
        <w:rPr>
          <w:rFonts w:ascii="Times New Roman" w:hAnsi="Times New Roman"/>
          <w:b/>
          <w:sz w:val="20"/>
        </w:rPr>
        <w:t>Item 6.</w:t>
      </w:r>
      <w:r>
        <w:rPr>
          <w:rFonts w:ascii="Times New Roman" w:hAnsi="Times New Roman"/>
          <w:sz w:val="20"/>
        </w:rPr>
        <w:t xml:space="preserve"> </w:t>
      </w:r>
      <w:r>
        <w:rPr>
          <w:rFonts w:ascii="Times New Roman" w:hAnsi="Times New Roman"/>
          <w:b/>
          <w:i/>
          <w:sz w:val="20"/>
        </w:rPr>
        <w:t>Indemnification of Directors and Officers.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Article 10 of the Articles of Incorporation and Article V of the Amended and Restated By-Laws of SLB contain provisions providing for indemnification of SLB’s directors, officers, employees and agents. Article 10 of the Articles of Incorporation permits (but does not require) SLB to indemnify directors, officers, employees and agents, except that indemnification is mandatory with respect to a current or former officer or director in the event of a “Change of Control” (as defined below) or if such current or former officer or director has been successful on the merits or otherwise in the defense of any action, suit or proceeding. Article V of SLB’s Amended and Restated By-Laws contains mandatory indemnification for current and former directors and officers as described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the fullest extent permitted by applicable law, SLB will indemnify any person who was or is a party or is threatened to be made a party to any threatened, pending or completed action, suit or proceeding, whether civil, criminal, administrative or investigative (other than an action by or in the right of SLB) by reason of the fact that he or she is or was a director, officer, employee or agent of SLB, or is or was serving at the request of SLB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SLB, and, with respect to any criminal action or proceeding, had no reasonable cause to believe that such person’s conduct was unlawful. The termination of any action, suit or proceeding by judgment, order, settlement, conviction, or upon a plea of nolo contendere or its equivalent, does not, of itself, create a presumption that the person did not act in good faith and in a manner which such person reasonably believed to be in or not opposed to the best interests of SLB, and, with respect to any criminal action or proceeding, had reasonable cause to believe that such person’s conduct was unlawful. </w:t>
      </w:r>
    </w:p>
    <w:p>
      <w:pPr>
        <w:pStyle w:val="TextBody"/>
        <w:bidi w:val="0"/>
        <w:spacing w:before="240" w:after="0"/>
        <w:jc w:val="left"/>
        <w:rPr>
          <w:rFonts w:ascii="Times New Roman" w:hAnsi="Times New Roman"/>
          <w:sz w:val="20"/>
        </w:rPr>
      </w:pPr>
      <w:r>
        <w:rPr>
          <w:rFonts w:ascii="Times New Roman" w:hAnsi="Times New Roman"/>
          <w:sz w:val="20"/>
        </w:rPr>
        <w:t xml:space="preserve">SLB is required to indemnify any current or former officer or director of SLB to the fullest extent allowed by the preceding paragraphs in the event of a “Change of Control.” “Change of Control” means a change in control of SLB, which will be deemed to have occurred if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entity, person or organization is or becomes the legal or beneficial owner, directly or indirectly, of securities of SLB representing 30% or more of the combined voting power of SLB’s then outstanding shares without the prior approval of at least two-thirds of the members of SLB’s Board of Directors (the “SLB Board”) in office immediately prior to such entity, person or organization attaining such percentage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SLB is a party to a merger, consolidation, share exchange, sale of assets or other reorganization, or a proxy contest, as a consequence of which members of the SLB Board in office immediately prior to such transaction or event constitute less than a majority of the SLB Board thereafter;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any 15-month period, individuals who at the beginning of such period constituted the SLB Board (including for this purpose any new director whose election or nomination for election by SLB shareholders was approved by a vote of at least two-thirds of the directors then still in office who were directors at the beginning of such period) cease for any reason to constitute at least a majority of the SLB Board.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fullest extent permitted by applicable law, SLB will indemnify any current or former director or officer who was or is a party or is threatened to be made a party to any threatened, pending or completed action or suit by or in the right of SLB to procure a judgment in SLB’s favor by reason of the fact that such person is or was a director, officer, employee or agent of SLB, or is or was serving at the request of SLB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the defense or settlement of such action or suit if such person acted in good faith and in a manner such person reasonably believed to be in or not opposed to the best interests of SLB and except that no indemnification may be made with respect to any claim, issue or matter as to which such person has been finally adjudged to be liable to SLB for improper conduct unless and only to the extent that the court in which that action or suit was brought or any other court having appropriate jurisdiction determines upon application that, despite the adjudication of liability, but in view of all the circumstances of the case, such person is fairly and reasonably entitled to indemnity for those expenses, judgments, fines and amounts paid in settlement which the court in which the action or suit was brought or such other court having appropriate jurisdiction deems proper. SLB is required to indemnify any present or former officer or director to the fullest extent allowed by this paragraph in the event of a Change of Control (as defined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indemnification under the preceding three paragraphs (unless ordered by a court) may be extended to current or former employees or agents of SLB only as authorized by the Chief Executive Officer or by contract approved, or bylaws, resolution or other action adopted or taken, by the SLB Board or by SLB shareholders. </w:t>
      </w:r>
    </w:p>
    <w:p>
      <w:pPr>
        <w:pStyle w:val="TextBody"/>
        <w:bidi w:val="0"/>
        <w:spacing w:before="240" w:after="0"/>
        <w:jc w:val="left"/>
        <w:rPr>
          <w:rFonts w:ascii="Times New Roman" w:hAnsi="Times New Roman"/>
          <w:sz w:val="20"/>
        </w:rPr>
      </w:pPr>
      <w:r>
        <w:rPr>
          <w:rFonts w:ascii="Times New Roman" w:hAnsi="Times New Roman"/>
          <w:sz w:val="20"/>
        </w:rPr>
        <w:t xml:space="preserve">Expenses (including attorneys’ fees) incurred by a current or former director or a current officer in defending any civil or criminal, administrative or investigative action, suit or proceeding will be paid by SLB in advance of the final disposition of such action, suit or proceeding upon receipt of an undertaking by or on behalf of such person to repay such amount if it is ultimately determined that such person is not entitled to be indemnified by SLB. </w:t>
      </w:r>
    </w:p>
    <w:p>
      <w:pPr>
        <w:pStyle w:val="TextBody"/>
        <w:bidi w:val="0"/>
        <w:spacing w:before="240" w:after="0"/>
        <w:jc w:val="left"/>
        <w:rPr>
          <w:rFonts w:ascii="Times New Roman" w:hAnsi="Times New Roman"/>
          <w:sz w:val="20"/>
        </w:rPr>
      </w:pPr>
      <w:r>
        <w:rPr>
          <w:rFonts w:ascii="Times New Roman" w:hAnsi="Times New Roman"/>
          <w:sz w:val="20"/>
        </w:rPr>
        <w:t xml:space="preserve">SLB may pay such expenses (including attorneys’ fees) incurred by former officers or other employees and agents upon such terms and conditions, if any, it deems appropriate. </w:t>
      </w:r>
    </w:p>
    <w:p>
      <w:pPr>
        <w:pStyle w:val="TextBody"/>
        <w:bidi w:val="0"/>
        <w:spacing w:before="240" w:after="0"/>
        <w:jc w:val="left"/>
        <w:rPr>
          <w:rFonts w:ascii="Times New Roman" w:hAnsi="Times New Roman"/>
          <w:sz w:val="20"/>
        </w:rPr>
      </w:pPr>
      <w:r>
        <w:rPr>
          <w:rFonts w:ascii="Times New Roman" w:hAnsi="Times New Roman"/>
          <w:sz w:val="20"/>
        </w:rPr>
        <w:t xml:space="preserve">The indemnification and advancement of expenses described above are not exclusive of any other rights to which those seeking indemnification or advancement of expenses may be entitled under any law, by-law, agreement, vote of stockholders or disinterested directors, or otherwise, both as to action in such person’s official capacity and as to action in another capacity while holding such office, and, unless otherwise provided when authorized or ratified, continues as to a person who has ceased to be a director, officer, employee or agent and inures to the benefit of the heirs, executors and administrators of that person. </w:t>
      </w:r>
    </w:p>
    <w:p>
      <w:pPr>
        <w:pStyle w:val="TextBody"/>
        <w:bidi w:val="0"/>
        <w:spacing w:before="240" w:after="0"/>
        <w:jc w:val="left"/>
        <w:rPr>
          <w:rFonts w:ascii="Times New Roman" w:hAnsi="Times New Roman"/>
          <w:sz w:val="20"/>
        </w:rPr>
      </w:pPr>
      <w:r>
        <w:rPr>
          <w:rFonts w:ascii="Times New Roman" w:hAnsi="Times New Roman"/>
          <w:sz w:val="20"/>
        </w:rPr>
        <w:t xml:space="preserve">SLB has the power to purchase and maintain insurance on behalf of any person who is or was a director, officer, employee or agent of SLB, or is or was serving at the request of SLB in such a capacity for another corporation, partnership, joint venture, trust or other enterprise or entity against any liability asserted against that person and incurred by that person in any of those capacities or arising out of such person’s status as such, whether or not SLB would have the power to indemnify such person against such liability. </w:t>
      </w:r>
    </w:p>
    <w:p>
      <w:pPr>
        <w:pStyle w:val="TextBody"/>
        <w:bidi w:val="0"/>
        <w:spacing w:before="240" w:after="0"/>
        <w:jc w:val="left"/>
        <w:rPr>
          <w:rFonts w:ascii="Times New Roman" w:hAnsi="Times New Roman"/>
          <w:sz w:val="20"/>
        </w:rPr>
      </w:pPr>
      <w:r>
        <w:rPr>
          <w:rFonts w:ascii="Times New Roman" w:hAnsi="Times New Roman"/>
          <w:sz w:val="20"/>
        </w:rPr>
        <w:t xml:space="preserve">References in this Item 6 to SLB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or is or was serving at the request of such constituent corporation as a director, officer, employee or agent of another corporation, partnership, joint venture, trust or other enterprise or entity, stands in the same position with respect to the resulting or surviving corporation as such person would have had with respect to such constituent corporation if its separate existence had continued. </w:t>
      </w:r>
    </w:p>
    <w:p>
      <w:pPr>
        <w:pStyle w:val="TextBody"/>
        <w:bidi w:val="0"/>
        <w:spacing w:before="240" w:after="0"/>
        <w:jc w:val="left"/>
        <w:rPr>
          <w:rFonts w:ascii="Times New Roman" w:hAnsi="Times New Roman"/>
          <w:sz w:val="20"/>
        </w:rPr>
      </w:pPr>
      <w:r>
        <w:rPr>
          <w:rFonts w:ascii="Times New Roman" w:hAnsi="Times New Roman"/>
          <w:sz w:val="20"/>
        </w:rPr>
        <w:t xml:space="preserve">References in this Item 6 to “other enterprises” includes employee benefit plans; references to “fines” includes any excise taxes assessed on a person with respect to any employee benefit plan; and references to “serving at the request of SLB” includes any service as a director, officer, employee or agent of SLB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will be deemed to have acted in a manner “not opposed to the best interests of SLB.” </w:t>
      </w:r>
    </w:p>
    <w:p>
      <w:pPr>
        <w:pStyle w:val="TextBody"/>
        <w:bidi w:val="0"/>
        <w:spacing w:before="240" w:after="0"/>
        <w:jc w:val="left"/>
        <w:rPr>
          <w:rFonts w:ascii="Times New Roman" w:hAnsi="Times New Roman"/>
          <w:sz w:val="20"/>
        </w:rPr>
      </w:pPr>
      <w:r>
        <w:rPr>
          <w:rFonts w:ascii="Times New Roman" w:hAnsi="Times New Roman"/>
          <w:sz w:val="20"/>
        </w:rPr>
        <w:t xml:space="preserve">A member of the SLB Board, or a member of any committee designated by the SLB Board, will, in the performance of such member’s duties, be fully protected in relying in good faith upon the records of SLB and upon such information, opinions, reports or statements presented to SLB by any of SLB’s officers or employees, or committees of the SLB Board, or by any other person as to matters the member reasonably believes are within such other person’s professional or expert competence and who has been selected with reasonable care by or on behalf of SLB.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addition, SLB maintains directors’ and officers’ liability insurance that insures against certain liabilities that the officers and directors of SLB may incur in such capacities. </w:t>
      </w:r>
    </w:p>
    <w:p>
      <w:pPr>
        <w:pStyle w:val="TextBody"/>
        <w:bidi w:val="0"/>
        <w:spacing w:before="360" w:after="0"/>
        <w:jc w:val="left"/>
        <w:rPr>
          <w:rFonts w:ascii="Times New Roman" w:hAnsi="Times New Roman"/>
          <w:sz w:val="20"/>
        </w:rPr>
      </w:pPr>
      <w:r>
        <w:rPr>
          <w:rFonts w:ascii="Times New Roman" w:hAnsi="Times New Roman"/>
          <w:b/>
          <w:sz w:val="20"/>
        </w:rPr>
        <w:t xml:space="preserve">Item 7. </w:t>
      </w:r>
      <w:r>
        <w:rPr>
          <w:rFonts w:ascii="Times New Roman" w:hAnsi="Times New Roman"/>
          <w:b/>
          <w:i/>
          <w:sz w:val="20"/>
        </w:rPr>
        <w:t>Exemption from Registration Claimed.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sz w:val="20"/>
        </w:rPr>
      </w:pPr>
      <w:r>
        <w:rPr>
          <w:rFonts w:ascii="Times New Roman" w:hAnsi="Times New Roman"/>
          <w:b/>
          <w:sz w:val="20"/>
        </w:rPr>
        <w:t xml:space="preserve">Item 8. </w:t>
      </w:r>
      <w:r>
        <w:rPr>
          <w:rFonts w:ascii="Times New Roman" w:hAnsi="Times New Roman"/>
          <w:b/>
          <w:i/>
          <w:sz w:val="20"/>
        </w:rPr>
        <w:t>Exhibits.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documents are filed as a part of this Registration Statement or incorporated by reference herein: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82"/>
        <w:gridCol w:w="398"/>
        <w:gridCol w:w="8925"/>
      </w:tblGrid>
      <w:tr>
        <w:trPr/>
        <w:tc>
          <w:tcPr>
            <w:tcW w:w="882" w:type="dxa"/>
            <w:tcBorders/>
            <w:vAlign w:val="center"/>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sz w:val="4"/>
                <w:szCs w:val="4"/>
              </w:rPr>
            </w:pPr>
            <w:r>
              <w:rPr>
                <w:sz w:val="4"/>
                <w:szCs w:val="4"/>
              </w:rPr>
            </w:r>
          </w:p>
        </w:tc>
        <w:tc>
          <w:tcPr>
            <w:tcW w:w="8925" w:type="dxa"/>
            <w:tcBorders/>
            <w:vAlign w:val="center"/>
          </w:tcPr>
          <w:p>
            <w:pPr>
              <w:pStyle w:val="TableContents"/>
              <w:bidi w:val="0"/>
              <w:spacing w:before="0" w:after="283"/>
              <w:jc w:val="left"/>
              <w:rPr>
                <w:sz w:val="4"/>
                <w:szCs w:val="4"/>
              </w:rPr>
            </w:pPr>
            <w:r>
              <w:rPr>
                <w:sz w:val="4"/>
                <w:szCs w:val="4"/>
              </w:rPr>
            </w:r>
          </w:p>
        </w:tc>
      </w:tr>
      <w:tr>
        <w:trPr/>
        <w:tc>
          <w:tcPr>
            <w:tcW w:w="882" w:type="dxa"/>
            <w:tcBorders>
              <w:bottom w:val="single" w:sz="8" w:space="0" w:color="000000"/>
            </w:tcBorders>
            <w:tcMar>
              <w:bottom w:w="28" w:type="dxa"/>
            </w:tcMar>
            <w:vAlign w:val="bottom"/>
          </w:tcPr>
          <w:p>
            <w:pPr>
              <w:pStyle w:val="TableContents"/>
              <w:bidi w:val="0"/>
              <w:spacing w:before="0" w:after="283"/>
              <w:jc w:val="center"/>
              <w:rPr>
                <w:b/>
              </w:rPr>
            </w:pPr>
            <w:r>
              <w:rPr>
                <w:b/>
              </w:rPr>
              <w:t>Exhibit</w:t>
              <w:br/>
              <w:t>Number</w:t>
            </w:r>
          </w:p>
        </w:tc>
        <w:tc>
          <w:tcPr>
            <w:tcW w:w="398" w:type="dxa"/>
            <w:tcBorders/>
            <w:vAlign w:val="bottom"/>
          </w:tcPr>
          <w:p>
            <w:pPr>
              <w:pStyle w:val="TableContents"/>
              <w:bidi w:val="0"/>
              <w:spacing w:before="0" w:after="283"/>
              <w:jc w:val="left"/>
              <w:rPr/>
            </w:pPr>
            <w:r>
              <w:rPr/>
              <w:t>  </w:t>
            </w:r>
          </w:p>
        </w:tc>
        <w:tc>
          <w:tcPr>
            <w:tcW w:w="8925"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w:t>
            </w:r>
          </w:p>
        </w:tc>
      </w:tr>
      <w:tr>
        <w:trPr>
          <w:trHeight w:val="120" w:hRule="atLeast"/>
        </w:trPr>
        <w:tc>
          <w:tcPr>
            <w:tcW w:w="882" w:type="dxa"/>
            <w:tcBorders/>
            <w:vAlign w:val="center"/>
          </w:tcPr>
          <w:p>
            <w:pPr>
              <w:pStyle w:val="TableContents"/>
              <w:bidi w:val="0"/>
              <w:spacing w:before="0" w:after="283"/>
              <w:jc w:val="left"/>
              <w:rPr>
                <w:sz w:val="4"/>
                <w:szCs w:val="4"/>
              </w:rPr>
            </w:pPr>
            <w:r>
              <w:rPr>
                <w:sz w:val="4"/>
                <w:szCs w:val="4"/>
              </w:rPr>
            </w:r>
          </w:p>
        </w:tc>
        <w:tc>
          <w:tcPr>
            <w:tcW w:w="9323" w:type="dxa"/>
            <w:gridSpan w:val="2"/>
            <w:tcBorders/>
            <w:vAlign w:val="center"/>
          </w:tcPr>
          <w:p>
            <w:pPr>
              <w:pStyle w:val="TableContents"/>
              <w:bidi w:val="0"/>
              <w:spacing w:before="0" w:after="283"/>
              <w:jc w:val="left"/>
              <w:rPr>
                <w:sz w:val="4"/>
                <w:szCs w:val="4"/>
              </w:rPr>
            </w:pPr>
            <w:r>
              <w:rPr>
                <w:sz w:val="4"/>
                <w:szCs w:val="4"/>
              </w:rPr>
            </w:r>
          </w:p>
        </w:tc>
      </w:tr>
      <w:tr>
        <w:trPr/>
        <w:tc>
          <w:tcPr>
            <w:tcW w:w="882" w:type="dxa"/>
            <w:tcBorders/>
          </w:tcPr>
          <w:p>
            <w:pPr>
              <w:pStyle w:val="TableContents"/>
              <w:bidi w:val="0"/>
              <w:spacing w:before="0" w:after="283"/>
              <w:jc w:val="left"/>
              <w:rPr/>
            </w:pPr>
            <w:r>
              <w:rPr/>
              <w:t>  </w:t>
            </w:r>
            <w:r>
              <w:rPr/>
              <w:t>4.1</w:t>
            </w:r>
          </w:p>
        </w:tc>
        <w:tc>
          <w:tcPr>
            <w:tcW w:w="398" w:type="dxa"/>
            <w:tcBorders/>
            <w:vAlign w:val="bottom"/>
          </w:tcPr>
          <w:p>
            <w:pPr>
              <w:pStyle w:val="TableContents"/>
              <w:bidi w:val="0"/>
              <w:spacing w:before="0" w:after="283"/>
              <w:jc w:val="left"/>
              <w:rPr/>
            </w:pPr>
            <w:r>
              <w:rPr/>
              <w:t>  </w:t>
            </w:r>
          </w:p>
        </w:tc>
        <w:tc>
          <w:tcPr>
            <w:tcW w:w="8925" w:type="dxa"/>
            <w:tcBorders/>
          </w:tcPr>
          <w:p>
            <w:pPr>
              <w:pStyle w:val="TableContents"/>
              <w:bidi w:val="0"/>
              <w:spacing w:before="0" w:after="283"/>
              <w:jc w:val="left"/>
              <w:rPr/>
            </w:pPr>
            <w:hyperlink r:id="rId10">
              <w:r>
                <w:rPr>
                  <w:rStyle w:val="InternetLink"/>
                </w:rPr>
                <w:t xml:space="preserve">Articles of Incorporation of SLB Limited (SLB N.V.) (incorporated by reference to Exhibit 3.1 to SLB’s Quarterly Report on Form 10-Q for the quarter ended September 30, 2025). </w:t>
              </w:r>
            </w:hyperlink>
          </w:p>
        </w:tc>
      </w:tr>
      <w:tr>
        <w:trPr>
          <w:trHeight w:val="120" w:hRule="atLeast"/>
        </w:trPr>
        <w:tc>
          <w:tcPr>
            <w:tcW w:w="882" w:type="dxa"/>
            <w:tcBorders/>
            <w:vAlign w:val="center"/>
          </w:tcPr>
          <w:p>
            <w:pPr>
              <w:pStyle w:val="TableContents"/>
              <w:bidi w:val="0"/>
              <w:spacing w:before="0" w:after="283"/>
              <w:jc w:val="left"/>
              <w:rPr>
                <w:sz w:val="4"/>
                <w:szCs w:val="4"/>
              </w:rPr>
            </w:pPr>
            <w:r>
              <w:rPr>
                <w:sz w:val="4"/>
                <w:szCs w:val="4"/>
              </w:rPr>
            </w:r>
          </w:p>
        </w:tc>
        <w:tc>
          <w:tcPr>
            <w:tcW w:w="9323" w:type="dxa"/>
            <w:gridSpan w:val="2"/>
            <w:tcBorders/>
            <w:vAlign w:val="center"/>
          </w:tcPr>
          <w:p>
            <w:pPr>
              <w:pStyle w:val="TableContents"/>
              <w:bidi w:val="0"/>
              <w:spacing w:before="0" w:after="283"/>
              <w:jc w:val="left"/>
              <w:rPr>
                <w:sz w:val="4"/>
                <w:szCs w:val="4"/>
              </w:rPr>
            </w:pPr>
            <w:r>
              <w:rPr>
                <w:sz w:val="4"/>
                <w:szCs w:val="4"/>
              </w:rPr>
            </w:r>
          </w:p>
        </w:tc>
      </w:tr>
      <w:tr>
        <w:trPr/>
        <w:tc>
          <w:tcPr>
            <w:tcW w:w="882" w:type="dxa"/>
            <w:tcBorders/>
          </w:tcPr>
          <w:p>
            <w:pPr>
              <w:pStyle w:val="TableContents"/>
              <w:bidi w:val="0"/>
              <w:spacing w:before="0" w:after="283"/>
              <w:jc w:val="left"/>
              <w:rPr/>
            </w:pPr>
            <w:r>
              <w:rPr/>
              <w:t>  </w:t>
            </w:r>
            <w:r>
              <w:rPr/>
              <w:t>4.2</w:t>
            </w:r>
          </w:p>
        </w:tc>
        <w:tc>
          <w:tcPr>
            <w:tcW w:w="398" w:type="dxa"/>
            <w:tcBorders/>
            <w:vAlign w:val="bottom"/>
          </w:tcPr>
          <w:p>
            <w:pPr>
              <w:pStyle w:val="TableContents"/>
              <w:bidi w:val="0"/>
              <w:spacing w:before="0" w:after="283"/>
              <w:jc w:val="left"/>
              <w:rPr/>
            </w:pPr>
            <w:r>
              <w:rPr/>
              <w:t>  </w:t>
            </w:r>
          </w:p>
        </w:tc>
        <w:tc>
          <w:tcPr>
            <w:tcW w:w="8925" w:type="dxa"/>
            <w:tcBorders/>
          </w:tcPr>
          <w:p>
            <w:pPr>
              <w:pStyle w:val="TableContents"/>
              <w:bidi w:val="0"/>
              <w:spacing w:before="0" w:after="283"/>
              <w:jc w:val="left"/>
              <w:rPr/>
            </w:pPr>
            <w:hyperlink r:id="rId11">
              <w:r>
                <w:rPr>
                  <w:rStyle w:val="InternetLink"/>
                </w:rPr>
                <w:t xml:space="preserve">Amended and Restated By-Laws of SLB Limited (SLB N.V.) (incorporated by reference to Exhibit 3.2 to SLB’s Quarterly Report on Form 10-Q for the quarter ended September 30, 2025). </w:t>
              </w:r>
            </w:hyperlink>
          </w:p>
        </w:tc>
      </w:tr>
      <w:tr>
        <w:trPr>
          <w:trHeight w:val="120" w:hRule="atLeast"/>
        </w:trPr>
        <w:tc>
          <w:tcPr>
            <w:tcW w:w="882" w:type="dxa"/>
            <w:tcBorders/>
            <w:vAlign w:val="center"/>
          </w:tcPr>
          <w:p>
            <w:pPr>
              <w:pStyle w:val="TableContents"/>
              <w:bidi w:val="0"/>
              <w:spacing w:before="0" w:after="283"/>
              <w:jc w:val="left"/>
              <w:rPr>
                <w:sz w:val="4"/>
                <w:szCs w:val="4"/>
              </w:rPr>
            </w:pPr>
            <w:r>
              <w:rPr>
                <w:sz w:val="4"/>
                <w:szCs w:val="4"/>
              </w:rPr>
            </w:r>
          </w:p>
        </w:tc>
        <w:tc>
          <w:tcPr>
            <w:tcW w:w="9323" w:type="dxa"/>
            <w:gridSpan w:val="2"/>
            <w:tcBorders/>
            <w:vAlign w:val="center"/>
          </w:tcPr>
          <w:p>
            <w:pPr>
              <w:pStyle w:val="TableContents"/>
              <w:bidi w:val="0"/>
              <w:spacing w:before="0" w:after="283"/>
              <w:jc w:val="left"/>
              <w:rPr>
                <w:sz w:val="4"/>
                <w:szCs w:val="4"/>
              </w:rPr>
            </w:pPr>
            <w:r>
              <w:rPr>
                <w:sz w:val="4"/>
                <w:szCs w:val="4"/>
              </w:rPr>
            </w:r>
          </w:p>
        </w:tc>
      </w:tr>
      <w:tr>
        <w:trPr/>
        <w:tc>
          <w:tcPr>
            <w:tcW w:w="882" w:type="dxa"/>
            <w:tcBorders/>
          </w:tcPr>
          <w:p>
            <w:pPr>
              <w:pStyle w:val="TableContents"/>
              <w:bidi w:val="0"/>
              <w:spacing w:before="0" w:after="283"/>
              <w:jc w:val="left"/>
              <w:rPr/>
            </w:pPr>
            <w:r>
              <w:rPr/>
              <w:t>  </w:t>
            </w:r>
            <w:r>
              <w:rPr/>
              <w:t>5</w:t>
            </w:r>
          </w:p>
        </w:tc>
        <w:tc>
          <w:tcPr>
            <w:tcW w:w="398" w:type="dxa"/>
            <w:tcBorders/>
            <w:vAlign w:val="bottom"/>
          </w:tcPr>
          <w:p>
            <w:pPr>
              <w:pStyle w:val="TableContents"/>
              <w:bidi w:val="0"/>
              <w:spacing w:before="0" w:after="283"/>
              <w:jc w:val="left"/>
              <w:rPr/>
            </w:pPr>
            <w:r>
              <w:rPr/>
              <w:t>  </w:t>
            </w:r>
          </w:p>
        </w:tc>
        <w:tc>
          <w:tcPr>
            <w:tcW w:w="8925" w:type="dxa"/>
            <w:tcBorders/>
          </w:tcPr>
          <w:p>
            <w:pPr>
              <w:pStyle w:val="TableContents"/>
              <w:bidi w:val="0"/>
              <w:spacing w:before="0" w:after="283"/>
              <w:jc w:val="left"/>
              <w:rPr/>
            </w:pPr>
            <w:hyperlink w:anchor="d140805dex5.htm">
              <w:r>
                <w:rPr>
                  <w:rStyle w:val="InternetLink"/>
                </w:rPr>
                <w:t xml:space="preserve">Opinion of STvB Advocaten (Europe), N.V. </w:t>
              </w:r>
            </w:hyperlink>
          </w:p>
        </w:tc>
      </w:tr>
      <w:tr>
        <w:trPr>
          <w:trHeight w:val="120" w:hRule="atLeast"/>
        </w:trPr>
        <w:tc>
          <w:tcPr>
            <w:tcW w:w="882" w:type="dxa"/>
            <w:tcBorders/>
            <w:vAlign w:val="center"/>
          </w:tcPr>
          <w:p>
            <w:pPr>
              <w:pStyle w:val="TableContents"/>
              <w:bidi w:val="0"/>
              <w:spacing w:before="0" w:after="283"/>
              <w:jc w:val="left"/>
              <w:rPr>
                <w:sz w:val="4"/>
                <w:szCs w:val="4"/>
              </w:rPr>
            </w:pPr>
            <w:r>
              <w:rPr>
                <w:sz w:val="4"/>
                <w:szCs w:val="4"/>
              </w:rPr>
            </w:r>
          </w:p>
        </w:tc>
        <w:tc>
          <w:tcPr>
            <w:tcW w:w="9323" w:type="dxa"/>
            <w:gridSpan w:val="2"/>
            <w:tcBorders/>
            <w:vAlign w:val="center"/>
          </w:tcPr>
          <w:p>
            <w:pPr>
              <w:pStyle w:val="TableContents"/>
              <w:bidi w:val="0"/>
              <w:spacing w:before="0" w:after="283"/>
              <w:jc w:val="left"/>
              <w:rPr>
                <w:sz w:val="4"/>
                <w:szCs w:val="4"/>
              </w:rPr>
            </w:pPr>
            <w:r>
              <w:rPr>
                <w:sz w:val="4"/>
                <w:szCs w:val="4"/>
              </w:rPr>
            </w:r>
          </w:p>
        </w:tc>
      </w:tr>
      <w:tr>
        <w:trPr/>
        <w:tc>
          <w:tcPr>
            <w:tcW w:w="882" w:type="dxa"/>
            <w:tcBorders/>
          </w:tcPr>
          <w:p>
            <w:pPr>
              <w:pStyle w:val="TableContents"/>
              <w:bidi w:val="0"/>
              <w:spacing w:before="0" w:after="283"/>
              <w:jc w:val="left"/>
              <w:rPr/>
            </w:pPr>
            <w:r>
              <w:rPr/>
              <w:t> </w:t>
            </w:r>
            <w:r>
              <w:rPr/>
              <w:t>23.1</w:t>
            </w:r>
          </w:p>
        </w:tc>
        <w:tc>
          <w:tcPr>
            <w:tcW w:w="398" w:type="dxa"/>
            <w:tcBorders/>
            <w:vAlign w:val="bottom"/>
          </w:tcPr>
          <w:p>
            <w:pPr>
              <w:pStyle w:val="TableContents"/>
              <w:bidi w:val="0"/>
              <w:spacing w:before="0" w:after="283"/>
              <w:jc w:val="left"/>
              <w:rPr/>
            </w:pPr>
            <w:r>
              <w:rPr/>
              <w:t>  </w:t>
            </w:r>
          </w:p>
        </w:tc>
        <w:tc>
          <w:tcPr>
            <w:tcW w:w="8925" w:type="dxa"/>
            <w:tcBorders/>
          </w:tcPr>
          <w:p>
            <w:pPr>
              <w:pStyle w:val="TableContents"/>
              <w:bidi w:val="0"/>
              <w:spacing w:before="0" w:after="283"/>
              <w:jc w:val="left"/>
              <w:rPr/>
            </w:pPr>
            <w:hyperlink w:anchor="d140805dex231.htm">
              <w:r>
                <w:rPr>
                  <w:rStyle w:val="InternetLink"/>
                </w:rPr>
                <w:t xml:space="preserve">Consent of PricewaterhouseCoopers LLP. </w:t>
              </w:r>
            </w:hyperlink>
          </w:p>
        </w:tc>
      </w:tr>
      <w:tr>
        <w:trPr>
          <w:trHeight w:val="120" w:hRule="atLeast"/>
        </w:trPr>
        <w:tc>
          <w:tcPr>
            <w:tcW w:w="882" w:type="dxa"/>
            <w:tcBorders/>
            <w:vAlign w:val="center"/>
          </w:tcPr>
          <w:p>
            <w:pPr>
              <w:pStyle w:val="TableContents"/>
              <w:bidi w:val="0"/>
              <w:spacing w:before="0" w:after="283"/>
              <w:jc w:val="left"/>
              <w:rPr>
                <w:sz w:val="4"/>
                <w:szCs w:val="4"/>
              </w:rPr>
            </w:pPr>
            <w:r>
              <w:rPr>
                <w:sz w:val="4"/>
                <w:szCs w:val="4"/>
              </w:rPr>
            </w:r>
          </w:p>
        </w:tc>
        <w:tc>
          <w:tcPr>
            <w:tcW w:w="9323" w:type="dxa"/>
            <w:gridSpan w:val="2"/>
            <w:tcBorders/>
            <w:vAlign w:val="center"/>
          </w:tcPr>
          <w:p>
            <w:pPr>
              <w:pStyle w:val="TableContents"/>
              <w:bidi w:val="0"/>
              <w:spacing w:before="0" w:after="283"/>
              <w:jc w:val="left"/>
              <w:rPr>
                <w:sz w:val="4"/>
                <w:szCs w:val="4"/>
              </w:rPr>
            </w:pPr>
            <w:r>
              <w:rPr>
                <w:sz w:val="4"/>
                <w:szCs w:val="4"/>
              </w:rPr>
            </w:r>
          </w:p>
        </w:tc>
      </w:tr>
      <w:tr>
        <w:trPr/>
        <w:tc>
          <w:tcPr>
            <w:tcW w:w="882" w:type="dxa"/>
            <w:tcBorders/>
          </w:tcPr>
          <w:p>
            <w:pPr>
              <w:pStyle w:val="TableContents"/>
              <w:bidi w:val="0"/>
              <w:spacing w:before="0" w:after="283"/>
              <w:jc w:val="left"/>
              <w:rPr/>
            </w:pPr>
            <w:r>
              <w:rPr/>
              <w:t> </w:t>
            </w:r>
            <w:r>
              <w:rPr/>
              <w:t>23.2</w:t>
            </w:r>
          </w:p>
        </w:tc>
        <w:tc>
          <w:tcPr>
            <w:tcW w:w="398" w:type="dxa"/>
            <w:tcBorders/>
            <w:vAlign w:val="bottom"/>
          </w:tcPr>
          <w:p>
            <w:pPr>
              <w:pStyle w:val="TableContents"/>
              <w:bidi w:val="0"/>
              <w:spacing w:before="0" w:after="283"/>
              <w:jc w:val="left"/>
              <w:rPr/>
            </w:pPr>
            <w:r>
              <w:rPr/>
              <w:t>  </w:t>
            </w:r>
          </w:p>
        </w:tc>
        <w:tc>
          <w:tcPr>
            <w:tcW w:w="8925" w:type="dxa"/>
            <w:tcBorders/>
          </w:tcPr>
          <w:p>
            <w:pPr>
              <w:pStyle w:val="TableContents"/>
              <w:bidi w:val="0"/>
              <w:spacing w:before="0" w:after="283"/>
              <w:jc w:val="left"/>
              <w:rPr/>
            </w:pPr>
            <w:hyperlink w:anchor="d140805dex5.htm">
              <w:r>
                <w:rPr>
                  <w:rStyle w:val="InternetLink"/>
                </w:rPr>
                <w:t xml:space="preserve">Consent of STvB Advocaten (Europe), N.V. (included in Exhibit 5). </w:t>
              </w:r>
            </w:hyperlink>
          </w:p>
        </w:tc>
      </w:tr>
      <w:tr>
        <w:trPr>
          <w:trHeight w:val="120" w:hRule="atLeast"/>
        </w:trPr>
        <w:tc>
          <w:tcPr>
            <w:tcW w:w="882" w:type="dxa"/>
            <w:tcBorders/>
            <w:vAlign w:val="center"/>
          </w:tcPr>
          <w:p>
            <w:pPr>
              <w:pStyle w:val="TableContents"/>
              <w:bidi w:val="0"/>
              <w:spacing w:before="0" w:after="283"/>
              <w:jc w:val="left"/>
              <w:rPr>
                <w:sz w:val="4"/>
                <w:szCs w:val="4"/>
              </w:rPr>
            </w:pPr>
            <w:r>
              <w:rPr>
                <w:sz w:val="4"/>
                <w:szCs w:val="4"/>
              </w:rPr>
            </w:r>
          </w:p>
        </w:tc>
        <w:tc>
          <w:tcPr>
            <w:tcW w:w="9323" w:type="dxa"/>
            <w:gridSpan w:val="2"/>
            <w:tcBorders/>
            <w:vAlign w:val="center"/>
          </w:tcPr>
          <w:p>
            <w:pPr>
              <w:pStyle w:val="TableContents"/>
              <w:bidi w:val="0"/>
              <w:spacing w:before="0" w:after="283"/>
              <w:jc w:val="left"/>
              <w:rPr>
                <w:sz w:val="4"/>
                <w:szCs w:val="4"/>
              </w:rPr>
            </w:pPr>
            <w:r>
              <w:rPr>
                <w:sz w:val="4"/>
                <w:szCs w:val="4"/>
              </w:rPr>
            </w:r>
          </w:p>
        </w:tc>
      </w:tr>
      <w:tr>
        <w:trPr/>
        <w:tc>
          <w:tcPr>
            <w:tcW w:w="882" w:type="dxa"/>
            <w:tcBorders/>
          </w:tcPr>
          <w:p>
            <w:pPr>
              <w:pStyle w:val="TableContents"/>
              <w:bidi w:val="0"/>
              <w:spacing w:before="0" w:after="283"/>
              <w:jc w:val="left"/>
              <w:rPr/>
            </w:pPr>
            <w:r>
              <w:rPr/>
              <w:t> </w:t>
            </w:r>
            <w:r>
              <w:rPr/>
              <w:t>24</w:t>
            </w:r>
          </w:p>
        </w:tc>
        <w:tc>
          <w:tcPr>
            <w:tcW w:w="398" w:type="dxa"/>
            <w:tcBorders/>
            <w:vAlign w:val="bottom"/>
          </w:tcPr>
          <w:p>
            <w:pPr>
              <w:pStyle w:val="TableContents"/>
              <w:bidi w:val="0"/>
              <w:spacing w:before="0" w:after="283"/>
              <w:jc w:val="left"/>
              <w:rPr/>
            </w:pPr>
            <w:r>
              <w:rPr/>
              <w:t>  </w:t>
            </w:r>
          </w:p>
        </w:tc>
        <w:tc>
          <w:tcPr>
            <w:tcW w:w="8925" w:type="dxa"/>
            <w:tcBorders/>
          </w:tcPr>
          <w:p>
            <w:pPr>
              <w:pStyle w:val="TableContents"/>
              <w:bidi w:val="0"/>
              <w:spacing w:before="0" w:after="283"/>
              <w:jc w:val="left"/>
              <w:rPr/>
            </w:pPr>
            <w:hyperlink w:anchor="d140805dex24.htm">
              <w:r>
                <w:rPr>
                  <w:rStyle w:val="InternetLink"/>
                </w:rPr>
                <w:t xml:space="preserve">Power of Attorney. </w:t>
              </w:r>
            </w:hyperlink>
          </w:p>
        </w:tc>
      </w:tr>
      <w:tr>
        <w:trPr>
          <w:trHeight w:val="120" w:hRule="atLeast"/>
        </w:trPr>
        <w:tc>
          <w:tcPr>
            <w:tcW w:w="882" w:type="dxa"/>
            <w:tcBorders/>
            <w:vAlign w:val="center"/>
          </w:tcPr>
          <w:p>
            <w:pPr>
              <w:pStyle w:val="TableContents"/>
              <w:bidi w:val="0"/>
              <w:spacing w:before="0" w:after="283"/>
              <w:jc w:val="left"/>
              <w:rPr>
                <w:sz w:val="4"/>
                <w:szCs w:val="4"/>
              </w:rPr>
            </w:pPr>
            <w:r>
              <w:rPr>
                <w:sz w:val="4"/>
                <w:szCs w:val="4"/>
              </w:rPr>
            </w:r>
          </w:p>
        </w:tc>
        <w:tc>
          <w:tcPr>
            <w:tcW w:w="9323" w:type="dxa"/>
            <w:gridSpan w:val="2"/>
            <w:tcBorders/>
            <w:vAlign w:val="center"/>
          </w:tcPr>
          <w:p>
            <w:pPr>
              <w:pStyle w:val="TableContents"/>
              <w:bidi w:val="0"/>
              <w:spacing w:before="0" w:after="283"/>
              <w:jc w:val="left"/>
              <w:rPr>
                <w:sz w:val="4"/>
                <w:szCs w:val="4"/>
              </w:rPr>
            </w:pPr>
            <w:r>
              <w:rPr>
                <w:sz w:val="4"/>
                <w:szCs w:val="4"/>
              </w:rPr>
            </w:r>
          </w:p>
        </w:tc>
      </w:tr>
      <w:tr>
        <w:trPr/>
        <w:tc>
          <w:tcPr>
            <w:tcW w:w="882" w:type="dxa"/>
            <w:tcBorders/>
          </w:tcPr>
          <w:p>
            <w:pPr>
              <w:pStyle w:val="TableContents"/>
              <w:bidi w:val="0"/>
              <w:spacing w:before="0" w:after="283"/>
              <w:jc w:val="left"/>
              <w:rPr/>
            </w:pPr>
            <w:r>
              <w:rPr/>
              <w:t> </w:t>
            </w:r>
            <w:r>
              <w:rPr/>
              <w:t>99</w:t>
            </w:r>
          </w:p>
        </w:tc>
        <w:tc>
          <w:tcPr>
            <w:tcW w:w="398" w:type="dxa"/>
            <w:tcBorders/>
            <w:vAlign w:val="bottom"/>
          </w:tcPr>
          <w:p>
            <w:pPr>
              <w:pStyle w:val="TableContents"/>
              <w:bidi w:val="0"/>
              <w:spacing w:before="0" w:after="283"/>
              <w:jc w:val="left"/>
              <w:rPr/>
            </w:pPr>
            <w:r>
              <w:rPr/>
              <w:t>  </w:t>
            </w:r>
          </w:p>
        </w:tc>
        <w:tc>
          <w:tcPr>
            <w:tcW w:w="8925" w:type="dxa"/>
            <w:tcBorders/>
          </w:tcPr>
          <w:p>
            <w:pPr>
              <w:pStyle w:val="TableContents"/>
              <w:bidi w:val="0"/>
              <w:spacing w:before="0" w:after="283"/>
              <w:jc w:val="left"/>
              <w:rPr/>
            </w:pPr>
            <w:hyperlink r:id="rId12">
              <w:r>
                <w:rPr>
                  <w:rStyle w:val="InternetLink"/>
                </w:rPr>
                <w:t xml:space="preserve">2017 SLB Omnibus Stock Incentive Plan, as amended and restated effective January 22, 2026 (incorporated by reference to Appendix  B to the Proxy Statement). </w:t>
              </w:r>
            </w:hyperlink>
          </w:p>
        </w:tc>
      </w:tr>
      <w:tr>
        <w:trPr>
          <w:trHeight w:val="120" w:hRule="atLeast"/>
        </w:trPr>
        <w:tc>
          <w:tcPr>
            <w:tcW w:w="882" w:type="dxa"/>
            <w:tcBorders/>
            <w:vAlign w:val="center"/>
          </w:tcPr>
          <w:p>
            <w:pPr>
              <w:pStyle w:val="TableContents"/>
              <w:bidi w:val="0"/>
              <w:spacing w:before="0" w:after="283"/>
              <w:jc w:val="left"/>
              <w:rPr>
                <w:sz w:val="4"/>
                <w:szCs w:val="4"/>
              </w:rPr>
            </w:pPr>
            <w:r>
              <w:rPr>
                <w:sz w:val="4"/>
                <w:szCs w:val="4"/>
              </w:rPr>
            </w:r>
          </w:p>
        </w:tc>
        <w:tc>
          <w:tcPr>
            <w:tcW w:w="9323" w:type="dxa"/>
            <w:gridSpan w:val="2"/>
            <w:tcBorders/>
            <w:vAlign w:val="center"/>
          </w:tcPr>
          <w:p>
            <w:pPr>
              <w:pStyle w:val="TableContents"/>
              <w:bidi w:val="0"/>
              <w:spacing w:before="0" w:after="283"/>
              <w:jc w:val="left"/>
              <w:rPr>
                <w:sz w:val="4"/>
                <w:szCs w:val="4"/>
              </w:rPr>
            </w:pPr>
            <w:r>
              <w:rPr>
                <w:sz w:val="4"/>
                <w:szCs w:val="4"/>
              </w:rPr>
            </w:r>
          </w:p>
        </w:tc>
      </w:tr>
      <w:tr>
        <w:trPr/>
        <w:tc>
          <w:tcPr>
            <w:tcW w:w="882" w:type="dxa"/>
            <w:tcBorders/>
          </w:tcPr>
          <w:p>
            <w:pPr>
              <w:pStyle w:val="TableContents"/>
              <w:bidi w:val="0"/>
              <w:spacing w:before="0" w:after="283"/>
              <w:jc w:val="left"/>
              <w:rPr/>
            </w:pPr>
            <w:r>
              <w:rPr/>
              <w:t>107</w:t>
            </w:r>
          </w:p>
        </w:tc>
        <w:tc>
          <w:tcPr>
            <w:tcW w:w="398" w:type="dxa"/>
            <w:tcBorders/>
            <w:vAlign w:val="bottom"/>
          </w:tcPr>
          <w:p>
            <w:pPr>
              <w:pStyle w:val="TableContents"/>
              <w:bidi w:val="0"/>
              <w:spacing w:before="0" w:after="283"/>
              <w:jc w:val="left"/>
              <w:rPr/>
            </w:pPr>
            <w:r>
              <w:rPr/>
              <w:t>  </w:t>
            </w:r>
          </w:p>
        </w:tc>
        <w:tc>
          <w:tcPr>
            <w:tcW w:w="8925" w:type="dxa"/>
            <w:tcBorders/>
          </w:tcPr>
          <w:p>
            <w:pPr>
              <w:pStyle w:val="TableContents"/>
              <w:bidi w:val="0"/>
              <w:spacing w:before="0" w:after="283"/>
              <w:jc w:val="left"/>
              <w:rPr/>
            </w:pPr>
            <w:hyperlink w:anchor="d140805dexfilingfees.htm">
              <w:r>
                <w:rPr>
                  <w:rStyle w:val="InternetLink"/>
                </w:rPr>
                <w:t xml:space="preserve">Filing Fee Table. </w:t>
              </w:r>
            </w:hyperlink>
          </w:p>
        </w:tc>
      </w:tr>
    </w:tbl>
    <w:p>
      <w:pPr>
        <w:pStyle w:val="TextBody"/>
        <w:bidi w:val="0"/>
        <w:spacing w:before="360" w:after="0"/>
        <w:jc w:val="left"/>
        <w:rPr>
          <w:rFonts w:ascii="Times New Roman" w:hAnsi="Times New Roman"/>
          <w:sz w:val="20"/>
        </w:rPr>
      </w:pPr>
      <w:r>
        <w:rPr>
          <w:rFonts w:ascii="Times New Roman" w:hAnsi="Times New Roman"/>
          <w:b/>
          <w:sz w:val="20"/>
        </w:rPr>
        <w:t xml:space="preserve">Item 9. </w:t>
      </w:r>
      <w:r>
        <w:rPr>
          <w:rFonts w:ascii="Times New Roman" w:hAnsi="Times New Roman"/>
          <w:b/>
          <w:i/>
          <w:sz w:val="20"/>
        </w:rPr>
        <w:t>Undertakings.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(1) To file, during any period in which offers or sales are being made, a post-effective amendment to this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(i) To include any prospectus required by Section 10(a)(3) of the Securities Act of 1933; </w:t>
      </w:r>
    </w:p>
    <w:p>
      <w:pPr>
        <w:pStyle w:val="TextBody"/>
        <w:bidi w:val="0"/>
        <w:spacing w:before="12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of the Securities Act of 1933 if, in the aggregate, the changes in volume and price represent no more than a 20% change in the maximum aggregate offering price set forth in the “Calculation of Filing Fee Tables” or “Calculation of Registration Fee” table, as applicable, in the effective registration statement;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before="12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paragraphs (a)(1)(i) and (a)(1)(ii) of this item do not apply if the registration statement is on Form S-8,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before="12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(b) 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(h) Insofar as indemnification for liabilities arising under the Securities Act of 1933 may be permitted to directors, officers and controlling persons of the Registrant pursuant to the provisions described under Item 6 above, or otherwise, the Registrant has been advised that in the opinion of the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Houston, State of Texas, on August 14,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57"/>
        <w:gridCol w:w="60"/>
        <w:gridCol w:w="3665"/>
      </w:tblGrid>
      <w:tr>
        <w:trPr/>
        <w:tc>
          <w:tcPr>
            <w:tcW w:w="35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SLB N.V.</w:t>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(SLB Limited)</w:t>
            </w:r>
          </w:p>
        </w:tc>
      </w:tr>
      <w:tr>
        <w:trPr>
          <w:trHeight w:val="240" w:hRule="atLeast"/>
        </w:trPr>
        <w:tc>
          <w:tcPr>
            <w:tcW w:w="357" w:type="dxa"/>
            <w:tcBorders/>
            <w:vAlign w:val="center"/>
          </w:tcPr>
          <w:p>
            <w:pPr>
              <w:pStyle w:val="TableContents"/>
              <w:bidi w:val="0"/>
              <w:spacing w:before="0" w:after="283"/>
              <w:jc w:val="left"/>
              <w:rPr>
                <w:sz w:val="4"/>
                <w:szCs w:val="4"/>
              </w:rPr>
            </w:pPr>
            <w:r>
              <w:rPr>
                <w:sz w:val="4"/>
                <w:szCs w:val="4"/>
              </w:rPr>
            </w:r>
          </w:p>
        </w:tc>
        <w:tc>
          <w:tcPr>
            <w:tcW w:w="3725" w:type="dxa"/>
            <w:gridSpan w:val="2"/>
            <w:tcBorders/>
            <w:vAlign w:val="center"/>
          </w:tcPr>
          <w:p>
            <w:pPr>
              <w:pStyle w:val="TableContents"/>
              <w:bidi w:val="0"/>
              <w:spacing w:before="0" w:after="283"/>
              <w:jc w:val="left"/>
              <w:rPr>
                <w:sz w:val="4"/>
                <w:szCs w:val="4"/>
              </w:rPr>
            </w:pPr>
            <w:r>
              <w:rPr>
                <w:sz w:val="4"/>
                <w:szCs w:val="4"/>
              </w:rPr>
            </w:r>
          </w:p>
        </w:tc>
      </w:tr>
      <w:tr>
        <w:trPr/>
        <w:tc>
          <w:tcPr>
            <w:tcW w:w="357"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5" w:type="dxa"/>
            <w:tcBorders>
              <w:bottom w:val="single" w:sz="2" w:space="0" w:color="000000"/>
            </w:tcBorders>
            <w:tcMar>
              <w:bottom w:w="28" w:type="dxa"/>
            </w:tcMar>
          </w:tcPr>
          <w:p>
            <w:pPr>
              <w:pStyle w:val="TableContents"/>
              <w:bidi w:val="0"/>
              <w:spacing w:before="0" w:after="283"/>
              <w:jc w:val="left"/>
              <w:rPr/>
            </w:pPr>
            <w:r>
              <w:rPr/>
              <w:t xml:space="preserve">/s/ </w:t>
            </w:r>
            <w:r>
              <w:rPr>
                <w:sz w:val="20"/>
              </w:rPr>
              <w:t>HOWARD</w:t>
            </w:r>
            <w:r>
              <w:rPr/>
              <w:t xml:space="preserve"> </w:t>
            </w:r>
            <w:r>
              <w:rPr>
                <w:sz w:val="20"/>
              </w:rPr>
              <w:t>GUILD</w:t>
            </w:r>
          </w:p>
        </w:tc>
      </w:tr>
      <w:tr>
        <w:trPr/>
        <w:tc>
          <w:tcPr>
            <w:tcW w:w="35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5" w:type="dxa"/>
            <w:tcBorders/>
          </w:tcPr>
          <w:p>
            <w:pPr>
              <w:pStyle w:val="TableContents"/>
              <w:bidi w:val="0"/>
              <w:spacing w:before="0" w:after="0"/>
              <w:jc w:val="left"/>
              <w:rPr>
                <w:rFonts w:ascii="Times New Roman" w:hAnsi="Times New Roman"/>
                <w:sz w:val="20"/>
              </w:rPr>
            </w:pPr>
            <w:r>
              <w:rPr>
                <w:rFonts w:ascii="Times New Roman" w:hAnsi="Times New Roman"/>
                <w:sz w:val="20"/>
              </w:rPr>
              <w:t>Howard Guild</w:t>
            </w:r>
          </w:p>
        </w:tc>
      </w:tr>
      <w:tr>
        <w:trPr/>
        <w:tc>
          <w:tcPr>
            <w:tcW w:w="35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5" w:type="dxa"/>
            <w:tcBorders/>
          </w:tcPr>
          <w:p>
            <w:pPr>
              <w:pStyle w:val="TableContents"/>
              <w:bidi w:val="0"/>
              <w:spacing w:before="0" w:after="0"/>
              <w:jc w:val="left"/>
              <w:rPr>
                <w:rFonts w:ascii="Times New Roman" w:hAnsi="Times New Roman"/>
                <w:sz w:val="20"/>
              </w:rPr>
            </w:pPr>
            <w:r>
              <w:rPr>
                <w:rFonts w:ascii="Times New Roman" w:hAnsi="Times New Roman"/>
                <w:sz w:val="20"/>
              </w:rPr>
              <w:t>Chief Accounting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on August 14, 2026 in the capacities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94"/>
        <w:gridCol w:w="101"/>
        <w:gridCol w:w="407"/>
        <w:gridCol w:w="101"/>
        <w:gridCol w:w="407"/>
        <w:gridCol w:w="102"/>
        <w:gridCol w:w="4493"/>
      </w:tblGrid>
      <w:tr>
        <w:trPr/>
        <w:tc>
          <w:tcPr>
            <w:tcW w:w="459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493"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5102" w:type="dxa"/>
            <w:gridSpan w:val="3"/>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4595" w:type="dxa"/>
            <w:gridSpan w:val="2"/>
            <w:tcBorders/>
            <w:vAlign w:val="center"/>
          </w:tcPr>
          <w:p>
            <w:pPr>
              <w:pStyle w:val="TableContents"/>
              <w:bidi w:val="0"/>
              <w:spacing w:before="0" w:after="283"/>
              <w:jc w:val="left"/>
              <w:rPr>
                <w:sz w:val="4"/>
                <w:szCs w:val="4"/>
              </w:rPr>
            </w:pPr>
            <w:r>
              <w:rPr>
                <w:sz w:val="4"/>
                <w:szCs w:val="4"/>
              </w:rPr>
            </w:r>
          </w:p>
        </w:tc>
      </w:tr>
      <w:tr>
        <w:trPr/>
        <w:tc>
          <w:tcPr>
            <w:tcW w:w="5102" w:type="dxa"/>
            <w:gridSpan w:val="3"/>
            <w:tcBorders>
              <w:bottom w:val="single" w:sz="2" w:space="0" w:color="000000"/>
            </w:tcBorders>
            <w:tcMar>
              <w:bottom w:w="28" w:type="dxa"/>
            </w:tcMar>
          </w:tcPr>
          <w:p>
            <w:pPr>
              <w:pStyle w:val="TableContents"/>
              <w:bidi w:val="0"/>
              <w:spacing w:before="0" w:after="283"/>
              <w:jc w:val="left"/>
              <w:rPr/>
            </w:pPr>
            <w:r>
              <w:rPr/>
              <w:t>*</w:t>
            </w:r>
          </w:p>
        </w:tc>
        <w:tc>
          <w:tcPr>
            <w:tcW w:w="101"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0"/>
              <w:jc w:val="left"/>
              <w:rPr/>
            </w:pPr>
            <w:r>
              <w:rPr/>
              <w:t> </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4493" w:type="dxa"/>
            <w:tcBorders>
              <w:bottom w:val="single" w:sz="2" w:space="0" w:color="000000"/>
            </w:tcBorders>
            <w:tcMar>
              <w:bottom w:w="28" w:type="dxa"/>
            </w:tcMar>
          </w:tcPr>
          <w:p>
            <w:pPr>
              <w:pStyle w:val="TableContents"/>
              <w:bidi w:val="0"/>
              <w:spacing w:before="0" w:after="283"/>
              <w:jc w:val="left"/>
              <w:rPr/>
            </w:pPr>
            <w:r>
              <w:rPr/>
              <w:t>*</w:t>
            </w:r>
          </w:p>
        </w:tc>
      </w:tr>
      <w:tr>
        <w:trPr/>
        <w:tc>
          <w:tcPr>
            <w:tcW w:w="510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 xml:space="preserve">Olivier Le Peuch </w:t>
              <w:br/>
              <w:t>Chief Executive Officer and Director</w:t>
            </w:r>
          </w:p>
          <w:p>
            <w:pPr>
              <w:pStyle w:val="TableContents"/>
              <w:bidi w:val="0"/>
              <w:spacing w:before="0" w:after="20"/>
              <w:jc w:val="left"/>
              <w:rPr>
                <w:rFonts w:ascii="Times New Roman" w:hAnsi="Times New Roman"/>
                <w:sz w:val="20"/>
              </w:rPr>
            </w:pPr>
            <w:r>
              <w:rPr>
                <w:rFonts w:ascii="Times New Roman" w:hAnsi="Times New Roman"/>
                <w:sz w:val="20"/>
              </w:rPr>
              <w:t>(Principal Executive Officer)</w:t>
            </w:r>
          </w:p>
        </w:tc>
        <w:tc>
          <w:tcPr>
            <w:tcW w:w="101"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0"/>
              <w:jc w:val="left"/>
              <w:rPr/>
            </w:pPr>
            <w:r>
              <w:rPr/>
              <w:t> </w:t>
            </w:r>
          </w:p>
        </w:tc>
        <w:tc>
          <w:tcPr>
            <w:tcW w:w="102" w:type="dxa"/>
            <w:tcBorders/>
            <w:vAlign w:val="bottom"/>
          </w:tcPr>
          <w:p>
            <w:pPr>
              <w:pStyle w:val="TableContents"/>
              <w:bidi w:val="0"/>
              <w:spacing w:before="0" w:after="283"/>
              <w:jc w:val="left"/>
              <w:rPr/>
            </w:pPr>
            <w:r>
              <w:rPr/>
              <w:t> </w:t>
            </w:r>
          </w:p>
        </w:tc>
        <w:tc>
          <w:tcPr>
            <w:tcW w:w="4493" w:type="dxa"/>
            <w:tcBorders/>
          </w:tcPr>
          <w:p>
            <w:pPr>
              <w:pStyle w:val="TableContents"/>
              <w:bidi w:val="0"/>
              <w:spacing w:before="0" w:after="0"/>
              <w:jc w:val="left"/>
              <w:rPr>
                <w:rFonts w:ascii="Times New Roman" w:hAnsi="Times New Roman"/>
                <w:sz w:val="20"/>
              </w:rPr>
            </w:pPr>
            <w:r>
              <w:rPr>
                <w:rFonts w:ascii="Times New Roman" w:hAnsi="Times New Roman"/>
                <w:sz w:val="20"/>
              </w:rPr>
              <w:t>Jim Hackett</w:t>
            </w:r>
          </w:p>
          <w:p>
            <w:pPr>
              <w:pStyle w:val="TableContents"/>
              <w:bidi w:val="0"/>
              <w:spacing w:before="0" w:after="20"/>
              <w:jc w:val="left"/>
              <w:rPr>
                <w:rFonts w:ascii="Times New Roman" w:hAnsi="Times New Roman"/>
                <w:sz w:val="20"/>
              </w:rPr>
            </w:pPr>
            <w:r>
              <w:rPr>
                <w:rFonts w:ascii="Times New Roman" w:hAnsi="Times New Roman"/>
                <w:sz w:val="20"/>
              </w:rPr>
              <w:t>Chairman of the Board</w:t>
            </w:r>
          </w:p>
        </w:tc>
      </w:tr>
      <w:tr>
        <w:trPr>
          <w:trHeight w:val="240" w:hRule="atLeast"/>
        </w:trPr>
        <w:tc>
          <w:tcPr>
            <w:tcW w:w="5102" w:type="dxa"/>
            <w:gridSpan w:val="3"/>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4595" w:type="dxa"/>
            <w:gridSpan w:val="2"/>
            <w:tcBorders/>
            <w:vAlign w:val="center"/>
          </w:tcPr>
          <w:p>
            <w:pPr>
              <w:pStyle w:val="TableContents"/>
              <w:bidi w:val="0"/>
              <w:spacing w:before="0" w:after="283"/>
              <w:jc w:val="left"/>
              <w:rPr>
                <w:sz w:val="4"/>
                <w:szCs w:val="4"/>
              </w:rPr>
            </w:pPr>
            <w:r>
              <w:rPr>
                <w:sz w:val="4"/>
                <w:szCs w:val="4"/>
              </w:rPr>
            </w:r>
          </w:p>
        </w:tc>
      </w:tr>
      <w:tr>
        <w:trPr/>
        <w:tc>
          <w:tcPr>
            <w:tcW w:w="5102" w:type="dxa"/>
            <w:gridSpan w:val="3"/>
            <w:tcBorders>
              <w:bottom w:val="single" w:sz="2" w:space="0" w:color="000000"/>
            </w:tcBorders>
            <w:tcMar>
              <w:bottom w:w="28" w:type="dxa"/>
            </w:tcMar>
          </w:tcPr>
          <w:p>
            <w:pPr>
              <w:pStyle w:val="TableContents"/>
              <w:bidi w:val="0"/>
              <w:spacing w:before="0" w:after="283"/>
              <w:jc w:val="left"/>
              <w:rPr/>
            </w:pPr>
            <w:r>
              <w:rPr/>
              <w:t>*</w:t>
            </w:r>
          </w:p>
        </w:tc>
        <w:tc>
          <w:tcPr>
            <w:tcW w:w="101"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0"/>
              <w:jc w:val="left"/>
              <w:rPr/>
            </w:pPr>
            <w:r>
              <w:rPr/>
              <w:t> </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4493" w:type="dxa"/>
            <w:tcBorders>
              <w:bottom w:val="single" w:sz="2" w:space="0" w:color="000000"/>
            </w:tcBorders>
            <w:tcMar>
              <w:bottom w:w="28" w:type="dxa"/>
            </w:tcMar>
          </w:tcPr>
          <w:p>
            <w:pPr>
              <w:pStyle w:val="TableContents"/>
              <w:bidi w:val="0"/>
              <w:spacing w:before="0" w:after="283"/>
              <w:jc w:val="left"/>
              <w:rPr/>
            </w:pPr>
            <w:r>
              <w:rPr/>
              <w:t>*</w:t>
            </w:r>
          </w:p>
        </w:tc>
      </w:tr>
      <w:tr>
        <w:trPr/>
        <w:tc>
          <w:tcPr>
            <w:tcW w:w="5102" w:type="dxa"/>
            <w:gridSpan w:val="3"/>
            <w:tcBorders/>
          </w:tcPr>
          <w:p>
            <w:pPr>
              <w:pStyle w:val="TableContents"/>
              <w:bidi w:val="0"/>
              <w:spacing w:before="0" w:after="283"/>
              <w:jc w:val="left"/>
              <w:rPr/>
            </w:pPr>
            <w:r>
              <w:rPr/>
              <w:t xml:space="preserve">Stephane Biguet </w:t>
              <w:br/>
              <w:t xml:space="preserve">Executive Vice President and Chief Financial Officer </w:t>
              <w:br/>
              <w:t>(Principal Financial Officer)</w:t>
            </w:r>
          </w:p>
        </w:tc>
        <w:tc>
          <w:tcPr>
            <w:tcW w:w="101"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0"/>
              <w:jc w:val="left"/>
              <w:rPr/>
            </w:pPr>
            <w:r>
              <w:rPr/>
              <w:t> </w:t>
            </w:r>
          </w:p>
        </w:tc>
        <w:tc>
          <w:tcPr>
            <w:tcW w:w="102" w:type="dxa"/>
            <w:tcBorders/>
            <w:vAlign w:val="bottom"/>
          </w:tcPr>
          <w:p>
            <w:pPr>
              <w:pStyle w:val="TableContents"/>
              <w:bidi w:val="0"/>
              <w:spacing w:before="0" w:after="283"/>
              <w:jc w:val="left"/>
              <w:rPr/>
            </w:pPr>
            <w:r>
              <w:rPr/>
              <w:t> </w:t>
            </w:r>
          </w:p>
        </w:tc>
        <w:tc>
          <w:tcPr>
            <w:tcW w:w="4493" w:type="dxa"/>
            <w:tcBorders/>
          </w:tcPr>
          <w:p>
            <w:pPr>
              <w:pStyle w:val="TableContents"/>
              <w:bidi w:val="0"/>
              <w:spacing w:before="0" w:after="283"/>
              <w:jc w:val="left"/>
              <w:rPr/>
            </w:pPr>
            <w:r>
              <w:rPr/>
              <w:t xml:space="preserve">Samuel Leupold </w:t>
              <w:br/>
              <w:t>Director</w:t>
            </w:r>
          </w:p>
        </w:tc>
      </w:tr>
      <w:tr>
        <w:trPr>
          <w:trHeight w:val="240" w:hRule="atLeast"/>
        </w:trPr>
        <w:tc>
          <w:tcPr>
            <w:tcW w:w="5102" w:type="dxa"/>
            <w:gridSpan w:val="3"/>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4595" w:type="dxa"/>
            <w:gridSpan w:val="2"/>
            <w:tcBorders/>
            <w:vAlign w:val="center"/>
          </w:tcPr>
          <w:p>
            <w:pPr>
              <w:pStyle w:val="TableContents"/>
              <w:bidi w:val="0"/>
              <w:spacing w:before="0" w:after="283"/>
              <w:jc w:val="left"/>
              <w:rPr>
                <w:sz w:val="4"/>
                <w:szCs w:val="4"/>
              </w:rPr>
            </w:pPr>
            <w:r>
              <w:rPr>
                <w:sz w:val="4"/>
                <w:szCs w:val="4"/>
              </w:rPr>
            </w:r>
          </w:p>
        </w:tc>
      </w:tr>
      <w:tr>
        <w:trPr/>
        <w:tc>
          <w:tcPr>
            <w:tcW w:w="5102" w:type="dxa"/>
            <w:gridSpan w:val="3"/>
            <w:tcBorders>
              <w:bottom w:val="single" w:sz="2" w:space="0" w:color="000000"/>
            </w:tcBorders>
            <w:tcMar>
              <w:bottom w:w="28" w:type="dxa"/>
            </w:tcMar>
          </w:tcPr>
          <w:p>
            <w:pPr>
              <w:pStyle w:val="TableContents"/>
              <w:bidi w:val="0"/>
              <w:spacing w:before="0" w:after="283"/>
              <w:jc w:val="left"/>
              <w:rPr/>
            </w:pPr>
            <w:r>
              <w:rPr/>
              <w:t>/s/ H</w:t>
            </w:r>
            <w:r>
              <w:rPr>
                <w:sz w:val="20"/>
              </w:rPr>
              <w:t>OWARD</w:t>
            </w:r>
            <w:r>
              <w:rPr/>
              <w:t xml:space="preserve"> G</w:t>
            </w:r>
            <w:r>
              <w:rPr>
                <w:sz w:val="20"/>
              </w:rPr>
              <w:t>UILD</w:t>
            </w:r>
          </w:p>
        </w:tc>
        <w:tc>
          <w:tcPr>
            <w:tcW w:w="101"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0"/>
              <w:jc w:val="left"/>
              <w:rPr/>
            </w:pPr>
            <w:r>
              <w:rPr/>
              <w:t> </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4493" w:type="dxa"/>
            <w:tcBorders>
              <w:bottom w:val="single" w:sz="2" w:space="0" w:color="000000"/>
            </w:tcBorders>
            <w:tcMar>
              <w:bottom w:w="28" w:type="dxa"/>
            </w:tcMar>
          </w:tcPr>
          <w:p>
            <w:pPr>
              <w:pStyle w:val="TableContents"/>
              <w:bidi w:val="0"/>
              <w:spacing w:before="0" w:after="283"/>
              <w:jc w:val="left"/>
              <w:rPr/>
            </w:pPr>
            <w:r>
              <w:rPr/>
              <w:t>*</w:t>
            </w:r>
          </w:p>
        </w:tc>
      </w:tr>
      <w:tr>
        <w:trPr/>
        <w:tc>
          <w:tcPr>
            <w:tcW w:w="5102" w:type="dxa"/>
            <w:gridSpan w:val="3"/>
            <w:tcBorders/>
          </w:tcPr>
          <w:p>
            <w:pPr>
              <w:pStyle w:val="TableContents"/>
              <w:bidi w:val="0"/>
              <w:spacing w:before="0" w:after="283"/>
              <w:jc w:val="left"/>
              <w:rPr/>
            </w:pPr>
            <w:r>
              <w:rPr/>
              <w:t xml:space="preserve">Howard Guild </w:t>
              <w:br/>
              <w:t xml:space="preserve">Chief Accounting Officer </w:t>
              <w:br/>
              <w:t>(Principal Accounting Officer)</w:t>
            </w:r>
          </w:p>
        </w:tc>
        <w:tc>
          <w:tcPr>
            <w:tcW w:w="101"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0"/>
              <w:jc w:val="left"/>
              <w:rPr/>
            </w:pPr>
            <w:r>
              <w:rPr/>
              <w:t> </w:t>
            </w:r>
          </w:p>
        </w:tc>
        <w:tc>
          <w:tcPr>
            <w:tcW w:w="102" w:type="dxa"/>
            <w:tcBorders/>
            <w:vAlign w:val="bottom"/>
          </w:tcPr>
          <w:p>
            <w:pPr>
              <w:pStyle w:val="TableContents"/>
              <w:bidi w:val="0"/>
              <w:spacing w:before="0" w:after="283"/>
              <w:jc w:val="left"/>
              <w:rPr/>
            </w:pPr>
            <w:r>
              <w:rPr/>
              <w:t> </w:t>
            </w:r>
          </w:p>
        </w:tc>
        <w:tc>
          <w:tcPr>
            <w:tcW w:w="4493" w:type="dxa"/>
            <w:tcBorders/>
          </w:tcPr>
          <w:p>
            <w:pPr>
              <w:pStyle w:val="TableContents"/>
              <w:bidi w:val="0"/>
              <w:spacing w:before="0" w:after="283"/>
              <w:jc w:val="left"/>
              <w:rPr/>
            </w:pPr>
            <w:r>
              <w:rPr/>
              <w:t xml:space="preserve">Maria Moræus Hanssen </w:t>
              <w:br/>
              <w:t>Director</w:t>
            </w:r>
          </w:p>
        </w:tc>
      </w:tr>
      <w:tr>
        <w:trPr>
          <w:trHeight w:val="240" w:hRule="atLeast"/>
        </w:trPr>
        <w:tc>
          <w:tcPr>
            <w:tcW w:w="5102" w:type="dxa"/>
            <w:gridSpan w:val="3"/>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4595" w:type="dxa"/>
            <w:gridSpan w:val="2"/>
            <w:tcBorders/>
            <w:vAlign w:val="center"/>
          </w:tcPr>
          <w:p>
            <w:pPr>
              <w:pStyle w:val="TableContents"/>
              <w:bidi w:val="0"/>
              <w:spacing w:before="0" w:after="283"/>
              <w:jc w:val="left"/>
              <w:rPr>
                <w:sz w:val="4"/>
                <w:szCs w:val="4"/>
              </w:rPr>
            </w:pPr>
            <w:r>
              <w:rPr>
                <w:sz w:val="4"/>
                <w:szCs w:val="4"/>
              </w:rPr>
            </w:r>
          </w:p>
        </w:tc>
      </w:tr>
      <w:tr>
        <w:trPr/>
        <w:tc>
          <w:tcPr>
            <w:tcW w:w="5102" w:type="dxa"/>
            <w:gridSpan w:val="3"/>
            <w:tcBorders>
              <w:bottom w:val="single" w:sz="2" w:space="0" w:color="000000"/>
            </w:tcBorders>
            <w:tcMar>
              <w:bottom w:w="28" w:type="dxa"/>
            </w:tcMar>
          </w:tcPr>
          <w:p>
            <w:pPr>
              <w:pStyle w:val="TableContents"/>
              <w:bidi w:val="0"/>
              <w:spacing w:before="0" w:after="283"/>
              <w:jc w:val="left"/>
              <w:rPr/>
            </w:pPr>
            <w:r>
              <w:rPr/>
              <w:t>*</w:t>
            </w:r>
          </w:p>
        </w:tc>
        <w:tc>
          <w:tcPr>
            <w:tcW w:w="101"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0"/>
              <w:jc w:val="left"/>
              <w:rPr/>
            </w:pPr>
            <w:r>
              <w:rPr/>
              <w:t> </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4493" w:type="dxa"/>
            <w:tcBorders>
              <w:bottom w:val="single" w:sz="2" w:space="0" w:color="000000"/>
            </w:tcBorders>
            <w:tcMar>
              <w:bottom w:w="28" w:type="dxa"/>
            </w:tcMar>
          </w:tcPr>
          <w:p>
            <w:pPr>
              <w:pStyle w:val="TableContents"/>
              <w:bidi w:val="0"/>
              <w:spacing w:before="0" w:after="283"/>
              <w:jc w:val="left"/>
              <w:rPr/>
            </w:pPr>
            <w:r>
              <w:rPr/>
              <w:t>*</w:t>
            </w:r>
          </w:p>
        </w:tc>
      </w:tr>
      <w:tr>
        <w:trPr/>
        <w:tc>
          <w:tcPr>
            <w:tcW w:w="510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Peter Coleman</w:t>
            </w:r>
          </w:p>
          <w:p>
            <w:pPr>
              <w:pStyle w:val="TableContents"/>
              <w:bidi w:val="0"/>
              <w:spacing w:before="0" w:after="20"/>
              <w:jc w:val="left"/>
              <w:rPr>
                <w:rFonts w:ascii="Times New Roman" w:hAnsi="Times New Roman"/>
                <w:sz w:val="20"/>
              </w:rPr>
            </w:pPr>
            <w:r>
              <w:rPr>
                <w:rFonts w:ascii="Times New Roman" w:hAnsi="Times New Roman"/>
                <w:sz w:val="20"/>
              </w:rPr>
              <w:t>Director</w:t>
            </w:r>
          </w:p>
        </w:tc>
        <w:tc>
          <w:tcPr>
            <w:tcW w:w="101"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0"/>
              <w:jc w:val="left"/>
              <w:rPr/>
            </w:pPr>
            <w:r>
              <w:rPr/>
              <w:t> </w:t>
            </w:r>
          </w:p>
        </w:tc>
        <w:tc>
          <w:tcPr>
            <w:tcW w:w="102" w:type="dxa"/>
            <w:tcBorders/>
            <w:vAlign w:val="bottom"/>
          </w:tcPr>
          <w:p>
            <w:pPr>
              <w:pStyle w:val="TableContents"/>
              <w:bidi w:val="0"/>
              <w:spacing w:before="0" w:after="283"/>
              <w:jc w:val="left"/>
              <w:rPr/>
            </w:pPr>
            <w:r>
              <w:rPr/>
              <w:t> </w:t>
            </w:r>
          </w:p>
        </w:tc>
        <w:tc>
          <w:tcPr>
            <w:tcW w:w="4493" w:type="dxa"/>
            <w:tcBorders/>
          </w:tcPr>
          <w:p>
            <w:pPr>
              <w:pStyle w:val="TableContents"/>
              <w:bidi w:val="0"/>
              <w:spacing w:before="0" w:after="283"/>
              <w:jc w:val="left"/>
              <w:rPr/>
            </w:pPr>
            <w:r>
              <w:rPr/>
              <w:t xml:space="preserve">Vanitha Narayanan </w:t>
              <w:br/>
              <w:t>Director</w:t>
            </w:r>
          </w:p>
        </w:tc>
      </w:tr>
      <w:tr>
        <w:trPr>
          <w:trHeight w:val="240" w:hRule="atLeast"/>
        </w:trPr>
        <w:tc>
          <w:tcPr>
            <w:tcW w:w="5102" w:type="dxa"/>
            <w:gridSpan w:val="3"/>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4595" w:type="dxa"/>
            <w:gridSpan w:val="2"/>
            <w:tcBorders/>
            <w:vAlign w:val="center"/>
          </w:tcPr>
          <w:p>
            <w:pPr>
              <w:pStyle w:val="TableContents"/>
              <w:bidi w:val="0"/>
              <w:spacing w:before="0" w:after="283"/>
              <w:jc w:val="left"/>
              <w:rPr>
                <w:sz w:val="4"/>
                <w:szCs w:val="4"/>
              </w:rPr>
            </w:pPr>
            <w:r>
              <w:rPr>
                <w:sz w:val="4"/>
                <w:szCs w:val="4"/>
              </w:rPr>
            </w:r>
          </w:p>
        </w:tc>
      </w:tr>
      <w:tr>
        <w:trPr/>
        <w:tc>
          <w:tcPr>
            <w:tcW w:w="5102" w:type="dxa"/>
            <w:gridSpan w:val="3"/>
            <w:tcBorders>
              <w:bottom w:val="single" w:sz="2" w:space="0" w:color="000000"/>
            </w:tcBorders>
            <w:tcMar>
              <w:bottom w:w="28" w:type="dxa"/>
            </w:tcMar>
          </w:tcPr>
          <w:p>
            <w:pPr>
              <w:pStyle w:val="TableContents"/>
              <w:bidi w:val="0"/>
              <w:spacing w:before="0" w:after="283"/>
              <w:jc w:val="left"/>
              <w:rPr/>
            </w:pPr>
            <w:r>
              <w:rPr/>
              <w:t>*</w:t>
            </w:r>
          </w:p>
        </w:tc>
        <w:tc>
          <w:tcPr>
            <w:tcW w:w="101"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0"/>
              <w:jc w:val="left"/>
              <w:rPr/>
            </w:pPr>
            <w:r>
              <w:rPr/>
              <w:t> </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4493" w:type="dxa"/>
            <w:tcBorders>
              <w:bottom w:val="single" w:sz="2" w:space="0" w:color="000000"/>
            </w:tcBorders>
            <w:tcMar>
              <w:bottom w:w="28" w:type="dxa"/>
            </w:tcMar>
          </w:tcPr>
          <w:p>
            <w:pPr>
              <w:pStyle w:val="TableContents"/>
              <w:bidi w:val="0"/>
              <w:spacing w:before="0" w:after="283"/>
              <w:jc w:val="left"/>
              <w:rPr/>
            </w:pPr>
            <w:r>
              <w:rPr/>
              <w:t>*</w:t>
            </w:r>
          </w:p>
        </w:tc>
      </w:tr>
      <w:tr>
        <w:trPr/>
        <w:tc>
          <w:tcPr>
            <w:tcW w:w="5102" w:type="dxa"/>
            <w:gridSpan w:val="3"/>
            <w:tcBorders/>
          </w:tcPr>
          <w:p>
            <w:pPr>
              <w:pStyle w:val="TableContents"/>
              <w:bidi w:val="0"/>
              <w:spacing w:before="0" w:after="283"/>
              <w:jc w:val="left"/>
              <w:rPr/>
            </w:pPr>
            <w:r>
              <w:rPr/>
              <w:t xml:space="preserve">Patrick de La Chevardière </w:t>
              <w:br/>
              <w:t>Director</w:t>
            </w:r>
          </w:p>
        </w:tc>
        <w:tc>
          <w:tcPr>
            <w:tcW w:w="101"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0"/>
              <w:jc w:val="left"/>
              <w:rPr/>
            </w:pPr>
            <w:r>
              <w:rPr/>
              <w:t> </w:t>
            </w:r>
          </w:p>
        </w:tc>
        <w:tc>
          <w:tcPr>
            <w:tcW w:w="102" w:type="dxa"/>
            <w:tcBorders/>
            <w:vAlign w:val="bottom"/>
          </w:tcPr>
          <w:p>
            <w:pPr>
              <w:pStyle w:val="TableContents"/>
              <w:bidi w:val="0"/>
              <w:spacing w:before="0" w:after="283"/>
              <w:jc w:val="left"/>
              <w:rPr/>
            </w:pPr>
            <w:r>
              <w:rPr/>
              <w:t> </w:t>
            </w:r>
          </w:p>
        </w:tc>
        <w:tc>
          <w:tcPr>
            <w:tcW w:w="4493" w:type="dxa"/>
            <w:tcBorders/>
          </w:tcPr>
          <w:p>
            <w:pPr>
              <w:pStyle w:val="TableContents"/>
              <w:bidi w:val="0"/>
              <w:spacing w:before="0" w:after="283"/>
              <w:jc w:val="left"/>
              <w:rPr/>
            </w:pPr>
            <w:r>
              <w:rPr/>
              <w:t xml:space="preserve">Jeff W. Sheets </w:t>
              <w:br/>
              <w:t>Director</w:t>
            </w:r>
          </w:p>
        </w:tc>
      </w:tr>
      <w:tr>
        <w:trPr>
          <w:trHeight w:val="240" w:hRule="atLeast"/>
        </w:trPr>
        <w:tc>
          <w:tcPr>
            <w:tcW w:w="4594"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4595" w:type="dxa"/>
            <w:gridSpan w:val="2"/>
            <w:tcBorders/>
            <w:vAlign w:val="center"/>
          </w:tcPr>
          <w:p>
            <w:pPr>
              <w:pStyle w:val="TableContents"/>
              <w:bidi w:val="0"/>
              <w:spacing w:before="0" w:after="283"/>
              <w:jc w:val="left"/>
              <w:rPr>
                <w:sz w:val="4"/>
                <w:szCs w:val="4"/>
              </w:rPr>
            </w:pPr>
            <w:r>
              <w:rPr>
                <w:sz w:val="4"/>
                <w:szCs w:val="4"/>
              </w:rPr>
            </w:r>
          </w:p>
        </w:tc>
      </w:tr>
      <w:tr>
        <w:trPr/>
        <w:tc>
          <w:tcPr>
            <w:tcW w:w="4594" w:type="dxa"/>
            <w:tcBorders>
              <w:bottom w:val="single" w:sz="2" w:space="0" w:color="000000"/>
            </w:tcBorders>
            <w:tcMar>
              <w:bottom w:w="28" w:type="dxa"/>
            </w:tcMar>
          </w:tcPr>
          <w:p>
            <w:pPr>
              <w:pStyle w:val="TableContents"/>
              <w:bidi w:val="0"/>
              <w:spacing w:before="0" w:after="283"/>
              <w:jc w:val="left"/>
              <w:rPr/>
            </w:pPr>
            <w:r>
              <w:rPr/>
              <w:t>*</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407" w:type="dxa"/>
            <w:tcBorders>
              <w:bottom w:val="single" w:sz="2" w:space="0" w:color="000000"/>
            </w:tcBorders>
            <w:tcMar>
              <w:bottom w:w="28" w:type="dxa"/>
            </w:tcMar>
          </w:tcPr>
          <w:p>
            <w:pPr>
              <w:pStyle w:val="TableContents"/>
              <w:bidi w:val="0"/>
              <w:jc w:val="left"/>
              <w:rPr/>
            </w:pPr>
            <w:r>
              <w:rPr/>
              <w:t> </w:t>
            </w:r>
          </w:p>
          <w:p>
            <w:pPr>
              <w:pStyle w:val="TableContents"/>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0"/>
              <w:jc w:val="left"/>
              <w:rPr/>
            </w:pPr>
            <w:r>
              <w:rPr/>
              <w:t> </w:t>
            </w:r>
          </w:p>
        </w:tc>
        <w:tc>
          <w:tcPr>
            <w:tcW w:w="102" w:type="dxa"/>
            <w:tcBorders/>
            <w:vAlign w:val="bottom"/>
          </w:tcPr>
          <w:p>
            <w:pPr>
              <w:pStyle w:val="TableContents"/>
              <w:bidi w:val="0"/>
              <w:spacing w:before="0" w:after="283"/>
              <w:jc w:val="left"/>
              <w:rPr/>
            </w:pPr>
            <w:r>
              <w:rPr/>
              <w:t> </w:t>
            </w:r>
          </w:p>
        </w:tc>
        <w:tc>
          <w:tcPr>
            <w:tcW w:w="4493" w:type="dxa"/>
            <w:tcBorders/>
          </w:tcPr>
          <w:p>
            <w:pPr>
              <w:pStyle w:val="TableContents"/>
              <w:bidi w:val="0"/>
              <w:spacing w:before="0" w:after="0"/>
              <w:jc w:val="left"/>
              <w:rPr/>
            </w:pPr>
            <w:r>
              <w:rPr/>
              <w:t> </w:t>
            </w:r>
          </w:p>
        </w:tc>
      </w:tr>
      <w:tr>
        <w:trPr/>
        <w:tc>
          <w:tcPr>
            <w:tcW w:w="4594" w:type="dxa"/>
            <w:tcBorders/>
          </w:tcPr>
          <w:p>
            <w:pPr>
              <w:pStyle w:val="TableContents"/>
              <w:bidi w:val="0"/>
              <w:spacing w:before="0" w:after="283"/>
              <w:jc w:val="left"/>
              <w:rPr/>
            </w:pPr>
            <w:r>
              <w:rPr/>
              <w:t xml:space="preserve">Miguel M. Galuccio </w:t>
              <w:br/>
              <w:t>Director</w:t>
            </w:r>
          </w:p>
        </w:tc>
        <w:tc>
          <w:tcPr>
            <w:tcW w:w="101"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407" w:type="dxa"/>
            <w:tcBorders/>
          </w:tcPr>
          <w:p>
            <w:pPr>
              <w:pStyle w:val="TableContents"/>
              <w:bidi w:val="0"/>
              <w:spacing w:before="0" w:after="0"/>
              <w:jc w:val="left"/>
              <w:rPr/>
            </w:pPr>
            <w:r>
              <w:rPr/>
              <w:t> </w:t>
            </w:r>
          </w:p>
        </w:tc>
        <w:tc>
          <w:tcPr>
            <w:tcW w:w="102" w:type="dxa"/>
            <w:tcBorders/>
            <w:vAlign w:val="bottom"/>
          </w:tcPr>
          <w:p>
            <w:pPr>
              <w:pStyle w:val="TableContents"/>
              <w:bidi w:val="0"/>
              <w:spacing w:before="0" w:after="283"/>
              <w:jc w:val="left"/>
              <w:rPr/>
            </w:pPr>
            <w:r>
              <w:rPr/>
              <w:t> </w:t>
            </w:r>
          </w:p>
        </w:tc>
        <w:tc>
          <w:tcPr>
            <w:tcW w:w="4493" w:type="dxa"/>
            <w:tcBorders/>
          </w:tcPr>
          <w:p>
            <w:pPr>
              <w:pStyle w:val="TableContents"/>
              <w:bidi w:val="0"/>
              <w:spacing w:before="0" w:after="0"/>
              <w:jc w:val="left"/>
              <w:rPr/>
            </w:pPr>
            <w:r>
              <w:rPr/>
              <w:t> </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580"/>
        <w:gridCol w:w="60"/>
        <w:gridCol w:w="3442"/>
      </w:tblGrid>
      <w:tr>
        <w:trPr/>
        <w:tc>
          <w:tcPr>
            <w:tcW w:w="5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42" w:type="dxa"/>
            <w:tcBorders/>
            <w:vAlign w:val="center"/>
          </w:tcPr>
          <w:p>
            <w:pPr>
              <w:pStyle w:val="TableContents"/>
              <w:bidi w:val="0"/>
              <w:spacing w:before="0" w:after="283"/>
              <w:jc w:val="left"/>
              <w:rPr>
                <w:sz w:val="4"/>
                <w:szCs w:val="4"/>
              </w:rPr>
            </w:pPr>
            <w:r>
              <w:rPr>
                <w:sz w:val="4"/>
                <w:szCs w:val="4"/>
              </w:rPr>
            </w:r>
          </w:p>
        </w:tc>
      </w:tr>
      <w:tr>
        <w:trPr/>
        <w:tc>
          <w:tcPr>
            <w:tcW w:w="580" w:type="dxa"/>
            <w:tcBorders/>
            <w:vAlign w:val="bottom"/>
          </w:tcPr>
          <w:p>
            <w:pPr>
              <w:pStyle w:val="TableContents"/>
              <w:bidi w:val="0"/>
              <w:spacing w:before="0" w:after="283"/>
              <w:jc w:val="left"/>
              <w:rPr/>
            </w:pPr>
            <w:r>
              <w:rPr/>
              <w:t>* 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442" w:type="dxa"/>
            <w:tcBorders>
              <w:bottom w:val="single" w:sz="2" w:space="0" w:color="000000"/>
            </w:tcBorders>
            <w:tcMar>
              <w:bottom w:w="28" w:type="dxa"/>
            </w:tcMar>
            <w:vAlign w:val="bottom"/>
          </w:tcPr>
          <w:p>
            <w:pPr>
              <w:pStyle w:val="TableContents"/>
              <w:bidi w:val="0"/>
              <w:spacing w:before="0" w:after="283"/>
              <w:jc w:val="left"/>
              <w:rPr/>
            </w:pPr>
            <w:r>
              <w:rPr/>
              <w:t>/s/ D</w:t>
            </w:r>
            <w:r>
              <w:rPr>
                <w:sz w:val="20"/>
              </w:rPr>
              <w:t>IANNE</w:t>
            </w:r>
            <w:r>
              <w:rPr/>
              <w:t xml:space="preserve"> B. R</w:t>
            </w:r>
            <w:r>
              <w:rPr>
                <w:sz w:val="20"/>
              </w:rPr>
              <w:t>ALSTON</w:t>
            </w:r>
          </w:p>
        </w:tc>
      </w:tr>
      <w:tr>
        <w:trPr/>
        <w:tc>
          <w:tcPr>
            <w:tcW w:w="5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Dianne B. Ralston</w:t>
            </w:r>
          </w:p>
          <w:p>
            <w:pPr>
              <w:pStyle w:val="TableContents"/>
              <w:bidi w:val="0"/>
              <w:spacing w:before="0" w:after="0"/>
              <w:jc w:val="left"/>
              <w:rPr>
                <w:rFonts w:ascii="Times New Roman" w:hAnsi="Times New Roman"/>
                <w:sz w:val="20"/>
              </w:rPr>
            </w:pPr>
            <w:r>
              <w:rPr>
                <w:rFonts w:ascii="Times New Roman" w:hAnsi="Times New Roman"/>
                <w:sz w:val="20"/>
              </w:rPr>
              <w:t>Chief Legal Officer and Secretary</w:t>
            </w:r>
          </w:p>
          <w:p>
            <w:pPr>
              <w:pStyle w:val="TableContents"/>
              <w:bidi w:val="0"/>
              <w:spacing w:before="0" w:after="20"/>
              <w:jc w:val="left"/>
              <w:rPr>
                <w:rFonts w:ascii="Times New Roman" w:hAnsi="Times New Roman"/>
                <w:sz w:val="20"/>
              </w:rPr>
            </w:pPr>
            <w:r>
              <w:rPr>
                <w:rFonts w:ascii="Times New Roman" w:hAnsi="Times New Roman"/>
                <w:sz w:val="20"/>
              </w:rPr>
              <w:t>(Attorney-in-Fact and Authorized Representative in the U.S.)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- 7 - </w:t>
      </w:r>
    </w:p>
    <w:p>
      <w:pPr>
        <w:pStyle w:val="TextBody"/>
        <w:bidi w:val="0"/>
        <w:spacing w:before="0" w:after="0"/>
        <w:jc w:val="left"/>
        <w:rPr>
          <w:rFonts w:ascii="Times New Roman" w:hAnsi="Times New Roman"/>
          <w:b/>
          <w:sz w:val="20"/>
        </w:rPr>
      </w:pPr>
      <w:bookmarkStart w:id="2" w:name="d140805dex5.htm"/>
      <w:bookmarkStart w:id="3" w:name="ksd140805dex5"/>
      <w:bookmarkEnd w:id="2"/>
      <w:bookmarkEnd w:id="3"/>
      <w:r>
        <w:rPr>
          <w:rFonts w:ascii="Times New Roman" w:hAnsi="Times New Roman"/>
          <w:b/>
          <w:sz w:val="20"/>
        </w:rPr>
        <w:t xml:space="preserve">Exhibit 5 </w:t>
      </w:r>
      <w:r>
        <w:br w:type="page"/>
      </w:r>
    </w:p>
    <w:p>
      <w:pPr>
        <w:pStyle w:val="TextBody"/>
        <w:bidi w:val="0"/>
        <w:spacing w:before="120" w:after="0"/>
        <w:jc w:val="left"/>
        <w:rPr>
          <w:rFonts w:ascii="Times New Roman" w:hAnsi="Times New Roman"/>
          <w:sz w:val="20"/>
        </w:rPr>
      </w:pPr>
      <w:r>
        <w:rPr>
          <w:rFonts w:ascii="Times New Roman" w:hAnsi="Times New Roman"/>
          <w:sz w:val="20"/>
        </w:rPr>
        <w:t xml:space="preserve">SLB N.V. </w:t>
      </w:r>
    </w:p>
    <w:p>
      <w:pPr>
        <w:pStyle w:val="TextBody"/>
        <w:bidi w:val="0"/>
        <w:spacing w:before="0" w:after="0"/>
        <w:jc w:val="left"/>
        <w:rPr>
          <w:rFonts w:ascii="Times New Roman" w:hAnsi="Times New Roman"/>
          <w:sz w:val="20"/>
        </w:rPr>
      </w:pPr>
      <w:r>
        <w:rPr>
          <w:rFonts w:ascii="Times New Roman" w:hAnsi="Times New Roman"/>
          <w:sz w:val="20"/>
        </w:rPr>
        <w:t xml:space="preserve">(SLB Limited) </w:t>
      </w:r>
    </w:p>
    <w:p>
      <w:pPr>
        <w:pStyle w:val="TextBody"/>
        <w:bidi w:val="0"/>
        <w:spacing w:before="0" w:after="0"/>
        <w:jc w:val="left"/>
        <w:rPr>
          <w:rFonts w:ascii="Times New Roman" w:hAnsi="Times New Roman"/>
          <w:sz w:val="20"/>
        </w:rPr>
      </w:pPr>
      <w:r>
        <w:rPr>
          <w:rFonts w:ascii="Times New Roman" w:hAnsi="Times New Roman"/>
          <w:sz w:val="20"/>
        </w:rPr>
        <w:t xml:space="preserve">5599 San Felipe, 17th Floor </w:t>
      </w:r>
    </w:p>
    <w:p>
      <w:pPr>
        <w:pStyle w:val="TextBody"/>
        <w:bidi w:val="0"/>
        <w:spacing w:before="0" w:after="0"/>
        <w:jc w:val="left"/>
        <w:rPr>
          <w:rFonts w:ascii="Times New Roman" w:hAnsi="Times New Roman"/>
          <w:sz w:val="20"/>
        </w:rPr>
      </w:pPr>
      <w:r>
        <w:rPr>
          <w:rFonts w:ascii="Times New Roman" w:hAnsi="Times New Roman"/>
          <w:sz w:val="20"/>
        </w:rPr>
        <w:t xml:space="preserve">Houston, Texas 77056 </w:t>
      </w:r>
    </w:p>
    <w:p>
      <w:pPr>
        <w:pStyle w:val="TextBody"/>
        <w:bidi w:val="0"/>
        <w:spacing w:before="0" w:after="0"/>
        <w:jc w:val="left"/>
        <w:rPr>
          <w:rFonts w:ascii="Times New Roman" w:hAnsi="Times New Roman"/>
          <w:sz w:val="20"/>
        </w:rPr>
      </w:pPr>
      <w:r>
        <w:rPr>
          <w:rFonts w:ascii="Times New Roman" w:hAnsi="Times New Roman"/>
          <w:sz w:val="20"/>
        </w:rPr>
        <w:t xml:space="preserve">United States of America </w:t>
      </w:r>
    </w:p>
    <w:p>
      <w:pPr>
        <w:pStyle w:val="TextBody"/>
        <w:bidi w:val="0"/>
        <w:spacing w:before="120" w:after="0"/>
        <w:jc w:val="right"/>
        <w:rPr>
          <w:rFonts w:ascii="Times New Roman" w:hAnsi="Times New Roman"/>
          <w:sz w:val="20"/>
        </w:rPr>
      </w:pPr>
      <w:r>
        <w:rPr>
          <w:rFonts w:ascii="Times New Roman" w:hAnsi="Times New Roman"/>
          <w:sz w:val="20"/>
        </w:rPr>
        <w:t xml:space="preserve">Amsterdam, 14 August 2026 </w:t>
      </w:r>
    </w:p>
    <w:p>
      <w:pPr>
        <w:pStyle w:val="TextBody"/>
        <w:bidi w:val="0"/>
        <w:spacing w:before="120" w:after="0"/>
        <w:jc w:val="left"/>
        <w:rPr>
          <w:rFonts w:ascii="Times New Roman" w:hAnsi="Times New Roman"/>
          <w:b/>
          <w:sz w:val="20"/>
        </w:rPr>
      </w:pPr>
      <w:r>
        <w:rPr>
          <w:rFonts w:ascii="Times New Roman" w:hAnsi="Times New Roman"/>
          <w:b/>
          <w:sz w:val="20"/>
        </w:rPr>
        <w:t xml:space="preserve">Re: SLB N.V.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have acted as Curaçao legal counsel for SLB N.V. (also referred to as SLB Limited), a limited liability company organized and existing under the laws of Curaçao (the “</w:t>
      </w:r>
      <w:r>
        <w:rPr>
          <w:rFonts w:ascii="Times New Roman" w:hAnsi="Times New Roman"/>
          <w:b/>
          <w:sz w:val="20"/>
        </w:rPr>
        <w:t>Company</w:t>
      </w:r>
      <w:r>
        <w:rPr>
          <w:rFonts w:ascii="Times New Roman" w:hAnsi="Times New Roman"/>
          <w:sz w:val="20"/>
        </w:rPr>
        <w:t>”), in connection with the registration of 43,401,574 shares of the Company’s common stock, par value $0.01 per share (the “</w:t>
      </w:r>
      <w:r>
        <w:rPr>
          <w:rFonts w:ascii="Times New Roman" w:hAnsi="Times New Roman"/>
          <w:b/>
          <w:sz w:val="20"/>
        </w:rPr>
        <w:t>Shares</w:t>
      </w:r>
      <w:r>
        <w:rPr>
          <w:rFonts w:ascii="Times New Roman" w:hAnsi="Times New Roman"/>
          <w:sz w:val="20"/>
        </w:rPr>
        <w:t>”), issuable pursuant to the SLB 2017 Omnibus Stock Incentive Plan, as amended and restated effective 22 January 2026 (the “</w:t>
      </w:r>
      <w:r>
        <w:rPr>
          <w:rFonts w:ascii="Times New Roman" w:hAnsi="Times New Roman"/>
          <w:b/>
          <w:sz w:val="20"/>
        </w:rPr>
        <w:t>2017 Plan</w:t>
      </w:r>
      <w:r>
        <w:rPr>
          <w:rFonts w:ascii="Times New Roman" w:hAnsi="Times New Roman"/>
          <w:sz w:val="20"/>
        </w:rPr>
        <w:t>”). We understand that a registration statement on Form S-8 relating to the 2017 Plan (the “</w:t>
      </w:r>
      <w:r>
        <w:rPr>
          <w:rFonts w:ascii="Times New Roman" w:hAnsi="Times New Roman"/>
          <w:b/>
          <w:sz w:val="20"/>
        </w:rPr>
        <w:t>Registration Statement</w:t>
      </w:r>
      <w:r>
        <w:rPr>
          <w:rFonts w:ascii="Times New Roman" w:hAnsi="Times New Roman"/>
          <w:sz w:val="20"/>
        </w:rPr>
        <w:t xml:space="preserve">”) is being filed by the Company with the Securities and Exchange Commission under the Securities Act of 1933, as amended, on 14 August 2026. </w:t>
      </w:r>
    </w:p>
    <w:p>
      <w:pPr>
        <w:pStyle w:val="TextBody"/>
        <w:bidi w:val="0"/>
        <w:spacing w:before="240" w:after="0"/>
        <w:jc w:val="left"/>
        <w:rPr>
          <w:rFonts w:ascii="Times New Roman" w:hAnsi="Times New Roman"/>
          <w:sz w:val="20"/>
        </w:rPr>
      </w:pPr>
      <w:r>
        <w:rPr>
          <w:rFonts w:ascii="Times New Roman" w:hAnsi="Times New Roman"/>
          <w:sz w:val="20"/>
        </w:rPr>
        <w:t xml:space="preserve">As Curaçao legal counsel for the Company we have examined and relied upon the following documents in original, photo static or facsimile form: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the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the 2017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a copy of the Schlumberger 2017 Omnibus Incentive Plan as amended and restated by the board of directors of the Company (the “</w:t>
            </w:r>
            <w:r>
              <w:rPr>
                <w:rFonts w:ascii="Times New Roman" w:hAnsi="Times New Roman"/>
                <w:b/>
                <w:sz w:val="20"/>
              </w:rPr>
              <w:t>Board</w:t>
            </w:r>
            <w:r>
              <w:rPr>
                <w:rFonts w:ascii="Times New Roman" w:hAnsi="Times New Roman"/>
                <w:sz w:val="20"/>
              </w:rPr>
              <w:t xml:space="preserve">”) effective 21 January 2021;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the Schlumberger 2017 Omnibus Incentive Plan as amended and restated by the Compensation Committee of the Board effective 19 July 2017;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(e)</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the Schlumberger 2017 Omnibus Incentive Plan as originally adopted by the Board effective 19 January 2017;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14 August 2026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(f)</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a copy of an online excerpt dated 14 August 2026 of the registration of the Company with the Curaçao Commercial Register (the “</w:t>
            </w:r>
            <w:r>
              <w:rPr>
                <w:rFonts w:ascii="Times New Roman" w:hAnsi="Times New Roman"/>
                <w:b/>
                <w:sz w:val="20"/>
              </w:rPr>
              <w:t>Excerpt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(g)</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a copy of a true copy of the deed of amendment of the articles of association of the Company, executed on 7 October 2025 (the “</w:t>
            </w:r>
            <w:r>
              <w:rPr>
                <w:rFonts w:ascii="Times New Roman" w:hAnsi="Times New Roman"/>
                <w:b/>
                <w:sz w:val="20"/>
              </w:rPr>
              <w:t>Articles of Association</w:t>
            </w:r>
            <w:r>
              <w:rPr>
                <w:rFonts w:ascii="Times New Roman" w:hAnsi="Times New Roman"/>
                <w:sz w:val="20"/>
              </w:rPr>
              <w:t xml:space="preserve">”), as according to the Excerpt presently in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(h)</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certified copy of the amended and restated bylaws of the Company certified as in full force and effect on the date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(i)</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a true copy of the deed of amendment of the articles of association of the Company, executed on 6 April 2016 as in effect on 19 January 2017 and on 21 January 2021;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(j)</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certified copy of the amended and restated bylaws of the Company certified as in full force and effect on 19 January 2017 and on 21 January 2021;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(k)</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certified copy of the resolutions of the Board adopted on 22 January 2026 </w:t>
            </w:r>
            <w:r>
              <w:rPr>
                <w:rFonts w:ascii="Times New Roman" w:hAnsi="Times New Roman"/>
                <w:i/>
                <w:sz w:val="20"/>
              </w:rPr>
              <w:t>inter alia</w:t>
            </w:r>
            <w:r>
              <w:rPr>
                <w:rFonts w:ascii="Times New Roman" w:hAnsi="Times New Roman"/>
                <w:sz w:val="20"/>
              </w:rPr>
              <w:t xml:space="preserve"> resolving that (i) subject to approval by the general meeting of shareholders of the Company, the number of shares available for issuance under the 2017 Plan is increased by a maximum of 40 million shares of the Company’s common stock, par value $0.01 per share (the “</w:t>
            </w:r>
            <w:r>
              <w:rPr>
                <w:rFonts w:ascii="Times New Roman" w:hAnsi="Times New Roman"/>
                <w:b/>
                <w:sz w:val="20"/>
              </w:rPr>
              <w:t>2026</w:t>
            </w:r>
            <w:r>
              <w:rPr>
                <w:rFonts w:ascii="Times New Roman" w:hAnsi="Times New Roman"/>
                <w:sz w:val="20"/>
              </w:rPr>
              <w:t xml:space="preserve"> </w:t>
            </w:r>
            <w:r>
              <w:rPr>
                <w:rFonts w:ascii="Times New Roman" w:hAnsi="Times New Roman"/>
                <w:b/>
                <w:sz w:val="20"/>
              </w:rPr>
              <w:t>Additional Plan Shares</w:t>
            </w:r>
            <w:r>
              <w:rPr>
                <w:rFonts w:ascii="Times New Roman" w:hAnsi="Times New Roman"/>
                <w:sz w:val="20"/>
              </w:rPr>
              <w:t xml:space="preserve">”) and (ii) the 2026 Additional Plan Shares, when issued pursuant to the terms of the 2017 Plan, will be duly authorized, validly issued, fully paid and non-assessable;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(l)</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certified copy of the minutes of the general meeting of shareholders of the Company held on 8 April 2026 at which meeting </w:t>
            </w:r>
            <w:r>
              <w:rPr>
                <w:rFonts w:ascii="Times New Roman" w:hAnsi="Times New Roman"/>
                <w:i/>
                <w:sz w:val="20"/>
              </w:rPr>
              <w:t>inter alia</w:t>
            </w:r>
            <w:r>
              <w:rPr>
                <w:rFonts w:ascii="Times New Roman" w:hAnsi="Times New Roman"/>
                <w:sz w:val="20"/>
              </w:rPr>
              <w:t xml:space="preserve"> the increase of the number of shares available for issuance under the 2017 Plan by 40 million shares was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(m)</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a certified copy of the resolutions of the Board adopted on 21 January 2021 inter alia resolving that (i) subject to approval by the general meeting of shareholders of the Company, the number of shares available for issuance under the Schlumberger 2017 Omnibus Incentive Plan as amended effective 21 January 2021 is increased by a maximum of 40 million shares of the Company’s common stock, par value $0.01 per share (the “</w:t>
            </w:r>
            <w:r>
              <w:rPr>
                <w:rFonts w:ascii="Times New Roman" w:hAnsi="Times New Roman"/>
                <w:b/>
                <w:sz w:val="20"/>
              </w:rPr>
              <w:t>2021 Additional Plan Shares</w:t>
            </w:r>
            <w:r>
              <w:rPr>
                <w:rFonts w:ascii="Times New Roman" w:hAnsi="Times New Roman"/>
                <w:sz w:val="20"/>
              </w:rPr>
              <w:t xml:space="preserve">”) and (ii) the 2021 Additional Plan Shares, when issued pursuant to the terms of the Schlumberger 2017 Omnibus Incentive Plan as amended effective 21 January 2021, will be duly authorized, validly issued, fully paid and non-assessable;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(n)</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certified copy of the minutes of the general meeting of shareholders of the Company held on 7 April 2021 at which meeting </w:t>
            </w:r>
            <w:r>
              <w:rPr>
                <w:rFonts w:ascii="Times New Roman" w:hAnsi="Times New Roman"/>
                <w:i/>
                <w:sz w:val="20"/>
              </w:rPr>
              <w:t>inter alia</w:t>
            </w:r>
            <w:r>
              <w:rPr>
                <w:rFonts w:ascii="Times New Roman" w:hAnsi="Times New Roman"/>
                <w:sz w:val="20"/>
              </w:rPr>
              <w:t xml:space="preserve"> the increase of the number of shares available for issuance under the Schlumberger 2017 Omnibus Incentive Plan as amended effective 21 January 2021 by 35 million shares was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(o)</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certified copy of the resolutions of the Board adopted on 19 January 2017 </w:t>
            </w:r>
            <w:r>
              <w:rPr>
                <w:rFonts w:ascii="Times New Roman" w:hAnsi="Times New Roman"/>
                <w:i/>
                <w:sz w:val="20"/>
              </w:rPr>
              <w:t>inter alia</w:t>
            </w:r>
            <w:r>
              <w:rPr>
                <w:rFonts w:ascii="Times New Roman" w:hAnsi="Times New Roman"/>
                <w:sz w:val="20"/>
              </w:rPr>
              <w:t xml:space="preserve"> resolving, subject to shareholder approval, that (i) reserved for issuance are an aggregate of 30 million shares of the common stock of the Company, $0.01 par value per share (the “</w:t>
            </w:r>
            <w:r>
              <w:rPr>
                <w:rFonts w:ascii="Times New Roman" w:hAnsi="Times New Roman"/>
                <w:b/>
                <w:sz w:val="20"/>
              </w:rPr>
              <w:t>Omnibus Plan Shares</w:t>
            </w:r>
            <w:r>
              <w:rPr>
                <w:rFonts w:ascii="Times New Roman" w:hAnsi="Times New Roman"/>
                <w:sz w:val="20"/>
              </w:rPr>
              <w:t xml:space="preserve">”), issuable from time to time pursuant to and in accordance with the Schlumberger 2017 Omnibus Incentive Plan and (ii) the Omnibus Plan Shares, when issued pursuant to the terms of the Schlumberger 2017 Omnibus Incentive Plan as originally adopted and upon receipt by the Company of the consideration for which those shares are to be issued, shall be duly authorized, validly issued, fully paid and non-assessable; and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14 August 2026 </w:t>
      </w:r>
    </w:p>
    <w:p>
      <w:pPr>
        <w:pStyle w:val="TextBody"/>
        <w:bidi w:val="0"/>
        <w:spacing w:before="0" w:after="0"/>
        <w:jc w:val="left"/>
        <w:rPr>
          <w:rFonts w:ascii="Times New Roman" w:hAnsi="Times New Roman"/>
          <w:sz w:val="20"/>
        </w:rPr>
      </w:pPr>
      <w:r>
        <w:rPr>
          <w:rFonts w:ascii="Times New Roman" w:hAnsi="Times New Roman"/>
          <w:sz w:val="20"/>
        </w:rPr>
        <w:t xml:space="preserve">Page 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(p)</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certified copy of the minutes of the general meeting of shareholders of the Company held on 5 April 2017 at which meeting </w:t>
            </w:r>
            <w:r>
              <w:rPr>
                <w:rFonts w:ascii="Times New Roman" w:hAnsi="Times New Roman"/>
                <w:i/>
                <w:sz w:val="20"/>
              </w:rPr>
              <w:t>inter alia</w:t>
            </w:r>
            <w:r>
              <w:rPr>
                <w:rFonts w:ascii="Times New Roman" w:hAnsi="Times New Roman"/>
                <w:sz w:val="20"/>
              </w:rPr>
              <w:t xml:space="preserve"> the adoption of the Schlumberger 2017 Omnibus Incentive Plan was approved.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our examination of the documents referred to above and in expressing our opinion, we have assumed without independent verification of any kind: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genuineness of all signatures on all documents we have reviewed;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authenticity of all such documents submitted to us as originals, and that each of the documents has been duly executed in the form, or substantially in the form submitted to us as execution copies;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(iii)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conformity with originals of all documents submitted to us as copies. </w:t>
            </w:r>
          </w:p>
        </w:tc>
      </w:tr>
    </w:tbl>
    <w:p>
      <w:pPr>
        <w:pStyle w:val="TextBody"/>
        <w:bidi w:val="0"/>
        <w:spacing w:before="240" w:after="0"/>
        <w:jc w:val="left"/>
        <w:rPr>
          <w:rFonts w:ascii="Times New Roman" w:hAnsi="Times New Roman"/>
          <w:sz w:val="20"/>
        </w:rPr>
      </w:pPr>
      <w:r>
        <w:rPr>
          <w:rFonts w:ascii="Times New Roman" w:hAnsi="Times New Roman"/>
          <w:sz w:val="20"/>
        </w:rPr>
        <w:t>In rendering the following, we are opining on the matters hereinafter referred to, only insofar as they are governed by the laws of Curaçao as currently in effect and as they are interpreted under presently published case law of Curaçao, including the Supreme Court of the Netherlands (</w:t>
      </w:r>
      <w:r>
        <w:rPr>
          <w:rFonts w:ascii="Times New Roman" w:hAnsi="Times New Roman"/>
          <w:i/>
          <w:sz w:val="20"/>
          <w:u w:val="single"/>
        </w:rPr>
        <w:t>Hoge Raad der Nederlanden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Based upon and subject to the foregoing and subject to the qualifications set forth below and having due regard for such legal considerations as we deem relevant, we are of the opinion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has been duly incorporated under the laws of the former Netherlands Antilles, is currently validly existing under the laws of Curaçao and has all requisite corporate power and authority to own its properties and to conduct its business within the limits of its objects clause as set forth in article 2 of the Articles of Association. The Company has been duly registered with the Curaçao Commercial Register under number 1674.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due authorization of a particular award as provided in and in accordance with the 2017 Plan, the Shares issuable pursuant to such award will have been duly authorized by all necessary corporate action on the part of the Company. Upon issuance and delivery of such Shares from time to time pursuant to and in accordance with the terms of the 2017 Plan and the applicable award, including, without limitation, the lapse of any restrictions relating thereto, the satisfaction of any performance conditions associated therewith and any requisite determinations by or pursuant to the authority of the Board or a duly constituted authorized committee thereof as provided therein, and, in the case of stock option awards, payment of the exercise price fixed in such option at least equal to the par value of such Shares, such Shares will be validly issued, fully paid and non-assessable.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personal liability will attach to the holders of the Shares under the laws of Curaçao by reason of their being stockholders of the Company.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14 August 2026 </w:t>
      </w:r>
    </w:p>
    <w:p>
      <w:pPr>
        <w:pStyle w:val="TextBody"/>
        <w:bidi w:val="0"/>
        <w:spacing w:before="0" w:after="0"/>
        <w:jc w:val="left"/>
        <w:rPr>
          <w:rFonts w:ascii="Times New Roman" w:hAnsi="Times New Roman"/>
          <w:sz w:val="20"/>
        </w:rPr>
      </w:pPr>
      <w:r>
        <w:rPr>
          <w:rFonts w:ascii="Times New Roman" w:hAnsi="Times New Roman"/>
          <w:sz w:val="20"/>
        </w:rPr>
        <w:t xml:space="preserve">Page 4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consents, approvals, authorizations or other orders of Curaçao governmental authorities are legally required for the issuance of the Shares by the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opinion is strictly limited to the matters stated herein and may not read as extending by implication to any matters not specifically referred to herein, including tax matters.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filing of this opinion as an exhibit to the Registration Statement. In giving such consent, we do not thereby concede that we are within the category of persons whose consent is required under Section 7 of the Securities Act or the rules and regulations of the Securities and Exchange Commission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Sincerely yours, </w:t>
      </w:r>
    </w:p>
    <w:p>
      <w:pPr>
        <w:pStyle w:val="TextBody"/>
        <w:bidi w:val="0"/>
        <w:spacing w:before="240" w:after="0"/>
        <w:jc w:val="left"/>
        <w:rPr>
          <w:rFonts w:ascii="Times New Roman" w:hAnsi="Times New Roman"/>
          <w:sz w:val="20"/>
        </w:rPr>
      </w:pPr>
      <w:r>
        <w:rPr>
          <w:rFonts w:ascii="Times New Roman" w:hAnsi="Times New Roman"/>
          <w:sz w:val="20"/>
        </w:rPr>
        <w:t xml:space="preserve">/s/ STvB Advocaten (Europe) N.V. </w:t>
      </w:r>
    </w:p>
    <w:p>
      <w:pPr>
        <w:pStyle w:val="TextBody"/>
        <w:bidi w:val="0"/>
        <w:spacing w:before="0" w:after="0"/>
        <w:jc w:val="right"/>
        <w:rPr>
          <w:rFonts w:ascii="Times New Roman" w:hAnsi="Times New Roman"/>
          <w:b/>
          <w:sz w:val="20"/>
        </w:rPr>
      </w:pPr>
      <w:bookmarkStart w:id="4" w:name="d140805dex231.htm"/>
      <w:bookmarkStart w:id="5" w:name="ksd140805dex231"/>
      <w:bookmarkEnd w:id="4"/>
      <w:bookmarkEnd w:id="5"/>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incorporation by reference in this Registration Statement on Form S-8 of SLB Limited of our report dated January 23, 2026 relating to the consolidated financial statements and the effectiveness of internal control over financial reporting, which appears in SLB Limited’s Annual Report on Form 10-K for the year ended December 31,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/s/ PricewaterhouseCoopers LLP</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Houston, Texas</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August 14, 2026</w:t>
            </w:r>
          </w:p>
        </w:tc>
      </w:tr>
    </w:tbl>
    <w:p>
      <w:pPr>
        <w:pStyle w:val="TextBody"/>
        <w:bidi w:val="0"/>
        <w:spacing w:before="0" w:after="0"/>
        <w:jc w:val="right"/>
        <w:rPr>
          <w:rFonts w:ascii="Times New Roman" w:hAnsi="Times New Roman"/>
          <w:b/>
          <w:sz w:val="20"/>
        </w:rPr>
      </w:pPr>
      <w:bookmarkStart w:id="6" w:name="d140805dex24.htm"/>
      <w:bookmarkStart w:id="7" w:name="ksd140805dex24"/>
      <w:bookmarkEnd w:id="6"/>
      <w:bookmarkEnd w:id="7"/>
      <w:r>
        <w:rPr>
          <w:rFonts w:ascii="Times New Roman" w:hAnsi="Times New Roman"/>
          <w:b/>
          <w:sz w:val="20"/>
        </w:rPr>
        <w:t xml:space="preserve">Exhibit 24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Each of the undersigned, being a director or officer, or both, of SLB N.V. (SLB Limited), a Curaçao corporation (the “Company”), hereby constitutes and appoints Howard Guild and Dianne B. Ralston, and each of them, his or her true and lawful attorney-in-fact and agent, with full and several power of substitution, resubstitution and revocation and to act with or without the others, for him or her and in his or her name, place and stead in any and all capacities: (i) to sign this Registration Statement under the Securities Act of 1933, as amended (the “Securities Act”), with respect to the registration of 43,401,574 shares of common stock, par value $0.01 per share, of the Company (the “Shares”) to be offered and issued under the 2017 SLB Omnibus Stock Incentive Plan, as amended and restated effective January 22, 2026, on Form S-8, any amendments thereto, and all post-effective amendments and supplements to this Registration Statement for the registration of the Shares; and (ii) to file this Registration Statement and any and all amendments and supplements thereto, with any exhibits thereto, and other documents in connection therewith, with the Securities and Exchange Commission, in each case, in such forms as they or any one of them may approve, granting unto said attorneys-in-fact and agents, and each of them, full power and authority to do and perform each and every act and thing requisite and necessary to be done to the end that such Registration Statement or Registration Statements will comply with the Securities Act, and the applicable Rules and Regulations adopted or issued pursuant thereto, as fully and to all intents and purposes as he or she might or could do in person, hereby ratifying and confirming all that said attorneys-in-fact and agents, or any of them or their substitute or resubstitute,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This Power of Attorney may be signed in any number of counterparts, each of which will constitute an original and all of which, taken together, will constitute one Power of Attorney. </w:t>
      </w:r>
    </w:p>
    <w:p>
      <w:pPr>
        <w:pStyle w:val="TextBody"/>
        <w:bidi w:val="0"/>
        <w:spacing w:before="360" w:after="0"/>
        <w:jc w:val="left"/>
        <w:rPr>
          <w:rFonts w:ascii="Times New Roman" w:hAnsi="Times New Roman"/>
          <w:sz w:val="20"/>
        </w:rPr>
      </w:pPr>
      <w:r>
        <w:rPr>
          <w:rFonts w:ascii="Times New Roman" w:hAnsi="Times New Roman"/>
          <w:sz w:val="20"/>
        </w:rPr>
        <w:t xml:space="preserve">Date: August 14,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797"/>
        <w:gridCol w:w="101"/>
        <w:gridCol w:w="408"/>
        <w:gridCol w:w="101"/>
        <w:gridCol w:w="4798"/>
      </w:tblGrid>
      <w:tr>
        <w:trPr/>
        <w:tc>
          <w:tcPr>
            <w:tcW w:w="479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798"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797"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4899" w:type="dxa"/>
            <w:gridSpan w:val="2"/>
            <w:tcBorders/>
            <w:vAlign w:val="center"/>
          </w:tcPr>
          <w:p>
            <w:pPr>
              <w:pStyle w:val="TableContents"/>
              <w:bidi w:val="0"/>
              <w:spacing w:before="0" w:after="283"/>
              <w:jc w:val="left"/>
              <w:rPr>
                <w:sz w:val="4"/>
                <w:szCs w:val="4"/>
              </w:rPr>
            </w:pPr>
            <w:r>
              <w:rPr>
                <w:sz w:val="4"/>
                <w:szCs w:val="4"/>
              </w:rPr>
            </w:r>
          </w:p>
        </w:tc>
      </w:tr>
      <w:tr>
        <w:trPr/>
        <w:tc>
          <w:tcPr>
            <w:tcW w:w="4797" w:type="dxa"/>
            <w:tcBorders>
              <w:bottom w:val="single" w:sz="2" w:space="0" w:color="000000"/>
            </w:tcBorders>
            <w:tcMar>
              <w:bottom w:w="28" w:type="dxa"/>
            </w:tcMar>
          </w:tcPr>
          <w:p>
            <w:pPr>
              <w:pStyle w:val="TableContents"/>
              <w:bidi w:val="0"/>
              <w:spacing w:before="0" w:after="283"/>
              <w:jc w:val="center"/>
              <w:rPr/>
            </w:pPr>
            <w:r>
              <w:rPr/>
              <w:t>/s/ Peter Coleman</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4798" w:type="dxa"/>
            <w:tcBorders>
              <w:bottom w:val="single" w:sz="2" w:space="0" w:color="000000"/>
            </w:tcBorders>
            <w:tcMar>
              <w:bottom w:w="28" w:type="dxa"/>
            </w:tcMar>
          </w:tcPr>
          <w:p>
            <w:pPr>
              <w:pStyle w:val="TableContents"/>
              <w:bidi w:val="0"/>
              <w:spacing w:before="0" w:after="283"/>
              <w:jc w:val="center"/>
              <w:rPr/>
            </w:pPr>
            <w:r>
              <w:rPr/>
              <w:t>/s/ Samuel Leupold</w:t>
            </w:r>
          </w:p>
        </w:tc>
      </w:tr>
      <w:tr>
        <w:trPr/>
        <w:tc>
          <w:tcPr>
            <w:tcW w:w="4797" w:type="dxa"/>
            <w:tcBorders/>
          </w:tcPr>
          <w:p>
            <w:pPr>
              <w:pStyle w:val="TableContents"/>
              <w:bidi w:val="0"/>
              <w:spacing w:before="0" w:after="0"/>
              <w:jc w:val="center"/>
              <w:rPr>
                <w:rFonts w:ascii="Times New Roman" w:hAnsi="Times New Roman"/>
                <w:sz w:val="20"/>
              </w:rPr>
            </w:pPr>
            <w:r>
              <w:rPr>
                <w:rFonts w:ascii="Times New Roman" w:hAnsi="Times New Roman"/>
                <w:sz w:val="20"/>
              </w:rPr>
              <w:t>Peter Coleman</w:t>
            </w:r>
          </w:p>
          <w:p>
            <w:pPr>
              <w:pStyle w:val="TableContents"/>
              <w:bidi w:val="0"/>
              <w:spacing w:before="0" w:after="20"/>
              <w:jc w:val="center"/>
              <w:rPr>
                <w:rFonts w:ascii="Times New Roman" w:hAnsi="Times New Roman"/>
                <w:sz w:val="20"/>
              </w:rPr>
            </w:pPr>
            <w:r>
              <w:rPr>
                <w:rFonts w:ascii="Times New Roman" w:hAnsi="Times New Roman"/>
                <w:sz w:val="20"/>
              </w:rPr>
              <w:t>Director</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Samuel Leupold</w:t>
            </w:r>
          </w:p>
          <w:p>
            <w:pPr>
              <w:pStyle w:val="TableContents"/>
              <w:bidi w:val="0"/>
              <w:spacing w:before="0" w:after="20"/>
              <w:jc w:val="center"/>
              <w:rPr>
                <w:rFonts w:ascii="Times New Roman" w:hAnsi="Times New Roman"/>
                <w:sz w:val="20"/>
              </w:rPr>
            </w:pPr>
            <w:r>
              <w:rPr>
                <w:rFonts w:ascii="Times New Roman" w:hAnsi="Times New Roman"/>
                <w:sz w:val="20"/>
              </w:rPr>
              <w:t>Director</w:t>
            </w:r>
          </w:p>
        </w:tc>
      </w:tr>
      <w:tr>
        <w:trPr>
          <w:trHeight w:val="240" w:hRule="atLeast"/>
        </w:trPr>
        <w:tc>
          <w:tcPr>
            <w:tcW w:w="4797"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4899" w:type="dxa"/>
            <w:gridSpan w:val="2"/>
            <w:tcBorders/>
            <w:vAlign w:val="center"/>
          </w:tcPr>
          <w:p>
            <w:pPr>
              <w:pStyle w:val="TableContents"/>
              <w:bidi w:val="0"/>
              <w:spacing w:before="0" w:after="283"/>
              <w:jc w:val="left"/>
              <w:rPr>
                <w:sz w:val="4"/>
                <w:szCs w:val="4"/>
              </w:rPr>
            </w:pPr>
            <w:r>
              <w:rPr>
                <w:sz w:val="4"/>
                <w:szCs w:val="4"/>
              </w:rPr>
            </w:r>
          </w:p>
        </w:tc>
      </w:tr>
      <w:tr>
        <w:trPr/>
        <w:tc>
          <w:tcPr>
            <w:tcW w:w="4797" w:type="dxa"/>
            <w:tcBorders>
              <w:bottom w:val="single" w:sz="2" w:space="0" w:color="000000"/>
            </w:tcBorders>
            <w:tcMar>
              <w:bottom w:w="28" w:type="dxa"/>
            </w:tcMar>
          </w:tcPr>
          <w:p>
            <w:pPr>
              <w:pStyle w:val="TableContents"/>
              <w:bidi w:val="0"/>
              <w:spacing w:before="0" w:after="283"/>
              <w:jc w:val="center"/>
              <w:rPr/>
            </w:pPr>
            <w:r>
              <w:rPr/>
              <w:t>/s/ Patrick de La Chevardière</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4798" w:type="dxa"/>
            <w:tcBorders>
              <w:bottom w:val="single" w:sz="2" w:space="0" w:color="000000"/>
            </w:tcBorders>
            <w:tcMar>
              <w:bottom w:w="28" w:type="dxa"/>
            </w:tcMar>
          </w:tcPr>
          <w:p>
            <w:pPr>
              <w:pStyle w:val="TableContents"/>
              <w:bidi w:val="0"/>
              <w:spacing w:before="0" w:after="283"/>
              <w:jc w:val="center"/>
              <w:rPr/>
            </w:pPr>
            <w:r>
              <w:rPr/>
              <w:t>/s/ Maria Moræus Hanssen</w:t>
            </w:r>
          </w:p>
        </w:tc>
      </w:tr>
      <w:tr>
        <w:trPr/>
        <w:tc>
          <w:tcPr>
            <w:tcW w:w="4797" w:type="dxa"/>
            <w:tcBorders/>
          </w:tcPr>
          <w:p>
            <w:pPr>
              <w:pStyle w:val="TableContents"/>
              <w:bidi w:val="0"/>
              <w:spacing w:before="0" w:after="0"/>
              <w:jc w:val="center"/>
              <w:rPr>
                <w:rFonts w:ascii="Times New Roman" w:hAnsi="Times New Roman"/>
                <w:sz w:val="20"/>
              </w:rPr>
            </w:pPr>
            <w:r>
              <w:rPr>
                <w:rFonts w:ascii="Times New Roman" w:hAnsi="Times New Roman"/>
                <w:sz w:val="20"/>
              </w:rPr>
              <w:t>Patrick de La Chevardière</w:t>
            </w:r>
          </w:p>
          <w:p>
            <w:pPr>
              <w:pStyle w:val="TableContents"/>
              <w:bidi w:val="0"/>
              <w:spacing w:before="0" w:after="20"/>
              <w:jc w:val="center"/>
              <w:rPr>
                <w:rFonts w:ascii="Times New Roman" w:hAnsi="Times New Roman"/>
                <w:sz w:val="20"/>
              </w:rPr>
            </w:pPr>
            <w:r>
              <w:rPr>
                <w:rFonts w:ascii="Times New Roman" w:hAnsi="Times New Roman"/>
                <w:sz w:val="20"/>
              </w:rPr>
              <w:t>Director</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Maria Moræus Hanssen</w:t>
            </w:r>
          </w:p>
          <w:p>
            <w:pPr>
              <w:pStyle w:val="TableContents"/>
              <w:bidi w:val="0"/>
              <w:spacing w:before="0" w:after="20"/>
              <w:jc w:val="center"/>
              <w:rPr>
                <w:rFonts w:ascii="Times New Roman" w:hAnsi="Times New Roman"/>
                <w:sz w:val="20"/>
              </w:rPr>
            </w:pPr>
            <w:r>
              <w:rPr>
                <w:rFonts w:ascii="Times New Roman" w:hAnsi="Times New Roman"/>
                <w:sz w:val="20"/>
              </w:rPr>
              <w:t>Director</w:t>
            </w:r>
          </w:p>
        </w:tc>
      </w:tr>
      <w:tr>
        <w:trPr>
          <w:trHeight w:val="240" w:hRule="atLeast"/>
        </w:trPr>
        <w:tc>
          <w:tcPr>
            <w:tcW w:w="4797"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4899" w:type="dxa"/>
            <w:gridSpan w:val="2"/>
            <w:tcBorders/>
            <w:vAlign w:val="center"/>
          </w:tcPr>
          <w:p>
            <w:pPr>
              <w:pStyle w:val="TableContents"/>
              <w:bidi w:val="0"/>
              <w:spacing w:before="0" w:after="283"/>
              <w:jc w:val="left"/>
              <w:rPr>
                <w:sz w:val="4"/>
                <w:szCs w:val="4"/>
              </w:rPr>
            </w:pPr>
            <w:r>
              <w:rPr>
                <w:sz w:val="4"/>
                <w:szCs w:val="4"/>
              </w:rPr>
            </w:r>
          </w:p>
        </w:tc>
      </w:tr>
      <w:tr>
        <w:trPr/>
        <w:tc>
          <w:tcPr>
            <w:tcW w:w="4797" w:type="dxa"/>
            <w:tcBorders>
              <w:bottom w:val="single" w:sz="2" w:space="0" w:color="000000"/>
            </w:tcBorders>
            <w:tcMar>
              <w:bottom w:w="28" w:type="dxa"/>
            </w:tcMar>
          </w:tcPr>
          <w:p>
            <w:pPr>
              <w:pStyle w:val="TableContents"/>
              <w:bidi w:val="0"/>
              <w:spacing w:before="0" w:after="283"/>
              <w:jc w:val="center"/>
              <w:rPr/>
            </w:pPr>
            <w:r>
              <w:rPr/>
              <w:t>/s/ Miguel Galuccio</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4798" w:type="dxa"/>
            <w:tcBorders>
              <w:bottom w:val="single" w:sz="2" w:space="0" w:color="000000"/>
            </w:tcBorders>
            <w:tcMar>
              <w:bottom w:w="28" w:type="dxa"/>
            </w:tcMar>
          </w:tcPr>
          <w:p>
            <w:pPr>
              <w:pStyle w:val="TableContents"/>
              <w:bidi w:val="0"/>
              <w:spacing w:before="0" w:after="283"/>
              <w:jc w:val="center"/>
              <w:rPr/>
            </w:pPr>
            <w:r>
              <w:rPr/>
              <w:t>/s/ Vanitha Narayanan</w:t>
            </w:r>
          </w:p>
        </w:tc>
      </w:tr>
      <w:tr>
        <w:trPr/>
        <w:tc>
          <w:tcPr>
            <w:tcW w:w="4797" w:type="dxa"/>
            <w:tcBorders/>
          </w:tcPr>
          <w:p>
            <w:pPr>
              <w:pStyle w:val="TableContents"/>
              <w:bidi w:val="0"/>
              <w:spacing w:before="0" w:after="0"/>
              <w:jc w:val="center"/>
              <w:rPr>
                <w:rFonts w:ascii="Times New Roman" w:hAnsi="Times New Roman"/>
                <w:sz w:val="20"/>
              </w:rPr>
            </w:pPr>
            <w:r>
              <w:rPr>
                <w:rFonts w:ascii="Times New Roman" w:hAnsi="Times New Roman"/>
                <w:sz w:val="20"/>
              </w:rPr>
              <w:t>Miguel Galuccio</w:t>
            </w:r>
          </w:p>
          <w:p>
            <w:pPr>
              <w:pStyle w:val="TableContents"/>
              <w:bidi w:val="0"/>
              <w:spacing w:before="0" w:after="20"/>
              <w:jc w:val="center"/>
              <w:rPr>
                <w:rFonts w:ascii="Times New Roman" w:hAnsi="Times New Roman"/>
                <w:sz w:val="20"/>
              </w:rPr>
            </w:pPr>
            <w:r>
              <w:rPr>
                <w:rFonts w:ascii="Times New Roman" w:hAnsi="Times New Roman"/>
                <w:sz w:val="20"/>
              </w:rPr>
              <w:t>Director</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Vanitha Narayanan</w:t>
            </w:r>
          </w:p>
          <w:p>
            <w:pPr>
              <w:pStyle w:val="TableContents"/>
              <w:bidi w:val="0"/>
              <w:spacing w:before="0" w:after="20"/>
              <w:jc w:val="center"/>
              <w:rPr>
                <w:rFonts w:ascii="Times New Roman" w:hAnsi="Times New Roman"/>
                <w:sz w:val="20"/>
              </w:rPr>
            </w:pPr>
            <w:r>
              <w:rPr>
                <w:rFonts w:ascii="Times New Roman" w:hAnsi="Times New Roman"/>
                <w:sz w:val="20"/>
              </w:rPr>
              <w:t>Director</w:t>
            </w:r>
          </w:p>
        </w:tc>
      </w:tr>
      <w:tr>
        <w:trPr>
          <w:trHeight w:val="240" w:hRule="atLeast"/>
        </w:trPr>
        <w:tc>
          <w:tcPr>
            <w:tcW w:w="4797"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4899" w:type="dxa"/>
            <w:gridSpan w:val="2"/>
            <w:tcBorders/>
            <w:vAlign w:val="center"/>
          </w:tcPr>
          <w:p>
            <w:pPr>
              <w:pStyle w:val="TableContents"/>
              <w:bidi w:val="0"/>
              <w:spacing w:before="0" w:after="283"/>
              <w:jc w:val="left"/>
              <w:rPr>
                <w:sz w:val="4"/>
                <w:szCs w:val="4"/>
              </w:rPr>
            </w:pPr>
            <w:r>
              <w:rPr>
                <w:sz w:val="4"/>
                <w:szCs w:val="4"/>
              </w:rPr>
            </w:r>
          </w:p>
        </w:tc>
      </w:tr>
      <w:tr>
        <w:trPr/>
        <w:tc>
          <w:tcPr>
            <w:tcW w:w="4797" w:type="dxa"/>
            <w:tcBorders>
              <w:bottom w:val="single" w:sz="2" w:space="0" w:color="000000"/>
            </w:tcBorders>
            <w:tcMar>
              <w:bottom w:w="28" w:type="dxa"/>
            </w:tcMar>
          </w:tcPr>
          <w:p>
            <w:pPr>
              <w:pStyle w:val="TableContents"/>
              <w:bidi w:val="0"/>
              <w:spacing w:before="0" w:after="283"/>
              <w:jc w:val="center"/>
              <w:rPr/>
            </w:pPr>
            <w:r>
              <w:rPr/>
              <w:t>/s/ James Hackett</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4798" w:type="dxa"/>
            <w:tcBorders>
              <w:bottom w:val="single" w:sz="2" w:space="0" w:color="000000"/>
            </w:tcBorders>
            <w:tcMar>
              <w:bottom w:w="28" w:type="dxa"/>
            </w:tcMar>
          </w:tcPr>
          <w:p>
            <w:pPr>
              <w:pStyle w:val="TableContents"/>
              <w:bidi w:val="0"/>
              <w:spacing w:before="0" w:after="283"/>
              <w:jc w:val="center"/>
              <w:rPr/>
            </w:pPr>
            <w:r>
              <w:rPr/>
              <w:t>/s/ Jeff Sheets</w:t>
            </w:r>
          </w:p>
        </w:tc>
      </w:tr>
      <w:tr>
        <w:trPr/>
        <w:tc>
          <w:tcPr>
            <w:tcW w:w="4797" w:type="dxa"/>
            <w:tcBorders/>
          </w:tcPr>
          <w:p>
            <w:pPr>
              <w:pStyle w:val="TableContents"/>
              <w:bidi w:val="0"/>
              <w:spacing w:before="0" w:after="0"/>
              <w:jc w:val="center"/>
              <w:rPr>
                <w:rFonts w:ascii="Times New Roman" w:hAnsi="Times New Roman"/>
                <w:sz w:val="20"/>
              </w:rPr>
            </w:pPr>
            <w:r>
              <w:rPr>
                <w:rFonts w:ascii="Times New Roman" w:hAnsi="Times New Roman"/>
                <w:sz w:val="20"/>
              </w:rPr>
              <w:t>James Hackett</w:t>
            </w:r>
          </w:p>
          <w:p>
            <w:pPr>
              <w:pStyle w:val="TableContents"/>
              <w:bidi w:val="0"/>
              <w:spacing w:before="0" w:after="20"/>
              <w:jc w:val="center"/>
              <w:rPr>
                <w:rFonts w:ascii="Times New Roman" w:hAnsi="Times New Roman"/>
                <w:sz w:val="20"/>
              </w:rPr>
            </w:pPr>
            <w:r>
              <w:rPr>
                <w:rFonts w:ascii="Times New Roman" w:hAnsi="Times New Roman"/>
                <w:sz w:val="20"/>
              </w:rPr>
              <w:t>Chairman of the Board</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Jeff Sheets</w:t>
            </w:r>
          </w:p>
          <w:p>
            <w:pPr>
              <w:pStyle w:val="TableContents"/>
              <w:bidi w:val="0"/>
              <w:spacing w:before="0" w:after="20"/>
              <w:jc w:val="center"/>
              <w:rPr>
                <w:rFonts w:ascii="Times New Roman" w:hAnsi="Times New Roman"/>
                <w:sz w:val="20"/>
              </w:rPr>
            </w:pPr>
            <w:r>
              <w:rPr>
                <w:rFonts w:ascii="Times New Roman" w:hAnsi="Times New Roman"/>
                <w:sz w:val="20"/>
              </w:rPr>
              <w:t>Director</w:t>
            </w:r>
          </w:p>
        </w:tc>
      </w:tr>
      <w:tr>
        <w:trPr>
          <w:trHeight w:val="240" w:hRule="atLeast"/>
        </w:trPr>
        <w:tc>
          <w:tcPr>
            <w:tcW w:w="4797"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4899" w:type="dxa"/>
            <w:gridSpan w:val="2"/>
            <w:tcBorders/>
            <w:vAlign w:val="center"/>
          </w:tcPr>
          <w:p>
            <w:pPr>
              <w:pStyle w:val="TableContents"/>
              <w:bidi w:val="0"/>
              <w:spacing w:before="0" w:after="283"/>
              <w:jc w:val="left"/>
              <w:rPr>
                <w:sz w:val="4"/>
                <w:szCs w:val="4"/>
              </w:rPr>
            </w:pPr>
            <w:r>
              <w:rPr>
                <w:sz w:val="4"/>
                <w:szCs w:val="4"/>
              </w:rPr>
            </w:r>
          </w:p>
        </w:tc>
      </w:tr>
      <w:tr>
        <w:trPr/>
        <w:tc>
          <w:tcPr>
            <w:tcW w:w="4797" w:type="dxa"/>
            <w:tcBorders>
              <w:bottom w:val="single" w:sz="2" w:space="0" w:color="000000"/>
            </w:tcBorders>
            <w:tcMar>
              <w:bottom w:w="28" w:type="dxa"/>
            </w:tcMar>
          </w:tcPr>
          <w:p>
            <w:pPr>
              <w:pStyle w:val="TableContents"/>
              <w:bidi w:val="0"/>
              <w:spacing w:before="0" w:after="283"/>
              <w:jc w:val="center"/>
              <w:rPr/>
            </w:pPr>
            <w:r>
              <w:rPr/>
              <w:t>/s/ Olivier Le Peuch</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4798" w:type="dxa"/>
            <w:tcBorders>
              <w:bottom w:val="single" w:sz="2" w:space="0" w:color="000000"/>
            </w:tcBorders>
            <w:tcMar>
              <w:bottom w:w="28" w:type="dxa"/>
            </w:tcMar>
          </w:tcPr>
          <w:p>
            <w:pPr>
              <w:pStyle w:val="TableContents"/>
              <w:bidi w:val="0"/>
              <w:spacing w:before="0" w:after="283"/>
              <w:jc w:val="center"/>
              <w:rPr/>
            </w:pPr>
            <w:r>
              <w:rPr/>
              <w:t>/s/ Stephane Biguet</w:t>
            </w:r>
          </w:p>
        </w:tc>
      </w:tr>
      <w:tr>
        <w:trPr/>
        <w:tc>
          <w:tcPr>
            <w:tcW w:w="4797" w:type="dxa"/>
            <w:tcBorders/>
          </w:tcPr>
          <w:p>
            <w:pPr>
              <w:pStyle w:val="TableContents"/>
              <w:bidi w:val="0"/>
              <w:spacing w:before="0" w:after="0"/>
              <w:jc w:val="center"/>
              <w:rPr>
                <w:rFonts w:ascii="Times New Roman" w:hAnsi="Times New Roman"/>
                <w:sz w:val="20"/>
              </w:rPr>
            </w:pPr>
            <w:r>
              <w:rPr>
                <w:rFonts w:ascii="Times New Roman" w:hAnsi="Times New Roman"/>
                <w:sz w:val="20"/>
              </w:rPr>
              <w:t>Olivier Le Peuch</w:t>
            </w:r>
          </w:p>
          <w:p>
            <w:pPr>
              <w:pStyle w:val="TableContents"/>
              <w:bidi w:val="0"/>
              <w:spacing w:before="0" w:after="20"/>
              <w:jc w:val="center"/>
              <w:rPr>
                <w:rFonts w:ascii="Times New Roman" w:hAnsi="Times New Roman"/>
                <w:sz w:val="20"/>
              </w:rPr>
            </w:pPr>
            <w:r>
              <w:rPr>
                <w:rFonts w:ascii="Times New Roman" w:hAnsi="Times New Roman"/>
                <w:sz w:val="20"/>
              </w:rPr>
              <w:t>Chief Executive Officer and Director</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Stephane Biguet</w:t>
            </w:r>
          </w:p>
          <w:p>
            <w:pPr>
              <w:pStyle w:val="TableContents"/>
              <w:bidi w:val="0"/>
              <w:spacing w:before="0" w:after="0"/>
              <w:jc w:val="center"/>
              <w:rPr>
                <w:rFonts w:ascii="Times New Roman" w:hAnsi="Times New Roman"/>
                <w:sz w:val="20"/>
              </w:rPr>
            </w:pPr>
            <w:r>
              <w:rPr>
                <w:rFonts w:ascii="Times New Roman" w:hAnsi="Times New Roman"/>
                <w:sz w:val="20"/>
              </w:rPr>
              <w:t>Executive Vice President and</w:t>
            </w:r>
          </w:p>
          <w:p>
            <w:pPr>
              <w:pStyle w:val="TableContents"/>
              <w:bidi w:val="0"/>
              <w:spacing w:before="0" w:after="20"/>
              <w:jc w:val="center"/>
              <w:rPr>
                <w:rFonts w:ascii="Times New Roman" w:hAnsi="Times New Roman"/>
                <w:sz w:val="20"/>
              </w:rPr>
            </w:pPr>
            <w:r>
              <w:rPr>
                <w:rFonts w:ascii="Times New Roman" w:hAnsi="Times New Roman"/>
                <w:sz w:val="20"/>
              </w:rPr>
              <w:t>Chief Financial Officer</w:t>
            </w:r>
          </w:p>
        </w:tc>
      </w:tr>
    </w:tbl>
    <w:p>
      <w:pPr>
        <w:pStyle w:val="Normal"/>
        <w:bidi w:val="0"/>
        <w:spacing w:before="0" w:after="0"/>
        <w:jc w:val="left"/>
        <w:rPr>
          <w:sz w:val="4"/>
          <w:szCs w:val="4"/>
        </w:rPr>
      </w:pPr>
      <w:r>
        <w:rPr>
          <w:sz w:val="4"/>
          <w:szCs w:val="4"/>
        </w:rPr>
      </w:r>
      <w:bookmarkStart w:id="8" w:name="d140805dexfilingfees.htm"/>
      <w:bookmarkStart w:id="9" w:name="ksd140805dexfilingfees"/>
      <w:bookmarkStart w:id="10" w:name="d140805dexfilingfees.htm"/>
      <w:bookmarkStart w:id="11" w:name="ksd140805dexfilingfees"/>
      <w:bookmarkEnd w:id="10"/>
      <w:bookmarkEnd w:id="11"/>
      <w:r>
        <w:br w:type="page"/>
      </w:r>
    </w:p>
    <w:tbl>
      <w:tblPr>
        <w:tblW w:w="3569" w:type="dxa"/>
        <w:jc w:val="left"/>
        <w:tblInd w:w="0" w:type="dxa"/>
        <w:tblLayout w:type="fixed"/>
        <w:tblCellMar>
          <w:top w:w="28" w:type="dxa"/>
          <w:left w:w="28" w:type="dxa"/>
          <w:bottom w:w="28" w:type="dxa"/>
          <w:right w:w="28" w:type="dxa"/>
        </w:tblCellMar>
      </w:tblPr>
      <w:tblGrid>
        <w:gridCol w:w="3415"/>
        <w:gridCol w:w="154"/>
      </w:tblGrid>
      <w:tr>
        <w:trPr/>
        <w:tc>
          <w:tcPr>
            <w:tcW w:w="3569"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5"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15" w:type="dxa"/>
            <w:tcBorders/>
            <w:vAlign w:val="center"/>
          </w:tcPr>
          <w:p>
            <w:pPr>
              <w:pStyle w:val="TableContents"/>
              <w:bidi w:val="0"/>
              <w:spacing w:before="0" w:after="283"/>
              <w:jc w:val="left"/>
              <w:rPr>
                <w:b/>
              </w:rPr>
            </w:pPr>
            <w:r>
              <w:rPr>
                <w:b/>
              </w:rPr>
              <w:t xml:space="preserve">SLB LIMITED/NV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99" w:type="dxa"/>
        <w:jc w:val="left"/>
        <w:tblInd w:w="0" w:type="dxa"/>
        <w:tblLayout w:type="fixed"/>
        <w:tblCellMar>
          <w:top w:w="28" w:type="dxa"/>
          <w:left w:w="28" w:type="dxa"/>
          <w:bottom w:w="28" w:type="dxa"/>
          <w:right w:w="28" w:type="dxa"/>
        </w:tblCellMar>
      </w:tblPr>
      <w:tblGrid>
        <w:gridCol w:w="241"/>
        <w:gridCol w:w="946"/>
        <w:gridCol w:w="991"/>
        <w:gridCol w:w="1276"/>
        <w:gridCol w:w="1186"/>
        <w:gridCol w:w="1156"/>
        <w:gridCol w:w="1966"/>
        <w:gridCol w:w="1126"/>
        <w:gridCol w:w="1411"/>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9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1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$0.01 par value per share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43,401,574 </w:t>
            </w:r>
          </w:p>
        </w:tc>
        <w:tc>
          <w:tcPr>
            <w:tcW w:w="1156" w:type="dxa"/>
            <w:tcBorders/>
            <w:shd w:fill="E7E7E2" w:val="clear"/>
            <w:vAlign w:val="center"/>
          </w:tcPr>
          <w:p>
            <w:pPr>
              <w:pStyle w:val="TableContents"/>
              <w:bidi w:val="0"/>
              <w:spacing w:before="0" w:after="283"/>
              <w:jc w:val="right"/>
              <w:rPr/>
            </w:pPr>
            <w:r>
              <w:rPr/>
              <w:t xml:space="preserve">$ 51.95 </w:t>
            </w:r>
          </w:p>
        </w:tc>
        <w:tc>
          <w:tcPr>
            <w:tcW w:w="1966" w:type="dxa"/>
            <w:tcBorders/>
            <w:shd w:fill="E7E7E2" w:val="clear"/>
            <w:vAlign w:val="center"/>
          </w:tcPr>
          <w:p>
            <w:pPr>
              <w:pStyle w:val="TableContents"/>
              <w:bidi w:val="0"/>
              <w:spacing w:before="0" w:after="283"/>
              <w:jc w:val="right"/>
              <w:rPr/>
            </w:pPr>
            <w:r>
              <w:rPr/>
              <w:t xml:space="preserve">$ 2,254,711,769.30 </w:t>
            </w:r>
          </w:p>
        </w:tc>
        <w:tc>
          <w:tcPr>
            <w:tcW w:w="1126" w:type="dxa"/>
            <w:tcBorders/>
            <w:shd w:fill="E7E7E2" w:val="clear"/>
            <w:vAlign w:val="center"/>
          </w:tcPr>
          <w:p>
            <w:pPr>
              <w:pStyle w:val="TableContents"/>
              <w:bidi w:val="0"/>
              <w:spacing w:before="0" w:after="283"/>
              <w:jc w:val="right"/>
              <w:rPr/>
            </w:pPr>
            <w:r>
              <w:rPr/>
              <w:t xml:space="preserve">0.0001381 </w:t>
            </w:r>
          </w:p>
        </w:tc>
        <w:tc>
          <w:tcPr>
            <w:tcW w:w="1411" w:type="dxa"/>
            <w:tcBorders/>
            <w:shd w:fill="E7E7E2" w:val="clear"/>
            <w:vAlign w:val="center"/>
          </w:tcPr>
          <w:p>
            <w:pPr>
              <w:pStyle w:val="TableContents"/>
              <w:bidi w:val="0"/>
              <w:spacing w:before="0" w:after="283"/>
              <w:jc w:val="right"/>
              <w:rPr/>
            </w:pPr>
            <w:r>
              <w:rPr/>
              <w:t xml:space="preserve">$ 311,375.70 </w:t>
            </w:r>
          </w:p>
        </w:tc>
      </w:tr>
      <w:tr>
        <w:trPr/>
        <w:tc>
          <w:tcPr>
            <w:tcW w:w="4640" w:type="dxa"/>
            <w:gridSpan w:val="5"/>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0"/>
              <w:ind w:left="0" w:right="0" w:hanging="0"/>
              <w:jc w:val="right"/>
              <w:rPr/>
            </w:pPr>
            <w:bookmarkStart w:id="12" w:name="MaxAggtOfferingPrice"/>
            <w:bookmarkEnd w:id="12"/>
            <w:r>
              <w:rPr/>
              <w:t xml:space="preserve">$ 2,254,711,769.30 </w:t>
            </w:r>
          </w:p>
        </w:tc>
        <w:tc>
          <w:tcPr>
            <w:tcW w:w="1126" w:type="dxa"/>
            <w:tcBorders/>
            <w:vAlign w:val="center"/>
          </w:tcPr>
          <w:p>
            <w:pPr>
              <w:pStyle w:val="TableContents"/>
              <w:bidi w:val="0"/>
              <w:spacing w:before="0" w:after="283"/>
              <w:jc w:val="left"/>
              <w:rPr>
                <w:sz w:val="4"/>
                <w:szCs w:val="4"/>
              </w:rPr>
            </w:pPr>
            <w:r>
              <w:rPr>
                <w:sz w:val="4"/>
                <w:szCs w:val="4"/>
              </w:rPr>
            </w:r>
          </w:p>
        </w:tc>
        <w:tc>
          <w:tcPr>
            <w:tcW w:w="141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3" w:name="TotalFeeAmt"/>
            <w:bookmarkEnd w:id="13"/>
            <w:r>
              <w:rPr/>
              <w:t xml:space="preserve">$ 311,375.70 </w:t>
            </w:r>
          </w:p>
        </w:tc>
      </w:tr>
      <w:tr>
        <w:trPr/>
        <w:tc>
          <w:tcPr>
            <w:tcW w:w="4640" w:type="dxa"/>
            <w:gridSpan w:val="5"/>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0"/>
              <w:ind w:left="0" w:right="0" w:hanging="0"/>
              <w:jc w:val="right"/>
              <w:rPr/>
            </w:pPr>
            <w:bookmarkStart w:id="14" w:name="TotalOffsetAmt"/>
            <w:bookmarkEnd w:id="14"/>
            <w:r>
              <w:rPr/>
              <w:t xml:space="preserve">$ 0.00 </w:t>
            </w:r>
          </w:p>
        </w:tc>
      </w:tr>
      <w:tr>
        <w:trPr/>
        <w:tc>
          <w:tcPr>
            <w:tcW w:w="4640" w:type="dxa"/>
            <w:gridSpan w:val="5"/>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0"/>
              <w:ind w:left="0" w:right="0" w:hanging="0"/>
              <w:jc w:val="right"/>
              <w:rPr/>
            </w:pPr>
            <w:bookmarkStart w:id="15" w:name="NetFeeAmt"/>
            <w:bookmarkEnd w:id="15"/>
            <w:r>
              <w:rPr/>
              <w:t xml:space="preserve">$ 311,375.70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1"/>
        <w:gridCol w:w="1297"/>
        <w:gridCol w:w="8707"/>
      </w:tblGrid>
      <w:tr>
        <w:trPr/>
        <w:tc>
          <w:tcPr>
            <w:tcW w:w="201"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4" w:type="dxa"/>
            <w:gridSpan w:val="2"/>
            <w:tcBorders/>
            <w:vAlign w:val="center"/>
          </w:tcPr>
          <w:p>
            <w:pPr>
              <w:pStyle w:val="TableContents"/>
              <w:bidi w:val="0"/>
              <w:spacing w:before="0" w:after="283"/>
              <w:jc w:val="left"/>
              <w:rPr/>
            </w:pPr>
            <w:r>
              <w:rPr/>
              <w:t xml:space="preserve">(1) Pursuant to Rule 416(a) under the Securities Act of 1933, as amended (the "Securities Act"), this Registration Statement shall also include such additional indeterminate number of shares of common stock of SLB Limited (SLB N.V.) ("SLB") that may become issuable under the 2017 SLB Omnibus Stock Incentive Plan (as amended and restated, the "Plan") as a result of stock splits, stock dividends or similar transactions. The amount includes 3,401,574 shares of common stock that were subject to awards that expired, were cancelled, forfeited or otherwise terminated without shares being issued and are available for future grants under the Plan. (2) Estimated solely for the purpose of calculating the registration fee pursuant to Rule 457(c) and 457(h)(1) of the Securities Act, based on the average of the high and low prices for shares of common stock of SLB reported on the New York Stock Exchange on August 10, 2026.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87347/000119312521347772/d249465ds8.htm" TargetMode="External"/><Relationship Id="rId3" Type="http://schemas.openxmlformats.org/officeDocument/2006/relationships/hyperlink" Target="http://www.sec.gov/Archives/edgar/data/../../../ix?doc=/Archives/edgar/data/87347/000119312526021017/slb-20251231.htm" TargetMode="External"/><Relationship Id="rId4" Type="http://schemas.openxmlformats.org/officeDocument/2006/relationships/hyperlink" Target="http://www.sec.gov/Archives/edgar/data/../../../ix?doc=/Archives/edgar/data/87347/000130817926000024/slb2026-def14a.htm" TargetMode="External"/><Relationship Id="rId5" Type="http://schemas.openxmlformats.org/officeDocument/2006/relationships/hyperlink" Target="http://www.sec.gov/Archives/edgar/data/../../../ix?doc=/Archives/edgar/data/87347/000119312526190101/slb-20260331.htm" TargetMode="External"/><Relationship Id="rId6" Type="http://schemas.openxmlformats.org/officeDocument/2006/relationships/hyperlink" Target="http://www.sec.gov/Archives/edgar/data/../../../ix?doc=/Archives/edgar/data/87347/000119312526322595/slb-20260630.htm" TargetMode="External"/><Relationship Id="rId7" Type="http://schemas.openxmlformats.org/officeDocument/2006/relationships/hyperlink" Target="http://www.sec.gov/Archives/edgar/data/../../../ix?doc=/Archives/edgar/data/87347/000119312526147610/d58029d8k.htm" TargetMode="External"/><Relationship Id="rId8" Type="http://schemas.openxmlformats.org/officeDocument/2006/relationships/hyperlink" Target="http://www.sec.gov/Archives/edgar/data/../../../ix?doc=/Archives/edgar/data/87347/000119312526219818/d340388d8k.htm" TargetMode="External"/><Relationship Id="rId9" Type="http://schemas.openxmlformats.org/officeDocument/2006/relationships/hyperlink" Target="http://www.sec.gov/Archives/edgar/data/87347/000119312526021017/slb-ex4_1.htm" TargetMode="External"/><Relationship Id="rId10" Type="http://schemas.openxmlformats.org/officeDocument/2006/relationships/hyperlink" Target="http://www.sec.gov/Archives/edgar/data/87347/000119312525246028/slb-ex3_1.htm" TargetMode="External"/><Relationship Id="rId11" Type="http://schemas.openxmlformats.org/officeDocument/2006/relationships/hyperlink" Target="http://www.sec.gov/Archives/edgar/data/87347/000119312525246028/slb-ex3_2.htm" TargetMode="External"/><Relationship Id="rId12" Type="http://schemas.openxmlformats.org/officeDocument/2006/relationships/hyperlink" Target="http://www.sec.gov/Archives/edgar/data/87347/000130817926000024/slb2026-def14a.htm"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5860</Words>
  <Characters>30132</Characters>
  <CharactersWithSpaces>36060</CharactersWithSpaces>
  <Paragraphs>500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EX-24</dc:title>
</cp:coreProperties>
</file>