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9185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91858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Olayan Lubna S.</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460" w:type="dxa"/>
            <w:vAlign w:val="bottom"/>
            <w:tcBorders>
              <w:top w:val="single" w:sz="8" w:color="0000EE"/>
              <w:bottom w:val="single" w:sz="8" w:color="9A9A9A"/>
            </w:tcBorders>
          </w:tcPr>
          <w:p>
            <w:pPr>
              <w:spacing w:after="0"/>
              <w:rPr>
                <w:sz w:val="15"/>
                <w:szCs w:val="15"/>
                <w:color w:val="auto"/>
              </w:rPr>
            </w:pPr>
          </w:p>
        </w:tc>
        <w:tc>
          <w:tcPr>
            <w:tcW w:w="17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04/06/2011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SCHLUMBERGER LTD /NV/</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SLB</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87"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(Last)</w:t>
            </w:r>
          </w:p>
        </w:tc>
        <w:tc>
          <w:tcPr>
            <w:tcW w:w="880" w:type="dxa"/>
            <w:vAlign w:val="bottom"/>
          </w:tcPr>
          <w:p>
            <w:pPr>
              <w:ind w:left="14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5599 SAN FELIPE, 17TH FLOOR</w:t>
            </w:r>
          </w:p>
        </w:tc>
      </w:tr>
      <w:tr>
        <w:trPr>
          <w:trHeight w:val="212"/>
        </w:trPr>
        <w:tc>
          <w:tcPr>
            <w:tcW w:w="20" w:type="dxa"/>
            <w:vAlign w:val="bottom"/>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0000FF"/>
              </w:rPr>
              <w:t>HOUSTON</w:t>
            </w:r>
          </w:p>
        </w:tc>
        <w:tc>
          <w:tcPr>
            <w:tcW w:w="880" w:type="dxa"/>
            <w:vAlign w:val="bottom"/>
          </w:tcPr>
          <w:p>
            <w:pPr>
              <w:ind w:left="140"/>
              <w:spacing w:after="0"/>
              <w:rPr>
                <w:sz w:val="20"/>
                <w:szCs w:val="20"/>
                <w:color w:val="auto"/>
              </w:rPr>
            </w:pPr>
            <w:r>
              <w:rPr>
                <w:rFonts w:ascii="Arial" w:cs="Arial" w:eastAsia="Arial" w:hAnsi="Arial"/>
                <w:sz w:val="18"/>
                <w:szCs w:val="18"/>
                <w:color w:val="0000FF"/>
              </w:rPr>
              <w:t>TX</w:t>
            </w:r>
          </w:p>
        </w:tc>
        <w:tc>
          <w:tcPr>
            <w:tcW w:w="1380" w:type="dxa"/>
            <w:vAlign w:val="bottom"/>
          </w:tcPr>
          <w:p>
            <w:pPr>
              <w:ind w:left="340"/>
              <w:spacing w:after="0"/>
              <w:rPr>
                <w:sz w:val="20"/>
                <w:szCs w:val="20"/>
                <w:color w:val="auto"/>
              </w:rPr>
            </w:pPr>
            <w:r>
              <w:rPr>
                <w:rFonts w:ascii="Arial" w:cs="Arial" w:eastAsia="Arial" w:hAnsi="Arial"/>
                <w:sz w:val="18"/>
                <w:szCs w:val="18"/>
                <w:color w:val="0000FF"/>
              </w:rPr>
              <w:t>77056</w:t>
            </w:r>
          </w:p>
        </w:tc>
      </w:tr>
      <w:tr>
        <w:trPr>
          <w:trHeight w:val="158"/>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(City)</w:t>
            </w:r>
          </w:p>
        </w:tc>
        <w:tc>
          <w:tcPr>
            <w:tcW w:w="880" w:type="dxa"/>
            <w:vAlign w:val="bottom"/>
          </w:tcPr>
          <w:p>
            <w:pPr>
              <w:ind w:left="14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140" w:type="dxa"/>
            <w:vAlign w:val="bottom"/>
          </w:tcPr>
          <w:p>
            <w:pPr>
              <w:ind w:left="60"/>
              <w:spacing w:after="0"/>
              <w:rPr>
                <w:sz w:val="20"/>
                <w:szCs w:val="20"/>
                <w:color w:val="auto"/>
              </w:rPr>
            </w:pPr>
            <w:r>
              <w:rPr>
                <w:rFonts w:ascii="Arial" w:cs="Arial" w:eastAsia="Arial" w:hAnsi="Arial"/>
                <w:sz w:val="18"/>
                <w:szCs w:val="18"/>
                <w:color w:val="0000FF"/>
                <w:w w:val="90"/>
              </w:rPr>
              <w:t>Common Stock, $0.01 par value per share</w:t>
            </w: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00" w:type="dxa"/>
            <w:vAlign w:val="bottom"/>
          </w:tcPr>
          <w:p>
            <w:pPr>
              <w:jc w:val="right"/>
              <w:ind w:right="547"/>
              <w:spacing w:after="0"/>
              <w:rPr>
                <w:sz w:val="20"/>
                <w:szCs w:val="20"/>
                <w:color w:val="auto"/>
              </w:rPr>
            </w:pPr>
            <w:r>
              <w:rPr>
                <w:rFonts w:ascii="Arial" w:cs="Arial" w:eastAsia="Arial" w:hAnsi="Arial"/>
                <w:sz w:val="18"/>
                <w:szCs w:val="18"/>
                <w:color w:val="0000FF"/>
              </w:rPr>
              <w:t>0</w:t>
            </w:r>
          </w:p>
        </w:tc>
        <w:tc>
          <w:tcPr>
            <w:tcW w:w="1220" w:type="dxa"/>
            <w:vAlign w:val="bottom"/>
          </w:tcPr>
          <w:p>
            <w:pPr>
              <w:ind w:left="98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314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440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140" w:type="dxa"/>
            <w:vAlign w:val="bottom"/>
            <w:tcBorders>
              <w:top w:val="single" w:sz="8" w:color="2C2C2C"/>
            </w:tcBorders>
          </w:tcPr>
          <w:p>
            <w:pPr>
              <w:spacing w:after="0"/>
              <w:rPr>
                <w:sz w:val="19"/>
                <w:szCs w:val="19"/>
                <w:color w:val="auto"/>
              </w:rPr>
            </w:pPr>
          </w:p>
        </w:tc>
        <w:tc>
          <w:tcPr>
            <w:tcW w:w="44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5720" w:type="dxa"/>
            <w:vAlign w:val="bottom"/>
            <w:gridSpan w:val="6"/>
          </w:tcPr>
          <w:p>
            <w:pPr>
              <w:ind w:left="1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14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44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2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ind w:left="62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00" w:type="dxa"/>
            <w:vAlign w:val="bottom"/>
          </w:tcPr>
          <w:p>
            <w:pPr>
              <w:spacing w:after="0"/>
              <w:rPr>
                <w:sz w:val="12"/>
                <w:szCs w:val="12"/>
                <w:color w:val="auto"/>
              </w:rPr>
            </w:pPr>
          </w:p>
        </w:tc>
        <w:tc>
          <w:tcPr>
            <w:tcW w:w="12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0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220" w:type="dxa"/>
            <w:vAlign w:val="bottom"/>
          </w:tcPr>
          <w:p>
            <w:pPr>
              <w:ind w:left="62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4" w:lineRule="exact"/>
        <w:rPr>
          <w:sz w:val="24"/>
          <w:szCs w:val="24"/>
          <w:color w:val="auto"/>
        </w:rPr>
      </w:pPr>
    </w:p>
    <w:tbl>
      <w:tblPr>
        <w:tblLayout w:type="fixed"/>
        <w:tblInd w:w="40" w:type="dxa"/>
        <w:tblCellMar>
          <w:top w:w="0" w:type="dxa"/>
          <w:left w:w="0" w:type="dxa"/>
          <w:bottom w:w="0" w:type="dxa"/>
          <w:right w:w="0" w:type="dxa"/>
        </w:tblCellMar>
      </w:tblPr>
      <w:tr>
        <w:trPr>
          <w:trHeight w:val="227"/>
        </w:trPr>
        <w:tc>
          <w:tcPr>
            <w:tcW w:w="6820" w:type="dxa"/>
            <w:vAlign w:val="bottom"/>
          </w:tcPr>
          <w:p>
            <w:pPr>
              <w:spacing w:after="0"/>
              <w:rPr>
                <w:sz w:val="19"/>
                <w:szCs w:val="19"/>
                <w:color w:val="auto"/>
              </w:rPr>
            </w:pPr>
          </w:p>
        </w:tc>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Saul R. Laureles, Attorney-in-</w:t>
            </w:r>
          </w:p>
        </w:tc>
        <w:tc>
          <w:tcPr>
            <w:tcW w:w="80" w:type="dxa"/>
            <w:vAlign w:val="bottom"/>
          </w:tcPr>
          <w:p>
            <w:pPr>
              <w:spacing w:after="0"/>
              <w:rPr>
                <w:sz w:val="19"/>
                <w:szCs w:val="19"/>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8"/>
                <w:szCs w:val="18"/>
                <w:color w:val="0000FF"/>
                <w:w w:val="84"/>
              </w:rPr>
              <w:t>04/13/2011</w:t>
            </w:r>
          </w:p>
        </w:tc>
        <w:tc>
          <w:tcPr>
            <w:tcW w:w="0" w:type="dxa"/>
            <w:vAlign w:val="bottom"/>
          </w:tcPr>
          <w:p>
            <w:pPr>
              <w:spacing w:after="0"/>
              <w:rPr>
                <w:sz w:val="1"/>
                <w:szCs w:val="1"/>
                <w:color w:val="auto"/>
              </w:rPr>
            </w:pPr>
          </w:p>
        </w:tc>
      </w:tr>
      <w:tr>
        <w:trPr>
          <w:trHeight w:val="88"/>
        </w:trPr>
        <w:tc>
          <w:tcPr>
            <w:tcW w:w="6820" w:type="dxa"/>
            <w:vAlign w:val="bottom"/>
          </w:tcPr>
          <w:p>
            <w:pPr>
              <w:spacing w:after="0"/>
              <w:rPr>
                <w:sz w:val="7"/>
                <w:szCs w:val="7"/>
                <w:color w:val="auto"/>
              </w:rPr>
            </w:pPr>
          </w:p>
        </w:tc>
        <w:tc>
          <w:tcPr>
            <w:tcW w:w="320" w:type="dxa"/>
            <w:vAlign w:val="bottom"/>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90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820" w:type="dxa"/>
            <w:vAlign w:val="bottom"/>
          </w:tcPr>
          <w:p>
            <w:pPr>
              <w:spacing w:after="0"/>
              <w:rPr>
                <w:sz w:val="7"/>
                <w:szCs w:val="7"/>
                <w:color w:val="auto"/>
              </w:rPr>
            </w:pPr>
          </w:p>
        </w:tc>
        <w:tc>
          <w:tcPr>
            <w:tcW w:w="320" w:type="dxa"/>
            <w:vAlign w:val="bottom"/>
            <w:tcBorders>
              <w:bottom w:val="single" w:sz="8" w:color="auto"/>
            </w:tcBorders>
            <w:vMerge w:val="continue"/>
          </w:tcPr>
          <w:p>
            <w:pPr>
              <w:spacing w:after="0"/>
              <w:rPr>
                <w:sz w:val="7"/>
                <w:szCs w:val="7"/>
                <w:color w:val="auto"/>
              </w:rPr>
            </w:pPr>
          </w:p>
        </w:tc>
        <w:tc>
          <w:tcPr>
            <w:tcW w:w="19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6820" w:type="dxa"/>
            <w:vAlign w:val="bottom"/>
          </w:tcPr>
          <w:p>
            <w:pPr>
              <w:spacing w:after="0"/>
              <w:rPr>
                <w:sz w:val="20"/>
                <w:szCs w:val="20"/>
                <w:color w:val="auto"/>
              </w:rPr>
            </w:pPr>
          </w:p>
        </w:tc>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6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r>
        <w:trPr>
          <w:trHeight w:val="203"/>
        </w:trPr>
        <w:tc>
          <w:tcPr>
            <w:tcW w:w="9040" w:type="dxa"/>
            <w:vAlign w:val="bottom"/>
            <w:gridSpan w:val="4"/>
          </w:tcPr>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40" w:type="dxa"/>
            <w:vAlign w:val="bottom"/>
            <w:gridSpan w:val="4"/>
          </w:tcPr>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SCHLUMBERGER LIMITED</w:t>
      </w:r>
    </w:p>
    <w:p>
      <w:pPr>
        <w:spacing w:after="0" w:line="238" w:lineRule="auto"/>
        <w:rPr>
          <w:sz w:val="20"/>
          <w:szCs w:val="20"/>
          <w:color w:val="auto"/>
        </w:rPr>
      </w:pPr>
      <w:r>
        <w:rPr>
          <w:rFonts w:ascii="Courier New" w:cs="Courier New" w:eastAsia="Courier New" w:hAnsi="Courier New"/>
          <w:sz w:val="18"/>
          <w:szCs w:val="18"/>
          <w:color w:val="auto"/>
        </w:rPr>
        <w:t>POWER OF ATTORNEY</w:t>
      </w:r>
    </w:p>
    <w:p>
      <w:pPr>
        <w:spacing w:after="0" w:line="5" w:lineRule="exact"/>
        <w:rPr>
          <w:sz w:val="20"/>
          <w:szCs w:val="20"/>
          <w:color w:val="auto"/>
        </w:rPr>
      </w:pPr>
    </w:p>
    <w:p>
      <w:pPr>
        <w:ind w:right="3259" w:firstLine="843"/>
        <w:spacing w:after="0" w:line="236" w:lineRule="auto"/>
        <w:rPr>
          <w:sz w:val="20"/>
          <w:szCs w:val="20"/>
          <w:color w:val="auto"/>
        </w:rPr>
      </w:pPr>
      <w:r>
        <w:rPr>
          <w:rFonts w:ascii="Courier New" w:cs="Courier New" w:eastAsia="Courier New" w:hAnsi="Courier New"/>
          <w:sz w:val="18"/>
          <w:szCs w:val="18"/>
          <w:color w:val="auto"/>
        </w:rPr>
        <w:t>The undersigned, in his capacity as a director or officer, or both, of Schlumberger Limited, a Curacao corporation (the Company), does hereby appoint each of Saul R. Laureles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Lynda M. Quagliara, or either of them acting singly, his/her true</w:t>
      </w:r>
    </w:p>
    <w:p>
      <w:pPr>
        <w:spacing w:after="0" w:line="4"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and lawful attorney in fact with full power of substitution, to (a) prepare, execute in the undersigneds name and on the undersigneds behalf,</w:t>
      </w:r>
    </w:p>
    <w:p>
      <w:pPr>
        <w:spacing w:after="0" w:line="6"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and submit to the U.S. Securities and Exchange Commission (the SEC) a Form ID, including amendments thereto, and any other documents necessary or appropriate to obtain codes, passwords and passphrases enabling the undersigned to make electronic filings with the SEC of reports required by Section 16(a) of the Securities Exchange Act of 1934, as amended (the Exchange Act), or any rule or regulation of the SEC, and</w:t>
      </w:r>
    </w:p>
    <w:p>
      <w:pPr>
        <w:spacing w:after="0" w:line="7" w:lineRule="exact"/>
        <w:rPr>
          <w:sz w:val="20"/>
          <w:szCs w:val="20"/>
          <w:color w:val="auto"/>
        </w:rPr>
      </w:pPr>
    </w:p>
    <w:p>
      <w:pPr>
        <w:ind w:right="2419" w:firstLine="8"/>
        <w:spacing w:after="0" w:line="237"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 director or officer, or both, of the Company, Forms 3, 4 and 5 in accordance with Section 16 of the Exchange Act, as well as Forms 144, and complete and execute any amendment or amendments thereto, and to file the same or cause the same to be filed with the SEC.</w:t>
      </w:r>
    </w:p>
    <w:p>
      <w:pPr>
        <w:spacing w:after="0" w:line="6" w:lineRule="exact"/>
        <w:rPr>
          <w:rFonts w:ascii="Courier New" w:cs="Courier New" w:eastAsia="Courier New" w:hAnsi="Courier New"/>
          <w:sz w:val="18"/>
          <w:szCs w:val="18"/>
          <w:color w:val="auto"/>
        </w:rPr>
      </w:pPr>
    </w:p>
    <w:p>
      <w:pPr>
        <w:ind w:right="1879" w:firstLine="843"/>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supersedes any and all prior and existing powers of attorney signed by the undersigned with respect to the subject matter hereof, and shall remain in full force and effect until the undersigned is no longer required to file Forms 3, 4, 5 or 144 with respect to the undersigneds holdings of and transactions in securities issued by the Company, unless earlier revoked by the undersigned in a signed writing delivered to the foregoing attorneys in fact.</w:t>
      </w:r>
    </w:p>
    <w:p>
      <w:pPr>
        <w:spacing w:after="0" w:line="8" w:lineRule="exact"/>
        <w:rPr>
          <w:rFonts w:ascii="Courier New" w:cs="Courier New" w:eastAsia="Courier New" w:hAnsi="Courier New"/>
          <w:sz w:val="18"/>
          <w:szCs w:val="18"/>
          <w:color w:val="auto"/>
        </w:rPr>
      </w:pPr>
    </w:p>
    <w:p>
      <w:pPr>
        <w:ind w:left="120" w:right="6319" w:hanging="105"/>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April 6, 2011 /s/ Lubna S. Olayan 144 with respect to the undersigneds</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518053" TargetMode="External"/><Relationship Id="rId12"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2019-12-18T11:02:04Z</dcterms:created>
  <dcterms:modified xsi:type="dcterms:W3CDTF">2019-12-18T11:02:04Z</dcterms:modified>
</cp:coreProperties>
</file>