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59"/>
        <w:spacing w:after="0"/>
        <w:rPr>
          <w:sz w:val="20"/>
          <w:szCs w:val="20"/>
          <w:color w:val="auto"/>
        </w:rPr>
      </w:pPr>
      <w:r>
        <w:rPr>
          <w:rFonts w:ascii="Courier New" w:cs="Courier New" w:eastAsia="Courier New" w:hAnsi="Courier New"/>
          <w:sz w:val="15"/>
          <w:szCs w:val="15"/>
          <w:color w:val="auto"/>
        </w:rPr>
        <w:t>================================================================================</w:t>
      </w:r>
    </w:p>
    <w:p>
      <w:pPr>
        <w:spacing w:after="0" w:line="40"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55" w:lineRule="exact"/>
        <w:rPr>
          <w:sz w:val="24"/>
          <w:szCs w:val="24"/>
          <w:color w:val="auto"/>
        </w:rPr>
      </w:pPr>
    </w:p>
    <w:p>
      <w:pPr>
        <w:ind w:left="2640"/>
        <w:spacing w:after="0"/>
        <w:rPr>
          <w:sz w:val="20"/>
          <w:szCs w:val="20"/>
          <w:color w:val="auto"/>
        </w:rPr>
      </w:pPr>
      <w:r>
        <w:rPr>
          <w:rFonts w:ascii="Courier New" w:cs="Courier New" w:eastAsia="Courier New" w:hAnsi="Courier New"/>
          <w:sz w:val="16"/>
          <w:szCs w:val="16"/>
          <w:color w:val="auto"/>
        </w:rPr>
        <w:t>Washington, D.C. 20549</w:t>
      </w:r>
    </w:p>
    <w:p>
      <w:pPr>
        <w:spacing w:after="0" w:line="364" w:lineRule="exact"/>
        <w:rPr>
          <w:sz w:val="24"/>
          <w:szCs w:val="24"/>
          <w:color w:val="auto"/>
        </w:rPr>
      </w:pPr>
    </w:p>
    <w:p>
      <w:pPr>
        <w:ind w:left="3300"/>
        <w:spacing w:after="0"/>
        <w:rPr>
          <w:sz w:val="20"/>
          <w:szCs w:val="20"/>
          <w:color w:val="auto"/>
        </w:rPr>
      </w:pPr>
      <w:r>
        <w:rPr>
          <w:rFonts w:ascii="Courier New" w:cs="Courier New" w:eastAsia="Courier New" w:hAnsi="Courier New"/>
          <w:sz w:val="16"/>
          <w:szCs w:val="16"/>
          <w:color w:val="auto"/>
        </w:rPr>
        <w:t>FORM 11-K</w:t>
      </w:r>
    </w:p>
    <w:p>
      <w:pPr>
        <w:spacing w:after="0" w:line="364" w:lineRule="exact"/>
        <w:rPr>
          <w:sz w:val="24"/>
          <w:szCs w:val="24"/>
          <w:color w:val="auto"/>
        </w:rPr>
      </w:pPr>
    </w:p>
    <w:p>
      <w:pPr>
        <w:ind w:left="3120"/>
        <w:spacing w:after="0"/>
        <w:rPr>
          <w:sz w:val="20"/>
          <w:szCs w:val="20"/>
          <w:color w:val="auto"/>
        </w:rPr>
      </w:pPr>
      <w:r>
        <w:rPr>
          <w:rFonts w:ascii="Courier New" w:cs="Courier New" w:eastAsia="Courier New" w:hAnsi="Courier New"/>
          <w:sz w:val="16"/>
          <w:szCs w:val="16"/>
          <w:color w:val="auto"/>
        </w:rPr>
        <w:t>ANNUAL REPORT</w:t>
      </w:r>
    </w:p>
    <w:p>
      <w:pPr>
        <w:spacing w:after="0" w:line="364"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6"/>
          <w:szCs w:val="16"/>
          <w:color w:val="auto"/>
        </w:rPr>
        <w:t>Pursuant to Section 15(d) of the Securities Exchange Act of 1934</w:t>
      </w:r>
    </w:p>
    <w:p>
      <w:pPr>
        <w:spacing w:after="0" w:line="183"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For the Fiscal Year Ended December 31, 1998</w:t>
      </w:r>
    </w:p>
    <w:p>
      <w:pPr>
        <w:spacing w:after="0" w:line="183" w:lineRule="exact"/>
        <w:rPr>
          <w:sz w:val="24"/>
          <w:szCs w:val="24"/>
          <w:color w:val="auto"/>
        </w:rPr>
      </w:pPr>
    </w:p>
    <w:p>
      <w:pPr>
        <w:ind w:left="2180"/>
        <w:spacing w:after="0"/>
        <w:rPr>
          <w:sz w:val="20"/>
          <w:szCs w:val="20"/>
          <w:color w:val="auto"/>
        </w:rPr>
      </w:pPr>
      <w:r>
        <w:rPr>
          <w:rFonts w:ascii="Courier New" w:cs="Courier New" w:eastAsia="Courier New" w:hAnsi="Courier New"/>
          <w:sz w:val="16"/>
          <w:szCs w:val="16"/>
          <w:color w:val="auto"/>
        </w:rPr>
        <w:t>Commission File Number 001-04601</w:t>
      </w:r>
    </w:p>
    <w:p>
      <w:pPr>
        <w:spacing w:after="0" w:line="183" w:lineRule="exact"/>
        <w:rPr>
          <w:sz w:val="24"/>
          <w:szCs w:val="24"/>
          <w:color w:val="auto"/>
        </w:rPr>
      </w:pPr>
    </w:p>
    <w:p>
      <w:pPr>
        <w:ind w:left="3120"/>
        <w:spacing w:after="0"/>
        <w:rPr>
          <w:sz w:val="20"/>
          <w:szCs w:val="20"/>
          <w:color w:val="auto"/>
        </w:rPr>
      </w:pPr>
      <w:r>
        <w:rPr>
          <w:rFonts w:ascii="Courier New" w:cs="Courier New" w:eastAsia="Courier New" w:hAnsi="Courier New"/>
          <w:sz w:val="16"/>
          <w:szCs w:val="16"/>
          <w:color w:val="auto"/>
        </w:rPr>
        <w:t>_______________</w:t>
      </w:r>
    </w:p>
    <w:p>
      <w:pPr>
        <w:spacing w:after="0" w:line="183" w:lineRule="exact"/>
        <w:rPr>
          <w:sz w:val="24"/>
          <w:szCs w:val="24"/>
          <w:color w:val="auto"/>
        </w:rPr>
      </w:pPr>
    </w:p>
    <w:p>
      <w:pPr>
        <w:ind w:left="2920"/>
        <w:spacing w:after="0"/>
        <w:rPr>
          <w:sz w:val="20"/>
          <w:szCs w:val="20"/>
          <w:color w:val="auto"/>
        </w:rPr>
      </w:pPr>
      <w:r>
        <w:rPr>
          <w:rFonts w:ascii="Courier New" w:cs="Courier New" w:eastAsia="Courier New" w:hAnsi="Courier New"/>
          <w:sz w:val="16"/>
          <w:szCs w:val="16"/>
          <w:color w:val="auto"/>
        </w:rPr>
        <w:t>CAMCO THRIFT PLAN</w:t>
      </w:r>
    </w:p>
    <w:p>
      <w:pPr>
        <w:spacing w:after="0" w:line="29" w:lineRule="exact"/>
        <w:rPr>
          <w:sz w:val="24"/>
          <w:szCs w:val="24"/>
          <w:color w:val="auto"/>
        </w:rPr>
      </w:pPr>
    </w:p>
    <w:p>
      <w:pPr>
        <w:ind w:left="2560"/>
        <w:spacing w:after="0"/>
        <w:rPr>
          <w:sz w:val="20"/>
          <w:szCs w:val="20"/>
          <w:color w:val="auto"/>
        </w:rPr>
      </w:pPr>
      <w:r>
        <w:rPr>
          <w:rFonts w:ascii="Courier New" w:cs="Courier New" w:eastAsia="Courier New" w:hAnsi="Courier New"/>
          <w:sz w:val="16"/>
          <w:szCs w:val="16"/>
          <w:color w:val="auto"/>
        </w:rPr>
        <w:t>(Full title of the plan)</w:t>
      </w:r>
    </w:p>
    <w:p>
      <w:pPr>
        <w:spacing w:after="0" w:line="155" w:lineRule="exact"/>
        <w:rPr>
          <w:sz w:val="24"/>
          <w:szCs w:val="24"/>
          <w:color w:val="auto"/>
        </w:rPr>
      </w:pPr>
    </w:p>
    <w:p>
      <w:pPr>
        <w:ind w:left="3120"/>
        <w:spacing w:after="0"/>
        <w:rPr>
          <w:sz w:val="20"/>
          <w:szCs w:val="20"/>
          <w:color w:val="auto"/>
        </w:rPr>
      </w:pPr>
      <w:r>
        <w:rPr>
          <w:rFonts w:ascii="Courier New" w:cs="Courier New" w:eastAsia="Courier New" w:hAnsi="Courier New"/>
          <w:sz w:val="16"/>
          <w:szCs w:val="16"/>
          <w:color w:val="auto"/>
        </w:rPr>
        <w:t>_______________</w:t>
      </w:r>
    </w:p>
    <w:p>
      <w:pPr>
        <w:spacing w:after="0" w:line="364"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6"/>
          <w:szCs w:val="16"/>
          <w:color w:val="auto"/>
        </w:rPr>
        <w:t>SCHLUMBERGER LIMITED</w:t>
      </w:r>
    </w:p>
    <w:p>
      <w:pPr>
        <w:spacing w:after="0" w:line="29"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6"/>
          <w:szCs w:val="16"/>
          <w:color w:val="auto"/>
        </w:rPr>
        <w:t>(Name of issuer of the securities held pursuant to the plan)</w:t>
      </w:r>
    </w:p>
    <w:p>
      <w:pPr>
        <w:spacing w:after="0" w:line="155" w:lineRule="exact"/>
        <w:rPr>
          <w:sz w:val="24"/>
          <w:szCs w:val="24"/>
          <w:color w:val="auto"/>
        </w:rPr>
      </w:pPr>
    </w:p>
    <w:p>
      <w:pPr>
        <w:jc w:val="center"/>
        <w:ind w:right="2759"/>
        <w:spacing w:after="0"/>
        <w:rPr>
          <w:sz w:val="20"/>
          <w:szCs w:val="20"/>
          <w:color w:val="auto"/>
        </w:rPr>
      </w:pPr>
      <w:r>
        <w:rPr>
          <w:rFonts w:ascii="Courier New" w:cs="Courier New" w:eastAsia="Courier New" w:hAnsi="Courier New"/>
          <w:sz w:val="16"/>
          <w:szCs w:val="16"/>
          <w:color w:val="auto"/>
        </w:rPr>
        <w:t>277 Park Avenue</w:t>
      </w:r>
    </w:p>
    <w:p>
      <w:pPr>
        <w:spacing w:after="0" w:line="29" w:lineRule="exact"/>
        <w:rPr>
          <w:sz w:val="24"/>
          <w:szCs w:val="24"/>
          <w:color w:val="auto"/>
        </w:rPr>
      </w:pPr>
    </w:p>
    <w:p>
      <w:pPr>
        <w:jc w:val="center"/>
        <w:ind w:right="2759"/>
        <w:spacing w:after="0"/>
        <w:rPr>
          <w:sz w:val="20"/>
          <w:szCs w:val="20"/>
          <w:color w:val="auto"/>
        </w:rPr>
      </w:pPr>
      <w:r>
        <w:rPr>
          <w:rFonts w:ascii="Courier New" w:cs="Courier New" w:eastAsia="Courier New" w:hAnsi="Courier New"/>
          <w:sz w:val="16"/>
          <w:szCs w:val="16"/>
          <w:color w:val="auto"/>
        </w:rPr>
        <w:t>New York, NY 10172-2066</w:t>
      </w:r>
    </w:p>
    <w:p>
      <w:pPr>
        <w:spacing w:after="0" w:line="1"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6"/>
          <w:szCs w:val="16"/>
          <w:color w:val="auto"/>
        </w:rPr>
        <w:t>(Address, including zip code, of principal executive office)</w:t>
      </w:r>
    </w:p>
    <w:p>
      <w:pPr>
        <w:spacing w:after="0" w:line="155"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6"/>
          <w:szCs w:val="16"/>
          <w:color w:val="auto"/>
        </w:rPr>
        <w:t>(212) 350-9400</w:t>
      </w:r>
    </w:p>
    <w:p>
      <w:pPr>
        <w:spacing w:after="0" w:line="29" w:lineRule="exact"/>
        <w:rPr>
          <w:sz w:val="24"/>
          <w:szCs w:val="24"/>
          <w:color w:val="auto"/>
        </w:rPr>
      </w:pPr>
    </w:p>
    <w:p>
      <w:pPr>
        <w:jc w:val="center"/>
        <w:ind w:right="2759"/>
        <w:spacing w:after="0"/>
        <w:rPr>
          <w:sz w:val="20"/>
          <w:szCs w:val="20"/>
          <w:color w:val="auto"/>
        </w:rPr>
      </w:pPr>
      <w:r>
        <w:rPr>
          <w:rFonts w:ascii="Courier New" w:cs="Courier New" w:eastAsia="Courier New" w:hAnsi="Courier New"/>
          <w:sz w:val="16"/>
          <w:szCs w:val="16"/>
          <w:color w:val="auto"/>
        </w:rPr>
        <w:t>(Telephone number, including area code)</w:t>
      </w:r>
    </w:p>
    <w:p>
      <w:pPr>
        <w:spacing w:after="0" w:line="33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574" w:right="1440" w:bottom="1440" w:gutter="0" w:footer="0" w:header="0"/>
        </w:sectPr>
      </w:pPr>
    </w:p>
    <w:bookmarkStart w:id="1" w:name="page2"/>
    <w:bookmarkEnd w:id="1"/>
    <w:p>
      <w:pPr>
        <w:jc w:val="center"/>
        <w:ind w:right="2759"/>
        <w:spacing w:after="0"/>
        <w:rPr>
          <w:sz w:val="20"/>
          <w:szCs w:val="20"/>
          <w:color w:val="auto"/>
        </w:rPr>
      </w:pPr>
      <w:r>
        <w:rPr>
          <w:rFonts w:ascii="Courier New" w:cs="Courier New" w:eastAsia="Courier New" w:hAnsi="Courier New"/>
          <w:sz w:val="16"/>
          <w:szCs w:val="16"/>
          <w:color w:val="auto"/>
        </w:rPr>
        <w:t>CAMCO THRIFT PLAN</w:t>
      </w:r>
    </w:p>
    <w:p>
      <w:pPr>
        <w:spacing w:after="0" w:line="183"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INDEX TO FINANCIAL STATEMENTS AND SUPPLEMENTAL SCHEDULES</w:t>
      </w:r>
    </w:p>
    <w:p>
      <w:pPr>
        <w:spacing w:after="0" w:line="183"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____________________</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1700" w:type="dxa"/>
            <w:vAlign w:val="bottom"/>
          </w:tcPr>
          <w:p>
            <w:pPr>
              <w:spacing w:after="0"/>
              <w:rPr>
                <w:sz w:val="23"/>
                <w:szCs w:val="23"/>
                <w:color w:val="auto"/>
              </w:rPr>
            </w:pPr>
          </w:p>
        </w:tc>
        <w:tc>
          <w:tcPr>
            <w:tcW w:w="4720" w:type="dxa"/>
            <w:vAlign w:val="bottom"/>
          </w:tcPr>
          <w:p>
            <w:pPr>
              <w:jc w:val="center"/>
              <w:ind w:right="661"/>
              <w:spacing w:after="0"/>
              <w:rPr>
                <w:sz w:val="20"/>
                <w:szCs w:val="20"/>
                <w:color w:val="auto"/>
              </w:rPr>
            </w:pPr>
            <w:r>
              <w:rPr>
                <w:rFonts w:ascii="Courier New" w:cs="Courier New" w:eastAsia="Courier New" w:hAnsi="Courier New"/>
                <w:sz w:val="16"/>
                <w:szCs w:val="16"/>
                <w:color w:val="auto"/>
                <w:w w:val="98"/>
              </w:rPr>
              <w:t>FINANCIAL STATEMENTS</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170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Page</w:t>
            </w:r>
          </w:p>
        </w:tc>
        <w:tc>
          <w:tcPr>
            <w:tcW w:w="0" w:type="dxa"/>
            <w:vAlign w:val="bottom"/>
          </w:tcPr>
          <w:p>
            <w:pPr>
              <w:spacing w:after="0"/>
              <w:rPr>
                <w:sz w:val="1"/>
                <w:szCs w:val="1"/>
                <w:color w:val="auto"/>
              </w:rPr>
            </w:pPr>
          </w:p>
        </w:tc>
      </w:tr>
      <w:tr>
        <w:trPr>
          <w:trHeight w:val="182"/>
        </w:trPr>
        <w:tc>
          <w:tcPr>
            <w:tcW w:w="642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rPr>
              <w:t>Independent Auditors' Report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5"/>
        </w:trPr>
        <w:tc>
          <w:tcPr>
            <w:tcW w:w="6420" w:type="dxa"/>
            <w:vAlign w:val="bottom"/>
            <w:gridSpan w:val="2"/>
            <w:vMerge w:val="continue"/>
          </w:tcPr>
          <w:p>
            <w:pPr>
              <w:jc w:val="right"/>
              <w:ind w:right="301"/>
              <w:spacing w:after="0" w:line="159" w:lineRule="exact"/>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w:t>
            </w:r>
          </w:p>
        </w:tc>
        <w:tc>
          <w:tcPr>
            <w:tcW w:w="0" w:type="dxa"/>
            <w:vAlign w:val="bottom"/>
          </w:tcPr>
          <w:p>
            <w:pPr>
              <w:spacing w:after="0"/>
              <w:rPr>
                <w:sz w:val="1"/>
                <w:szCs w:val="1"/>
                <w:color w:val="auto"/>
              </w:rPr>
            </w:pPr>
          </w:p>
        </w:tc>
      </w:tr>
      <w:tr>
        <w:trPr>
          <w:trHeight w:val="280"/>
        </w:trPr>
        <w:tc>
          <w:tcPr>
            <w:tcW w:w="6420" w:type="dxa"/>
            <w:vAlign w:val="bottom"/>
            <w:gridSpan w:val="2"/>
          </w:tcPr>
          <w:p>
            <w:pPr>
              <w:spacing w:after="0"/>
              <w:rPr>
                <w:sz w:val="20"/>
                <w:szCs w:val="20"/>
                <w:color w:val="auto"/>
              </w:rPr>
            </w:pPr>
            <w:r>
              <w:rPr>
                <w:rFonts w:ascii="Courier New" w:cs="Courier New" w:eastAsia="Courier New" w:hAnsi="Courier New"/>
                <w:sz w:val="16"/>
                <w:szCs w:val="16"/>
                <w:color w:val="auto"/>
              </w:rPr>
              <w:t>Statements of Net Assets Available for Benefits,</w:t>
            </w:r>
          </w:p>
        </w:tc>
        <w:tc>
          <w:tcPr>
            <w:tcW w:w="76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2</w:t>
            </w:r>
          </w:p>
        </w:tc>
        <w:tc>
          <w:tcPr>
            <w:tcW w:w="0" w:type="dxa"/>
            <w:vAlign w:val="bottom"/>
          </w:tcPr>
          <w:p>
            <w:pPr>
              <w:spacing w:after="0"/>
              <w:rPr>
                <w:sz w:val="1"/>
                <w:szCs w:val="1"/>
                <w:color w:val="auto"/>
              </w:rPr>
            </w:pPr>
          </w:p>
        </w:tc>
      </w:tr>
      <w:tr>
        <w:trPr>
          <w:trHeight w:val="265"/>
        </w:trPr>
        <w:tc>
          <w:tcPr>
            <w:tcW w:w="1700" w:type="dxa"/>
            <w:vAlign w:val="bottom"/>
          </w:tcPr>
          <w:p>
            <w:pPr>
              <w:ind w:left="100"/>
              <w:spacing w:after="0"/>
              <w:rPr>
                <w:sz w:val="20"/>
                <w:szCs w:val="20"/>
                <w:color w:val="auto"/>
              </w:rPr>
            </w:pPr>
            <w:r>
              <w:rPr>
                <w:rFonts w:ascii="Courier New" w:cs="Courier New" w:eastAsia="Courier New" w:hAnsi="Courier New"/>
                <w:sz w:val="16"/>
                <w:szCs w:val="16"/>
                <w:color w:val="auto"/>
                <w:w w:val="96"/>
              </w:rPr>
              <w:t>December 31, 1998</w:t>
            </w:r>
          </w:p>
        </w:tc>
        <w:tc>
          <w:tcPr>
            <w:tcW w:w="4720" w:type="dxa"/>
            <w:vAlign w:val="bottom"/>
          </w:tcPr>
          <w:p>
            <w:pPr>
              <w:ind w:left="100"/>
              <w:spacing w:after="0"/>
              <w:rPr>
                <w:sz w:val="20"/>
                <w:szCs w:val="20"/>
                <w:color w:val="auto"/>
              </w:rPr>
            </w:pPr>
            <w:r>
              <w:rPr>
                <w:rFonts w:ascii="Courier New" w:cs="Courier New" w:eastAsia="Courier New" w:hAnsi="Courier New"/>
                <w:sz w:val="16"/>
                <w:szCs w:val="16"/>
                <w:color w:val="auto"/>
              </w:rPr>
              <w:t>and 1997.....................................</w:t>
            </w:r>
          </w:p>
        </w:tc>
        <w:tc>
          <w:tcPr>
            <w:tcW w:w="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6420" w:type="dxa"/>
            <w:vAlign w:val="bottom"/>
            <w:gridSpan w:val="2"/>
          </w:tcPr>
          <w:p>
            <w:pPr>
              <w:spacing w:after="0"/>
              <w:rPr>
                <w:sz w:val="20"/>
                <w:szCs w:val="20"/>
                <w:color w:val="auto"/>
              </w:rPr>
            </w:pPr>
            <w:r>
              <w:rPr>
                <w:rFonts w:ascii="Courier New" w:cs="Courier New" w:eastAsia="Courier New" w:hAnsi="Courier New"/>
                <w:sz w:val="16"/>
                <w:szCs w:val="16"/>
                <w:color w:val="auto"/>
              </w:rPr>
              <w:t>Statement of Changes in Net Assets Available for Benefits with</w:t>
            </w:r>
          </w:p>
        </w:tc>
        <w:tc>
          <w:tcPr>
            <w:tcW w:w="76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3</w:t>
            </w:r>
          </w:p>
        </w:tc>
        <w:tc>
          <w:tcPr>
            <w:tcW w:w="0" w:type="dxa"/>
            <w:vAlign w:val="bottom"/>
          </w:tcPr>
          <w:p>
            <w:pPr>
              <w:spacing w:after="0"/>
              <w:rPr>
                <w:sz w:val="1"/>
                <w:szCs w:val="1"/>
                <w:color w:val="auto"/>
              </w:rPr>
            </w:pPr>
          </w:p>
        </w:tc>
      </w:tr>
      <w:tr>
        <w:trPr>
          <w:trHeight w:val="265"/>
        </w:trPr>
        <w:tc>
          <w:tcPr>
            <w:tcW w:w="1700" w:type="dxa"/>
            <w:vAlign w:val="bottom"/>
          </w:tcPr>
          <w:p>
            <w:pPr>
              <w:ind w:left="100"/>
              <w:spacing w:after="0"/>
              <w:rPr>
                <w:sz w:val="20"/>
                <w:szCs w:val="20"/>
                <w:color w:val="auto"/>
              </w:rPr>
            </w:pPr>
            <w:r>
              <w:rPr>
                <w:rFonts w:ascii="Courier New" w:cs="Courier New" w:eastAsia="Courier New" w:hAnsi="Courier New"/>
                <w:sz w:val="16"/>
                <w:szCs w:val="16"/>
                <w:color w:val="auto"/>
                <w:w w:val="96"/>
              </w:rPr>
              <w:t>Fund Information,</w:t>
            </w:r>
          </w:p>
        </w:tc>
        <w:tc>
          <w:tcPr>
            <w:tcW w:w="4720" w:type="dxa"/>
            <w:vAlign w:val="bottom"/>
          </w:tcPr>
          <w:p>
            <w:pPr>
              <w:ind w:left="100"/>
              <w:spacing w:after="0"/>
              <w:rPr>
                <w:sz w:val="20"/>
                <w:szCs w:val="20"/>
                <w:color w:val="auto"/>
              </w:rPr>
            </w:pPr>
            <w:r>
              <w:rPr>
                <w:rFonts w:ascii="Courier New" w:cs="Courier New" w:eastAsia="Courier New" w:hAnsi="Courier New"/>
                <w:sz w:val="16"/>
                <w:szCs w:val="16"/>
                <w:color w:val="auto"/>
              </w:rPr>
              <w:t>Year Ended December 31, 1998.................</w:t>
            </w:r>
          </w:p>
        </w:tc>
        <w:tc>
          <w:tcPr>
            <w:tcW w:w="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64"/>
        </w:trPr>
        <w:tc>
          <w:tcPr>
            <w:tcW w:w="1700" w:type="dxa"/>
            <w:vAlign w:val="bottom"/>
          </w:tcPr>
          <w:p>
            <w:pPr>
              <w:spacing w:after="0"/>
              <w:rPr>
                <w:sz w:val="20"/>
                <w:szCs w:val="20"/>
                <w:color w:val="auto"/>
              </w:rPr>
            </w:pPr>
            <w:r>
              <w:rPr>
                <w:rFonts w:ascii="Courier New" w:cs="Courier New" w:eastAsia="Courier New" w:hAnsi="Courier New"/>
                <w:sz w:val="16"/>
                <w:szCs w:val="16"/>
                <w:color w:val="auto"/>
                <w:w w:val="97"/>
              </w:rPr>
              <w:t>Notes to Financial</w:t>
            </w:r>
          </w:p>
        </w:tc>
        <w:tc>
          <w:tcPr>
            <w:tcW w:w="4720" w:type="dxa"/>
            <w:vAlign w:val="bottom"/>
          </w:tcPr>
          <w:p>
            <w:pPr>
              <w:ind w:left="100"/>
              <w:spacing w:after="0"/>
              <w:rPr>
                <w:sz w:val="20"/>
                <w:szCs w:val="20"/>
                <w:color w:val="auto"/>
              </w:rPr>
            </w:pPr>
            <w:r>
              <w:rPr>
                <w:rFonts w:ascii="Courier New" w:cs="Courier New" w:eastAsia="Courier New" w:hAnsi="Courier New"/>
                <w:sz w:val="16"/>
                <w:szCs w:val="16"/>
                <w:color w:val="auto"/>
              </w:rPr>
              <w:t>Statements...................................</w:t>
            </w: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5</w:t>
            </w:r>
          </w:p>
        </w:tc>
        <w:tc>
          <w:tcPr>
            <w:tcW w:w="0" w:type="dxa"/>
            <w:vAlign w:val="bottom"/>
          </w:tcPr>
          <w:p>
            <w:pPr>
              <w:spacing w:after="0"/>
              <w:rPr>
                <w:sz w:val="1"/>
                <w:szCs w:val="1"/>
                <w:color w:val="auto"/>
              </w:rPr>
            </w:pPr>
          </w:p>
        </w:tc>
      </w:tr>
      <w:tr>
        <w:trPr>
          <w:trHeight w:val="728"/>
        </w:trPr>
        <w:tc>
          <w:tcPr>
            <w:tcW w:w="1700" w:type="dxa"/>
            <w:vAlign w:val="bottom"/>
          </w:tcPr>
          <w:p>
            <w:pPr>
              <w:spacing w:after="0"/>
              <w:rPr>
                <w:sz w:val="24"/>
                <w:szCs w:val="24"/>
                <w:color w:val="auto"/>
              </w:rPr>
            </w:pPr>
          </w:p>
        </w:tc>
        <w:tc>
          <w:tcPr>
            <w:tcW w:w="4720" w:type="dxa"/>
            <w:vAlign w:val="bottom"/>
          </w:tcPr>
          <w:p>
            <w:pPr>
              <w:jc w:val="center"/>
              <w:ind w:right="681"/>
              <w:spacing w:after="0"/>
              <w:rPr>
                <w:sz w:val="20"/>
                <w:szCs w:val="20"/>
                <w:color w:val="auto"/>
              </w:rPr>
            </w:pPr>
            <w:r>
              <w:rPr>
                <w:rFonts w:ascii="Courier New" w:cs="Courier New" w:eastAsia="Courier New" w:hAnsi="Courier New"/>
                <w:sz w:val="16"/>
                <w:szCs w:val="16"/>
                <w:color w:val="auto"/>
                <w:w w:val="98"/>
              </w:rPr>
              <w:t>SUPPLEMENTAL SCHEDULES</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1700" w:type="dxa"/>
            <w:vAlign w:val="bottom"/>
          </w:tcPr>
          <w:p>
            <w:pPr>
              <w:spacing w:after="0"/>
              <w:rPr>
                <w:sz w:val="20"/>
                <w:szCs w:val="20"/>
                <w:color w:val="auto"/>
              </w:rPr>
            </w:pPr>
            <w:r>
              <w:rPr>
                <w:rFonts w:ascii="Courier New" w:cs="Courier New" w:eastAsia="Courier New" w:hAnsi="Courier New"/>
                <w:sz w:val="16"/>
                <w:szCs w:val="16"/>
                <w:color w:val="auto"/>
                <w:w w:val="97"/>
              </w:rPr>
              <w:t>Schedule of Assets</w:t>
            </w:r>
          </w:p>
        </w:tc>
        <w:tc>
          <w:tcPr>
            <w:tcW w:w="4720" w:type="dxa"/>
            <w:vAlign w:val="bottom"/>
          </w:tcPr>
          <w:p>
            <w:pPr>
              <w:ind w:left="100"/>
              <w:spacing w:after="0"/>
              <w:rPr>
                <w:sz w:val="20"/>
                <w:szCs w:val="20"/>
                <w:color w:val="auto"/>
              </w:rPr>
            </w:pPr>
            <w:r>
              <w:rPr>
                <w:rFonts w:ascii="Courier New" w:cs="Courier New" w:eastAsia="Courier New" w:hAnsi="Courier New"/>
                <w:sz w:val="16"/>
                <w:szCs w:val="16"/>
                <w:color w:val="auto"/>
              </w:rPr>
              <w:t>Held for Investment Purposes,</w:t>
            </w:r>
          </w:p>
        </w:tc>
        <w:tc>
          <w:tcPr>
            <w:tcW w:w="76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9</w:t>
            </w:r>
          </w:p>
        </w:tc>
        <w:tc>
          <w:tcPr>
            <w:tcW w:w="0" w:type="dxa"/>
            <w:vAlign w:val="bottom"/>
          </w:tcPr>
          <w:p>
            <w:pPr>
              <w:spacing w:after="0"/>
              <w:rPr>
                <w:sz w:val="1"/>
                <w:szCs w:val="1"/>
                <w:color w:val="auto"/>
              </w:rPr>
            </w:pPr>
          </w:p>
        </w:tc>
      </w:tr>
      <w:tr>
        <w:trPr>
          <w:trHeight w:val="265"/>
        </w:trPr>
        <w:tc>
          <w:tcPr>
            <w:tcW w:w="1700" w:type="dxa"/>
            <w:vAlign w:val="bottom"/>
          </w:tcPr>
          <w:p>
            <w:pPr>
              <w:ind w:left="100"/>
              <w:spacing w:after="0"/>
              <w:rPr>
                <w:sz w:val="20"/>
                <w:szCs w:val="20"/>
                <w:color w:val="auto"/>
              </w:rPr>
            </w:pPr>
            <w:r>
              <w:rPr>
                <w:rFonts w:ascii="Courier New" w:cs="Courier New" w:eastAsia="Courier New" w:hAnsi="Courier New"/>
                <w:sz w:val="16"/>
                <w:szCs w:val="16"/>
                <w:color w:val="auto"/>
                <w:w w:val="96"/>
              </w:rPr>
              <w:t>December 31, 1998</w:t>
            </w:r>
          </w:p>
        </w:tc>
        <w:tc>
          <w:tcPr>
            <w:tcW w:w="472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7"/>
              </w:rPr>
              <w:t>..............................................</w:t>
            </w:r>
          </w:p>
        </w:tc>
        <w:tc>
          <w:tcPr>
            <w:tcW w:w="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6420" w:type="dxa"/>
            <w:vAlign w:val="bottom"/>
            <w:gridSpan w:val="2"/>
          </w:tcPr>
          <w:p>
            <w:pPr>
              <w:spacing w:after="0"/>
              <w:rPr>
                <w:sz w:val="20"/>
                <w:szCs w:val="20"/>
                <w:color w:val="auto"/>
              </w:rPr>
            </w:pPr>
            <w:r>
              <w:rPr>
                <w:rFonts w:ascii="Courier New" w:cs="Courier New" w:eastAsia="Courier New" w:hAnsi="Courier New"/>
                <w:sz w:val="16"/>
                <w:szCs w:val="16"/>
                <w:color w:val="auto"/>
              </w:rPr>
              <w:t>Schedule of Reportable Transactions,</w:t>
            </w:r>
          </w:p>
        </w:tc>
        <w:tc>
          <w:tcPr>
            <w:tcW w:w="76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10</w:t>
            </w:r>
          </w:p>
        </w:tc>
        <w:tc>
          <w:tcPr>
            <w:tcW w:w="0" w:type="dxa"/>
            <w:vAlign w:val="bottom"/>
          </w:tcPr>
          <w:p>
            <w:pPr>
              <w:spacing w:after="0"/>
              <w:rPr>
                <w:sz w:val="1"/>
                <w:szCs w:val="1"/>
                <w:color w:val="auto"/>
              </w:rPr>
            </w:pPr>
          </w:p>
        </w:tc>
      </w:tr>
      <w:tr>
        <w:trPr>
          <w:trHeight w:val="265"/>
        </w:trPr>
        <w:tc>
          <w:tcPr>
            <w:tcW w:w="64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Year Ended December 31, 1998...................................</w:t>
            </w:r>
          </w:p>
        </w:tc>
        <w:tc>
          <w:tcPr>
            <w:tcW w:w="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right="2659"/>
        <w:spacing w:after="0" w:line="352" w:lineRule="auto"/>
        <w:rPr>
          <w:sz w:val="20"/>
          <w:szCs w:val="20"/>
          <w:color w:val="auto"/>
        </w:rPr>
      </w:pPr>
      <w:r>
        <w:rPr>
          <w:rFonts w:ascii="Courier New" w:cs="Courier New" w:eastAsia="Courier New" w:hAnsi="Courier New"/>
          <w:sz w:val="16"/>
          <w:szCs w:val="16"/>
          <w:color w:val="auto"/>
        </w:rPr>
        <w:t>All other schedules are omitted because they are not applicable, not required or the information is included in the Notes to Financial Statements.</w:t>
      </w:r>
    </w:p>
    <w:p>
      <w:pPr>
        <w:spacing w:after="0" w:line="14"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____________________</w:t>
      </w:r>
    </w:p>
    <w:p>
      <w:pPr>
        <w:spacing w:after="0" w:line="364"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SIGNATURES</w:t>
      </w:r>
    </w:p>
    <w:p>
      <w:pPr>
        <w:spacing w:after="0" w:line="183" w:lineRule="exact"/>
        <w:rPr>
          <w:sz w:val="20"/>
          <w:szCs w:val="20"/>
          <w:color w:val="auto"/>
        </w:rPr>
      </w:pPr>
    </w:p>
    <w:p>
      <w:pPr>
        <w:ind w:right="2939"/>
        <w:spacing w:after="0" w:line="277" w:lineRule="auto"/>
        <w:rPr>
          <w:sz w:val="20"/>
          <w:szCs w:val="20"/>
          <w:color w:val="auto"/>
        </w:rPr>
      </w:pPr>
      <w:r>
        <w:rPr>
          <w:rFonts w:ascii="Courier New" w:cs="Courier New" w:eastAsia="Courier New" w:hAnsi="Courier New"/>
          <w:sz w:val="16"/>
          <w:szCs w:val="16"/>
          <w:color w:val="auto"/>
        </w:rPr>
        <w:t>THE PLAN. Pursuant to the requirement of the Securities Exchange Act of 1934, the trustees (or other persons who administer the employee benefit plan) have caused this annual report to be signed on their behalf by the undersigned hereunto duly authorized.</w:t>
      </w:r>
    </w:p>
    <w:p>
      <w:pPr>
        <w:spacing w:after="0" w:line="73"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CAMCO THRIFT PLAN</w:t>
      </w:r>
    </w:p>
    <w:p>
      <w:pPr>
        <w:spacing w:after="0" w:line="364"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BY /s/ J. CHRISTOPHER HOLLAND</w:t>
      </w:r>
    </w:p>
    <w:p>
      <w:pPr>
        <w:spacing w:after="0" w:line="29"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J. Christopher Holland</w:t>
      </w:r>
    </w:p>
    <w:p>
      <w:pPr>
        <w:spacing w:after="0" w:line="1"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Secretary, Retirement Plan Committee</w:t>
      </w:r>
    </w:p>
    <w:p>
      <w:pPr>
        <w:spacing w:after="0" w:line="1" w:lineRule="exact"/>
        <w:rPr>
          <w:sz w:val="20"/>
          <w:szCs w:val="20"/>
          <w:color w:val="auto"/>
        </w:rPr>
      </w:pPr>
    </w:p>
    <w:p>
      <w:pPr>
        <w:spacing w:after="0"/>
        <w:tabs>
          <w:tab w:leader="none" w:pos="640" w:val="left"/>
        </w:tabs>
        <w:rPr>
          <w:sz w:val="20"/>
          <w:szCs w:val="20"/>
          <w:color w:val="auto"/>
        </w:rPr>
      </w:pPr>
      <w:r>
        <w:rPr>
          <w:rFonts w:ascii="Courier New" w:cs="Courier New" w:eastAsia="Courier New" w:hAnsi="Courier New"/>
          <w:sz w:val="16"/>
          <w:szCs w:val="16"/>
          <w:color w:val="auto"/>
        </w:rPr>
        <w:t>Date:</w:t>
        <w:tab/>
        <w:t>June 11, 1999</w:t>
      </w:r>
    </w:p>
    <w:p>
      <w:pPr>
        <w:sectPr>
          <w:pgSz w:w="11900" w:h="16838" w:orient="portrait"/>
          <w:cols w:equalWidth="0" w:num="1">
            <w:col w:w="10219"/>
          </w:cols>
          <w:pgMar w:left="240" w:top="635" w:right="1440" w:bottom="1440" w:gutter="0" w:footer="0" w:header="0"/>
        </w:sectPr>
      </w:pPr>
    </w:p>
    <w:bookmarkStart w:id="2" w:name="page3"/>
    <w:bookmarkEnd w:id="2"/>
    <w:p>
      <w:pPr>
        <w:ind w:left="2360"/>
        <w:spacing w:after="0"/>
        <w:rPr>
          <w:sz w:val="20"/>
          <w:szCs w:val="20"/>
          <w:color w:val="auto"/>
        </w:rPr>
      </w:pPr>
      <w:r>
        <w:rPr>
          <w:rFonts w:ascii="Courier New" w:cs="Courier New" w:eastAsia="Courier New" w:hAnsi="Courier New"/>
          <w:sz w:val="16"/>
          <w:szCs w:val="16"/>
          <w:color w:val="auto"/>
        </w:rPr>
        <w:t>INDEPENDENT AUDITORS' REPORT</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Retirement Plan Committee of the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Camco Thrift Plan:</w:t>
      </w:r>
    </w:p>
    <w:p>
      <w:pPr>
        <w:spacing w:after="0" w:line="155" w:lineRule="exact"/>
        <w:rPr>
          <w:sz w:val="20"/>
          <w:szCs w:val="20"/>
          <w:color w:val="auto"/>
        </w:rPr>
      </w:pPr>
    </w:p>
    <w:p>
      <w:pPr>
        <w:ind w:right="2659"/>
        <w:spacing w:after="0" w:line="263" w:lineRule="auto"/>
        <w:rPr>
          <w:sz w:val="20"/>
          <w:szCs w:val="20"/>
          <w:color w:val="auto"/>
        </w:rPr>
      </w:pPr>
      <w:r>
        <w:rPr>
          <w:rFonts w:ascii="Courier New" w:cs="Courier New" w:eastAsia="Courier New" w:hAnsi="Courier New"/>
          <w:sz w:val="16"/>
          <w:szCs w:val="16"/>
          <w:color w:val="auto"/>
        </w:rPr>
        <w:t>We have audited the accompanying statements of net assets available for benefits of the Camco Thrift Plan as of December 31, 1998 and 1997, and the related statement of changes in net assets available for benefits for the year ended December 31, 1998. These financial statements are the responsibility of the Plan's management. Our responsibility is to express an opinion on these financial statements based on our audits.</w:t>
      </w:r>
    </w:p>
    <w:p>
      <w:pPr>
        <w:spacing w:after="0" w:line="81" w:lineRule="exact"/>
        <w:rPr>
          <w:sz w:val="20"/>
          <w:szCs w:val="20"/>
          <w:color w:val="auto"/>
        </w:rPr>
      </w:pPr>
    </w:p>
    <w:p>
      <w:pPr>
        <w:ind w:right="2659"/>
        <w:spacing w:after="0" w:line="276"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4" w:lineRule="exact"/>
        <w:rPr>
          <w:sz w:val="20"/>
          <w:szCs w:val="20"/>
          <w:color w:val="auto"/>
        </w:rPr>
      </w:pPr>
    </w:p>
    <w:p>
      <w:pPr>
        <w:ind w:right="2659"/>
        <w:spacing w:after="0" w:line="268" w:lineRule="auto"/>
        <w:rPr>
          <w:sz w:val="20"/>
          <w:szCs w:val="20"/>
          <w:color w:val="auto"/>
        </w:rPr>
      </w:pPr>
      <w:r>
        <w:rPr>
          <w:rFonts w:ascii="Courier New" w:cs="Courier New" w:eastAsia="Courier New" w:hAnsi="Courier New"/>
          <w:sz w:val="16"/>
          <w:szCs w:val="16"/>
          <w:color w:val="auto"/>
        </w:rPr>
        <w:t>In our opinion, the financial statements referred to above present fairly, in all material respects, the net assets available for benefits of the Camco Thrift Plan as of December 31, 1998 and 1997, and the changes in net assets available for benefits for the year ended December 31, 1998, in conformity with generally accepted accounting principles.</w:t>
      </w:r>
    </w:p>
    <w:p>
      <w:pPr>
        <w:spacing w:after="0" w:line="79" w:lineRule="exact"/>
        <w:rPr>
          <w:sz w:val="20"/>
          <w:szCs w:val="20"/>
          <w:color w:val="auto"/>
        </w:rPr>
      </w:pPr>
    </w:p>
    <w:p>
      <w:pPr>
        <w:ind w:right="2659"/>
        <w:spacing w:after="0" w:line="248" w:lineRule="auto"/>
        <w:rPr>
          <w:sz w:val="20"/>
          <w:szCs w:val="20"/>
          <w:color w:val="auto"/>
        </w:rPr>
      </w:pPr>
      <w:r>
        <w:rPr>
          <w:rFonts w:ascii="Courier New" w:cs="Courier New" w:eastAsia="Courier New" w:hAnsi="Courier New"/>
          <w:sz w:val="16"/>
          <w:szCs w:val="16"/>
          <w:color w:val="auto"/>
        </w:rPr>
        <w:t>Our audits were conducted for the purpose of forming an opinion on the basic financial statements taken as a whole. The supplemental schedules of assets held for investment purposes and reportable transactions are presented for the purpose of additional analysis and are not a required part of the basic financial statements but are supplementary information required by the Department of Labor's Rules and Regulations for Reporting and Disclosure under the Employee Retirement Income Security Act of 1974. These supplemental schedules are the responsibility of the Plan's management. The Fund Information in the statement of changes in net assets available for benefits is presented for purposes of additional analysis rather than to present the changes in net assets available for plan benefits of each fund. The supplemental schedules and Fund Information have been subjected to the auditing procedures applied in the audits of the basic financial statements and, in our opinion, are fairly stated in all material respects in relation to the basic financial statements taken as a whole.</w:t>
      </w:r>
    </w:p>
    <w:p>
      <w:pPr>
        <w:spacing w:after="0" w:line="200" w:lineRule="exact"/>
        <w:rPr>
          <w:sz w:val="20"/>
          <w:szCs w:val="20"/>
          <w:color w:val="auto"/>
        </w:rPr>
      </w:pPr>
    </w:p>
    <w:p>
      <w:pPr>
        <w:spacing w:after="0" w:line="264"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/s/ LARKIN, ERVIN &amp; SHIRLEY, L.L.P.</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Houston, Texas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11, 1999</w:t>
      </w:r>
    </w:p>
    <w:p>
      <w:pPr>
        <w:spacing w:after="0" w:line="15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635" w:right="1440" w:bottom="1440" w:gutter="0" w:footer="0" w:header="0"/>
        </w:sectPr>
      </w:pPr>
    </w:p>
    <w:bookmarkStart w:id="3" w:name="page4"/>
    <w:bookmarkEnd w:id="3"/>
    <w:p>
      <w:pPr>
        <w:jc w:val="center"/>
        <w:ind w:right="2759"/>
        <w:spacing w:after="0"/>
        <w:rPr>
          <w:sz w:val="20"/>
          <w:szCs w:val="20"/>
          <w:color w:val="auto"/>
        </w:rPr>
      </w:pPr>
      <w:r>
        <w:rPr>
          <w:rFonts w:ascii="Courier New" w:cs="Courier New" w:eastAsia="Courier New" w:hAnsi="Courier New"/>
          <w:sz w:val="16"/>
          <w:szCs w:val="16"/>
          <w:color w:val="auto"/>
        </w:rPr>
        <w:t>CAMCO THRIFT PLAN</w:t>
      </w:r>
    </w:p>
    <w:p>
      <w:pPr>
        <w:spacing w:after="0" w:line="29"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Statements of Net Assets Available for Benefits</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December 31</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8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0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1998</w:t>
            </w:r>
          </w:p>
        </w:tc>
        <w:tc>
          <w:tcPr>
            <w:tcW w:w="820" w:type="dxa"/>
            <w:vAlign w:val="bottom"/>
          </w:tcPr>
          <w:p>
            <w:pPr>
              <w:spacing w:after="0"/>
              <w:rPr>
                <w:sz w:val="15"/>
                <w:szCs w:val="15"/>
                <w:color w:val="auto"/>
              </w:rPr>
            </w:pPr>
          </w:p>
        </w:tc>
        <w:tc>
          <w:tcPr>
            <w:tcW w:w="126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1997</w:t>
            </w:r>
          </w:p>
        </w:tc>
        <w:tc>
          <w:tcPr>
            <w:tcW w:w="0" w:type="dxa"/>
            <w:vAlign w:val="bottom"/>
          </w:tcPr>
          <w:p>
            <w:pPr>
              <w:spacing w:after="0"/>
              <w:rPr>
                <w:sz w:val="1"/>
                <w:szCs w:val="1"/>
                <w:color w:val="auto"/>
              </w:rPr>
            </w:pPr>
          </w:p>
        </w:tc>
      </w:tr>
      <w:tr>
        <w:trPr>
          <w:trHeight w:val="265"/>
        </w:trPr>
        <w:tc>
          <w:tcPr>
            <w:tcW w:w="4820" w:type="dxa"/>
            <w:vAlign w:val="bottom"/>
          </w:tcPr>
          <w:p>
            <w:pPr>
              <w:spacing w:after="0"/>
              <w:rPr>
                <w:sz w:val="23"/>
                <w:szCs w:val="23"/>
                <w:color w:val="auto"/>
              </w:rPr>
            </w:pPr>
          </w:p>
        </w:tc>
        <w:tc>
          <w:tcPr>
            <w:tcW w:w="302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2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4820" w:type="dxa"/>
            <w:vAlign w:val="bottom"/>
          </w:tcPr>
          <w:p>
            <w:pPr>
              <w:ind w:left="2360"/>
              <w:spacing w:after="0"/>
              <w:rPr>
                <w:sz w:val="20"/>
                <w:szCs w:val="20"/>
                <w:color w:val="auto"/>
              </w:rPr>
            </w:pPr>
            <w:r>
              <w:rPr>
                <w:rFonts w:ascii="Courier New" w:cs="Courier New" w:eastAsia="Courier New" w:hAnsi="Courier New"/>
                <w:sz w:val="16"/>
                <w:szCs w:val="16"/>
                <w:color w:val="auto"/>
              </w:rPr>
              <w:t>Assets</w:t>
            </w:r>
          </w:p>
        </w:tc>
        <w:tc>
          <w:tcPr>
            <w:tcW w:w="1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820" w:type="dxa"/>
            <w:vAlign w:val="bottom"/>
          </w:tcPr>
          <w:p>
            <w:pPr>
              <w:spacing w:after="0"/>
              <w:rPr>
                <w:sz w:val="20"/>
                <w:szCs w:val="20"/>
                <w:color w:val="auto"/>
              </w:rPr>
            </w:pPr>
            <w:r>
              <w:rPr>
                <w:rFonts w:ascii="Courier New" w:cs="Courier New" w:eastAsia="Courier New" w:hAnsi="Courier New"/>
                <w:sz w:val="16"/>
                <w:szCs w:val="16"/>
                <w:color w:val="auto"/>
              </w:rPr>
              <w:t>Investments:</w:t>
            </w:r>
          </w:p>
        </w:tc>
        <w:tc>
          <w:tcPr>
            <w:tcW w:w="15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At fair value -</w:t>
            </w:r>
          </w:p>
        </w:tc>
        <w:tc>
          <w:tcPr>
            <w:tcW w:w="15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820" w:type="dxa"/>
            <w:vAlign w:val="bottom"/>
          </w:tcPr>
          <w:p>
            <w:pPr>
              <w:ind w:left="380"/>
              <w:spacing w:after="0"/>
              <w:rPr>
                <w:sz w:val="20"/>
                <w:szCs w:val="20"/>
                <w:color w:val="auto"/>
              </w:rPr>
            </w:pPr>
            <w:r>
              <w:rPr>
                <w:rFonts w:ascii="Courier New" w:cs="Courier New" w:eastAsia="Courier New" w:hAnsi="Courier New"/>
                <w:sz w:val="16"/>
                <w:szCs w:val="16"/>
                <w:color w:val="auto"/>
              </w:rPr>
              <w:t>Registered investment company shares:</w:t>
            </w:r>
          </w:p>
        </w:tc>
        <w:tc>
          <w:tcPr>
            <w:tcW w:w="152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500" w:type="dxa"/>
            <w:vAlign w:val="bottom"/>
            <w:vMerge w:val="restart"/>
          </w:tcPr>
          <w:p>
            <w:pPr>
              <w:jc w:val="right"/>
              <w:ind w:right="381"/>
              <w:spacing w:after="0"/>
              <w:rPr>
                <w:sz w:val="20"/>
                <w:szCs w:val="20"/>
                <w:color w:val="auto"/>
              </w:rPr>
            </w:pPr>
            <w:r>
              <w:rPr>
                <w:rFonts w:ascii="Courier New" w:cs="Courier New" w:eastAsia="Courier New" w:hAnsi="Courier New"/>
                <w:sz w:val="16"/>
                <w:szCs w:val="16"/>
                <w:color w:val="auto"/>
              </w:rPr>
              <w:t>2,862,437</w:t>
            </w:r>
          </w:p>
        </w:tc>
        <w:tc>
          <w:tcPr>
            <w:tcW w:w="82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2,079,321</w:t>
            </w:r>
          </w:p>
        </w:tc>
        <w:tc>
          <w:tcPr>
            <w:tcW w:w="0" w:type="dxa"/>
            <w:vAlign w:val="bottom"/>
          </w:tcPr>
          <w:p>
            <w:pPr>
              <w:spacing w:after="0"/>
              <w:rPr>
                <w:sz w:val="1"/>
                <w:szCs w:val="1"/>
                <w:color w:val="auto"/>
              </w:rPr>
            </w:pPr>
          </w:p>
        </w:tc>
      </w:tr>
      <w:tr>
        <w:trPr>
          <w:trHeight w:val="182"/>
        </w:trPr>
        <w:tc>
          <w:tcPr>
            <w:tcW w:w="4820" w:type="dxa"/>
            <w:vAlign w:val="bottom"/>
          </w:tcPr>
          <w:p>
            <w:pPr>
              <w:ind w:left="560"/>
              <w:spacing w:after="0"/>
              <w:rPr>
                <w:sz w:val="20"/>
                <w:szCs w:val="20"/>
                <w:color w:val="auto"/>
              </w:rPr>
            </w:pPr>
            <w:r>
              <w:rPr>
                <w:rFonts w:ascii="Courier New" w:cs="Courier New" w:eastAsia="Courier New" w:hAnsi="Courier New"/>
                <w:sz w:val="16"/>
                <w:szCs w:val="16"/>
                <w:color w:val="auto"/>
              </w:rPr>
              <w:t>IDS International Fund</w:t>
            </w:r>
          </w:p>
        </w:tc>
        <w:tc>
          <w:tcPr>
            <w:tcW w:w="15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820" w:type="dxa"/>
            <w:vAlign w:val="bottom"/>
          </w:tcPr>
          <w:p>
            <w:pPr>
              <w:ind w:left="560"/>
              <w:spacing w:after="0"/>
              <w:rPr>
                <w:sz w:val="20"/>
                <w:szCs w:val="20"/>
                <w:color w:val="auto"/>
              </w:rPr>
            </w:pPr>
            <w:r>
              <w:rPr>
                <w:rFonts w:ascii="Courier New" w:cs="Courier New" w:eastAsia="Courier New" w:hAnsi="Courier New"/>
                <w:sz w:val="16"/>
                <w:szCs w:val="16"/>
                <w:color w:val="auto"/>
              </w:rPr>
              <w:t>IDS New Dimensions Fund</w:t>
            </w:r>
          </w:p>
        </w:tc>
        <w:tc>
          <w:tcPr>
            <w:tcW w:w="1520" w:type="dxa"/>
            <w:vAlign w:val="bottom"/>
          </w:tcPr>
          <w:p>
            <w:pPr>
              <w:spacing w:after="0"/>
              <w:rPr>
                <w:sz w:val="15"/>
                <w:szCs w:val="15"/>
                <w:color w:val="auto"/>
              </w:rPr>
            </w:pPr>
          </w:p>
        </w:tc>
        <w:tc>
          <w:tcPr>
            <w:tcW w:w="15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33,372,154</w:t>
            </w:r>
          </w:p>
        </w:tc>
        <w:tc>
          <w:tcPr>
            <w:tcW w:w="8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25,333,147</w:t>
            </w:r>
          </w:p>
        </w:tc>
        <w:tc>
          <w:tcPr>
            <w:tcW w:w="0" w:type="dxa"/>
            <w:vAlign w:val="bottom"/>
          </w:tcPr>
          <w:p>
            <w:pPr>
              <w:spacing w:after="0"/>
              <w:rPr>
                <w:sz w:val="1"/>
                <w:szCs w:val="1"/>
                <w:color w:val="auto"/>
              </w:rPr>
            </w:pPr>
          </w:p>
        </w:tc>
      </w:tr>
      <w:tr>
        <w:trPr>
          <w:trHeight w:val="182"/>
        </w:trPr>
        <w:tc>
          <w:tcPr>
            <w:tcW w:w="4820" w:type="dxa"/>
            <w:vAlign w:val="bottom"/>
          </w:tcPr>
          <w:p>
            <w:pPr>
              <w:ind w:left="560"/>
              <w:spacing w:after="0"/>
              <w:rPr>
                <w:sz w:val="20"/>
                <w:szCs w:val="20"/>
                <w:color w:val="auto"/>
              </w:rPr>
            </w:pPr>
            <w:r>
              <w:rPr>
                <w:rFonts w:ascii="Courier New" w:cs="Courier New" w:eastAsia="Courier New" w:hAnsi="Courier New"/>
                <w:sz w:val="16"/>
                <w:szCs w:val="16"/>
                <w:color w:val="auto"/>
              </w:rPr>
              <w:t>IDS Stock Fund</w:t>
            </w:r>
          </w:p>
        </w:tc>
        <w:tc>
          <w:tcPr>
            <w:tcW w:w="1520" w:type="dxa"/>
            <w:vAlign w:val="bottom"/>
          </w:tcPr>
          <w:p>
            <w:pPr>
              <w:spacing w:after="0"/>
              <w:rPr>
                <w:sz w:val="15"/>
                <w:szCs w:val="15"/>
                <w:color w:val="auto"/>
              </w:rPr>
            </w:pPr>
          </w:p>
        </w:tc>
        <w:tc>
          <w:tcPr>
            <w:tcW w:w="15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12,164,750</w:t>
            </w:r>
          </w:p>
        </w:tc>
        <w:tc>
          <w:tcPr>
            <w:tcW w:w="0" w:type="dxa"/>
            <w:vAlign w:val="bottom"/>
          </w:tcPr>
          <w:p>
            <w:pPr>
              <w:spacing w:after="0"/>
              <w:rPr>
                <w:sz w:val="1"/>
                <w:szCs w:val="1"/>
                <w:color w:val="auto"/>
              </w:rPr>
            </w:pPr>
          </w:p>
        </w:tc>
      </w:tr>
      <w:tr>
        <w:trPr>
          <w:trHeight w:val="182"/>
        </w:trPr>
        <w:tc>
          <w:tcPr>
            <w:tcW w:w="4820" w:type="dxa"/>
            <w:vAlign w:val="bottom"/>
          </w:tcPr>
          <w:p>
            <w:pPr>
              <w:ind w:left="560"/>
              <w:spacing w:after="0"/>
              <w:rPr>
                <w:sz w:val="20"/>
                <w:szCs w:val="20"/>
                <w:color w:val="auto"/>
              </w:rPr>
            </w:pPr>
            <w:r>
              <w:rPr>
                <w:rFonts w:ascii="Courier New" w:cs="Courier New" w:eastAsia="Courier New" w:hAnsi="Courier New"/>
                <w:sz w:val="16"/>
                <w:szCs w:val="16"/>
                <w:color w:val="auto"/>
              </w:rPr>
              <w:t>IDS Mutual Fund</w:t>
            </w:r>
          </w:p>
        </w:tc>
        <w:tc>
          <w:tcPr>
            <w:tcW w:w="1520" w:type="dxa"/>
            <w:vAlign w:val="bottom"/>
          </w:tcPr>
          <w:p>
            <w:pPr>
              <w:spacing w:after="0"/>
              <w:rPr>
                <w:sz w:val="15"/>
                <w:szCs w:val="15"/>
                <w:color w:val="auto"/>
              </w:rPr>
            </w:pPr>
          </w:p>
        </w:tc>
        <w:tc>
          <w:tcPr>
            <w:tcW w:w="15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9,973,266</w:t>
            </w:r>
          </w:p>
        </w:tc>
        <w:tc>
          <w:tcPr>
            <w:tcW w:w="8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10,134,740</w:t>
            </w:r>
          </w:p>
        </w:tc>
        <w:tc>
          <w:tcPr>
            <w:tcW w:w="0" w:type="dxa"/>
            <w:vAlign w:val="bottom"/>
          </w:tcPr>
          <w:p>
            <w:pPr>
              <w:spacing w:after="0"/>
              <w:rPr>
                <w:sz w:val="1"/>
                <w:szCs w:val="1"/>
                <w:color w:val="auto"/>
              </w:rPr>
            </w:pPr>
          </w:p>
        </w:tc>
      </w:tr>
      <w:tr>
        <w:trPr>
          <w:trHeight w:val="182"/>
        </w:trPr>
        <w:tc>
          <w:tcPr>
            <w:tcW w:w="4820" w:type="dxa"/>
            <w:vAlign w:val="bottom"/>
          </w:tcPr>
          <w:p>
            <w:pPr>
              <w:ind w:left="560"/>
              <w:spacing w:after="0"/>
              <w:rPr>
                <w:sz w:val="20"/>
                <w:szCs w:val="20"/>
                <w:color w:val="auto"/>
              </w:rPr>
            </w:pPr>
            <w:r>
              <w:rPr>
                <w:rFonts w:ascii="Courier New" w:cs="Courier New" w:eastAsia="Courier New" w:hAnsi="Courier New"/>
                <w:sz w:val="16"/>
                <w:szCs w:val="16"/>
                <w:color w:val="auto"/>
              </w:rPr>
              <w:t>IDS Federal Income Fund</w:t>
            </w:r>
          </w:p>
        </w:tc>
        <w:tc>
          <w:tcPr>
            <w:tcW w:w="1520" w:type="dxa"/>
            <w:vAlign w:val="bottom"/>
          </w:tcPr>
          <w:p>
            <w:pPr>
              <w:spacing w:after="0"/>
              <w:rPr>
                <w:sz w:val="15"/>
                <w:szCs w:val="15"/>
                <w:color w:val="auto"/>
              </w:rPr>
            </w:pPr>
          </w:p>
        </w:tc>
        <w:tc>
          <w:tcPr>
            <w:tcW w:w="15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21,336,933</w:t>
            </w:r>
          </w:p>
        </w:tc>
        <w:tc>
          <w:tcPr>
            <w:tcW w:w="8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19,307,643</w:t>
            </w:r>
          </w:p>
        </w:tc>
        <w:tc>
          <w:tcPr>
            <w:tcW w:w="0" w:type="dxa"/>
            <w:vAlign w:val="bottom"/>
          </w:tcPr>
          <w:p>
            <w:pPr>
              <w:spacing w:after="0"/>
              <w:rPr>
                <w:sz w:val="1"/>
                <w:szCs w:val="1"/>
                <w:color w:val="auto"/>
              </w:rPr>
            </w:pPr>
          </w:p>
        </w:tc>
      </w:tr>
      <w:tr>
        <w:trPr>
          <w:trHeight w:val="182"/>
        </w:trPr>
        <w:tc>
          <w:tcPr>
            <w:tcW w:w="4820" w:type="dxa"/>
            <w:vAlign w:val="bottom"/>
          </w:tcPr>
          <w:p>
            <w:pPr>
              <w:ind w:left="560"/>
              <w:spacing w:after="0"/>
              <w:rPr>
                <w:sz w:val="20"/>
                <w:szCs w:val="20"/>
                <w:color w:val="auto"/>
              </w:rPr>
            </w:pPr>
            <w:r>
              <w:rPr>
                <w:rFonts w:ascii="Courier New" w:cs="Courier New" w:eastAsia="Courier New" w:hAnsi="Courier New"/>
                <w:sz w:val="16"/>
                <w:szCs w:val="16"/>
                <w:color w:val="auto"/>
              </w:rPr>
              <w:t>AIM Constellation Fund</w:t>
            </w:r>
          </w:p>
        </w:tc>
        <w:tc>
          <w:tcPr>
            <w:tcW w:w="1520" w:type="dxa"/>
            <w:vAlign w:val="bottom"/>
          </w:tcPr>
          <w:p>
            <w:pPr>
              <w:spacing w:after="0"/>
              <w:rPr>
                <w:sz w:val="15"/>
                <w:szCs w:val="15"/>
                <w:color w:val="auto"/>
              </w:rPr>
            </w:pPr>
          </w:p>
        </w:tc>
        <w:tc>
          <w:tcPr>
            <w:tcW w:w="15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1,987,407</w:t>
            </w:r>
          </w:p>
        </w:tc>
        <w:tc>
          <w:tcPr>
            <w:tcW w:w="8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820" w:type="dxa"/>
            <w:vAlign w:val="bottom"/>
          </w:tcPr>
          <w:p>
            <w:pPr>
              <w:ind w:left="380"/>
              <w:spacing w:after="0"/>
              <w:rPr>
                <w:sz w:val="20"/>
                <w:szCs w:val="20"/>
                <w:color w:val="auto"/>
              </w:rPr>
            </w:pPr>
            <w:r>
              <w:rPr>
                <w:rFonts w:ascii="Courier New" w:cs="Courier New" w:eastAsia="Courier New" w:hAnsi="Courier New"/>
                <w:sz w:val="16"/>
                <w:szCs w:val="16"/>
                <w:color w:val="auto"/>
              </w:rPr>
              <w:t>Camco/Schlumberger Stock Fund</w:t>
            </w:r>
          </w:p>
        </w:tc>
        <w:tc>
          <w:tcPr>
            <w:tcW w:w="1520" w:type="dxa"/>
            <w:vAlign w:val="bottom"/>
          </w:tcPr>
          <w:p>
            <w:pPr>
              <w:spacing w:after="0"/>
              <w:rPr>
                <w:sz w:val="15"/>
                <w:szCs w:val="15"/>
                <w:color w:val="auto"/>
              </w:rPr>
            </w:pPr>
          </w:p>
        </w:tc>
        <w:tc>
          <w:tcPr>
            <w:tcW w:w="15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3,806,231</w:t>
            </w:r>
          </w:p>
        </w:tc>
        <w:tc>
          <w:tcPr>
            <w:tcW w:w="8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3,388,813</w:t>
            </w:r>
          </w:p>
        </w:tc>
        <w:tc>
          <w:tcPr>
            <w:tcW w:w="0" w:type="dxa"/>
            <w:vAlign w:val="bottom"/>
          </w:tcPr>
          <w:p>
            <w:pPr>
              <w:spacing w:after="0"/>
              <w:rPr>
                <w:sz w:val="1"/>
                <w:szCs w:val="1"/>
                <w:color w:val="auto"/>
              </w:rPr>
            </w:pPr>
          </w:p>
        </w:tc>
      </w:tr>
      <w:tr>
        <w:trPr>
          <w:trHeight w:val="182"/>
        </w:trPr>
        <w:tc>
          <w:tcPr>
            <w:tcW w:w="4820" w:type="dxa"/>
            <w:vAlign w:val="bottom"/>
          </w:tcPr>
          <w:p>
            <w:pPr>
              <w:ind w:left="380"/>
              <w:spacing w:after="0"/>
              <w:rPr>
                <w:sz w:val="20"/>
                <w:szCs w:val="20"/>
                <w:color w:val="auto"/>
              </w:rPr>
            </w:pPr>
            <w:r>
              <w:rPr>
                <w:rFonts w:ascii="Courier New" w:cs="Courier New" w:eastAsia="Courier New" w:hAnsi="Courier New"/>
                <w:sz w:val="16"/>
                <w:szCs w:val="16"/>
                <w:color w:val="auto"/>
              </w:rPr>
              <w:t>Participant notes receivable</w:t>
            </w:r>
          </w:p>
        </w:tc>
        <w:tc>
          <w:tcPr>
            <w:tcW w:w="1520" w:type="dxa"/>
            <w:vAlign w:val="bottom"/>
          </w:tcPr>
          <w:p>
            <w:pPr>
              <w:spacing w:after="0"/>
              <w:rPr>
                <w:sz w:val="15"/>
                <w:szCs w:val="15"/>
                <w:color w:val="auto"/>
              </w:rPr>
            </w:pPr>
          </w:p>
        </w:tc>
        <w:tc>
          <w:tcPr>
            <w:tcW w:w="15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6,890,466</w:t>
            </w:r>
          </w:p>
        </w:tc>
        <w:tc>
          <w:tcPr>
            <w:tcW w:w="8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6,594,717</w:t>
            </w:r>
          </w:p>
        </w:tc>
        <w:tc>
          <w:tcPr>
            <w:tcW w:w="0" w:type="dxa"/>
            <w:vAlign w:val="bottom"/>
          </w:tcPr>
          <w:p>
            <w:pPr>
              <w:spacing w:after="0"/>
              <w:rPr>
                <w:sz w:val="1"/>
                <w:szCs w:val="1"/>
                <w:color w:val="auto"/>
              </w:rPr>
            </w:pPr>
          </w:p>
        </w:tc>
      </w:tr>
      <w:tr>
        <w:trPr>
          <w:trHeight w:val="265"/>
        </w:trPr>
        <w:tc>
          <w:tcPr>
            <w:tcW w:w="4820" w:type="dxa"/>
            <w:vAlign w:val="bottom"/>
          </w:tcPr>
          <w:p>
            <w:pPr>
              <w:spacing w:after="0"/>
              <w:rPr>
                <w:sz w:val="23"/>
                <w:szCs w:val="23"/>
                <w:color w:val="auto"/>
              </w:rPr>
            </w:pPr>
          </w:p>
        </w:tc>
        <w:tc>
          <w:tcPr>
            <w:tcW w:w="302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2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48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80,228,894</w:t>
            </w:r>
          </w:p>
        </w:tc>
        <w:tc>
          <w:tcPr>
            <w:tcW w:w="8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79,003,131</w:t>
            </w:r>
          </w:p>
        </w:tc>
        <w:tc>
          <w:tcPr>
            <w:tcW w:w="0" w:type="dxa"/>
            <w:vAlign w:val="bottom"/>
          </w:tcPr>
          <w:p>
            <w:pPr>
              <w:spacing w:after="0"/>
              <w:rPr>
                <w:sz w:val="1"/>
                <w:szCs w:val="1"/>
                <w:color w:val="auto"/>
              </w:rPr>
            </w:pPr>
          </w:p>
        </w:tc>
      </w:tr>
      <w:tr>
        <w:trPr>
          <w:trHeight w:val="265"/>
        </w:trPr>
        <w:tc>
          <w:tcPr>
            <w:tcW w:w="4820" w:type="dxa"/>
            <w:vAlign w:val="bottom"/>
          </w:tcPr>
          <w:p>
            <w:pPr>
              <w:spacing w:after="0"/>
              <w:rPr>
                <w:sz w:val="23"/>
                <w:szCs w:val="23"/>
                <w:color w:val="auto"/>
              </w:rPr>
            </w:pPr>
          </w:p>
        </w:tc>
        <w:tc>
          <w:tcPr>
            <w:tcW w:w="302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2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4820" w:type="dxa"/>
            <w:vAlign w:val="bottom"/>
          </w:tcPr>
          <w:p>
            <w:pPr>
              <w:ind w:left="180"/>
              <w:spacing w:after="0"/>
              <w:rPr>
                <w:sz w:val="20"/>
                <w:szCs w:val="20"/>
                <w:color w:val="auto"/>
              </w:rPr>
            </w:pPr>
            <w:r>
              <w:rPr>
                <w:rFonts w:ascii="Courier New" w:cs="Courier New" w:eastAsia="Courier New" w:hAnsi="Courier New"/>
                <w:sz w:val="16"/>
                <w:szCs w:val="16"/>
                <w:color w:val="auto"/>
              </w:rPr>
              <w:t>At contract value -</w:t>
            </w:r>
          </w:p>
        </w:tc>
        <w:tc>
          <w:tcPr>
            <w:tcW w:w="1520" w:type="dxa"/>
            <w:vAlign w:val="bottom"/>
          </w:tcPr>
          <w:p>
            <w:pPr>
              <w:spacing w:after="0"/>
              <w:rPr>
                <w:sz w:val="24"/>
                <w:szCs w:val="24"/>
                <w:color w:val="auto"/>
              </w:rPr>
            </w:pPr>
          </w:p>
        </w:tc>
        <w:tc>
          <w:tcPr>
            <w:tcW w:w="1500" w:type="dxa"/>
            <w:vAlign w:val="bottom"/>
            <w:vMerge w:val="restart"/>
          </w:tcPr>
          <w:p>
            <w:pPr>
              <w:jc w:val="right"/>
              <w:ind w:right="381"/>
              <w:spacing w:after="0"/>
              <w:rPr>
                <w:sz w:val="20"/>
                <w:szCs w:val="20"/>
                <w:color w:val="auto"/>
              </w:rPr>
            </w:pPr>
            <w:r>
              <w:rPr>
                <w:rFonts w:ascii="Courier New" w:cs="Courier New" w:eastAsia="Courier New" w:hAnsi="Courier New"/>
                <w:sz w:val="16"/>
                <w:szCs w:val="16"/>
                <w:color w:val="auto"/>
              </w:rPr>
              <w:t>13,935,694</w:t>
            </w:r>
          </w:p>
        </w:tc>
        <w:tc>
          <w:tcPr>
            <w:tcW w:w="820" w:type="dxa"/>
            <w:vAlign w:val="bottom"/>
          </w:tcPr>
          <w:p>
            <w:pPr>
              <w:spacing w:after="0"/>
              <w:rPr>
                <w:sz w:val="24"/>
                <w:szCs w:val="24"/>
                <w:color w:val="auto"/>
              </w:rPr>
            </w:pPr>
          </w:p>
        </w:tc>
        <w:tc>
          <w:tcPr>
            <w:tcW w:w="12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820" w:type="dxa"/>
            <w:vAlign w:val="bottom"/>
          </w:tcPr>
          <w:p>
            <w:pPr>
              <w:ind w:left="560"/>
              <w:spacing w:after="0"/>
              <w:rPr>
                <w:sz w:val="20"/>
                <w:szCs w:val="20"/>
                <w:color w:val="auto"/>
              </w:rPr>
            </w:pPr>
            <w:r>
              <w:rPr>
                <w:rFonts w:ascii="Courier New" w:cs="Courier New" w:eastAsia="Courier New" w:hAnsi="Courier New"/>
                <w:sz w:val="16"/>
                <w:szCs w:val="16"/>
                <w:color w:val="auto"/>
              </w:rPr>
              <w:t>AET Equity Index Fund I</w:t>
            </w:r>
          </w:p>
        </w:tc>
        <w:tc>
          <w:tcPr>
            <w:tcW w:w="152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820" w:type="dxa"/>
            <w:vAlign w:val="bottom"/>
          </w:tcPr>
          <w:p>
            <w:pPr>
              <w:ind w:left="560"/>
              <w:spacing w:after="0"/>
              <w:rPr>
                <w:sz w:val="20"/>
                <w:szCs w:val="20"/>
                <w:color w:val="auto"/>
              </w:rPr>
            </w:pPr>
            <w:r>
              <w:rPr>
                <w:rFonts w:ascii="Courier New" w:cs="Courier New" w:eastAsia="Courier New" w:hAnsi="Courier New"/>
                <w:sz w:val="16"/>
                <w:szCs w:val="16"/>
                <w:color w:val="auto"/>
              </w:rPr>
              <w:t>AET Income Fund II</w:t>
            </w:r>
          </w:p>
        </w:tc>
        <w:tc>
          <w:tcPr>
            <w:tcW w:w="1520" w:type="dxa"/>
            <w:vAlign w:val="bottom"/>
          </w:tcPr>
          <w:p>
            <w:pPr>
              <w:spacing w:after="0"/>
              <w:rPr>
                <w:sz w:val="15"/>
                <w:szCs w:val="15"/>
                <w:color w:val="auto"/>
              </w:rPr>
            </w:pPr>
          </w:p>
        </w:tc>
        <w:tc>
          <w:tcPr>
            <w:tcW w:w="15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25,562,380</w:t>
            </w:r>
          </w:p>
        </w:tc>
        <w:tc>
          <w:tcPr>
            <w:tcW w:w="8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25,048,609</w:t>
            </w:r>
          </w:p>
        </w:tc>
        <w:tc>
          <w:tcPr>
            <w:tcW w:w="0" w:type="dxa"/>
            <w:vAlign w:val="bottom"/>
          </w:tcPr>
          <w:p>
            <w:pPr>
              <w:spacing w:after="0"/>
              <w:rPr>
                <w:sz w:val="1"/>
                <w:szCs w:val="1"/>
                <w:color w:val="auto"/>
              </w:rPr>
            </w:pPr>
          </w:p>
        </w:tc>
      </w:tr>
      <w:tr>
        <w:trPr>
          <w:trHeight w:val="265"/>
        </w:trPr>
        <w:tc>
          <w:tcPr>
            <w:tcW w:w="4820" w:type="dxa"/>
            <w:vAlign w:val="bottom"/>
          </w:tcPr>
          <w:p>
            <w:pPr>
              <w:spacing w:after="0"/>
              <w:rPr>
                <w:sz w:val="23"/>
                <w:szCs w:val="23"/>
                <w:color w:val="auto"/>
              </w:rPr>
            </w:pPr>
          </w:p>
        </w:tc>
        <w:tc>
          <w:tcPr>
            <w:tcW w:w="302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2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48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39,498,074</w:t>
            </w:r>
          </w:p>
        </w:tc>
        <w:tc>
          <w:tcPr>
            <w:tcW w:w="8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25,048,609</w:t>
            </w:r>
          </w:p>
        </w:tc>
        <w:tc>
          <w:tcPr>
            <w:tcW w:w="0" w:type="dxa"/>
            <w:vAlign w:val="bottom"/>
          </w:tcPr>
          <w:p>
            <w:pPr>
              <w:spacing w:after="0"/>
              <w:rPr>
                <w:sz w:val="1"/>
                <w:szCs w:val="1"/>
                <w:color w:val="auto"/>
              </w:rPr>
            </w:pPr>
          </w:p>
        </w:tc>
      </w:tr>
      <w:tr>
        <w:trPr>
          <w:trHeight w:val="265"/>
        </w:trPr>
        <w:tc>
          <w:tcPr>
            <w:tcW w:w="4820" w:type="dxa"/>
            <w:vAlign w:val="bottom"/>
          </w:tcPr>
          <w:p>
            <w:pPr>
              <w:spacing w:after="0"/>
              <w:rPr>
                <w:sz w:val="23"/>
                <w:szCs w:val="23"/>
                <w:color w:val="auto"/>
              </w:rPr>
            </w:pPr>
          </w:p>
        </w:tc>
        <w:tc>
          <w:tcPr>
            <w:tcW w:w="302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2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64"/>
        </w:trPr>
        <w:tc>
          <w:tcPr>
            <w:tcW w:w="4820" w:type="dxa"/>
            <w:vAlign w:val="bottom"/>
          </w:tcPr>
          <w:p>
            <w:pPr>
              <w:ind w:left="560"/>
              <w:spacing w:after="0"/>
              <w:rPr>
                <w:sz w:val="20"/>
                <w:szCs w:val="20"/>
                <w:color w:val="auto"/>
              </w:rPr>
            </w:pPr>
            <w:r>
              <w:rPr>
                <w:rFonts w:ascii="Courier New" w:cs="Courier New" w:eastAsia="Courier New" w:hAnsi="Courier New"/>
                <w:sz w:val="16"/>
                <w:szCs w:val="16"/>
                <w:color w:val="auto"/>
              </w:rPr>
              <w:t>Total investments</w:t>
            </w:r>
          </w:p>
        </w:tc>
        <w:tc>
          <w:tcPr>
            <w:tcW w:w="1520" w:type="dxa"/>
            <w:vAlign w:val="bottom"/>
          </w:tcPr>
          <w:p>
            <w:pPr>
              <w:spacing w:after="0"/>
              <w:rPr>
                <w:sz w:val="24"/>
                <w:szCs w:val="24"/>
                <w:color w:val="auto"/>
              </w:rPr>
            </w:pPr>
          </w:p>
        </w:tc>
        <w:tc>
          <w:tcPr>
            <w:tcW w:w="1500" w:type="dxa"/>
            <w:vAlign w:val="bottom"/>
          </w:tcPr>
          <w:p>
            <w:pPr>
              <w:jc w:val="right"/>
              <w:ind w:right="381"/>
              <w:spacing w:after="0"/>
              <w:rPr>
                <w:sz w:val="20"/>
                <w:szCs w:val="20"/>
                <w:color w:val="auto"/>
              </w:rPr>
            </w:pPr>
            <w:r>
              <w:rPr>
                <w:rFonts w:ascii="Courier New" w:cs="Courier New" w:eastAsia="Courier New" w:hAnsi="Courier New"/>
                <w:sz w:val="16"/>
                <w:szCs w:val="16"/>
                <w:color w:val="auto"/>
                <w:w w:val="96"/>
              </w:rPr>
              <w:t>119,726,968</w:t>
            </w:r>
          </w:p>
        </w:tc>
        <w:tc>
          <w:tcPr>
            <w:tcW w:w="8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104,051,740</w:t>
            </w:r>
          </w:p>
        </w:tc>
        <w:tc>
          <w:tcPr>
            <w:tcW w:w="0" w:type="dxa"/>
            <w:vAlign w:val="bottom"/>
          </w:tcPr>
          <w:p>
            <w:pPr>
              <w:spacing w:after="0"/>
              <w:rPr>
                <w:sz w:val="1"/>
                <w:szCs w:val="1"/>
                <w:color w:val="auto"/>
              </w:rPr>
            </w:pPr>
          </w:p>
        </w:tc>
      </w:tr>
      <w:tr>
        <w:trPr>
          <w:trHeight w:val="280"/>
        </w:trPr>
        <w:tc>
          <w:tcPr>
            <w:tcW w:w="482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1520" w:type="dxa"/>
            <w:vAlign w:val="bottom"/>
          </w:tcPr>
          <w:p>
            <w:pPr>
              <w:spacing w:after="0"/>
              <w:rPr>
                <w:sz w:val="24"/>
                <w:szCs w:val="24"/>
                <w:color w:val="auto"/>
              </w:rPr>
            </w:pPr>
          </w:p>
        </w:tc>
        <w:tc>
          <w:tcPr>
            <w:tcW w:w="15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5"/>
        </w:trPr>
        <w:tc>
          <w:tcPr>
            <w:tcW w:w="4820" w:type="dxa"/>
            <w:vAlign w:val="bottom"/>
          </w:tcPr>
          <w:p>
            <w:pPr>
              <w:spacing w:after="0"/>
              <w:rPr>
                <w:sz w:val="23"/>
                <w:szCs w:val="23"/>
                <w:color w:val="auto"/>
              </w:rPr>
            </w:pPr>
          </w:p>
        </w:tc>
        <w:tc>
          <w:tcPr>
            <w:tcW w:w="302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2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64"/>
        </w:trPr>
        <w:tc>
          <w:tcPr>
            <w:tcW w:w="4820" w:type="dxa"/>
            <w:vAlign w:val="bottom"/>
          </w:tcPr>
          <w:p>
            <w:pPr>
              <w:ind w:left="560"/>
              <w:spacing w:after="0"/>
              <w:rPr>
                <w:sz w:val="20"/>
                <w:szCs w:val="20"/>
                <w:color w:val="auto"/>
              </w:rPr>
            </w:pPr>
            <w:r>
              <w:rPr>
                <w:rFonts w:ascii="Courier New" w:cs="Courier New" w:eastAsia="Courier New" w:hAnsi="Courier New"/>
                <w:sz w:val="16"/>
                <w:szCs w:val="16"/>
                <w:color w:val="auto"/>
              </w:rPr>
              <w:t>Total assets</w:t>
            </w:r>
          </w:p>
        </w:tc>
        <w:tc>
          <w:tcPr>
            <w:tcW w:w="1520" w:type="dxa"/>
            <w:vAlign w:val="bottom"/>
          </w:tcPr>
          <w:p>
            <w:pPr>
              <w:spacing w:after="0"/>
              <w:rPr>
                <w:sz w:val="24"/>
                <w:szCs w:val="24"/>
                <w:color w:val="auto"/>
              </w:rPr>
            </w:pPr>
          </w:p>
        </w:tc>
        <w:tc>
          <w:tcPr>
            <w:tcW w:w="1500" w:type="dxa"/>
            <w:vAlign w:val="bottom"/>
          </w:tcPr>
          <w:p>
            <w:pPr>
              <w:jc w:val="right"/>
              <w:ind w:right="381"/>
              <w:spacing w:after="0"/>
              <w:rPr>
                <w:sz w:val="20"/>
                <w:szCs w:val="20"/>
                <w:color w:val="auto"/>
              </w:rPr>
            </w:pPr>
            <w:r>
              <w:rPr>
                <w:rFonts w:ascii="Courier New" w:cs="Courier New" w:eastAsia="Courier New" w:hAnsi="Courier New"/>
                <w:sz w:val="16"/>
                <w:szCs w:val="16"/>
                <w:color w:val="auto"/>
                <w:w w:val="96"/>
              </w:rPr>
              <w:t>119,726,968</w:t>
            </w:r>
          </w:p>
        </w:tc>
        <w:tc>
          <w:tcPr>
            <w:tcW w:w="8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104,051,740</w:t>
            </w:r>
          </w:p>
        </w:tc>
        <w:tc>
          <w:tcPr>
            <w:tcW w:w="0" w:type="dxa"/>
            <w:vAlign w:val="bottom"/>
          </w:tcPr>
          <w:p>
            <w:pPr>
              <w:spacing w:after="0"/>
              <w:rPr>
                <w:sz w:val="1"/>
                <w:szCs w:val="1"/>
                <w:color w:val="auto"/>
              </w:rPr>
            </w:pPr>
          </w:p>
        </w:tc>
      </w:tr>
      <w:tr>
        <w:trPr>
          <w:trHeight w:val="280"/>
        </w:trPr>
        <w:tc>
          <w:tcPr>
            <w:tcW w:w="4820" w:type="dxa"/>
            <w:vAlign w:val="bottom"/>
          </w:tcPr>
          <w:p>
            <w:pPr>
              <w:ind w:left="2360"/>
              <w:spacing w:after="0"/>
              <w:rPr>
                <w:sz w:val="20"/>
                <w:szCs w:val="20"/>
                <w:color w:val="auto"/>
              </w:rPr>
            </w:pPr>
            <w:r>
              <w:rPr>
                <w:rFonts w:ascii="Courier New" w:cs="Courier New" w:eastAsia="Courier New" w:hAnsi="Courier New"/>
                <w:sz w:val="16"/>
                <w:szCs w:val="16"/>
                <w:color w:val="auto"/>
              </w:rPr>
              <w:t>Liabilities</w:t>
            </w:r>
          </w:p>
        </w:tc>
        <w:tc>
          <w:tcPr>
            <w:tcW w:w="1520" w:type="dxa"/>
            <w:vAlign w:val="bottom"/>
          </w:tcPr>
          <w:p>
            <w:pPr>
              <w:spacing w:after="0"/>
              <w:rPr>
                <w:sz w:val="24"/>
                <w:szCs w:val="24"/>
                <w:color w:val="auto"/>
              </w:rPr>
            </w:pPr>
          </w:p>
        </w:tc>
        <w:tc>
          <w:tcPr>
            <w:tcW w:w="1500" w:type="dxa"/>
            <w:vAlign w:val="bottom"/>
            <w:vMerge w:val="restart"/>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spacing w:after="0"/>
              <w:rPr>
                <w:sz w:val="24"/>
                <w:szCs w:val="24"/>
                <w:color w:val="auto"/>
              </w:rPr>
            </w:pPr>
          </w:p>
        </w:tc>
        <w:tc>
          <w:tcPr>
            <w:tcW w:w="12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820" w:type="dxa"/>
            <w:vAlign w:val="bottom"/>
          </w:tcPr>
          <w:p>
            <w:pPr>
              <w:spacing w:after="0"/>
              <w:rPr>
                <w:sz w:val="20"/>
                <w:szCs w:val="20"/>
                <w:color w:val="auto"/>
              </w:rPr>
            </w:pPr>
            <w:r>
              <w:rPr>
                <w:rFonts w:ascii="Courier New" w:cs="Courier New" w:eastAsia="Courier New" w:hAnsi="Courier New"/>
                <w:sz w:val="16"/>
                <w:szCs w:val="16"/>
                <w:color w:val="auto"/>
              </w:rPr>
              <w:t>Total liabilities</w:t>
            </w:r>
          </w:p>
        </w:tc>
        <w:tc>
          <w:tcPr>
            <w:tcW w:w="152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820" w:type="dxa"/>
            <w:vAlign w:val="bottom"/>
          </w:tcPr>
          <w:p>
            <w:pPr>
              <w:spacing w:after="0"/>
              <w:rPr>
                <w:sz w:val="23"/>
                <w:szCs w:val="23"/>
                <w:color w:val="auto"/>
              </w:rPr>
            </w:pPr>
          </w:p>
        </w:tc>
        <w:tc>
          <w:tcPr>
            <w:tcW w:w="302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2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4820" w:type="dxa"/>
            <w:vAlign w:val="bottom"/>
          </w:tcPr>
          <w:p>
            <w:pPr>
              <w:ind w:left="560"/>
              <w:spacing w:after="0"/>
              <w:rPr>
                <w:sz w:val="20"/>
                <w:szCs w:val="20"/>
                <w:color w:val="auto"/>
              </w:rPr>
            </w:pPr>
            <w:r>
              <w:rPr>
                <w:rFonts w:ascii="Courier New" w:cs="Courier New" w:eastAsia="Courier New" w:hAnsi="Courier New"/>
                <w:sz w:val="16"/>
                <w:szCs w:val="16"/>
                <w:color w:val="auto"/>
              </w:rPr>
              <w:t>Net assets available for benefits</w:t>
            </w: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381"/>
              <w:spacing w:after="0"/>
              <w:rPr>
                <w:sz w:val="20"/>
                <w:szCs w:val="20"/>
                <w:color w:val="auto"/>
              </w:rPr>
            </w:pPr>
            <w:r>
              <w:rPr>
                <w:rFonts w:ascii="Courier New" w:cs="Courier New" w:eastAsia="Courier New" w:hAnsi="Courier New"/>
                <w:sz w:val="16"/>
                <w:szCs w:val="16"/>
                <w:color w:val="auto"/>
                <w:w w:val="96"/>
              </w:rPr>
              <w:t>119,726,968</w:t>
            </w:r>
          </w:p>
        </w:tc>
        <w:tc>
          <w:tcPr>
            <w:tcW w:w="8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104,051,740</w:t>
            </w:r>
          </w:p>
        </w:tc>
        <w:tc>
          <w:tcPr>
            <w:tcW w:w="0" w:type="dxa"/>
            <w:vAlign w:val="bottom"/>
          </w:tcPr>
          <w:p>
            <w:pPr>
              <w:spacing w:after="0"/>
              <w:rPr>
                <w:sz w:val="1"/>
                <w:szCs w:val="1"/>
                <w:color w:val="auto"/>
              </w:rPr>
            </w:pPr>
          </w:p>
        </w:tc>
      </w:tr>
      <w:tr>
        <w:trPr>
          <w:trHeight w:val="265"/>
        </w:trPr>
        <w:tc>
          <w:tcPr>
            <w:tcW w:w="4820" w:type="dxa"/>
            <w:vAlign w:val="bottom"/>
          </w:tcPr>
          <w:p>
            <w:pPr>
              <w:spacing w:after="0"/>
              <w:rPr>
                <w:sz w:val="23"/>
                <w:szCs w:val="23"/>
                <w:color w:val="auto"/>
              </w:rPr>
            </w:pPr>
          </w:p>
        </w:tc>
        <w:tc>
          <w:tcPr>
            <w:tcW w:w="302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2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The accompanying notes are an integral</w:t>
      </w:r>
    </w:p>
    <w:p>
      <w:pPr>
        <w:spacing w:after="0" w:line="29"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part of these financial statements.</w:t>
      </w:r>
    </w:p>
    <w:p>
      <w:pPr>
        <w:spacing w:after="0" w:line="15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35" w:right="1440" w:bottom="1440" w:gutter="0" w:footer="0" w:header="0"/>
        </w:sectPr>
      </w:pPr>
    </w:p>
    <w:bookmarkStart w:id="4" w:name="page5"/>
    <w:bookmarkEnd w:id="4"/>
    <w:p>
      <w:pPr>
        <w:spacing w:after="0" w:line="86" w:lineRule="exact"/>
        <w:rPr>
          <w:sz w:val="20"/>
          <w:szCs w:val="20"/>
          <w:color w:val="auto"/>
        </w:rPr>
      </w:pPr>
    </w:p>
    <w:p>
      <w:pPr>
        <w:jc w:val="center"/>
        <w:ind w:right="3600"/>
        <w:spacing w:after="0"/>
        <w:rPr>
          <w:sz w:val="20"/>
          <w:szCs w:val="20"/>
          <w:color w:val="auto"/>
        </w:rPr>
      </w:pPr>
      <w:r>
        <w:rPr>
          <w:rFonts w:ascii="Courier New" w:cs="Courier New" w:eastAsia="Courier New" w:hAnsi="Courier New"/>
          <w:sz w:val="16"/>
          <w:szCs w:val="16"/>
          <w:color w:val="auto"/>
        </w:rPr>
        <w:t>CAMCO THRIFT PLAN</w:t>
      </w:r>
    </w:p>
    <w:p>
      <w:pPr>
        <w:spacing w:after="0" w:line="29" w:lineRule="exact"/>
        <w:rPr>
          <w:sz w:val="20"/>
          <w:szCs w:val="20"/>
          <w:color w:val="auto"/>
        </w:rPr>
      </w:pPr>
    </w:p>
    <w:p>
      <w:pPr>
        <w:jc w:val="center"/>
        <w:ind w:right="3600"/>
        <w:spacing w:after="0"/>
        <w:rPr>
          <w:sz w:val="20"/>
          <w:szCs w:val="20"/>
          <w:color w:val="auto"/>
        </w:rPr>
      </w:pPr>
      <w:r>
        <w:rPr>
          <w:rFonts w:ascii="Courier New" w:cs="Courier New" w:eastAsia="Courier New" w:hAnsi="Courier New"/>
          <w:sz w:val="16"/>
          <w:szCs w:val="16"/>
          <w:color w:val="auto"/>
        </w:rPr>
        <w:t>Statement of Changes in Net Assets Available for Benefits</w:t>
      </w:r>
    </w:p>
    <w:p>
      <w:pPr>
        <w:spacing w:after="0" w:line="1" w:lineRule="exact"/>
        <w:rPr>
          <w:sz w:val="20"/>
          <w:szCs w:val="20"/>
          <w:color w:val="auto"/>
        </w:rPr>
      </w:pPr>
    </w:p>
    <w:p>
      <w:pPr>
        <w:jc w:val="center"/>
        <w:ind w:right="3600"/>
        <w:spacing w:after="0"/>
        <w:rPr>
          <w:sz w:val="20"/>
          <w:szCs w:val="20"/>
          <w:color w:val="auto"/>
        </w:rPr>
      </w:pPr>
      <w:r>
        <w:rPr>
          <w:rFonts w:ascii="Courier New" w:cs="Courier New" w:eastAsia="Courier New" w:hAnsi="Courier New"/>
          <w:sz w:val="16"/>
          <w:szCs w:val="16"/>
          <w:color w:val="auto"/>
        </w:rPr>
        <w:t>with Fund Information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6040" w:type="dxa"/>
            <w:vAlign w:val="bottom"/>
            <w:gridSpan w:val="3"/>
          </w:tcPr>
          <w:p>
            <w:pPr>
              <w:jc w:val="right"/>
              <w:ind w:right="481"/>
              <w:spacing w:after="0"/>
              <w:rPr>
                <w:sz w:val="20"/>
                <w:szCs w:val="20"/>
                <w:color w:val="auto"/>
              </w:rPr>
            </w:pPr>
            <w:r>
              <w:rPr>
                <w:rFonts w:ascii="Courier New" w:cs="Courier New" w:eastAsia="Courier New" w:hAnsi="Courier New"/>
                <w:sz w:val="16"/>
                <w:szCs w:val="16"/>
                <w:color w:val="auto"/>
              </w:rPr>
              <w:t>For the Year Ended December 31, 1998</w:t>
            </w:r>
          </w:p>
        </w:tc>
        <w:tc>
          <w:tcPr>
            <w:tcW w:w="3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98"/>
        </w:trPr>
        <w:tc>
          <w:tcPr>
            <w:tcW w:w="4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IDS</w:t>
            </w:r>
          </w:p>
        </w:tc>
        <w:tc>
          <w:tcPr>
            <w:tcW w:w="380" w:type="dxa"/>
            <w:vAlign w:val="bottom"/>
          </w:tcPr>
          <w:p>
            <w:pPr>
              <w:spacing w:after="0"/>
              <w:rPr>
                <w:sz w:val="24"/>
                <w:szCs w:val="24"/>
                <w:color w:val="auto"/>
              </w:rPr>
            </w:pPr>
          </w:p>
        </w:tc>
        <w:tc>
          <w:tcPr>
            <w:tcW w:w="14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IDS New</w:t>
            </w:r>
          </w:p>
        </w:tc>
        <w:tc>
          <w:tcPr>
            <w:tcW w:w="380" w:type="dxa"/>
            <w:vAlign w:val="bottom"/>
          </w:tcPr>
          <w:p>
            <w:pPr>
              <w:spacing w:after="0"/>
              <w:rPr>
                <w:sz w:val="24"/>
                <w:szCs w:val="24"/>
                <w:color w:val="auto"/>
              </w:rPr>
            </w:pPr>
          </w:p>
        </w:tc>
        <w:tc>
          <w:tcPr>
            <w:tcW w:w="1420" w:type="dxa"/>
            <w:vAlign w:val="bottom"/>
          </w:tcPr>
          <w:p>
            <w:pPr>
              <w:ind w:left="380"/>
              <w:spacing w:after="0"/>
              <w:rPr>
                <w:sz w:val="20"/>
                <w:szCs w:val="20"/>
                <w:color w:val="auto"/>
              </w:rPr>
            </w:pPr>
            <w:r>
              <w:rPr>
                <w:rFonts w:ascii="Courier New" w:cs="Courier New" w:eastAsia="Courier New" w:hAnsi="Courier New"/>
                <w:sz w:val="16"/>
                <w:szCs w:val="16"/>
                <w:color w:val="auto"/>
              </w:rPr>
              <w:t>IDS</w:t>
            </w:r>
          </w:p>
        </w:tc>
        <w:tc>
          <w:tcPr>
            <w:tcW w:w="380" w:type="dxa"/>
            <w:vAlign w:val="bottom"/>
          </w:tcPr>
          <w:p>
            <w:pPr>
              <w:spacing w:after="0"/>
              <w:rPr>
                <w:sz w:val="24"/>
                <w:szCs w:val="24"/>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IDS</w:t>
            </w:r>
          </w:p>
        </w:tc>
        <w:tc>
          <w:tcPr>
            <w:tcW w:w="0" w:type="dxa"/>
            <w:vAlign w:val="bottom"/>
          </w:tcPr>
          <w:p>
            <w:pPr>
              <w:spacing w:after="0"/>
              <w:rPr>
                <w:sz w:val="1"/>
                <w:szCs w:val="1"/>
                <w:color w:val="auto"/>
              </w:rPr>
            </w:pPr>
          </w:p>
        </w:tc>
      </w:tr>
      <w:tr>
        <w:trPr>
          <w:trHeight w:val="182"/>
        </w:trPr>
        <w:tc>
          <w:tcPr>
            <w:tcW w:w="4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6"/>
              </w:rPr>
              <w:t>International</w:t>
            </w:r>
          </w:p>
        </w:tc>
        <w:tc>
          <w:tcPr>
            <w:tcW w:w="380" w:type="dxa"/>
            <w:vAlign w:val="bottom"/>
          </w:tcPr>
          <w:p>
            <w:pPr>
              <w:spacing w:after="0"/>
              <w:rPr>
                <w:sz w:val="15"/>
                <w:szCs w:val="15"/>
                <w:color w:val="auto"/>
              </w:rPr>
            </w:pP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Dimensions</w:t>
            </w:r>
          </w:p>
        </w:tc>
        <w:tc>
          <w:tcPr>
            <w:tcW w:w="380" w:type="dxa"/>
            <w:vAlign w:val="bottom"/>
          </w:tcPr>
          <w:p>
            <w:pPr>
              <w:spacing w:after="0"/>
              <w:rPr>
                <w:sz w:val="15"/>
                <w:szCs w:val="15"/>
                <w:color w:val="auto"/>
              </w:rPr>
            </w:pPr>
          </w:p>
        </w:tc>
        <w:tc>
          <w:tcPr>
            <w:tcW w:w="14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Stock</w:t>
            </w:r>
          </w:p>
        </w:tc>
        <w:tc>
          <w:tcPr>
            <w:tcW w:w="3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Mutual</w:t>
            </w:r>
          </w:p>
        </w:tc>
        <w:tc>
          <w:tcPr>
            <w:tcW w:w="0" w:type="dxa"/>
            <w:vAlign w:val="bottom"/>
          </w:tcPr>
          <w:p>
            <w:pPr>
              <w:spacing w:after="0"/>
              <w:rPr>
                <w:sz w:val="1"/>
                <w:szCs w:val="1"/>
                <w:color w:val="auto"/>
              </w:rPr>
            </w:pPr>
          </w:p>
        </w:tc>
      </w:tr>
      <w:tr>
        <w:trPr>
          <w:trHeight w:val="182"/>
        </w:trPr>
        <w:tc>
          <w:tcPr>
            <w:tcW w:w="4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Fund</w:t>
            </w:r>
          </w:p>
        </w:tc>
        <w:tc>
          <w:tcPr>
            <w:tcW w:w="380" w:type="dxa"/>
            <w:vAlign w:val="bottom"/>
          </w:tcPr>
          <w:p>
            <w:pPr>
              <w:spacing w:after="0"/>
              <w:rPr>
                <w:sz w:val="15"/>
                <w:szCs w:val="15"/>
                <w:color w:val="auto"/>
              </w:rPr>
            </w:pPr>
          </w:p>
        </w:tc>
        <w:tc>
          <w:tcPr>
            <w:tcW w:w="14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Fund</w:t>
            </w:r>
          </w:p>
        </w:tc>
        <w:tc>
          <w:tcPr>
            <w:tcW w:w="380" w:type="dxa"/>
            <w:vAlign w:val="bottom"/>
          </w:tcPr>
          <w:p>
            <w:pPr>
              <w:spacing w:after="0"/>
              <w:rPr>
                <w:sz w:val="15"/>
                <w:szCs w:val="15"/>
                <w:color w:val="auto"/>
              </w:rPr>
            </w:pPr>
          </w:p>
        </w:tc>
        <w:tc>
          <w:tcPr>
            <w:tcW w:w="14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Fund</w:t>
            </w:r>
          </w:p>
        </w:tc>
        <w:tc>
          <w:tcPr>
            <w:tcW w:w="380" w:type="dxa"/>
            <w:vAlign w:val="bottom"/>
          </w:tcPr>
          <w:p>
            <w:pPr>
              <w:spacing w:after="0"/>
              <w:rPr>
                <w:sz w:val="15"/>
                <w:szCs w:val="15"/>
                <w:color w:val="auto"/>
              </w:rPr>
            </w:pPr>
          </w:p>
        </w:tc>
        <w:tc>
          <w:tcPr>
            <w:tcW w:w="1040" w:type="dxa"/>
            <w:vAlign w:val="bottom"/>
          </w:tcPr>
          <w:p>
            <w:pPr>
              <w:ind w:left="280"/>
              <w:spacing w:after="0"/>
              <w:rPr>
                <w:sz w:val="20"/>
                <w:szCs w:val="20"/>
                <w:color w:val="auto"/>
              </w:rPr>
            </w:pPr>
            <w:r>
              <w:rPr>
                <w:rFonts w:ascii="Courier New" w:cs="Courier New" w:eastAsia="Courier New" w:hAnsi="Courier New"/>
                <w:sz w:val="16"/>
                <w:szCs w:val="16"/>
                <w:color w:val="auto"/>
              </w:rPr>
              <w:t>Fund</w:t>
            </w:r>
          </w:p>
        </w:tc>
        <w:tc>
          <w:tcPr>
            <w:tcW w:w="0" w:type="dxa"/>
            <w:vAlign w:val="bottom"/>
          </w:tcPr>
          <w:p>
            <w:pPr>
              <w:spacing w:after="0"/>
              <w:rPr>
                <w:sz w:val="1"/>
                <w:szCs w:val="1"/>
                <w:color w:val="auto"/>
              </w:rPr>
            </w:pPr>
          </w:p>
        </w:tc>
      </w:tr>
      <w:tr>
        <w:trPr>
          <w:trHeight w:val="265"/>
        </w:trPr>
        <w:tc>
          <w:tcPr>
            <w:tcW w:w="4260" w:type="dxa"/>
            <w:vAlign w:val="bottom"/>
          </w:tcPr>
          <w:p>
            <w:pPr>
              <w:spacing w:after="0"/>
              <w:rPr>
                <w:sz w:val="23"/>
                <w:szCs w:val="23"/>
                <w:color w:val="auto"/>
              </w:rPr>
            </w:pPr>
          </w:p>
        </w:tc>
        <w:tc>
          <w:tcPr>
            <w:tcW w:w="17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4260" w:type="dxa"/>
            <w:vAlign w:val="bottom"/>
          </w:tcPr>
          <w:p>
            <w:pPr>
              <w:spacing w:after="0"/>
              <w:rPr>
                <w:sz w:val="20"/>
                <w:szCs w:val="20"/>
                <w:color w:val="auto"/>
              </w:rPr>
            </w:pPr>
            <w:r>
              <w:rPr>
                <w:rFonts w:ascii="Courier New" w:cs="Courier New" w:eastAsia="Courier New" w:hAnsi="Courier New"/>
                <w:sz w:val="16"/>
                <w:szCs w:val="16"/>
                <w:color w:val="auto"/>
              </w:rPr>
              <w:t>Additions</w:t>
            </w: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260" w:type="dxa"/>
            <w:vAlign w:val="bottom"/>
          </w:tcPr>
          <w:p>
            <w:pPr>
              <w:spacing w:after="0"/>
              <w:rPr>
                <w:sz w:val="20"/>
                <w:szCs w:val="20"/>
                <w:color w:val="auto"/>
              </w:rPr>
            </w:pPr>
            <w:r>
              <w:rPr>
                <w:rFonts w:ascii="Courier New" w:cs="Courier New" w:eastAsia="Courier New" w:hAnsi="Courier New"/>
                <w:sz w:val="16"/>
                <w:szCs w:val="16"/>
                <w:color w:val="auto"/>
              </w:rPr>
              <w:t>Additions to net assets attributed to:</w:t>
            </w:r>
          </w:p>
        </w:tc>
        <w:tc>
          <w:tcPr>
            <w:tcW w:w="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260" w:type="dxa"/>
            <w:vAlign w:val="bottom"/>
          </w:tcPr>
          <w:p>
            <w:pPr>
              <w:ind w:left="180"/>
              <w:spacing w:after="0"/>
              <w:rPr>
                <w:sz w:val="20"/>
                <w:szCs w:val="20"/>
                <w:color w:val="auto"/>
              </w:rPr>
            </w:pPr>
            <w:r>
              <w:rPr>
                <w:rFonts w:ascii="Courier New" w:cs="Courier New" w:eastAsia="Courier New" w:hAnsi="Courier New"/>
                <w:sz w:val="16"/>
                <w:szCs w:val="16"/>
                <w:color w:val="auto"/>
              </w:rPr>
              <w:t>Investment income</w:t>
            </w:r>
          </w:p>
        </w:tc>
        <w:tc>
          <w:tcPr>
            <w:tcW w:w="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260" w:type="dxa"/>
            <w:vAlign w:val="bottom"/>
          </w:tcPr>
          <w:p>
            <w:pPr>
              <w:ind w:left="380"/>
              <w:spacing w:after="0"/>
              <w:rPr>
                <w:sz w:val="20"/>
                <w:szCs w:val="20"/>
                <w:color w:val="auto"/>
              </w:rPr>
            </w:pPr>
            <w:r>
              <w:rPr>
                <w:rFonts w:ascii="Courier New" w:cs="Courier New" w:eastAsia="Courier New" w:hAnsi="Courier New"/>
                <w:sz w:val="16"/>
                <w:szCs w:val="16"/>
                <w:color w:val="auto"/>
              </w:rPr>
              <w:t>Net appreciation/(depreciation) in</w:t>
            </w:r>
          </w:p>
        </w:tc>
        <w:tc>
          <w:tcPr>
            <w:tcW w:w="38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40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140,943</w:t>
            </w:r>
          </w:p>
        </w:tc>
        <w:tc>
          <w:tcPr>
            <w:tcW w:w="3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42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5,398,950</w:t>
            </w:r>
          </w:p>
        </w:tc>
        <w:tc>
          <w:tcPr>
            <w:tcW w:w="38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42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318,458</w:t>
            </w:r>
          </w:p>
        </w:tc>
        <w:tc>
          <w:tcPr>
            <w:tcW w:w="38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(444,955)</w:t>
            </w:r>
          </w:p>
        </w:tc>
        <w:tc>
          <w:tcPr>
            <w:tcW w:w="0" w:type="dxa"/>
            <w:vAlign w:val="bottom"/>
          </w:tcPr>
          <w:p>
            <w:pPr>
              <w:spacing w:after="0"/>
              <w:rPr>
                <w:sz w:val="1"/>
                <w:szCs w:val="1"/>
                <w:color w:val="auto"/>
              </w:rPr>
            </w:pPr>
          </w:p>
        </w:tc>
      </w:tr>
      <w:tr>
        <w:trPr>
          <w:trHeight w:val="182"/>
        </w:trPr>
        <w:tc>
          <w:tcPr>
            <w:tcW w:w="4260" w:type="dxa"/>
            <w:vAlign w:val="bottom"/>
          </w:tcPr>
          <w:p>
            <w:pPr>
              <w:ind w:left="380"/>
              <w:spacing w:after="0"/>
              <w:rPr>
                <w:sz w:val="20"/>
                <w:szCs w:val="20"/>
                <w:color w:val="auto"/>
              </w:rPr>
            </w:pPr>
            <w:r>
              <w:rPr>
                <w:rFonts w:ascii="Courier New" w:cs="Courier New" w:eastAsia="Courier New" w:hAnsi="Courier New"/>
                <w:sz w:val="16"/>
                <w:szCs w:val="16"/>
                <w:color w:val="auto"/>
              </w:rPr>
              <w:t>fair value of investments</w:t>
            </w:r>
          </w:p>
        </w:tc>
        <w:tc>
          <w:tcPr>
            <w:tcW w:w="38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260" w:type="dxa"/>
            <w:vAlign w:val="bottom"/>
          </w:tcPr>
          <w:p>
            <w:pPr>
              <w:ind w:left="180"/>
              <w:spacing w:after="0"/>
              <w:rPr>
                <w:sz w:val="20"/>
                <w:szCs w:val="20"/>
                <w:color w:val="auto"/>
              </w:rPr>
            </w:pPr>
            <w:r>
              <w:rPr>
                <w:rFonts w:ascii="Courier New" w:cs="Courier New" w:eastAsia="Courier New" w:hAnsi="Courier New"/>
                <w:sz w:val="16"/>
                <w:szCs w:val="16"/>
                <w:color w:val="auto"/>
              </w:rPr>
              <w:t>Interest</w:t>
            </w:r>
          </w:p>
        </w:tc>
        <w:tc>
          <w:tcPr>
            <w:tcW w:w="380" w:type="dxa"/>
            <w:vAlign w:val="bottom"/>
          </w:tcPr>
          <w:p>
            <w:pPr>
              <w:spacing w:after="0"/>
              <w:rPr>
                <w:sz w:val="15"/>
                <w:szCs w:val="15"/>
                <w:color w:val="auto"/>
              </w:rPr>
            </w:pPr>
          </w:p>
        </w:tc>
        <w:tc>
          <w:tcPr>
            <w:tcW w:w="14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260" w:type="dxa"/>
            <w:vAlign w:val="bottom"/>
          </w:tcPr>
          <w:p>
            <w:pPr>
              <w:ind w:left="180"/>
              <w:spacing w:after="0"/>
              <w:rPr>
                <w:sz w:val="20"/>
                <w:szCs w:val="20"/>
                <w:color w:val="auto"/>
              </w:rPr>
            </w:pPr>
            <w:r>
              <w:rPr>
                <w:rFonts w:ascii="Courier New" w:cs="Courier New" w:eastAsia="Courier New" w:hAnsi="Courier New"/>
                <w:sz w:val="16"/>
                <w:szCs w:val="16"/>
                <w:color w:val="auto"/>
              </w:rPr>
              <w:t>Dividends</w:t>
            </w:r>
          </w:p>
        </w:tc>
        <w:tc>
          <w:tcPr>
            <w:tcW w:w="380" w:type="dxa"/>
            <w:vAlign w:val="bottom"/>
          </w:tcPr>
          <w:p>
            <w:pPr>
              <w:spacing w:after="0"/>
              <w:rPr>
                <w:sz w:val="15"/>
                <w:szCs w:val="15"/>
                <w:color w:val="auto"/>
              </w:rPr>
            </w:pPr>
          </w:p>
        </w:tc>
        <w:tc>
          <w:tcPr>
            <w:tcW w:w="14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47,901</w:t>
            </w:r>
          </w:p>
        </w:tc>
        <w:tc>
          <w:tcPr>
            <w:tcW w:w="380" w:type="dxa"/>
            <w:vAlign w:val="bottom"/>
          </w:tcPr>
          <w:p>
            <w:pPr>
              <w:spacing w:after="0"/>
              <w:rPr>
                <w:sz w:val="15"/>
                <w:szCs w:val="15"/>
                <w:color w:val="auto"/>
              </w:rPr>
            </w:pP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1,924,059</w:t>
            </w:r>
          </w:p>
        </w:tc>
        <w:tc>
          <w:tcPr>
            <w:tcW w:w="380" w:type="dxa"/>
            <w:vAlign w:val="bottom"/>
          </w:tcPr>
          <w:p>
            <w:pPr>
              <w:spacing w:after="0"/>
              <w:rPr>
                <w:sz w:val="15"/>
                <w:szCs w:val="15"/>
                <w:color w:val="auto"/>
              </w:rPr>
            </w:pP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104,253</w:t>
            </w:r>
          </w:p>
        </w:tc>
        <w:tc>
          <w:tcPr>
            <w:tcW w:w="3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1,357,289</w:t>
            </w:r>
          </w:p>
        </w:tc>
        <w:tc>
          <w:tcPr>
            <w:tcW w:w="0" w:type="dxa"/>
            <w:vAlign w:val="bottom"/>
          </w:tcPr>
          <w:p>
            <w:pPr>
              <w:spacing w:after="0"/>
              <w:rPr>
                <w:sz w:val="1"/>
                <w:szCs w:val="1"/>
                <w:color w:val="auto"/>
              </w:rPr>
            </w:pPr>
          </w:p>
        </w:tc>
      </w:tr>
      <w:tr>
        <w:trPr>
          <w:trHeight w:val="265"/>
        </w:trPr>
        <w:tc>
          <w:tcPr>
            <w:tcW w:w="4260" w:type="dxa"/>
            <w:vAlign w:val="bottom"/>
          </w:tcPr>
          <w:p>
            <w:pPr>
              <w:spacing w:after="0"/>
              <w:rPr>
                <w:sz w:val="23"/>
                <w:szCs w:val="23"/>
                <w:color w:val="auto"/>
              </w:rPr>
            </w:pPr>
          </w:p>
        </w:tc>
        <w:tc>
          <w:tcPr>
            <w:tcW w:w="17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4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188,844</w:t>
            </w:r>
          </w:p>
        </w:tc>
        <w:tc>
          <w:tcPr>
            <w:tcW w:w="380" w:type="dxa"/>
            <w:vAlign w:val="bottom"/>
          </w:tcPr>
          <w:p>
            <w:pPr>
              <w:spacing w:after="0"/>
              <w:rPr>
                <w:sz w:val="24"/>
                <w:szCs w:val="24"/>
                <w:color w:val="auto"/>
              </w:rPr>
            </w:pP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7,323,009</w:t>
            </w:r>
          </w:p>
        </w:tc>
        <w:tc>
          <w:tcPr>
            <w:tcW w:w="380" w:type="dxa"/>
            <w:vAlign w:val="bottom"/>
          </w:tcPr>
          <w:p>
            <w:pPr>
              <w:spacing w:after="0"/>
              <w:rPr>
                <w:sz w:val="24"/>
                <w:szCs w:val="24"/>
                <w:color w:val="auto"/>
              </w:rPr>
            </w:pP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422,711</w:t>
            </w:r>
          </w:p>
        </w:tc>
        <w:tc>
          <w:tcPr>
            <w:tcW w:w="380" w:type="dxa"/>
            <w:vAlign w:val="bottom"/>
          </w:tcPr>
          <w:p>
            <w:pPr>
              <w:spacing w:after="0"/>
              <w:rPr>
                <w:sz w:val="24"/>
                <w:szCs w:val="24"/>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912,334</w:t>
            </w:r>
          </w:p>
        </w:tc>
        <w:tc>
          <w:tcPr>
            <w:tcW w:w="0" w:type="dxa"/>
            <w:vAlign w:val="bottom"/>
          </w:tcPr>
          <w:p>
            <w:pPr>
              <w:spacing w:after="0"/>
              <w:rPr>
                <w:sz w:val="1"/>
                <w:szCs w:val="1"/>
                <w:color w:val="auto"/>
              </w:rPr>
            </w:pPr>
          </w:p>
        </w:tc>
      </w:tr>
      <w:tr>
        <w:trPr>
          <w:trHeight w:val="265"/>
        </w:trPr>
        <w:tc>
          <w:tcPr>
            <w:tcW w:w="4260" w:type="dxa"/>
            <w:vAlign w:val="bottom"/>
          </w:tcPr>
          <w:p>
            <w:pPr>
              <w:spacing w:after="0"/>
              <w:rPr>
                <w:sz w:val="23"/>
                <w:szCs w:val="23"/>
                <w:color w:val="auto"/>
              </w:rPr>
            </w:pPr>
          </w:p>
        </w:tc>
        <w:tc>
          <w:tcPr>
            <w:tcW w:w="17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4260" w:type="dxa"/>
            <w:vAlign w:val="bottom"/>
          </w:tcPr>
          <w:p>
            <w:pPr>
              <w:ind w:left="100"/>
              <w:spacing w:after="0"/>
              <w:rPr>
                <w:sz w:val="20"/>
                <w:szCs w:val="20"/>
                <w:color w:val="auto"/>
              </w:rPr>
            </w:pPr>
            <w:r>
              <w:rPr>
                <w:rFonts w:ascii="Courier New" w:cs="Courier New" w:eastAsia="Courier New" w:hAnsi="Courier New"/>
                <w:sz w:val="16"/>
                <w:szCs w:val="16"/>
                <w:color w:val="auto"/>
              </w:rPr>
              <w:t>Contributions</w:t>
            </w:r>
          </w:p>
        </w:tc>
        <w:tc>
          <w:tcPr>
            <w:tcW w:w="380" w:type="dxa"/>
            <w:vAlign w:val="bottom"/>
          </w:tcPr>
          <w:p>
            <w:pPr>
              <w:spacing w:after="0"/>
              <w:rPr>
                <w:sz w:val="24"/>
                <w:szCs w:val="24"/>
                <w:color w:val="auto"/>
              </w:rPr>
            </w:pPr>
          </w:p>
        </w:tc>
        <w:tc>
          <w:tcPr>
            <w:tcW w:w="140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381,416</w:t>
            </w:r>
          </w:p>
        </w:tc>
        <w:tc>
          <w:tcPr>
            <w:tcW w:w="380" w:type="dxa"/>
            <w:vAlign w:val="bottom"/>
          </w:tcPr>
          <w:p>
            <w:pPr>
              <w:spacing w:after="0"/>
              <w:rPr>
                <w:sz w:val="24"/>
                <w:szCs w:val="24"/>
                <w:color w:val="auto"/>
              </w:rPr>
            </w:pPr>
          </w:p>
        </w:tc>
        <w:tc>
          <w:tcPr>
            <w:tcW w:w="142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2,832,135</w:t>
            </w:r>
          </w:p>
        </w:tc>
        <w:tc>
          <w:tcPr>
            <w:tcW w:w="380" w:type="dxa"/>
            <w:vAlign w:val="bottom"/>
          </w:tcPr>
          <w:p>
            <w:pPr>
              <w:spacing w:after="0"/>
              <w:rPr>
                <w:sz w:val="24"/>
                <w:szCs w:val="24"/>
                <w:color w:val="auto"/>
              </w:rPr>
            </w:pPr>
          </w:p>
        </w:tc>
        <w:tc>
          <w:tcPr>
            <w:tcW w:w="142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943,564</w:t>
            </w:r>
          </w:p>
        </w:tc>
        <w:tc>
          <w:tcPr>
            <w:tcW w:w="380" w:type="dxa"/>
            <w:vAlign w:val="bottom"/>
          </w:tcPr>
          <w:p>
            <w:pPr>
              <w:spacing w:after="0"/>
              <w:rPr>
                <w:sz w:val="24"/>
                <w:szCs w:val="24"/>
                <w:color w:val="auto"/>
              </w:rPr>
            </w:pPr>
          </w:p>
        </w:tc>
        <w:tc>
          <w:tcPr>
            <w:tcW w:w="104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994,100</w:t>
            </w:r>
          </w:p>
        </w:tc>
        <w:tc>
          <w:tcPr>
            <w:tcW w:w="0" w:type="dxa"/>
            <w:vAlign w:val="bottom"/>
          </w:tcPr>
          <w:p>
            <w:pPr>
              <w:spacing w:after="0"/>
              <w:rPr>
                <w:sz w:val="1"/>
                <w:szCs w:val="1"/>
                <w:color w:val="auto"/>
              </w:rPr>
            </w:pPr>
          </w:p>
        </w:tc>
      </w:tr>
      <w:tr>
        <w:trPr>
          <w:trHeight w:val="182"/>
        </w:trPr>
        <w:tc>
          <w:tcPr>
            <w:tcW w:w="4260" w:type="dxa"/>
            <w:vAlign w:val="bottom"/>
          </w:tcPr>
          <w:p>
            <w:pPr>
              <w:ind w:left="180"/>
              <w:spacing w:after="0"/>
              <w:rPr>
                <w:sz w:val="20"/>
                <w:szCs w:val="20"/>
                <w:color w:val="auto"/>
              </w:rPr>
            </w:pPr>
            <w:r>
              <w:rPr>
                <w:rFonts w:ascii="Courier New" w:cs="Courier New" w:eastAsia="Courier New" w:hAnsi="Courier New"/>
                <w:sz w:val="16"/>
                <w:szCs w:val="16"/>
                <w:color w:val="auto"/>
              </w:rPr>
              <w:t>Participants'</w:t>
            </w:r>
          </w:p>
        </w:tc>
        <w:tc>
          <w:tcPr>
            <w:tcW w:w="38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260" w:type="dxa"/>
            <w:vAlign w:val="bottom"/>
          </w:tcPr>
          <w:p>
            <w:pPr>
              <w:ind w:left="180"/>
              <w:spacing w:after="0"/>
              <w:rPr>
                <w:sz w:val="20"/>
                <w:szCs w:val="20"/>
                <w:color w:val="auto"/>
              </w:rPr>
            </w:pPr>
            <w:r>
              <w:rPr>
                <w:rFonts w:ascii="Courier New" w:cs="Courier New" w:eastAsia="Courier New" w:hAnsi="Courier New"/>
                <w:sz w:val="16"/>
                <w:szCs w:val="16"/>
                <w:color w:val="auto"/>
              </w:rPr>
              <w:t>Employer's</w:t>
            </w:r>
          </w:p>
        </w:tc>
        <w:tc>
          <w:tcPr>
            <w:tcW w:w="380" w:type="dxa"/>
            <w:vAlign w:val="bottom"/>
          </w:tcPr>
          <w:p>
            <w:pPr>
              <w:spacing w:after="0"/>
              <w:rPr>
                <w:sz w:val="15"/>
                <w:szCs w:val="15"/>
                <w:color w:val="auto"/>
              </w:rPr>
            </w:pPr>
          </w:p>
        </w:tc>
        <w:tc>
          <w:tcPr>
            <w:tcW w:w="14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89,555</w:t>
            </w:r>
          </w:p>
        </w:tc>
        <w:tc>
          <w:tcPr>
            <w:tcW w:w="380" w:type="dxa"/>
            <w:vAlign w:val="bottom"/>
          </w:tcPr>
          <w:p>
            <w:pPr>
              <w:spacing w:after="0"/>
              <w:rPr>
                <w:sz w:val="15"/>
                <w:szCs w:val="15"/>
                <w:color w:val="auto"/>
              </w:rPr>
            </w:pP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591,448</w:t>
            </w:r>
          </w:p>
        </w:tc>
        <w:tc>
          <w:tcPr>
            <w:tcW w:w="380" w:type="dxa"/>
            <w:vAlign w:val="bottom"/>
          </w:tcPr>
          <w:p>
            <w:pPr>
              <w:spacing w:after="0"/>
              <w:rPr>
                <w:sz w:val="15"/>
                <w:szCs w:val="15"/>
                <w:color w:val="auto"/>
              </w:rPr>
            </w:pP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247,550</w:t>
            </w:r>
          </w:p>
        </w:tc>
        <w:tc>
          <w:tcPr>
            <w:tcW w:w="3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229,540</w:t>
            </w:r>
          </w:p>
        </w:tc>
        <w:tc>
          <w:tcPr>
            <w:tcW w:w="0" w:type="dxa"/>
            <w:vAlign w:val="bottom"/>
          </w:tcPr>
          <w:p>
            <w:pPr>
              <w:spacing w:after="0"/>
              <w:rPr>
                <w:sz w:val="1"/>
                <w:szCs w:val="1"/>
                <w:color w:val="auto"/>
              </w:rPr>
            </w:pPr>
          </w:p>
        </w:tc>
      </w:tr>
      <w:tr>
        <w:trPr>
          <w:trHeight w:val="265"/>
        </w:trPr>
        <w:tc>
          <w:tcPr>
            <w:tcW w:w="4260" w:type="dxa"/>
            <w:vAlign w:val="bottom"/>
          </w:tcPr>
          <w:p>
            <w:pPr>
              <w:spacing w:after="0"/>
              <w:rPr>
                <w:sz w:val="23"/>
                <w:szCs w:val="23"/>
                <w:color w:val="auto"/>
              </w:rPr>
            </w:pPr>
          </w:p>
        </w:tc>
        <w:tc>
          <w:tcPr>
            <w:tcW w:w="17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4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470,971</w:t>
            </w:r>
          </w:p>
        </w:tc>
        <w:tc>
          <w:tcPr>
            <w:tcW w:w="380" w:type="dxa"/>
            <w:vAlign w:val="bottom"/>
          </w:tcPr>
          <w:p>
            <w:pPr>
              <w:spacing w:after="0"/>
              <w:rPr>
                <w:sz w:val="24"/>
                <w:szCs w:val="24"/>
                <w:color w:val="auto"/>
              </w:rPr>
            </w:pP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3,423,583</w:t>
            </w:r>
          </w:p>
        </w:tc>
        <w:tc>
          <w:tcPr>
            <w:tcW w:w="380" w:type="dxa"/>
            <w:vAlign w:val="bottom"/>
          </w:tcPr>
          <w:p>
            <w:pPr>
              <w:spacing w:after="0"/>
              <w:rPr>
                <w:sz w:val="24"/>
                <w:szCs w:val="24"/>
                <w:color w:val="auto"/>
              </w:rPr>
            </w:pP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1,191,114</w:t>
            </w:r>
          </w:p>
        </w:tc>
        <w:tc>
          <w:tcPr>
            <w:tcW w:w="380" w:type="dxa"/>
            <w:vAlign w:val="bottom"/>
          </w:tcPr>
          <w:p>
            <w:pPr>
              <w:spacing w:after="0"/>
              <w:rPr>
                <w:sz w:val="24"/>
                <w:szCs w:val="24"/>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1,223,640</w:t>
            </w:r>
          </w:p>
        </w:tc>
        <w:tc>
          <w:tcPr>
            <w:tcW w:w="0" w:type="dxa"/>
            <w:vAlign w:val="bottom"/>
          </w:tcPr>
          <w:p>
            <w:pPr>
              <w:spacing w:after="0"/>
              <w:rPr>
                <w:sz w:val="1"/>
                <w:szCs w:val="1"/>
                <w:color w:val="auto"/>
              </w:rPr>
            </w:pPr>
          </w:p>
        </w:tc>
      </w:tr>
      <w:tr>
        <w:trPr>
          <w:trHeight w:val="265"/>
        </w:trPr>
        <w:tc>
          <w:tcPr>
            <w:tcW w:w="4260" w:type="dxa"/>
            <w:vAlign w:val="bottom"/>
          </w:tcPr>
          <w:p>
            <w:pPr>
              <w:spacing w:after="0"/>
              <w:rPr>
                <w:sz w:val="23"/>
                <w:szCs w:val="23"/>
                <w:color w:val="auto"/>
              </w:rPr>
            </w:pPr>
          </w:p>
        </w:tc>
        <w:tc>
          <w:tcPr>
            <w:tcW w:w="17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4260" w:type="dxa"/>
            <w:vAlign w:val="bottom"/>
          </w:tcPr>
          <w:p>
            <w:pPr>
              <w:ind w:left="460"/>
              <w:spacing w:after="0"/>
              <w:rPr>
                <w:sz w:val="20"/>
                <w:szCs w:val="20"/>
                <w:color w:val="auto"/>
              </w:rPr>
            </w:pPr>
            <w:r>
              <w:rPr>
                <w:rFonts w:ascii="Courier New" w:cs="Courier New" w:eastAsia="Courier New" w:hAnsi="Courier New"/>
                <w:sz w:val="16"/>
                <w:szCs w:val="16"/>
                <w:color w:val="auto"/>
              </w:rPr>
              <w:t>Total additions</w:t>
            </w:r>
          </w:p>
        </w:tc>
        <w:tc>
          <w:tcPr>
            <w:tcW w:w="380" w:type="dxa"/>
            <w:vAlign w:val="bottom"/>
          </w:tcPr>
          <w:p>
            <w:pPr>
              <w:spacing w:after="0"/>
              <w:rPr>
                <w:sz w:val="24"/>
                <w:szCs w:val="24"/>
                <w:color w:val="auto"/>
              </w:rPr>
            </w:pPr>
          </w:p>
        </w:tc>
        <w:tc>
          <w:tcPr>
            <w:tcW w:w="14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659,815</w:t>
            </w:r>
          </w:p>
        </w:tc>
        <w:tc>
          <w:tcPr>
            <w:tcW w:w="380" w:type="dxa"/>
            <w:vAlign w:val="bottom"/>
          </w:tcPr>
          <w:p>
            <w:pPr>
              <w:spacing w:after="0"/>
              <w:rPr>
                <w:sz w:val="24"/>
                <w:szCs w:val="24"/>
                <w:color w:val="auto"/>
              </w:rPr>
            </w:pP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10,746,592</w:t>
            </w:r>
          </w:p>
        </w:tc>
        <w:tc>
          <w:tcPr>
            <w:tcW w:w="380" w:type="dxa"/>
            <w:vAlign w:val="bottom"/>
          </w:tcPr>
          <w:p>
            <w:pPr>
              <w:spacing w:after="0"/>
              <w:rPr>
                <w:sz w:val="24"/>
                <w:szCs w:val="24"/>
                <w:color w:val="auto"/>
              </w:rPr>
            </w:pP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1,613,825</w:t>
            </w:r>
          </w:p>
        </w:tc>
        <w:tc>
          <w:tcPr>
            <w:tcW w:w="380" w:type="dxa"/>
            <w:vAlign w:val="bottom"/>
          </w:tcPr>
          <w:p>
            <w:pPr>
              <w:spacing w:after="0"/>
              <w:rPr>
                <w:sz w:val="24"/>
                <w:szCs w:val="24"/>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2,135,974</w:t>
            </w:r>
          </w:p>
        </w:tc>
        <w:tc>
          <w:tcPr>
            <w:tcW w:w="0" w:type="dxa"/>
            <w:vAlign w:val="bottom"/>
          </w:tcPr>
          <w:p>
            <w:pPr>
              <w:spacing w:after="0"/>
              <w:rPr>
                <w:sz w:val="1"/>
                <w:szCs w:val="1"/>
                <w:color w:val="auto"/>
              </w:rPr>
            </w:pPr>
          </w:p>
        </w:tc>
      </w:tr>
      <w:tr>
        <w:trPr>
          <w:trHeight w:val="265"/>
        </w:trPr>
        <w:tc>
          <w:tcPr>
            <w:tcW w:w="4260" w:type="dxa"/>
            <w:vAlign w:val="bottom"/>
          </w:tcPr>
          <w:p>
            <w:pPr>
              <w:spacing w:after="0"/>
              <w:rPr>
                <w:sz w:val="23"/>
                <w:szCs w:val="23"/>
                <w:color w:val="auto"/>
              </w:rPr>
            </w:pPr>
          </w:p>
        </w:tc>
        <w:tc>
          <w:tcPr>
            <w:tcW w:w="17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4260" w:type="dxa"/>
            <w:vAlign w:val="bottom"/>
          </w:tcPr>
          <w:p>
            <w:pPr>
              <w:spacing w:after="0"/>
              <w:rPr>
                <w:sz w:val="20"/>
                <w:szCs w:val="20"/>
                <w:color w:val="auto"/>
              </w:rPr>
            </w:pPr>
            <w:r>
              <w:rPr>
                <w:rFonts w:ascii="Courier New" w:cs="Courier New" w:eastAsia="Courier New" w:hAnsi="Courier New"/>
                <w:sz w:val="16"/>
                <w:szCs w:val="16"/>
                <w:color w:val="auto"/>
              </w:rPr>
              <w:t>Deductions</w:t>
            </w: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260" w:type="dxa"/>
            <w:vAlign w:val="bottom"/>
          </w:tcPr>
          <w:p>
            <w:pPr>
              <w:spacing w:after="0"/>
              <w:rPr>
                <w:sz w:val="20"/>
                <w:szCs w:val="20"/>
                <w:color w:val="auto"/>
              </w:rPr>
            </w:pPr>
            <w:r>
              <w:rPr>
                <w:rFonts w:ascii="Courier New" w:cs="Courier New" w:eastAsia="Courier New" w:hAnsi="Courier New"/>
                <w:sz w:val="16"/>
                <w:szCs w:val="16"/>
                <w:color w:val="auto"/>
              </w:rPr>
              <w:t>Deductions from net assets attributable to:</w:t>
            </w:r>
          </w:p>
        </w:tc>
        <w:tc>
          <w:tcPr>
            <w:tcW w:w="380" w:type="dxa"/>
            <w:vAlign w:val="bottom"/>
          </w:tcPr>
          <w:p>
            <w:pPr>
              <w:spacing w:after="0"/>
              <w:rPr>
                <w:sz w:val="15"/>
                <w:szCs w:val="15"/>
                <w:color w:val="auto"/>
              </w:rPr>
            </w:pPr>
          </w:p>
        </w:tc>
        <w:tc>
          <w:tcPr>
            <w:tcW w:w="140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310,092</w:t>
            </w:r>
          </w:p>
        </w:tc>
        <w:tc>
          <w:tcPr>
            <w:tcW w:w="380" w:type="dxa"/>
            <w:vAlign w:val="bottom"/>
          </w:tcPr>
          <w:p>
            <w:pPr>
              <w:spacing w:after="0"/>
              <w:rPr>
                <w:sz w:val="15"/>
                <w:szCs w:val="15"/>
                <w:color w:val="auto"/>
              </w:rPr>
            </w:pPr>
          </w:p>
        </w:tc>
        <w:tc>
          <w:tcPr>
            <w:tcW w:w="142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2,589,901</w:t>
            </w:r>
          </w:p>
        </w:tc>
        <w:tc>
          <w:tcPr>
            <w:tcW w:w="380" w:type="dxa"/>
            <w:vAlign w:val="bottom"/>
          </w:tcPr>
          <w:p>
            <w:pPr>
              <w:spacing w:after="0"/>
              <w:rPr>
                <w:sz w:val="15"/>
                <w:szCs w:val="15"/>
                <w:color w:val="auto"/>
              </w:rPr>
            </w:pPr>
          </w:p>
        </w:tc>
        <w:tc>
          <w:tcPr>
            <w:tcW w:w="142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442,910</w:t>
            </w:r>
          </w:p>
        </w:tc>
        <w:tc>
          <w:tcPr>
            <w:tcW w:w="380" w:type="dxa"/>
            <w:vAlign w:val="bottom"/>
          </w:tcPr>
          <w:p>
            <w:pPr>
              <w:spacing w:after="0"/>
              <w:rPr>
                <w:sz w:val="15"/>
                <w:szCs w:val="15"/>
                <w:color w:val="auto"/>
              </w:rPr>
            </w:pPr>
          </w:p>
        </w:tc>
        <w:tc>
          <w:tcPr>
            <w:tcW w:w="104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813,373</w:t>
            </w:r>
          </w:p>
        </w:tc>
        <w:tc>
          <w:tcPr>
            <w:tcW w:w="0" w:type="dxa"/>
            <w:vAlign w:val="bottom"/>
          </w:tcPr>
          <w:p>
            <w:pPr>
              <w:spacing w:after="0"/>
              <w:rPr>
                <w:sz w:val="1"/>
                <w:szCs w:val="1"/>
                <w:color w:val="auto"/>
              </w:rPr>
            </w:pPr>
          </w:p>
        </w:tc>
      </w:tr>
      <w:tr>
        <w:trPr>
          <w:trHeight w:val="182"/>
        </w:trPr>
        <w:tc>
          <w:tcPr>
            <w:tcW w:w="4260" w:type="dxa"/>
            <w:vAlign w:val="bottom"/>
          </w:tcPr>
          <w:p>
            <w:pPr>
              <w:ind w:left="100"/>
              <w:spacing w:after="0"/>
              <w:rPr>
                <w:sz w:val="20"/>
                <w:szCs w:val="20"/>
                <w:color w:val="auto"/>
              </w:rPr>
            </w:pPr>
            <w:r>
              <w:rPr>
                <w:rFonts w:ascii="Courier New" w:cs="Courier New" w:eastAsia="Courier New" w:hAnsi="Courier New"/>
                <w:sz w:val="16"/>
                <w:szCs w:val="16"/>
                <w:color w:val="auto"/>
              </w:rPr>
              <w:t>Benefits paid to participants</w:t>
            </w:r>
          </w:p>
        </w:tc>
        <w:tc>
          <w:tcPr>
            <w:tcW w:w="38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260" w:type="dxa"/>
            <w:vAlign w:val="bottom"/>
          </w:tcPr>
          <w:p>
            <w:pPr>
              <w:ind w:left="100"/>
              <w:spacing w:after="0"/>
              <w:rPr>
                <w:sz w:val="20"/>
                <w:szCs w:val="20"/>
                <w:color w:val="auto"/>
              </w:rPr>
            </w:pPr>
            <w:r>
              <w:rPr>
                <w:rFonts w:ascii="Courier New" w:cs="Courier New" w:eastAsia="Courier New" w:hAnsi="Courier New"/>
                <w:sz w:val="16"/>
                <w:szCs w:val="16"/>
                <w:color w:val="auto"/>
              </w:rPr>
              <w:t>Administrative expenses</w:t>
            </w:r>
          </w:p>
        </w:tc>
        <w:tc>
          <w:tcPr>
            <w:tcW w:w="380" w:type="dxa"/>
            <w:vAlign w:val="bottom"/>
          </w:tcPr>
          <w:p>
            <w:pPr>
              <w:spacing w:after="0"/>
              <w:rPr>
                <w:sz w:val="15"/>
                <w:szCs w:val="15"/>
                <w:color w:val="auto"/>
              </w:rPr>
            </w:pPr>
          </w:p>
        </w:tc>
        <w:tc>
          <w:tcPr>
            <w:tcW w:w="14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903</w:t>
            </w:r>
          </w:p>
        </w:tc>
        <w:tc>
          <w:tcPr>
            <w:tcW w:w="380" w:type="dxa"/>
            <w:vAlign w:val="bottom"/>
          </w:tcPr>
          <w:p>
            <w:pPr>
              <w:spacing w:after="0"/>
              <w:rPr>
                <w:sz w:val="15"/>
                <w:szCs w:val="15"/>
                <w:color w:val="auto"/>
              </w:rPr>
            </w:pP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6,195</w:t>
            </w:r>
          </w:p>
        </w:tc>
        <w:tc>
          <w:tcPr>
            <w:tcW w:w="380" w:type="dxa"/>
            <w:vAlign w:val="bottom"/>
          </w:tcPr>
          <w:p>
            <w:pPr>
              <w:spacing w:after="0"/>
              <w:rPr>
                <w:sz w:val="15"/>
                <w:szCs w:val="15"/>
                <w:color w:val="auto"/>
              </w:rPr>
            </w:pP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2,031</w:t>
            </w:r>
          </w:p>
        </w:tc>
        <w:tc>
          <w:tcPr>
            <w:tcW w:w="3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2,302</w:t>
            </w:r>
          </w:p>
        </w:tc>
        <w:tc>
          <w:tcPr>
            <w:tcW w:w="0" w:type="dxa"/>
            <w:vAlign w:val="bottom"/>
          </w:tcPr>
          <w:p>
            <w:pPr>
              <w:spacing w:after="0"/>
              <w:rPr>
                <w:sz w:val="1"/>
                <w:szCs w:val="1"/>
                <w:color w:val="auto"/>
              </w:rPr>
            </w:pPr>
          </w:p>
        </w:tc>
      </w:tr>
      <w:tr>
        <w:trPr>
          <w:trHeight w:val="265"/>
        </w:trPr>
        <w:tc>
          <w:tcPr>
            <w:tcW w:w="4260" w:type="dxa"/>
            <w:vAlign w:val="bottom"/>
          </w:tcPr>
          <w:p>
            <w:pPr>
              <w:spacing w:after="0"/>
              <w:rPr>
                <w:sz w:val="23"/>
                <w:szCs w:val="23"/>
                <w:color w:val="auto"/>
              </w:rPr>
            </w:pPr>
          </w:p>
        </w:tc>
        <w:tc>
          <w:tcPr>
            <w:tcW w:w="17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4260" w:type="dxa"/>
            <w:vAlign w:val="bottom"/>
          </w:tcPr>
          <w:p>
            <w:pPr>
              <w:ind w:left="460"/>
              <w:spacing w:after="0"/>
              <w:rPr>
                <w:sz w:val="20"/>
                <w:szCs w:val="20"/>
                <w:color w:val="auto"/>
              </w:rPr>
            </w:pPr>
            <w:r>
              <w:rPr>
                <w:rFonts w:ascii="Courier New" w:cs="Courier New" w:eastAsia="Courier New" w:hAnsi="Courier New"/>
                <w:sz w:val="16"/>
                <w:szCs w:val="16"/>
                <w:color w:val="auto"/>
              </w:rPr>
              <w:t>Total deductions</w:t>
            </w:r>
          </w:p>
        </w:tc>
        <w:tc>
          <w:tcPr>
            <w:tcW w:w="380" w:type="dxa"/>
            <w:vAlign w:val="bottom"/>
          </w:tcPr>
          <w:p>
            <w:pPr>
              <w:spacing w:after="0"/>
              <w:rPr>
                <w:sz w:val="24"/>
                <w:szCs w:val="24"/>
                <w:color w:val="auto"/>
              </w:rPr>
            </w:pPr>
          </w:p>
        </w:tc>
        <w:tc>
          <w:tcPr>
            <w:tcW w:w="14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310,995</w:t>
            </w:r>
          </w:p>
        </w:tc>
        <w:tc>
          <w:tcPr>
            <w:tcW w:w="380" w:type="dxa"/>
            <w:vAlign w:val="bottom"/>
          </w:tcPr>
          <w:p>
            <w:pPr>
              <w:spacing w:after="0"/>
              <w:rPr>
                <w:sz w:val="24"/>
                <w:szCs w:val="24"/>
                <w:color w:val="auto"/>
              </w:rPr>
            </w:pP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2,596,096</w:t>
            </w:r>
          </w:p>
        </w:tc>
        <w:tc>
          <w:tcPr>
            <w:tcW w:w="380" w:type="dxa"/>
            <w:vAlign w:val="bottom"/>
          </w:tcPr>
          <w:p>
            <w:pPr>
              <w:spacing w:after="0"/>
              <w:rPr>
                <w:sz w:val="24"/>
                <w:szCs w:val="24"/>
                <w:color w:val="auto"/>
              </w:rPr>
            </w:pP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444,941</w:t>
            </w:r>
          </w:p>
        </w:tc>
        <w:tc>
          <w:tcPr>
            <w:tcW w:w="380" w:type="dxa"/>
            <w:vAlign w:val="bottom"/>
          </w:tcPr>
          <w:p>
            <w:pPr>
              <w:spacing w:after="0"/>
              <w:rPr>
                <w:sz w:val="24"/>
                <w:szCs w:val="24"/>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815,675</w:t>
            </w:r>
          </w:p>
        </w:tc>
        <w:tc>
          <w:tcPr>
            <w:tcW w:w="0" w:type="dxa"/>
            <w:vAlign w:val="bottom"/>
          </w:tcPr>
          <w:p>
            <w:pPr>
              <w:spacing w:after="0"/>
              <w:rPr>
                <w:sz w:val="1"/>
                <w:szCs w:val="1"/>
                <w:color w:val="auto"/>
              </w:rPr>
            </w:pPr>
          </w:p>
        </w:tc>
      </w:tr>
      <w:tr>
        <w:trPr>
          <w:trHeight w:val="265"/>
        </w:trPr>
        <w:tc>
          <w:tcPr>
            <w:tcW w:w="4260" w:type="dxa"/>
            <w:vAlign w:val="bottom"/>
          </w:tcPr>
          <w:p>
            <w:pPr>
              <w:spacing w:after="0"/>
              <w:rPr>
                <w:sz w:val="23"/>
                <w:szCs w:val="23"/>
                <w:color w:val="auto"/>
              </w:rPr>
            </w:pPr>
          </w:p>
        </w:tc>
        <w:tc>
          <w:tcPr>
            <w:tcW w:w="17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64"/>
        </w:trPr>
        <w:tc>
          <w:tcPr>
            <w:tcW w:w="4260" w:type="dxa"/>
            <w:vAlign w:val="bottom"/>
          </w:tcPr>
          <w:p>
            <w:pPr>
              <w:spacing w:after="0"/>
              <w:rPr>
                <w:sz w:val="20"/>
                <w:szCs w:val="20"/>
                <w:color w:val="auto"/>
              </w:rPr>
            </w:pPr>
            <w:r>
              <w:rPr>
                <w:rFonts w:ascii="Courier New" w:cs="Courier New" w:eastAsia="Courier New" w:hAnsi="Courier New"/>
                <w:sz w:val="16"/>
                <w:szCs w:val="16"/>
                <w:color w:val="auto"/>
              </w:rPr>
              <w:t>Net increase prior to interfund transfers</w:t>
            </w:r>
          </w:p>
        </w:tc>
        <w:tc>
          <w:tcPr>
            <w:tcW w:w="380" w:type="dxa"/>
            <w:vAlign w:val="bottom"/>
          </w:tcPr>
          <w:p>
            <w:pPr>
              <w:spacing w:after="0"/>
              <w:rPr>
                <w:sz w:val="24"/>
                <w:szCs w:val="24"/>
                <w:color w:val="auto"/>
              </w:rPr>
            </w:pPr>
          </w:p>
        </w:tc>
        <w:tc>
          <w:tcPr>
            <w:tcW w:w="14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348,820</w:t>
            </w:r>
          </w:p>
        </w:tc>
        <w:tc>
          <w:tcPr>
            <w:tcW w:w="380" w:type="dxa"/>
            <w:vAlign w:val="bottom"/>
          </w:tcPr>
          <w:p>
            <w:pPr>
              <w:spacing w:after="0"/>
              <w:rPr>
                <w:sz w:val="24"/>
                <w:szCs w:val="24"/>
                <w:color w:val="auto"/>
              </w:rPr>
            </w:pP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8,150,496</w:t>
            </w:r>
          </w:p>
        </w:tc>
        <w:tc>
          <w:tcPr>
            <w:tcW w:w="380" w:type="dxa"/>
            <w:vAlign w:val="bottom"/>
          </w:tcPr>
          <w:p>
            <w:pPr>
              <w:spacing w:after="0"/>
              <w:rPr>
                <w:sz w:val="24"/>
                <w:szCs w:val="24"/>
                <w:color w:val="auto"/>
              </w:rPr>
            </w:pP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1,168,884</w:t>
            </w:r>
          </w:p>
        </w:tc>
        <w:tc>
          <w:tcPr>
            <w:tcW w:w="380" w:type="dxa"/>
            <w:vAlign w:val="bottom"/>
          </w:tcPr>
          <w:p>
            <w:pPr>
              <w:spacing w:after="0"/>
              <w:rPr>
                <w:sz w:val="24"/>
                <w:szCs w:val="24"/>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1,320,299</w:t>
            </w:r>
          </w:p>
        </w:tc>
        <w:tc>
          <w:tcPr>
            <w:tcW w:w="0" w:type="dxa"/>
            <w:vAlign w:val="bottom"/>
          </w:tcPr>
          <w:p>
            <w:pPr>
              <w:spacing w:after="0"/>
              <w:rPr>
                <w:sz w:val="1"/>
                <w:szCs w:val="1"/>
                <w:color w:val="auto"/>
              </w:rPr>
            </w:pPr>
          </w:p>
        </w:tc>
      </w:tr>
      <w:tr>
        <w:trPr>
          <w:trHeight w:val="280"/>
        </w:trPr>
        <w:tc>
          <w:tcPr>
            <w:tcW w:w="4260" w:type="dxa"/>
            <w:vAlign w:val="bottom"/>
          </w:tcPr>
          <w:p>
            <w:pPr>
              <w:spacing w:after="0"/>
              <w:rPr>
                <w:sz w:val="20"/>
                <w:szCs w:val="20"/>
                <w:color w:val="auto"/>
              </w:rPr>
            </w:pPr>
            <w:r>
              <w:rPr>
                <w:rFonts w:ascii="Courier New" w:cs="Courier New" w:eastAsia="Courier New" w:hAnsi="Courier New"/>
                <w:sz w:val="16"/>
                <w:szCs w:val="16"/>
                <w:color w:val="auto"/>
              </w:rPr>
              <w:t>Interfund transfers</w:t>
            </w:r>
          </w:p>
        </w:tc>
        <w:tc>
          <w:tcPr>
            <w:tcW w:w="380" w:type="dxa"/>
            <w:vAlign w:val="bottom"/>
          </w:tcPr>
          <w:p>
            <w:pPr>
              <w:spacing w:after="0"/>
              <w:rPr>
                <w:sz w:val="24"/>
                <w:szCs w:val="24"/>
                <w:color w:val="auto"/>
              </w:rPr>
            </w:pPr>
          </w:p>
        </w:tc>
        <w:tc>
          <w:tcPr>
            <w:tcW w:w="14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434,296</w:t>
            </w:r>
          </w:p>
        </w:tc>
        <w:tc>
          <w:tcPr>
            <w:tcW w:w="380" w:type="dxa"/>
            <w:vAlign w:val="bottom"/>
          </w:tcPr>
          <w:p>
            <w:pPr>
              <w:spacing w:after="0"/>
              <w:rPr>
                <w:sz w:val="24"/>
                <w:szCs w:val="24"/>
                <w:color w:val="auto"/>
              </w:rPr>
            </w:pP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(111,489)</w:t>
            </w:r>
          </w:p>
        </w:tc>
        <w:tc>
          <w:tcPr>
            <w:tcW w:w="380" w:type="dxa"/>
            <w:vAlign w:val="bottom"/>
          </w:tcPr>
          <w:p>
            <w:pPr>
              <w:spacing w:after="0"/>
              <w:rPr>
                <w:sz w:val="24"/>
                <w:szCs w:val="24"/>
                <w:color w:val="auto"/>
              </w:rPr>
            </w:pP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7"/>
              </w:rPr>
              <w:t>(13,333,634)</w:t>
            </w:r>
          </w:p>
        </w:tc>
        <w:tc>
          <w:tcPr>
            <w:tcW w:w="3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w w:val="96"/>
              </w:rPr>
              <w:t>(1,481,773)</w:t>
            </w:r>
          </w:p>
        </w:tc>
        <w:tc>
          <w:tcPr>
            <w:tcW w:w="0" w:type="dxa"/>
            <w:vAlign w:val="bottom"/>
          </w:tcPr>
          <w:p>
            <w:pPr>
              <w:spacing w:after="0"/>
              <w:rPr>
                <w:sz w:val="1"/>
                <w:szCs w:val="1"/>
                <w:color w:val="auto"/>
              </w:rPr>
            </w:pPr>
          </w:p>
        </w:tc>
      </w:tr>
      <w:tr>
        <w:trPr>
          <w:trHeight w:val="265"/>
        </w:trPr>
        <w:tc>
          <w:tcPr>
            <w:tcW w:w="4260" w:type="dxa"/>
            <w:vAlign w:val="bottom"/>
          </w:tcPr>
          <w:p>
            <w:pPr>
              <w:spacing w:after="0"/>
              <w:rPr>
                <w:sz w:val="23"/>
                <w:szCs w:val="23"/>
                <w:color w:val="auto"/>
              </w:rPr>
            </w:pPr>
          </w:p>
        </w:tc>
        <w:tc>
          <w:tcPr>
            <w:tcW w:w="17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64"/>
        </w:trPr>
        <w:tc>
          <w:tcPr>
            <w:tcW w:w="4260" w:type="dxa"/>
            <w:vAlign w:val="bottom"/>
          </w:tcPr>
          <w:p>
            <w:pPr>
              <w:spacing w:after="0"/>
              <w:rPr>
                <w:sz w:val="20"/>
                <w:szCs w:val="20"/>
                <w:color w:val="auto"/>
              </w:rPr>
            </w:pPr>
            <w:r>
              <w:rPr>
                <w:rFonts w:ascii="Courier New" w:cs="Courier New" w:eastAsia="Courier New" w:hAnsi="Courier New"/>
                <w:sz w:val="16"/>
                <w:szCs w:val="16"/>
                <w:color w:val="auto"/>
              </w:rPr>
              <w:t>Net increase/(decrease)</w:t>
            </w:r>
          </w:p>
        </w:tc>
        <w:tc>
          <w:tcPr>
            <w:tcW w:w="380" w:type="dxa"/>
            <w:vAlign w:val="bottom"/>
          </w:tcPr>
          <w:p>
            <w:pPr>
              <w:spacing w:after="0"/>
              <w:rPr>
                <w:sz w:val="24"/>
                <w:szCs w:val="24"/>
                <w:color w:val="auto"/>
              </w:rPr>
            </w:pPr>
          </w:p>
        </w:tc>
        <w:tc>
          <w:tcPr>
            <w:tcW w:w="14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783,116</w:t>
            </w:r>
          </w:p>
        </w:tc>
        <w:tc>
          <w:tcPr>
            <w:tcW w:w="380" w:type="dxa"/>
            <w:vAlign w:val="bottom"/>
          </w:tcPr>
          <w:p>
            <w:pPr>
              <w:spacing w:after="0"/>
              <w:rPr>
                <w:sz w:val="24"/>
                <w:szCs w:val="24"/>
                <w:color w:val="auto"/>
              </w:rPr>
            </w:pP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8,039,007</w:t>
            </w:r>
          </w:p>
        </w:tc>
        <w:tc>
          <w:tcPr>
            <w:tcW w:w="380" w:type="dxa"/>
            <w:vAlign w:val="bottom"/>
          </w:tcPr>
          <w:p>
            <w:pPr>
              <w:spacing w:after="0"/>
              <w:rPr>
                <w:sz w:val="24"/>
                <w:szCs w:val="24"/>
                <w:color w:val="auto"/>
              </w:rPr>
            </w:pP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7"/>
              </w:rPr>
              <w:t>(12,164,750)</w:t>
            </w:r>
          </w:p>
        </w:tc>
        <w:tc>
          <w:tcPr>
            <w:tcW w:w="3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(161,474)</w:t>
            </w:r>
          </w:p>
        </w:tc>
        <w:tc>
          <w:tcPr>
            <w:tcW w:w="0" w:type="dxa"/>
            <w:vAlign w:val="bottom"/>
          </w:tcPr>
          <w:p>
            <w:pPr>
              <w:spacing w:after="0"/>
              <w:rPr>
                <w:sz w:val="1"/>
                <w:szCs w:val="1"/>
                <w:color w:val="auto"/>
              </w:rPr>
            </w:pPr>
          </w:p>
        </w:tc>
      </w:tr>
      <w:tr>
        <w:trPr>
          <w:trHeight w:val="280"/>
        </w:trPr>
        <w:tc>
          <w:tcPr>
            <w:tcW w:w="4260" w:type="dxa"/>
            <w:vAlign w:val="bottom"/>
          </w:tcPr>
          <w:p>
            <w:pPr>
              <w:spacing w:after="0"/>
              <w:rPr>
                <w:sz w:val="20"/>
                <w:szCs w:val="20"/>
                <w:color w:val="auto"/>
              </w:rPr>
            </w:pPr>
            <w:r>
              <w:rPr>
                <w:rFonts w:ascii="Courier New" w:cs="Courier New" w:eastAsia="Courier New" w:hAnsi="Courier New"/>
                <w:sz w:val="16"/>
                <w:szCs w:val="16"/>
                <w:color w:val="auto"/>
              </w:rPr>
              <w:t>Net assets available for benefits:</w:t>
            </w:r>
          </w:p>
        </w:tc>
        <w:tc>
          <w:tcPr>
            <w:tcW w:w="380" w:type="dxa"/>
            <w:vAlign w:val="bottom"/>
          </w:tcPr>
          <w:p>
            <w:pPr>
              <w:spacing w:after="0"/>
              <w:rPr>
                <w:sz w:val="24"/>
                <w:szCs w:val="24"/>
                <w:color w:val="auto"/>
              </w:rPr>
            </w:pPr>
          </w:p>
        </w:tc>
        <w:tc>
          <w:tcPr>
            <w:tcW w:w="140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2,079,321</w:t>
            </w:r>
          </w:p>
        </w:tc>
        <w:tc>
          <w:tcPr>
            <w:tcW w:w="380" w:type="dxa"/>
            <w:vAlign w:val="bottom"/>
          </w:tcPr>
          <w:p>
            <w:pPr>
              <w:spacing w:after="0"/>
              <w:rPr>
                <w:sz w:val="24"/>
                <w:szCs w:val="24"/>
                <w:color w:val="auto"/>
              </w:rPr>
            </w:pPr>
          </w:p>
        </w:tc>
        <w:tc>
          <w:tcPr>
            <w:tcW w:w="142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25,333,147</w:t>
            </w:r>
          </w:p>
        </w:tc>
        <w:tc>
          <w:tcPr>
            <w:tcW w:w="380" w:type="dxa"/>
            <w:vAlign w:val="bottom"/>
          </w:tcPr>
          <w:p>
            <w:pPr>
              <w:spacing w:after="0"/>
              <w:rPr>
                <w:sz w:val="24"/>
                <w:szCs w:val="24"/>
                <w:color w:val="auto"/>
              </w:rPr>
            </w:pPr>
          </w:p>
        </w:tc>
        <w:tc>
          <w:tcPr>
            <w:tcW w:w="142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12,164,750</w:t>
            </w:r>
          </w:p>
        </w:tc>
        <w:tc>
          <w:tcPr>
            <w:tcW w:w="380" w:type="dxa"/>
            <w:vAlign w:val="bottom"/>
          </w:tcPr>
          <w:p>
            <w:pPr>
              <w:spacing w:after="0"/>
              <w:rPr>
                <w:sz w:val="24"/>
                <w:szCs w:val="24"/>
                <w:color w:val="auto"/>
              </w:rPr>
            </w:pPr>
          </w:p>
        </w:tc>
        <w:tc>
          <w:tcPr>
            <w:tcW w:w="104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w w:val="95"/>
              </w:rPr>
              <w:t>10,134,740</w:t>
            </w:r>
          </w:p>
        </w:tc>
        <w:tc>
          <w:tcPr>
            <w:tcW w:w="0" w:type="dxa"/>
            <w:vAlign w:val="bottom"/>
          </w:tcPr>
          <w:p>
            <w:pPr>
              <w:spacing w:after="0"/>
              <w:rPr>
                <w:sz w:val="1"/>
                <w:szCs w:val="1"/>
                <w:color w:val="auto"/>
              </w:rPr>
            </w:pPr>
          </w:p>
        </w:tc>
      </w:tr>
      <w:tr>
        <w:trPr>
          <w:trHeight w:val="182"/>
        </w:trPr>
        <w:tc>
          <w:tcPr>
            <w:tcW w:w="4260" w:type="dxa"/>
            <w:vAlign w:val="bottom"/>
          </w:tcPr>
          <w:p>
            <w:pPr>
              <w:ind w:left="100"/>
              <w:spacing w:after="0"/>
              <w:rPr>
                <w:sz w:val="20"/>
                <w:szCs w:val="20"/>
                <w:color w:val="auto"/>
              </w:rPr>
            </w:pPr>
            <w:r>
              <w:rPr>
                <w:rFonts w:ascii="Courier New" w:cs="Courier New" w:eastAsia="Courier New" w:hAnsi="Courier New"/>
                <w:sz w:val="16"/>
                <w:szCs w:val="16"/>
                <w:color w:val="auto"/>
              </w:rPr>
              <w:t>Beginning of year</w:t>
            </w:r>
          </w:p>
        </w:tc>
        <w:tc>
          <w:tcPr>
            <w:tcW w:w="38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260" w:type="dxa"/>
            <w:vAlign w:val="bottom"/>
          </w:tcPr>
          <w:p>
            <w:pPr>
              <w:spacing w:after="0"/>
              <w:rPr>
                <w:sz w:val="23"/>
                <w:szCs w:val="23"/>
                <w:color w:val="auto"/>
              </w:rPr>
            </w:pPr>
          </w:p>
        </w:tc>
        <w:tc>
          <w:tcPr>
            <w:tcW w:w="17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4260" w:type="dxa"/>
            <w:vAlign w:val="bottom"/>
          </w:tcPr>
          <w:p>
            <w:pPr>
              <w:ind w:left="100"/>
              <w:spacing w:after="0"/>
              <w:rPr>
                <w:sz w:val="20"/>
                <w:szCs w:val="20"/>
                <w:color w:val="auto"/>
              </w:rPr>
            </w:pPr>
            <w:r>
              <w:rPr>
                <w:rFonts w:ascii="Courier New" w:cs="Courier New" w:eastAsia="Courier New" w:hAnsi="Courier New"/>
                <w:sz w:val="16"/>
                <w:szCs w:val="16"/>
                <w:color w:val="auto"/>
              </w:rPr>
              <w:t>End of year</w:t>
            </w: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2,862,437</w:t>
            </w:r>
          </w:p>
        </w:tc>
        <w:tc>
          <w:tcPr>
            <w:tcW w:w="180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$ 33,372,154</w:t>
            </w:r>
          </w:p>
        </w:tc>
        <w:tc>
          <w:tcPr>
            <w:tcW w:w="3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9,973,266</w:t>
            </w:r>
          </w:p>
        </w:tc>
        <w:tc>
          <w:tcPr>
            <w:tcW w:w="0" w:type="dxa"/>
            <w:vAlign w:val="bottom"/>
          </w:tcPr>
          <w:p>
            <w:pPr>
              <w:spacing w:after="0"/>
              <w:rPr>
                <w:sz w:val="1"/>
                <w:szCs w:val="1"/>
                <w:color w:val="auto"/>
              </w:rPr>
            </w:pPr>
          </w:p>
        </w:tc>
      </w:tr>
      <w:tr>
        <w:trPr>
          <w:trHeight w:val="265"/>
        </w:trPr>
        <w:tc>
          <w:tcPr>
            <w:tcW w:w="4260" w:type="dxa"/>
            <w:vAlign w:val="bottom"/>
          </w:tcPr>
          <w:p>
            <w:pPr>
              <w:spacing w:after="0"/>
              <w:rPr>
                <w:sz w:val="23"/>
                <w:szCs w:val="23"/>
                <w:color w:val="auto"/>
              </w:rPr>
            </w:pPr>
          </w:p>
        </w:tc>
        <w:tc>
          <w:tcPr>
            <w:tcW w:w="17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826"/>
        </w:trPr>
        <w:tc>
          <w:tcPr>
            <w:tcW w:w="4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tcPr>
          <w:p>
            <w:pPr>
              <w:jc w:val="center"/>
              <w:ind w:right="301"/>
              <w:spacing w:after="0"/>
              <w:rPr>
                <w:sz w:val="20"/>
                <w:szCs w:val="20"/>
                <w:color w:val="auto"/>
              </w:rPr>
            </w:pPr>
            <w:r>
              <w:rPr>
                <w:rFonts w:ascii="Courier New" w:cs="Courier New" w:eastAsia="Courier New" w:hAnsi="Courier New"/>
                <w:sz w:val="16"/>
                <w:szCs w:val="16"/>
                <w:color w:val="auto"/>
              </w:rPr>
              <w:t>IDS</w:t>
            </w:r>
          </w:p>
        </w:tc>
        <w:tc>
          <w:tcPr>
            <w:tcW w:w="380" w:type="dxa"/>
            <w:vAlign w:val="bottom"/>
          </w:tcPr>
          <w:p>
            <w:pPr>
              <w:spacing w:after="0"/>
              <w:rPr>
                <w:sz w:val="24"/>
                <w:szCs w:val="24"/>
                <w:color w:val="auto"/>
              </w:rPr>
            </w:pPr>
          </w:p>
        </w:tc>
        <w:tc>
          <w:tcPr>
            <w:tcW w:w="14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AIM</w:t>
            </w:r>
          </w:p>
        </w:tc>
        <w:tc>
          <w:tcPr>
            <w:tcW w:w="380" w:type="dxa"/>
            <w:vAlign w:val="bottom"/>
          </w:tcPr>
          <w:p>
            <w:pPr>
              <w:spacing w:after="0"/>
              <w:rPr>
                <w:sz w:val="24"/>
                <w:szCs w:val="24"/>
                <w:color w:val="auto"/>
              </w:rPr>
            </w:pPr>
          </w:p>
        </w:tc>
        <w:tc>
          <w:tcPr>
            <w:tcW w:w="14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AET</w:t>
            </w:r>
          </w:p>
        </w:tc>
        <w:tc>
          <w:tcPr>
            <w:tcW w:w="380" w:type="dxa"/>
            <w:vAlign w:val="bottom"/>
          </w:tcPr>
          <w:p>
            <w:pPr>
              <w:spacing w:after="0"/>
              <w:rPr>
                <w:sz w:val="24"/>
                <w:szCs w:val="24"/>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AET</w:t>
            </w:r>
          </w:p>
        </w:tc>
        <w:tc>
          <w:tcPr>
            <w:tcW w:w="0" w:type="dxa"/>
            <w:vAlign w:val="bottom"/>
          </w:tcPr>
          <w:p>
            <w:pPr>
              <w:spacing w:after="0"/>
              <w:rPr>
                <w:sz w:val="1"/>
                <w:szCs w:val="1"/>
                <w:color w:val="auto"/>
              </w:rPr>
            </w:pPr>
          </w:p>
        </w:tc>
      </w:tr>
      <w:tr>
        <w:trPr>
          <w:trHeight w:val="182"/>
        </w:trPr>
        <w:tc>
          <w:tcPr>
            <w:tcW w:w="4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8"/>
              </w:rPr>
              <w:t>Federal</w:t>
            </w:r>
          </w:p>
        </w:tc>
        <w:tc>
          <w:tcPr>
            <w:tcW w:w="380" w:type="dxa"/>
            <w:vAlign w:val="bottom"/>
          </w:tcPr>
          <w:p>
            <w:pPr>
              <w:spacing w:after="0"/>
              <w:rPr>
                <w:sz w:val="15"/>
                <w:szCs w:val="15"/>
                <w:color w:val="auto"/>
              </w:rPr>
            </w:pP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7"/>
              </w:rPr>
              <w:t>Constellation</w:t>
            </w:r>
          </w:p>
        </w:tc>
        <w:tc>
          <w:tcPr>
            <w:tcW w:w="380" w:type="dxa"/>
            <w:vAlign w:val="bottom"/>
          </w:tcPr>
          <w:p>
            <w:pPr>
              <w:spacing w:after="0"/>
              <w:rPr>
                <w:sz w:val="15"/>
                <w:szCs w:val="15"/>
                <w:color w:val="auto"/>
              </w:rPr>
            </w:pP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Equity Index</w:t>
            </w:r>
          </w:p>
        </w:tc>
        <w:tc>
          <w:tcPr>
            <w:tcW w:w="380" w:type="dxa"/>
            <w:vAlign w:val="bottom"/>
          </w:tcPr>
          <w:p>
            <w:pPr>
              <w:spacing w:after="0"/>
              <w:rPr>
                <w:sz w:val="15"/>
                <w:szCs w:val="15"/>
                <w:color w:val="auto"/>
              </w:rPr>
            </w:pPr>
          </w:p>
        </w:tc>
        <w:tc>
          <w:tcPr>
            <w:tcW w:w="1040" w:type="dxa"/>
            <w:vAlign w:val="bottom"/>
          </w:tcPr>
          <w:p>
            <w:pPr>
              <w:ind w:left="280"/>
              <w:spacing w:after="0"/>
              <w:rPr>
                <w:sz w:val="20"/>
                <w:szCs w:val="20"/>
                <w:color w:val="auto"/>
              </w:rPr>
            </w:pPr>
            <w:r>
              <w:rPr>
                <w:rFonts w:ascii="Courier New" w:cs="Courier New" w:eastAsia="Courier New" w:hAnsi="Courier New"/>
                <w:sz w:val="16"/>
                <w:szCs w:val="16"/>
                <w:color w:val="auto"/>
              </w:rPr>
              <w:t>Income</w:t>
            </w:r>
          </w:p>
        </w:tc>
        <w:tc>
          <w:tcPr>
            <w:tcW w:w="0" w:type="dxa"/>
            <w:vAlign w:val="bottom"/>
          </w:tcPr>
          <w:p>
            <w:pPr>
              <w:spacing w:after="0"/>
              <w:rPr>
                <w:sz w:val="1"/>
                <w:szCs w:val="1"/>
                <w:color w:val="auto"/>
              </w:rPr>
            </w:pPr>
          </w:p>
        </w:tc>
      </w:tr>
      <w:tr>
        <w:trPr>
          <w:trHeight w:val="182"/>
        </w:trPr>
        <w:tc>
          <w:tcPr>
            <w:tcW w:w="4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jc w:val="center"/>
              <w:ind w:right="281"/>
              <w:spacing w:after="0"/>
              <w:rPr>
                <w:sz w:val="20"/>
                <w:szCs w:val="20"/>
                <w:color w:val="auto"/>
              </w:rPr>
            </w:pPr>
            <w:r>
              <w:rPr>
                <w:rFonts w:ascii="Courier New" w:cs="Courier New" w:eastAsia="Courier New" w:hAnsi="Courier New"/>
                <w:sz w:val="16"/>
                <w:szCs w:val="16"/>
                <w:color w:val="auto"/>
                <w:w w:val="98"/>
              </w:rPr>
              <w:t>Income Fund</w:t>
            </w:r>
          </w:p>
        </w:tc>
        <w:tc>
          <w:tcPr>
            <w:tcW w:w="380" w:type="dxa"/>
            <w:vAlign w:val="bottom"/>
          </w:tcPr>
          <w:p>
            <w:pPr>
              <w:spacing w:after="0"/>
              <w:rPr>
                <w:sz w:val="15"/>
                <w:szCs w:val="15"/>
                <w:color w:val="auto"/>
              </w:rPr>
            </w:pPr>
          </w:p>
        </w:tc>
        <w:tc>
          <w:tcPr>
            <w:tcW w:w="14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Fund</w:t>
            </w:r>
          </w:p>
        </w:tc>
        <w:tc>
          <w:tcPr>
            <w:tcW w:w="380" w:type="dxa"/>
            <w:vAlign w:val="bottom"/>
          </w:tcPr>
          <w:p>
            <w:pPr>
              <w:spacing w:after="0"/>
              <w:rPr>
                <w:sz w:val="15"/>
                <w:szCs w:val="15"/>
                <w:color w:val="auto"/>
              </w:rPr>
            </w:pPr>
          </w:p>
        </w:tc>
        <w:tc>
          <w:tcPr>
            <w:tcW w:w="1420" w:type="dxa"/>
            <w:vAlign w:val="bottom"/>
          </w:tcPr>
          <w:p>
            <w:pPr>
              <w:ind w:left="380"/>
              <w:spacing w:after="0"/>
              <w:rPr>
                <w:sz w:val="20"/>
                <w:szCs w:val="20"/>
                <w:color w:val="auto"/>
              </w:rPr>
            </w:pPr>
            <w:r>
              <w:rPr>
                <w:rFonts w:ascii="Courier New" w:cs="Courier New" w:eastAsia="Courier New" w:hAnsi="Courier New"/>
                <w:sz w:val="16"/>
                <w:szCs w:val="16"/>
                <w:color w:val="auto"/>
              </w:rPr>
              <w:t>Fund I</w:t>
            </w:r>
          </w:p>
        </w:tc>
        <w:tc>
          <w:tcPr>
            <w:tcW w:w="380" w:type="dxa"/>
            <w:vAlign w:val="bottom"/>
          </w:tcPr>
          <w:p>
            <w:pPr>
              <w:spacing w:after="0"/>
              <w:rPr>
                <w:sz w:val="15"/>
                <w:szCs w:val="15"/>
                <w:color w:val="auto"/>
              </w:rPr>
            </w:pPr>
          </w:p>
        </w:tc>
        <w:tc>
          <w:tcPr>
            <w:tcW w:w="1040" w:type="dxa"/>
            <w:vAlign w:val="bottom"/>
          </w:tcPr>
          <w:p>
            <w:pPr>
              <w:ind w:left="280"/>
              <w:spacing w:after="0"/>
              <w:rPr>
                <w:sz w:val="20"/>
                <w:szCs w:val="20"/>
                <w:color w:val="auto"/>
              </w:rPr>
            </w:pPr>
            <w:r>
              <w:rPr>
                <w:rFonts w:ascii="Courier New" w:cs="Courier New" w:eastAsia="Courier New" w:hAnsi="Courier New"/>
                <w:sz w:val="16"/>
                <w:szCs w:val="16"/>
                <w:color w:val="auto"/>
              </w:rPr>
              <w:t>Fund II</w:t>
            </w:r>
          </w:p>
        </w:tc>
        <w:tc>
          <w:tcPr>
            <w:tcW w:w="0" w:type="dxa"/>
            <w:vAlign w:val="bottom"/>
          </w:tcPr>
          <w:p>
            <w:pPr>
              <w:spacing w:after="0"/>
              <w:rPr>
                <w:sz w:val="1"/>
                <w:szCs w:val="1"/>
                <w:color w:val="auto"/>
              </w:rPr>
            </w:pPr>
          </w:p>
        </w:tc>
      </w:tr>
      <w:tr>
        <w:trPr>
          <w:trHeight w:val="265"/>
        </w:trPr>
        <w:tc>
          <w:tcPr>
            <w:tcW w:w="4260" w:type="dxa"/>
            <w:vAlign w:val="bottom"/>
          </w:tcPr>
          <w:p>
            <w:pPr>
              <w:spacing w:after="0"/>
              <w:rPr>
                <w:sz w:val="23"/>
                <w:szCs w:val="23"/>
                <w:color w:val="auto"/>
              </w:rPr>
            </w:pPr>
          </w:p>
        </w:tc>
        <w:tc>
          <w:tcPr>
            <w:tcW w:w="1780" w:type="dxa"/>
            <w:vAlign w:val="bottom"/>
            <w:gridSpan w:val="2"/>
          </w:tcPr>
          <w:p>
            <w:pPr>
              <w:jc w:val="right"/>
              <w:ind w:right="281"/>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4260" w:type="dxa"/>
            <w:vAlign w:val="bottom"/>
          </w:tcPr>
          <w:p>
            <w:pPr>
              <w:spacing w:after="0"/>
              <w:rPr>
                <w:sz w:val="20"/>
                <w:szCs w:val="20"/>
                <w:color w:val="auto"/>
              </w:rPr>
            </w:pPr>
            <w:r>
              <w:rPr>
                <w:rFonts w:ascii="Courier New" w:cs="Courier New" w:eastAsia="Courier New" w:hAnsi="Courier New"/>
                <w:sz w:val="16"/>
                <w:szCs w:val="16"/>
                <w:color w:val="auto"/>
              </w:rPr>
              <w:t>Additions</w:t>
            </w: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260" w:type="dxa"/>
            <w:vAlign w:val="bottom"/>
          </w:tcPr>
          <w:p>
            <w:pPr>
              <w:spacing w:after="0"/>
              <w:rPr>
                <w:sz w:val="20"/>
                <w:szCs w:val="20"/>
                <w:color w:val="auto"/>
              </w:rPr>
            </w:pPr>
            <w:r>
              <w:rPr>
                <w:rFonts w:ascii="Courier New" w:cs="Courier New" w:eastAsia="Courier New" w:hAnsi="Courier New"/>
                <w:sz w:val="16"/>
                <w:szCs w:val="16"/>
                <w:color w:val="auto"/>
              </w:rPr>
              <w:t>Additions to net assets attributed to:</w:t>
            </w:r>
          </w:p>
        </w:tc>
        <w:tc>
          <w:tcPr>
            <w:tcW w:w="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260" w:type="dxa"/>
            <w:vAlign w:val="bottom"/>
          </w:tcPr>
          <w:p>
            <w:pPr>
              <w:ind w:left="180"/>
              <w:spacing w:after="0"/>
              <w:rPr>
                <w:sz w:val="20"/>
                <w:szCs w:val="20"/>
                <w:color w:val="auto"/>
              </w:rPr>
            </w:pPr>
            <w:r>
              <w:rPr>
                <w:rFonts w:ascii="Courier New" w:cs="Courier New" w:eastAsia="Courier New" w:hAnsi="Courier New"/>
                <w:sz w:val="16"/>
                <w:szCs w:val="16"/>
                <w:color w:val="auto"/>
              </w:rPr>
              <w:t>Investment income</w:t>
            </w:r>
          </w:p>
        </w:tc>
        <w:tc>
          <w:tcPr>
            <w:tcW w:w="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260" w:type="dxa"/>
            <w:vAlign w:val="bottom"/>
          </w:tcPr>
          <w:p>
            <w:pPr>
              <w:ind w:left="380"/>
              <w:spacing w:after="0"/>
              <w:rPr>
                <w:sz w:val="20"/>
                <w:szCs w:val="20"/>
                <w:color w:val="auto"/>
              </w:rPr>
            </w:pPr>
            <w:r>
              <w:rPr>
                <w:rFonts w:ascii="Courier New" w:cs="Courier New" w:eastAsia="Courier New" w:hAnsi="Courier New"/>
                <w:sz w:val="16"/>
                <w:szCs w:val="16"/>
                <w:color w:val="auto"/>
              </w:rPr>
              <w:t>Net appreciation/(depreciation) in</w:t>
            </w:r>
          </w:p>
        </w:tc>
        <w:tc>
          <w:tcPr>
            <w:tcW w:w="38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40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(56,104)</w:t>
            </w:r>
          </w:p>
        </w:tc>
        <w:tc>
          <w:tcPr>
            <w:tcW w:w="38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42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121,565</w:t>
            </w:r>
          </w:p>
        </w:tc>
        <w:tc>
          <w:tcPr>
            <w:tcW w:w="3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42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2,030,214</w:t>
            </w:r>
          </w:p>
        </w:tc>
        <w:tc>
          <w:tcPr>
            <w:tcW w:w="3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1,511,059</w:t>
            </w:r>
          </w:p>
        </w:tc>
        <w:tc>
          <w:tcPr>
            <w:tcW w:w="0" w:type="dxa"/>
            <w:vAlign w:val="bottom"/>
          </w:tcPr>
          <w:p>
            <w:pPr>
              <w:spacing w:after="0"/>
              <w:rPr>
                <w:sz w:val="1"/>
                <w:szCs w:val="1"/>
                <w:color w:val="auto"/>
              </w:rPr>
            </w:pPr>
          </w:p>
        </w:tc>
      </w:tr>
      <w:tr>
        <w:trPr>
          <w:trHeight w:val="182"/>
        </w:trPr>
        <w:tc>
          <w:tcPr>
            <w:tcW w:w="4260" w:type="dxa"/>
            <w:vAlign w:val="bottom"/>
          </w:tcPr>
          <w:p>
            <w:pPr>
              <w:ind w:left="380"/>
              <w:spacing w:after="0"/>
              <w:rPr>
                <w:sz w:val="20"/>
                <w:szCs w:val="20"/>
                <w:color w:val="auto"/>
              </w:rPr>
            </w:pPr>
            <w:r>
              <w:rPr>
                <w:rFonts w:ascii="Courier New" w:cs="Courier New" w:eastAsia="Courier New" w:hAnsi="Courier New"/>
                <w:sz w:val="16"/>
                <w:szCs w:val="16"/>
                <w:color w:val="auto"/>
              </w:rPr>
              <w:t>fair value of investments</w:t>
            </w:r>
          </w:p>
        </w:tc>
        <w:tc>
          <w:tcPr>
            <w:tcW w:w="38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260" w:type="dxa"/>
            <w:vAlign w:val="bottom"/>
          </w:tcPr>
          <w:p>
            <w:pPr>
              <w:ind w:left="180"/>
              <w:spacing w:after="0"/>
              <w:rPr>
                <w:sz w:val="20"/>
                <w:szCs w:val="20"/>
                <w:color w:val="auto"/>
              </w:rPr>
            </w:pPr>
            <w:r>
              <w:rPr>
                <w:rFonts w:ascii="Courier New" w:cs="Courier New" w:eastAsia="Courier New" w:hAnsi="Courier New"/>
                <w:sz w:val="16"/>
                <w:szCs w:val="16"/>
                <w:color w:val="auto"/>
              </w:rPr>
              <w:t>Interest</w:t>
            </w:r>
          </w:p>
        </w:tc>
        <w:tc>
          <w:tcPr>
            <w:tcW w:w="380" w:type="dxa"/>
            <w:vAlign w:val="bottom"/>
          </w:tcPr>
          <w:p>
            <w:pPr>
              <w:spacing w:after="0"/>
              <w:rPr>
                <w:sz w:val="15"/>
                <w:szCs w:val="15"/>
                <w:color w:val="auto"/>
              </w:rPr>
            </w:pPr>
          </w:p>
        </w:tc>
        <w:tc>
          <w:tcPr>
            <w:tcW w:w="14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260" w:type="dxa"/>
            <w:vAlign w:val="bottom"/>
          </w:tcPr>
          <w:p>
            <w:pPr>
              <w:ind w:left="180"/>
              <w:spacing w:after="0"/>
              <w:rPr>
                <w:sz w:val="20"/>
                <w:szCs w:val="20"/>
                <w:color w:val="auto"/>
              </w:rPr>
            </w:pPr>
            <w:r>
              <w:rPr>
                <w:rFonts w:ascii="Courier New" w:cs="Courier New" w:eastAsia="Courier New" w:hAnsi="Courier New"/>
                <w:sz w:val="16"/>
                <w:szCs w:val="16"/>
                <w:color w:val="auto"/>
              </w:rPr>
              <w:t>Dividends</w:t>
            </w:r>
          </w:p>
        </w:tc>
        <w:tc>
          <w:tcPr>
            <w:tcW w:w="380" w:type="dxa"/>
            <w:vAlign w:val="bottom"/>
          </w:tcPr>
          <w:p>
            <w:pPr>
              <w:spacing w:after="0"/>
              <w:rPr>
                <w:sz w:val="15"/>
                <w:szCs w:val="15"/>
                <w:color w:val="auto"/>
              </w:rPr>
            </w:pPr>
          </w:p>
        </w:tc>
        <w:tc>
          <w:tcPr>
            <w:tcW w:w="14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1,453,858</w:t>
            </w:r>
          </w:p>
        </w:tc>
        <w:tc>
          <w:tcPr>
            <w:tcW w:w="380" w:type="dxa"/>
            <w:vAlign w:val="bottom"/>
          </w:tcPr>
          <w:p>
            <w:pPr>
              <w:spacing w:after="0"/>
              <w:rPr>
                <w:sz w:val="15"/>
                <w:szCs w:val="15"/>
                <w:color w:val="auto"/>
              </w:rPr>
            </w:pP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48,631</w:t>
            </w:r>
          </w:p>
        </w:tc>
        <w:tc>
          <w:tcPr>
            <w:tcW w:w="380" w:type="dxa"/>
            <w:vAlign w:val="bottom"/>
          </w:tcPr>
          <w:p>
            <w:pPr>
              <w:spacing w:after="0"/>
              <w:rPr>
                <w:sz w:val="15"/>
                <w:szCs w:val="15"/>
                <w:color w:val="auto"/>
              </w:rPr>
            </w:pP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5"/>
        </w:trPr>
        <w:tc>
          <w:tcPr>
            <w:tcW w:w="4260" w:type="dxa"/>
            <w:vAlign w:val="bottom"/>
          </w:tcPr>
          <w:p>
            <w:pPr>
              <w:spacing w:after="0"/>
              <w:rPr>
                <w:sz w:val="23"/>
                <w:szCs w:val="23"/>
                <w:color w:val="auto"/>
              </w:rPr>
            </w:pPr>
          </w:p>
        </w:tc>
        <w:tc>
          <w:tcPr>
            <w:tcW w:w="1780" w:type="dxa"/>
            <w:vAlign w:val="bottom"/>
            <w:gridSpan w:val="2"/>
          </w:tcPr>
          <w:p>
            <w:pPr>
              <w:jc w:val="right"/>
              <w:ind w:right="281"/>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4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1,397,754</w:t>
            </w:r>
          </w:p>
        </w:tc>
        <w:tc>
          <w:tcPr>
            <w:tcW w:w="380" w:type="dxa"/>
            <w:vAlign w:val="bottom"/>
          </w:tcPr>
          <w:p>
            <w:pPr>
              <w:spacing w:after="0"/>
              <w:rPr>
                <w:sz w:val="24"/>
                <w:szCs w:val="24"/>
                <w:color w:val="auto"/>
              </w:rPr>
            </w:pP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170,196</w:t>
            </w:r>
          </w:p>
        </w:tc>
        <w:tc>
          <w:tcPr>
            <w:tcW w:w="380" w:type="dxa"/>
            <w:vAlign w:val="bottom"/>
          </w:tcPr>
          <w:p>
            <w:pPr>
              <w:spacing w:after="0"/>
              <w:rPr>
                <w:sz w:val="24"/>
                <w:szCs w:val="24"/>
                <w:color w:val="auto"/>
              </w:rPr>
            </w:pP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2,030,214</w:t>
            </w:r>
          </w:p>
        </w:tc>
        <w:tc>
          <w:tcPr>
            <w:tcW w:w="3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1,511,059</w:t>
            </w:r>
          </w:p>
        </w:tc>
        <w:tc>
          <w:tcPr>
            <w:tcW w:w="0" w:type="dxa"/>
            <w:vAlign w:val="bottom"/>
          </w:tcPr>
          <w:p>
            <w:pPr>
              <w:spacing w:after="0"/>
              <w:rPr>
                <w:sz w:val="1"/>
                <w:szCs w:val="1"/>
                <w:color w:val="auto"/>
              </w:rPr>
            </w:pPr>
          </w:p>
        </w:tc>
      </w:tr>
      <w:tr>
        <w:trPr>
          <w:trHeight w:val="265"/>
        </w:trPr>
        <w:tc>
          <w:tcPr>
            <w:tcW w:w="4260" w:type="dxa"/>
            <w:vAlign w:val="bottom"/>
          </w:tcPr>
          <w:p>
            <w:pPr>
              <w:spacing w:after="0"/>
              <w:rPr>
                <w:sz w:val="23"/>
                <w:szCs w:val="23"/>
                <w:color w:val="auto"/>
              </w:rPr>
            </w:pPr>
          </w:p>
        </w:tc>
        <w:tc>
          <w:tcPr>
            <w:tcW w:w="1780" w:type="dxa"/>
            <w:vAlign w:val="bottom"/>
            <w:gridSpan w:val="2"/>
          </w:tcPr>
          <w:p>
            <w:pPr>
              <w:jc w:val="right"/>
              <w:ind w:right="281"/>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4260" w:type="dxa"/>
            <w:vAlign w:val="bottom"/>
          </w:tcPr>
          <w:p>
            <w:pPr>
              <w:ind w:left="100"/>
              <w:spacing w:after="0"/>
              <w:rPr>
                <w:sz w:val="20"/>
                <w:szCs w:val="20"/>
                <w:color w:val="auto"/>
              </w:rPr>
            </w:pPr>
            <w:r>
              <w:rPr>
                <w:rFonts w:ascii="Courier New" w:cs="Courier New" w:eastAsia="Courier New" w:hAnsi="Courier New"/>
                <w:sz w:val="16"/>
                <w:szCs w:val="16"/>
                <w:color w:val="auto"/>
              </w:rPr>
              <w:t>Contributions</w:t>
            </w:r>
          </w:p>
        </w:tc>
        <w:tc>
          <w:tcPr>
            <w:tcW w:w="380" w:type="dxa"/>
            <w:vAlign w:val="bottom"/>
          </w:tcPr>
          <w:p>
            <w:pPr>
              <w:spacing w:after="0"/>
              <w:rPr>
                <w:sz w:val="24"/>
                <w:szCs w:val="24"/>
                <w:color w:val="auto"/>
              </w:rPr>
            </w:pPr>
          </w:p>
        </w:tc>
        <w:tc>
          <w:tcPr>
            <w:tcW w:w="1400" w:type="dxa"/>
            <w:vAlign w:val="bottom"/>
            <w:vMerge w:val="restart"/>
          </w:tcPr>
          <w:p>
            <w:pPr>
              <w:jc w:val="right"/>
              <w:ind w:right="281"/>
              <w:spacing w:after="0"/>
              <w:rPr>
                <w:sz w:val="20"/>
                <w:szCs w:val="20"/>
                <w:color w:val="auto"/>
              </w:rPr>
            </w:pPr>
            <w:r>
              <w:rPr>
                <w:rFonts w:ascii="Courier New" w:cs="Courier New" w:eastAsia="Courier New" w:hAnsi="Courier New"/>
                <w:sz w:val="16"/>
                <w:szCs w:val="16"/>
                <w:color w:val="auto"/>
              </w:rPr>
              <w:t>1,296,966</w:t>
            </w:r>
          </w:p>
        </w:tc>
        <w:tc>
          <w:tcPr>
            <w:tcW w:w="380" w:type="dxa"/>
            <w:vAlign w:val="bottom"/>
          </w:tcPr>
          <w:p>
            <w:pPr>
              <w:spacing w:after="0"/>
              <w:rPr>
                <w:sz w:val="24"/>
                <w:szCs w:val="24"/>
                <w:color w:val="auto"/>
              </w:rPr>
            </w:pPr>
          </w:p>
        </w:tc>
        <w:tc>
          <w:tcPr>
            <w:tcW w:w="142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56,020</w:t>
            </w:r>
          </w:p>
        </w:tc>
        <w:tc>
          <w:tcPr>
            <w:tcW w:w="380" w:type="dxa"/>
            <w:vAlign w:val="bottom"/>
          </w:tcPr>
          <w:p>
            <w:pPr>
              <w:spacing w:after="0"/>
              <w:rPr>
                <w:sz w:val="24"/>
                <w:szCs w:val="24"/>
                <w:color w:val="auto"/>
              </w:rPr>
            </w:pPr>
          </w:p>
        </w:tc>
        <w:tc>
          <w:tcPr>
            <w:tcW w:w="142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392,390</w:t>
            </w:r>
          </w:p>
        </w:tc>
        <w:tc>
          <w:tcPr>
            <w:tcW w:w="380" w:type="dxa"/>
            <w:vAlign w:val="bottom"/>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1,668,605</w:t>
            </w:r>
          </w:p>
        </w:tc>
        <w:tc>
          <w:tcPr>
            <w:tcW w:w="0" w:type="dxa"/>
            <w:vAlign w:val="bottom"/>
          </w:tcPr>
          <w:p>
            <w:pPr>
              <w:spacing w:after="0"/>
              <w:rPr>
                <w:sz w:val="1"/>
                <w:szCs w:val="1"/>
                <w:color w:val="auto"/>
              </w:rPr>
            </w:pPr>
          </w:p>
        </w:tc>
      </w:tr>
      <w:tr>
        <w:trPr>
          <w:trHeight w:val="182"/>
        </w:trPr>
        <w:tc>
          <w:tcPr>
            <w:tcW w:w="4260" w:type="dxa"/>
            <w:vAlign w:val="bottom"/>
          </w:tcPr>
          <w:p>
            <w:pPr>
              <w:ind w:left="180"/>
              <w:spacing w:after="0"/>
              <w:rPr>
                <w:sz w:val="20"/>
                <w:szCs w:val="20"/>
                <w:color w:val="auto"/>
              </w:rPr>
            </w:pPr>
            <w:r>
              <w:rPr>
                <w:rFonts w:ascii="Courier New" w:cs="Courier New" w:eastAsia="Courier New" w:hAnsi="Courier New"/>
                <w:sz w:val="16"/>
                <w:szCs w:val="16"/>
                <w:color w:val="auto"/>
              </w:rPr>
              <w:t>Participants'</w:t>
            </w:r>
          </w:p>
        </w:tc>
        <w:tc>
          <w:tcPr>
            <w:tcW w:w="38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260" w:type="dxa"/>
            <w:vAlign w:val="bottom"/>
          </w:tcPr>
          <w:p>
            <w:pPr>
              <w:ind w:left="180"/>
              <w:spacing w:after="0"/>
              <w:rPr>
                <w:sz w:val="20"/>
                <w:szCs w:val="20"/>
                <w:color w:val="auto"/>
              </w:rPr>
            </w:pPr>
            <w:r>
              <w:rPr>
                <w:rFonts w:ascii="Courier New" w:cs="Courier New" w:eastAsia="Courier New" w:hAnsi="Courier New"/>
                <w:sz w:val="16"/>
                <w:szCs w:val="16"/>
                <w:color w:val="auto"/>
              </w:rPr>
              <w:t>Employer's</w:t>
            </w:r>
          </w:p>
        </w:tc>
        <w:tc>
          <w:tcPr>
            <w:tcW w:w="380" w:type="dxa"/>
            <w:vAlign w:val="bottom"/>
          </w:tcPr>
          <w:p>
            <w:pPr>
              <w:spacing w:after="0"/>
              <w:rPr>
                <w:sz w:val="15"/>
                <w:szCs w:val="15"/>
                <w:color w:val="auto"/>
              </w:rPr>
            </w:pPr>
          </w:p>
        </w:tc>
        <w:tc>
          <w:tcPr>
            <w:tcW w:w="14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274,496</w:t>
            </w:r>
          </w:p>
        </w:tc>
        <w:tc>
          <w:tcPr>
            <w:tcW w:w="380" w:type="dxa"/>
            <w:vAlign w:val="bottom"/>
          </w:tcPr>
          <w:p>
            <w:pPr>
              <w:spacing w:after="0"/>
              <w:rPr>
                <w:sz w:val="15"/>
                <w:szCs w:val="15"/>
                <w:color w:val="auto"/>
              </w:rPr>
            </w:pP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4,727</w:t>
            </w:r>
          </w:p>
        </w:tc>
        <w:tc>
          <w:tcPr>
            <w:tcW w:w="380" w:type="dxa"/>
            <w:vAlign w:val="bottom"/>
          </w:tcPr>
          <w:p>
            <w:pPr>
              <w:spacing w:after="0"/>
              <w:rPr>
                <w:sz w:val="15"/>
                <w:szCs w:val="15"/>
                <w:color w:val="auto"/>
              </w:rPr>
            </w:pP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35,997</w:t>
            </w:r>
          </w:p>
        </w:tc>
        <w:tc>
          <w:tcPr>
            <w:tcW w:w="3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480,083</w:t>
            </w:r>
          </w:p>
        </w:tc>
        <w:tc>
          <w:tcPr>
            <w:tcW w:w="0" w:type="dxa"/>
            <w:vAlign w:val="bottom"/>
          </w:tcPr>
          <w:p>
            <w:pPr>
              <w:spacing w:after="0"/>
              <w:rPr>
                <w:sz w:val="1"/>
                <w:szCs w:val="1"/>
                <w:color w:val="auto"/>
              </w:rPr>
            </w:pPr>
          </w:p>
        </w:tc>
      </w:tr>
      <w:tr>
        <w:trPr>
          <w:trHeight w:val="265"/>
        </w:trPr>
        <w:tc>
          <w:tcPr>
            <w:tcW w:w="4260" w:type="dxa"/>
            <w:vAlign w:val="bottom"/>
          </w:tcPr>
          <w:p>
            <w:pPr>
              <w:spacing w:after="0"/>
              <w:rPr>
                <w:sz w:val="23"/>
                <w:szCs w:val="23"/>
                <w:color w:val="auto"/>
              </w:rPr>
            </w:pPr>
          </w:p>
        </w:tc>
        <w:tc>
          <w:tcPr>
            <w:tcW w:w="1780" w:type="dxa"/>
            <w:vAlign w:val="bottom"/>
            <w:gridSpan w:val="2"/>
          </w:tcPr>
          <w:p>
            <w:pPr>
              <w:jc w:val="right"/>
              <w:ind w:right="281"/>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4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1,571,462</w:t>
            </w:r>
          </w:p>
        </w:tc>
        <w:tc>
          <w:tcPr>
            <w:tcW w:w="380" w:type="dxa"/>
            <w:vAlign w:val="bottom"/>
          </w:tcPr>
          <w:p>
            <w:pPr>
              <w:spacing w:after="0"/>
              <w:rPr>
                <w:sz w:val="24"/>
                <w:szCs w:val="24"/>
                <w:color w:val="auto"/>
              </w:rPr>
            </w:pP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60,747</w:t>
            </w:r>
          </w:p>
        </w:tc>
        <w:tc>
          <w:tcPr>
            <w:tcW w:w="380" w:type="dxa"/>
            <w:vAlign w:val="bottom"/>
          </w:tcPr>
          <w:p>
            <w:pPr>
              <w:spacing w:after="0"/>
              <w:rPr>
                <w:sz w:val="24"/>
                <w:szCs w:val="24"/>
                <w:color w:val="auto"/>
              </w:rPr>
            </w:pP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428,387</w:t>
            </w:r>
          </w:p>
        </w:tc>
        <w:tc>
          <w:tcPr>
            <w:tcW w:w="3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2,148,688</w:t>
            </w:r>
          </w:p>
        </w:tc>
        <w:tc>
          <w:tcPr>
            <w:tcW w:w="0" w:type="dxa"/>
            <w:vAlign w:val="bottom"/>
          </w:tcPr>
          <w:p>
            <w:pPr>
              <w:spacing w:after="0"/>
              <w:rPr>
                <w:sz w:val="1"/>
                <w:szCs w:val="1"/>
                <w:color w:val="auto"/>
              </w:rPr>
            </w:pPr>
          </w:p>
        </w:tc>
      </w:tr>
      <w:tr>
        <w:trPr>
          <w:trHeight w:val="265"/>
        </w:trPr>
        <w:tc>
          <w:tcPr>
            <w:tcW w:w="4260" w:type="dxa"/>
            <w:vAlign w:val="bottom"/>
          </w:tcPr>
          <w:p>
            <w:pPr>
              <w:spacing w:after="0"/>
              <w:rPr>
                <w:sz w:val="23"/>
                <w:szCs w:val="23"/>
                <w:color w:val="auto"/>
              </w:rPr>
            </w:pPr>
          </w:p>
        </w:tc>
        <w:tc>
          <w:tcPr>
            <w:tcW w:w="1780" w:type="dxa"/>
            <w:vAlign w:val="bottom"/>
            <w:gridSpan w:val="2"/>
          </w:tcPr>
          <w:p>
            <w:pPr>
              <w:jc w:val="right"/>
              <w:ind w:right="281"/>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80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64"/>
        </w:trPr>
        <w:tc>
          <w:tcPr>
            <w:tcW w:w="4260" w:type="dxa"/>
            <w:vAlign w:val="bottom"/>
          </w:tcPr>
          <w:p>
            <w:pPr>
              <w:ind w:left="460"/>
              <w:spacing w:after="0"/>
              <w:rPr>
                <w:sz w:val="20"/>
                <w:szCs w:val="20"/>
                <w:color w:val="auto"/>
              </w:rPr>
            </w:pPr>
            <w:r>
              <w:rPr>
                <w:rFonts w:ascii="Courier New" w:cs="Courier New" w:eastAsia="Courier New" w:hAnsi="Courier New"/>
                <w:sz w:val="16"/>
                <w:szCs w:val="16"/>
                <w:color w:val="auto"/>
              </w:rPr>
              <w:t>Total additions</w:t>
            </w:r>
          </w:p>
        </w:tc>
        <w:tc>
          <w:tcPr>
            <w:tcW w:w="380" w:type="dxa"/>
            <w:vAlign w:val="bottom"/>
          </w:tcPr>
          <w:p>
            <w:pPr>
              <w:spacing w:after="0"/>
              <w:rPr>
                <w:sz w:val="24"/>
                <w:szCs w:val="24"/>
                <w:color w:val="auto"/>
              </w:rPr>
            </w:pPr>
          </w:p>
        </w:tc>
        <w:tc>
          <w:tcPr>
            <w:tcW w:w="14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2,969,216</w:t>
            </w:r>
          </w:p>
        </w:tc>
        <w:tc>
          <w:tcPr>
            <w:tcW w:w="380" w:type="dxa"/>
            <w:vAlign w:val="bottom"/>
          </w:tcPr>
          <w:p>
            <w:pPr>
              <w:spacing w:after="0"/>
              <w:rPr>
                <w:sz w:val="24"/>
                <w:szCs w:val="24"/>
                <w:color w:val="auto"/>
              </w:rPr>
            </w:pP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230,943</w:t>
            </w:r>
          </w:p>
        </w:tc>
        <w:tc>
          <w:tcPr>
            <w:tcW w:w="380" w:type="dxa"/>
            <w:vAlign w:val="bottom"/>
          </w:tcPr>
          <w:p>
            <w:pPr>
              <w:spacing w:after="0"/>
              <w:rPr>
                <w:sz w:val="24"/>
                <w:szCs w:val="24"/>
                <w:color w:val="auto"/>
              </w:rPr>
            </w:pP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2,458,601</w:t>
            </w:r>
          </w:p>
        </w:tc>
        <w:tc>
          <w:tcPr>
            <w:tcW w:w="3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3,659,747</w:t>
            </w:r>
          </w:p>
        </w:tc>
        <w:tc>
          <w:tcPr>
            <w:tcW w:w="0" w:type="dxa"/>
            <w:vAlign w:val="bottom"/>
          </w:tcPr>
          <w:p>
            <w:pPr>
              <w:spacing w:after="0"/>
              <w:rPr>
                <w:sz w:val="1"/>
                <w:szCs w:val="1"/>
                <w:color w:val="auto"/>
              </w:rPr>
            </w:pPr>
          </w:p>
        </w:tc>
      </w:tr>
    </w:tbl>
    <w:p>
      <w:pPr>
        <w:sectPr>
          <w:pgSz w:w="11900" w:h="16924" w:orient="portrait"/>
          <w:cols w:equalWidth="0" w:num="1">
            <w:col w:w="11060"/>
          </w:cols>
          <w:pgMar w:left="240" w:top="635" w:right="59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4260" w:type="dxa"/>
            <w:vAlign w:val="bottom"/>
          </w:tcPr>
          <w:p>
            <w:pPr>
              <w:spacing w:after="0"/>
              <w:rPr>
                <w:sz w:val="23"/>
                <w:szCs w:val="23"/>
                <w:color w:val="auto"/>
              </w:rPr>
            </w:pPr>
          </w:p>
        </w:tc>
        <w:tc>
          <w:tcPr>
            <w:tcW w:w="1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9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4260" w:type="dxa"/>
            <w:vAlign w:val="bottom"/>
          </w:tcPr>
          <w:p>
            <w:pPr>
              <w:spacing w:after="0"/>
              <w:rPr>
                <w:sz w:val="20"/>
                <w:szCs w:val="20"/>
                <w:color w:val="auto"/>
              </w:rPr>
            </w:pPr>
            <w:r>
              <w:rPr>
                <w:rFonts w:ascii="Courier New" w:cs="Courier New" w:eastAsia="Courier New" w:hAnsi="Courier New"/>
                <w:sz w:val="16"/>
                <w:szCs w:val="16"/>
                <w:color w:val="auto"/>
              </w:rPr>
              <w:t>Deductions</w:t>
            </w:r>
          </w:p>
        </w:tc>
        <w:tc>
          <w:tcPr>
            <w:tcW w:w="1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260" w:type="dxa"/>
            <w:vAlign w:val="bottom"/>
          </w:tcPr>
          <w:p>
            <w:pPr>
              <w:spacing w:after="0"/>
              <w:rPr>
                <w:sz w:val="20"/>
                <w:szCs w:val="20"/>
                <w:color w:val="auto"/>
              </w:rPr>
            </w:pPr>
            <w:r>
              <w:rPr>
                <w:rFonts w:ascii="Courier New" w:cs="Courier New" w:eastAsia="Courier New" w:hAnsi="Courier New"/>
                <w:sz w:val="16"/>
                <w:szCs w:val="16"/>
                <w:color w:val="auto"/>
              </w:rPr>
              <w:t>Deductions from net assets attributable to:</w:t>
            </w:r>
          </w:p>
        </w:tc>
        <w:tc>
          <w:tcPr>
            <w:tcW w:w="170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2,067,342</w:t>
            </w:r>
          </w:p>
        </w:tc>
        <w:tc>
          <w:tcPr>
            <w:tcW w:w="620" w:type="dxa"/>
            <w:vAlign w:val="bottom"/>
          </w:tcPr>
          <w:p>
            <w:pPr>
              <w:spacing w:after="0"/>
              <w:rPr>
                <w:sz w:val="15"/>
                <w:szCs w:val="15"/>
                <w:color w:val="auto"/>
              </w:rPr>
            </w:pPr>
          </w:p>
        </w:tc>
        <w:tc>
          <w:tcPr>
            <w:tcW w:w="132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5,645</w:t>
            </w:r>
          </w:p>
        </w:tc>
        <w:tc>
          <w:tcPr>
            <w:tcW w:w="180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519,422</w:t>
            </w:r>
          </w:p>
        </w:tc>
        <w:tc>
          <w:tcPr>
            <w:tcW w:w="146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2,282,541</w:t>
            </w:r>
          </w:p>
        </w:tc>
        <w:tc>
          <w:tcPr>
            <w:tcW w:w="0" w:type="dxa"/>
            <w:vAlign w:val="bottom"/>
          </w:tcPr>
          <w:p>
            <w:pPr>
              <w:spacing w:after="0"/>
              <w:rPr>
                <w:sz w:val="1"/>
                <w:szCs w:val="1"/>
                <w:color w:val="auto"/>
              </w:rPr>
            </w:pPr>
          </w:p>
        </w:tc>
      </w:tr>
      <w:tr>
        <w:trPr>
          <w:trHeight w:val="182"/>
        </w:trPr>
        <w:tc>
          <w:tcPr>
            <w:tcW w:w="4260" w:type="dxa"/>
            <w:vAlign w:val="bottom"/>
          </w:tcPr>
          <w:p>
            <w:pPr>
              <w:ind w:left="100"/>
              <w:spacing w:after="0"/>
              <w:rPr>
                <w:sz w:val="20"/>
                <w:szCs w:val="20"/>
                <w:color w:val="auto"/>
              </w:rPr>
            </w:pPr>
            <w:r>
              <w:rPr>
                <w:rFonts w:ascii="Courier New" w:cs="Courier New" w:eastAsia="Courier New" w:hAnsi="Courier New"/>
                <w:sz w:val="16"/>
                <w:szCs w:val="16"/>
                <w:color w:val="auto"/>
              </w:rPr>
              <w:t>Benefits paid to participants</w:t>
            </w:r>
          </w:p>
        </w:tc>
        <w:tc>
          <w:tcPr>
            <w:tcW w:w="170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80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260" w:type="dxa"/>
            <w:vAlign w:val="bottom"/>
          </w:tcPr>
          <w:p>
            <w:pPr>
              <w:ind w:left="100"/>
              <w:spacing w:after="0"/>
              <w:rPr>
                <w:sz w:val="20"/>
                <w:szCs w:val="20"/>
                <w:color w:val="auto"/>
              </w:rPr>
            </w:pPr>
            <w:r>
              <w:rPr>
                <w:rFonts w:ascii="Courier New" w:cs="Courier New" w:eastAsia="Courier New" w:hAnsi="Courier New"/>
                <w:sz w:val="16"/>
                <w:szCs w:val="16"/>
                <w:color w:val="auto"/>
              </w:rPr>
              <w:t>Administrative expenses</w:t>
            </w:r>
          </w:p>
        </w:tc>
        <w:tc>
          <w:tcPr>
            <w:tcW w:w="1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6,048</w:t>
            </w:r>
          </w:p>
        </w:tc>
        <w:tc>
          <w:tcPr>
            <w:tcW w:w="620" w:type="dxa"/>
            <w:vAlign w:val="bottom"/>
          </w:tcPr>
          <w:p>
            <w:pPr>
              <w:spacing w:after="0"/>
              <w:rPr>
                <w:sz w:val="15"/>
                <w:szCs w:val="15"/>
                <w:color w:val="auto"/>
              </w:rPr>
            </w:pPr>
          </w:p>
        </w:tc>
        <w:tc>
          <w:tcPr>
            <w:tcW w:w="1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86</w:t>
            </w:r>
          </w:p>
        </w:tc>
        <w:tc>
          <w:tcPr>
            <w:tcW w:w="1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729</w:t>
            </w:r>
          </w:p>
        </w:tc>
        <w:tc>
          <w:tcPr>
            <w:tcW w:w="14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7,321</w:t>
            </w:r>
          </w:p>
        </w:tc>
        <w:tc>
          <w:tcPr>
            <w:tcW w:w="0" w:type="dxa"/>
            <w:vAlign w:val="bottom"/>
          </w:tcPr>
          <w:p>
            <w:pPr>
              <w:spacing w:after="0"/>
              <w:rPr>
                <w:sz w:val="1"/>
                <w:szCs w:val="1"/>
                <w:color w:val="auto"/>
              </w:rPr>
            </w:pPr>
          </w:p>
        </w:tc>
      </w:tr>
      <w:tr>
        <w:trPr>
          <w:trHeight w:val="265"/>
        </w:trPr>
        <w:tc>
          <w:tcPr>
            <w:tcW w:w="4260" w:type="dxa"/>
            <w:vAlign w:val="bottom"/>
          </w:tcPr>
          <w:p>
            <w:pPr>
              <w:spacing w:after="0"/>
              <w:rPr>
                <w:sz w:val="23"/>
                <w:szCs w:val="23"/>
                <w:color w:val="auto"/>
              </w:rPr>
            </w:pPr>
          </w:p>
        </w:tc>
        <w:tc>
          <w:tcPr>
            <w:tcW w:w="1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9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4260" w:type="dxa"/>
            <w:vAlign w:val="bottom"/>
          </w:tcPr>
          <w:p>
            <w:pPr>
              <w:ind w:left="460"/>
              <w:spacing w:after="0"/>
              <w:rPr>
                <w:sz w:val="20"/>
                <w:szCs w:val="20"/>
                <w:color w:val="auto"/>
              </w:rPr>
            </w:pPr>
            <w:r>
              <w:rPr>
                <w:rFonts w:ascii="Courier New" w:cs="Courier New" w:eastAsia="Courier New" w:hAnsi="Courier New"/>
                <w:sz w:val="16"/>
                <w:szCs w:val="16"/>
                <w:color w:val="auto"/>
              </w:rPr>
              <w:t>Total deductions</w:t>
            </w:r>
          </w:p>
        </w:tc>
        <w:tc>
          <w:tcPr>
            <w:tcW w:w="1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2,073,390</w:t>
            </w:r>
          </w:p>
        </w:tc>
        <w:tc>
          <w:tcPr>
            <w:tcW w:w="620" w:type="dxa"/>
            <w:vAlign w:val="bottom"/>
          </w:tcPr>
          <w:p>
            <w:pPr>
              <w:spacing w:after="0"/>
              <w:rPr>
                <w:sz w:val="24"/>
                <w:szCs w:val="24"/>
                <w:color w:val="auto"/>
              </w:rPr>
            </w:pPr>
          </w:p>
        </w:tc>
        <w:tc>
          <w:tcPr>
            <w:tcW w:w="1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5,731</w:t>
            </w:r>
          </w:p>
        </w:tc>
        <w:tc>
          <w:tcPr>
            <w:tcW w:w="1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520,151</w:t>
            </w:r>
          </w:p>
        </w:tc>
        <w:tc>
          <w:tcPr>
            <w:tcW w:w="14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2,289,862</w:t>
            </w:r>
          </w:p>
        </w:tc>
        <w:tc>
          <w:tcPr>
            <w:tcW w:w="0" w:type="dxa"/>
            <w:vAlign w:val="bottom"/>
          </w:tcPr>
          <w:p>
            <w:pPr>
              <w:spacing w:after="0"/>
              <w:rPr>
                <w:sz w:val="1"/>
                <w:szCs w:val="1"/>
                <w:color w:val="auto"/>
              </w:rPr>
            </w:pPr>
          </w:p>
        </w:tc>
      </w:tr>
      <w:tr>
        <w:trPr>
          <w:trHeight w:val="265"/>
        </w:trPr>
        <w:tc>
          <w:tcPr>
            <w:tcW w:w="4260" w:type="dxa"/>
            <w:vAlign w:val="bottom"/>
          </w:tcPr>
          <w:p>
            <w:pPr>
              <w:spacing w:after="0"/>
              <w:rPr>
                <w:sz w:val="23"/>
                <w:szCs w:val="23"/>
                <w:color w:val="auto"/>
              </w:rPr>
            </w:pPr>
          </w:p>
        </w:tc>
        <w:tc>
          <w:tcPr>
            <w:tcW w:w="1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9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64"/>
        </w:trPr>
        <w:tc>
          <w:tcPr>
            <w:tcW w:w="4260" w:type="dxa"/>
            <w:vAlign w:val="bottom"/>
          </w:tcPr>
          <w:p>
            <w:pPr>
              <w:spacing w:after="0"/>
              <w:rPr>
                <w:sz w:val="20"/>
                <w:szCs w:val="20"/>
                <w:color w:val="auto"/>
              </w:rPr>
            </w:pPr>
            <w:r>
              <w:rPr>
                <w:rFonts w:ascii="Courier New" w:cs="Courier New" w:eastAsia="Courier New" w:hAnsi="Courier New"/>
                <w:sz w:val="16"/>
                <w:szCs w:val="16"/>
                <w:color w:val="auto"/>
              </w:rPr>
              <w:t>Net increase prior to interfund transfers</w:t>
            </w:r>
          </w:p>
        </w:tc>
        <w:tc>
          <w:tcPr>
            <w:tcW w:w="1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895,826</w:t>
            </w:r>
          </w:p>
        </w:tc>
        <w:tc>
          <w:tcPr>
            <w:tcW w:w="620" w:type="dxa"/>
            <w:vAlign w:val="bottom"/>
          </w:tcPr>
          <w:p>
            <w:pPr>
              <w:spacing w:after="0"/>
              <w:rPr>
                <w:sz w:val="24"/>
                <w:szCs w:val="24"/>
                <w:color w:val="auto"/>
              </w:rPr>
            </w:pPr>
          </w:p>
        </w:tc>
        <w:tc>
          <w:tcPr>
            <w:tcW w:w="1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225,212</w:t>
            </w:r>
          </w:p>
        </w:tc>
        <w:tc>
          <w:tcPr>
            <w:tcW w:w="1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1,938,450</w:t>
            </w:r>
          </w:p>
        </w:tc>
        <w:tc>
          <w:tcPr>
            <w:tcW w:w="14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1,369,885</w:t>
            </w:r>
          </w:p>
        </w:tc>
        <w:tc>
          <w:tcPr>
            <w:tcW w:w="0" w:type="dxa"/>
            <w:vAlign w:val="bottom"/>
          </w:tcPr>
          <w:p>
            <w:pPr>
              <w:spacing w:after="0"/>
              <w:rPr>
                <w:sz w:val="1"/>
                <w:szCs w:val="1"/>
                <w:color w:val="auto"/>
              </w:rPr>
            </w:pPr>
          </w:p>
        </w:tc>
      </w:tr>
      <w:tr>
        <w:trPr>
          <w:trHeight w:val="280"/>
        </w:trPr>
        <w:tc>
          <w:tcPr>
            <w:tcW w:w="4260" w:type="dxa"/>
            <w:vAlign w:val="bottom"/>
          </w:tcPr>
          <w:p>
            <w:pPr>
              <w:spacing w:after="0"/>
              <w:rPr>
                <w:sz w:val="20"/>
                <w:szCs w:val="20"/>
                <w:color w:val="auto"/>
              </w:rPr>
            </w:pPr>
            <w:r>
              <w:rPr>
                <w:rFonts w:ascii="Courier New" w:cs="Courier New" w:eastAsia="Courier New" w:hAnsi="Courier New"/>
                <w:sz w:val="16"/>
                <w:szCs w:val="16"/>
                <w:color w:val="auto"/>
              </w:rPr>
              <w:t>Interfund transfers</w:t>
            </w:r>
          </w:p>
        </w:tc>
        <w:tc>
          <w:tcPr>
            <w:tcW w:w="1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1,133,464</w:t>
            </w:r>
          </w:p>
        </w:tc>
        <w:tc>
          <w:tcPr>
            <w:tcW w:w="620" w:type="dxa"/>
            <w:vAlign w:val="bottom"/>
          </w:tcPr>
          <w:p>
            <w:pPr>
              <w:spacing w:after="0"/>
              <w:rPr>
                <w:sz w:val="24"/>
                <w:szCs w:val="24"/>
                <w:color w:val="auto"/>
              </w:rPr>
            </w:pPr>
          </w:p>
        </w:tc>
        <w:tc>
          <w:tcPr>
            <w:tcW w:w="1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1,762,195</w:t>
            </w:r>
          </w:p>
        </w:tc>
        <w:tc>
          <w:tcPr>
            <w:tcW w:w="1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11,997,244</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(856,114)</w:t>
            </w:r>
          </w:p>
        </w:tc>
        <w:tc>
          <w:tcPr>
            <w:tcW w:w="0" w:type="dxa"/>
            <w:vAlign w:val="bottom"/>
          </w:tcPr>
          <w:p>
            <w:pPr>
              <w:spacing w:after="0"/>
              <w:rPr>
                <w:sz w:val="1"/>
                <w:szCs w:val="1"/>
                <w:color w:val="auto"/>
              </w:rPr>
            </w:pPr>
          </w:p>
        </w:tc>
      </w:tr>
      <w:tr>
        <w:trPr>
          <w:trHeight w:val="265"/>
        </w:trPr>
        <w:tc>
          <w:tcPr>
            <w:tcW w:w="4260" w:type="dxa"/>
            <w:vAlign w:val="bottom"/>
          </w:tcPr>
          <w:p>
            <w:pPr>
              <w:spacing w:after="0"/>
              <w:rPr>
                <w:sz w:val="23"/>
                <w:szCs w:val="23"/>
                <w:color w:val="auto"/>
              </w:rPr>
            </w:pPr>
          </w:p>
        </w:tc>
        <w:tc>
          <w:tcPr>
            <w:tcW w:w="1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9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64"/>
        </w:trPr>
        <w:tc>
          <w:tcPr>
            <w:tcW w:w="4260" w:type="dxa"/>
            <w:vAlign w:val="bottom"/>
          </w:tcPr>
          <w:p>
            <w:pPr>
              <w:spacing w:after="0"/>
              <w:rPr>
                <w:sz w:val="20"/>
                <w:szCs w:val="20"/>
                <w:color w:val="auto"/>
              </w:rPr>
            </w:pPr>
            <w:r>
              <w:rPr>
                <w:rFonts w:ascii="Courier New" w:cs="Courier New" w:eastAsia="Courier New" w:hAnsi="Courier New"/>
                <w:sz w:val="16"/>
                <w:szCs w:val="16"/>
                <w:color w:val="auto"/>
              </w:rPr>
              <w:t>Net increase/(decrease)</w:t>
            </w:r>
          </w:p>
        </w:tc>
        <w:tc>
          <w:tcPr>
            <w:tcW w:w="1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2,029,290</w:t>
            </w:r>
          </w:p>
        </w:tc>
        <w:tc>
          <w:tcPr>
            <w:tcW w:w="620" w:type="dxa"/>
            <w:vAlign w:val="bottom"/>
          </w:tcPr>
          <w:p>
            <w:pPr>
              <w:spacing w:after="0"/>
              <w:rPr>
                <w:sz w:val="24"/>
                <w:szCs w:val="24"/>
                <w:color w:val="auto"/>
              </w:rPr>
            </w:pPr>
          </w:p>
        </w:tc>
        <w:tc>
          <w:tcPr>
            <w:tcW w:w="1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1,987,407</w:t>
            </w:r>
          </w:p>
        </w:tc>
        <w:tc>
          <w:tcPr>
            <w:tcW w:w="1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13,935,694</w:t>
            </w:r>
          </w:p>
        </w:tc>
        <w:tc>
          <w:tcPr>
            <w:tcW w:w="14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513,771</w:t>
            </w:r>
          </w:p>
        </w:tc>
        <w:tc>
          <w:tcPr>
            <w:tcW w:w="0" w:type="dxa"/>
            <w:vAlign w:val="bottom"/>
          </w:tcPr>
          <w:p>
            <w:pPr>
              <w:spacing w:after="0"/>
              <w:rPr>
                <w:sz w:val="1"/>
                <w:szCs w:val="1"/>
                <w:color w:val="auto"/>
              </w:rPr>
            </w:pPr>
          </w:p>
        </w:tc>
      </w:tr>
      <w:tr>
        <w:trPr>
          <w:trHeight w:val="280"/>
        </w:trPr>
        <w:tc>
          <w:tcPr>
            <w:tcW w:w="4260" w:type="dxa"/>
            <w:vAlign w:val="bottom"/>
          </w:tcPr>
          <w:p>
            <w:pPr>
              <w:spacing w:after="0"/>
              <w:rPr>
                <w:sz w:val="20"/>
                <w:szCs w:val="20"/>
                <w:color w:val="auto"/>
              </w:rPr>
            </w:pPr>
            <w:r>
              <w:rPr>
                <w:rFonts w:ascii="Courier New" w:cs="Courier New" w:eastAsia="Courier New" w:hAnsi="Courier New"/>
                <w:sz w:val="16"/>
                <w:szCs w:val="16"/>
                <w:color w:val="auto"/>
              </w:rPr>
              <w:t>Net assets available for benefits:</w:t>
            </w:r>
          </w:p>
        </w:tc>
        <w:tc>
          <w:tcPr>
            <w:tcW w:w="170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19,307,643</w:t>
            </w:r>
          </w:p>
        </w:tc>
        <w:tc>
          <w:tcPr>
            <w:tcW w:w="620" w:type="dxa"/>
            <w:vAlign w:val="bottom"/>
          </w:tcPr>
          <w:p>
            <w:pPr>
              <w:spacing w:after="0"/>
              <w:rPr>
                <w:sz w:val="24"/>
                <w:szCs w:val="24"/>
                <w:color w:val="auto"/>
              </w:rPr>
            </w:pPr>
          </w:p>
        </w:tc>
        <w:tc>
          <w:tcPr>
            <w:tcW w:w="132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80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6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25,048,609</w:t>
            </w:r>
          </w:p>
        </w:tc>
        <w:tc>
          <w:tcPr>
            <w:tcW w:w="0" w:type="dxa"/>
            <w:vAlign w:val="bottom"/>
          </w:tcPr>
          <w:p>
            <w:pPr>
              <w:spacing w:after="0"/>
              <w:rPr>
                <w:sz w:val="1"/>
                <w:szCs w:val="1"/>
                <w:color w:val="auto"/>
              </w:rPr>
            </w:pPr>
          </w:p>
        </w:tc>
      </w:tr>
      <w:tr>
        <w:trPr>
          <w:trHeight w:val="182"/>
        </w:trPr>
        <w:tc>
          <w:tcPr>
            <w:tcW w:w="4260" w:type="dxa"/>
            <w:vAlign w:val="bottom"/>
          </w:tcPr>
          <w:p>
            <w:pPr>
              <w:ind w:left="100"/>
              <w:spacing w:after="0"/>
              <w:rPr>
                <w:sz w:val="20"/>
                <w:szCs w:val="20"/>
                <w:color w:val="auto"/>
              </w:rPr>
            </w:pPr>
            <w:r>
              <w:rPr>
                <w:rFonts w:ascii="Courier New" w:cs="Courier New" w:eastAsia="Courier New" w:hAnsi="Courier New"/>
                <w:sz w:val="16"/>
                <w:szCs w:val="16"/>
                <w:color w:val="auto"/>
              </w:rPr>
              <w:t>Beginning of year</w:t>
            </w:r>
          </w:p>
        </w:tc>
        <w:tc>
          <w:tcPr>
            <w:tcW w:w="170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80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260" w:type="dxa"/>
            <w:vAlign w:val="bottom"/>
          </w:tcPr>
          <w:p>
            <w:pPr>
              <w:spacing w:after="0"/>
              <w:rPr>
                <w:sz w:val="23"/>
                <w:szCs w:val="23"/>
                <w:color w:val="auto"/>
              </w:rPr>
            </w:pPr>
          </w:p>
        </w:tc>
        <w:tc>
          <w:tcPr>
            <w:tcW w:w="1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9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4260" w:type="dxa"/>
            <w:vAlign w:val="bottom"/>
          </w:tcPr>
          <w:p>
            <w:pPr>
              <w:ind w:left="100"/>
              <w:spacing w:after="0"/>
              <w:rPr>
                <w:sz w:val="20"/>
                <w:szCs w:val="20"/>
                <w:color w:val="auto"/>
              </w:rPr>
            </w:pPr>
            <w:r>
              <w:rPr>
                <w:rFonts w:ascii="Courier New" w:cs="Courier New" w:eastAsia="Courier New" w:hAnsi="Courier New"/>
                <w:sz w:val="16"/>
                <w:szCs w:val="16"/>
                <w:color w:val="auto"/>
              </w:rPr>
              <w:t>End of year</w:t>
            </w:r>
          </w:p>
        </w:tc>
        <w:tc>
          <w:tcPr>
            <w:tcW w:w="1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21,336,933</w:t>
            </w:r>
          </w:p>
        </w:tc>
        <w:tc>
          <w:tcPr>
            <w:tcW w:w="6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1,987,407</w:t>
            </w:r>
          </w:p>
        </w:tc>
        <w:tc>
          <w:tcPr>
            <w:tcW w:w="1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13,935,694</w:t>
            </w:r>
          </w:p>
        </w:tc>
        <w:tc>
          <w:tcPr>
            <w:tcW w:w="14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$ 25,562,380</w:t>
            </w:r>
          </w:p>
        </w:tc>
        <w:tc>
          <w:tcPr>
            <w:tcW w:w="0" w:type="dxa"/>
            <w:vAlign w:val="bottom"/>
          </w:tcPr>
          <w:p>
            <w:pPr>
              <w:spacing w:after="0"/>
              <w:rPr>
                <w:sz w:val="1"/>
                <w:szCs w:val="1"/>
                <w:color w:val="auto"/>
              </w:rPr>
            </w:pPr>
          </w:p>
        </w:tc>
      </w:tr>
      <w:tr>
        <w:trPr>
          <w:trHeight w:val="265"/>
        </w:trPr>
        <w:tc>
          <w:tcPr>
            <w:tcW w:w="4260" w:type="dxa"/>
            <w:vAlign w:val="bottom"/>
          </w:tcPr>
          <w:p>
            <w:pPr>
              <w:spacing w:after="0"/>
              <w:rPr>
                <w:sz w:val="23"/>
                <w:szCs w:val="23"/>
                <w:color w:val="auto"/>
              </w:rPr>
            </w:pPr>
          </w:p>
        </w:tc>
        <w:tc>
          <w:tcPr>
            <w:tcW w:w="1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9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The accompanying notes are an integral</w:t>
      </w:r>
    </w:p>
    <w:p>
      <w:pPr>
        <w:spacing w:after="0" w:line="29"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part of these financial statements.</w:t>
      </w:r>
    </w:p>
    <w:p>
      <w:pPr>
        <w:spacing w:after="0" w:line="15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1160"/>
          </w:cols>
          <w:pgMar w:left="240" w:top="114" w:right="499" w:bottom="1440" w:gutter="0" w:footer="0" w:header="0"/>
        </w:sectPr>
      </w:pPr>
    </w:p>
    <w:bookmarkStart w:id="6" w:name="page7"/>
    <w:bookmarkEnd w:id="6"/>
    <w:p>
      <w:pPr>
        <w:jc w:val="center"/>
        <w:ind w:right="4060"/>
        <w:spacing w:after="0"/>
        <w:rPr>
          <w:sz w:val="20"/>
          <w:szCs w:val="20"/>
          <w:color w:val="auto"/>
        </w:rPr>
      </w:pPr>
      <w:r>
        <w:rPr>
          <w:rFonts w:ascii="Courier New" w:cs="Courier New" w:eastAsia="Courier New" w:hAnsi="Courier New"/>
          <w:sz w:val="16"/>
          <w:szCs w:val="16"/>
          <w:color w:val="auto"/>
        </w:rPr>
        <w:t>CAMCO THRIFT PLAN</w:t>
      </w:r>
    </w:p>
    <w:p>
      <w:pPr>
        <w:spacing w:after="0" w:line="29" w:lineRule="exact"/>
        <w:rPr>
          <w:sz w:val="20"/>
          <w:szCs w:val="20"/>
          <w:color w:val="auto"/>
        </w:rPr>
      </w:pPr>
    </w:p>
    <w:p>
      <w:pPr>
        <w:jc w:val="center"/>
        <w:ind w:right="4060"/>
        <w:spacing w:after="0"/>
        <w:rPr>
          <w:sz w:val="20"/>
          <w:szCs w:val="20"/>
          <w:color w:val="auto"/>
        </w:rPr>
      </w:pPr>
      <w:r>
        <w:rPr>
          <w:rFonts w:ascii="Courier New" w:cs="Courier New" w:eastAsia="Courier New" w:hAnsi="Courier New"/>
          <w:sz w:val="16"/>
          <w:szCs w:val="16"/>
          <w:color w:val="auto"/>
        </w:rPr>
        <w:t>Statement of Changes in Net Assets Available for Benefits</w:t>
      </w:r>
    </w:p>
    <w:p>
      <w:pPr>
        <w:spacing w:after="0" w:line="1" w:lineRule="exact"/>
        <w:rPr>
          <w:sz w:val="20"/>
          <w:szCs w:val="20"/>
          <w:color w:val="auto"/>
        </w:rPr>
      </w:pPr>
    </w:p>
    <w:p>
      <w:pPr>
        <w:jc w:val="center"/>
        <w:ind w:right="4060"/>
        <w:spacing w:after="0"/>
        <w:rPr>
          <w:sz w:val="20"/>
          <w:szCs w:val="20"/>
          <w:color w:val="auto"/>
        </w:rPr>
      </w:pPr>
      <w:r>
        <w:rPr>
          <w:rFonts w:ascii="Courier New" w:cs="Courier New" w:eastAsia="Courier New" w:hAnsi="Courier New"/>
          <w:sz w:val="16"/>
          <w:szCs w:val="16"/>
          <w:color w:val="auto"/>
        </w:rPr>
        <w:t>with Fund Information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6800" w:type="dxa"/>
            <w:vAlign w:val="bottom"/>
            <w:gridSpan w:val="3"/>
          </w:tcPr>
          <w:p>
            <w:pPr>
              <w:jc w:val="right"/>
              <w:ind w:right="1241"/>
              <w:spacing w:after="0"/>
              <w:rPr>
                <w:sz w:val="20"/>
                <w:szCs w:val="20"/>
                <w:color w:val="auto"/>
              </w:rPr>
            </w:pPr>
            <w:r>
              <w:rPr>
                <w:rFonts w:ascii="Courier New" w:cs="Courier New" w:eastAsia="Courier New" w:hAnsi="Courier New"/>
                <w:sz w:val="16"/>
                <w:szCs w:val="16"/>
                <w:color w:val="auto"/>
              </w:rPr>
              <w:t>For the Year Ended December 31, 1998</w:t>
            </w:r>
          </w:p>
        </w:tc>
        <w:tc>
          <w:tcPr>
            <w:tcW w:w="66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98"/>
        </w:trPr>
        <w:tc>
          <w:tcPr>
            <w:tcW w:w="4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jc w:val="center"/>
              <w:ind w:right="561"/>
              <w:spacing w:after="0"/>
              <w:rPr>
                <w:sz w:val="20"/>
                <w:szCs w:val="20"/>
                <w:color w:val="auto"/>
              </w:rPr>
            </w:pPr>
            <w:r>
              <w:rPr>
                <w:rFonts w:ascii="Courier New" w:cs="Courier New" w:eastAsia="Courier New" w:hAnsi="Courier New"/>
                <w:sz w:val="16"/>
                <w:szCs w:val="16"/>
                <w:color w:val="auto"/>
                <w:w w:val="97"/>
              </w:rPr>
              <w:t>Camco/</w:t>
            </w:r>
          </w:p>
        </w:tc>
        <w:tc>
          <w:tcPr>
            <w:tcW w:w="660" w:type="dxa"/>
            <w:vAlign w:val="bottom"/>
          </w:tcPr>
          <w:p>
            <w:pPr>
              <w:spacing w:after="0"/>
              <w:rPr>
                <w:sz w:val="24"/>
                <w:szCs w:val="24"/>
                <w:color w:val="auto"/>
              </w:rPr>
            </w:pPr>
          </w:p>
        </w:tc>
        <w:tc>
          <w:tcPr>
            <w:tcW w:w="1900" w:type="dxa"/>
            <w:vAlign w:val="bottom"/>
            <w:vMerge w:val="restart"/>
          </w:tcPr>
          <w:p>
            <w:pPr>
              <w:jc w:val="right"/>
              <w:ind w:right="581"/>
              <w:spacing w:after="0"/>
              <w:rPr>
                <w:sz w:val="20"/>
                <w:szCs w:val="20"/>
                <w:color w:val="auto"/>
              </w:rPr>
            </w:pPr>
            <w:r>
              <w:rPr>
                <w:rFonts w:ascii="Courier New" w:cs="Courier New" w:eastAsia="Courier New" w:hAnsi="Courier New"/>
                <w:sz w:val="16"/>
                <w:szCs w:val="16"/>
                <w:color w:val="auto"/>
              </w:rPr>
              <w:t>Participant</w:t>
            </w: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0" w:type="dxa"/>
            <w:vAlign w:val="bottom"/>
          </w:tcPr>
          <w:p>
            <w:pPr>
              <w:jc w:val="center"/>
              <w:ind w:right="581"/>
              <w:spacing w:after="0"/>
              <w:rPr>
                <w:sz w:val="20"/>
                <w:szCs w:val="20"/>
                <w:color w:val="auto"/>
              </w:rPr>
            </w:pPr>
            <w:r>
              <w:rPr>
                <w:rFonts w:ascii="Courier New" w:cs="Courier New" w:eastAsia="Courier New" w:hAnsi="Courier New"/>
                <w:sz w:val="16"/>
                <w:szCs w:val="16"/>
                <w:color w:val="auto"/>
                <w:w w:val="98"/>
              </w:rPr>
              <w:t>Schlumberger</w:t>
            </w:r>
          </w:p>
        </w:tc>
        <w:tc>
          <w:tcPr>
            <w:tcW w:w="660" w:type="dxa"/>
            <w:vAlign w:val="bottom"/>
          </w:tcPr>
          <w:p>
            <w:pPr>
              <w:spacing w:after="0"/>
              <w:rPr>
                <w:sz w:val="15"/>
                <w:szCs w:val="15"/>
                <w:color w:val="auto"/>
              </w:rPr>
            </w:pPr>
          </w:p>
        </w:tc>
        <w:tc>
          <w:tcPr>
            <w:tcW w:w="190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1360" w:type="dxa"/>
            <w:vAlign w:val="bottom"/>
            <w:vMerge w:val="restart"/>
          </w:tcPr>
          <w:p>
            <w:pPr>
              <w:jc w:val="right"/>
              <w:ind w:right="481"/>
              <w:spacing w:after="0"/>
              <w:rPr>
                <w:sz w:val="20"/>
                <w:szCs w:val="20"/>
                <w:color w:val="auto"/>
              </w:rPr>
            </w:pPr>
            <w:r>
              <w:rPr>
                <w:rFonts w:ascii="Courier New" w:cs="Courier New" w:eastAsia="Courier New" w:hAnsi="Courier New"/>
                <w:sz w:val="16"/>
                <w:szCs w:val="16"/>
                <w:color w:val="auto"/>
              </w:rPr>
              <w:t>Total</w:t>
            </w:r>
          </w:p>
        </w:tc>
        <w:tc>
          <w:tcPr>
            <w:tcW w:w="0" w:type="dxa"/>
            <w:vAlign w:val="bottom"/>
          </w:tcPr>
          <w:p>
            <w:pPr>
              <w:spacing w:after="0"/>
              <w:rPr>
                <w:sz w:val="1"/>
                <w:szCs w:val="1"/>
                <w:color w:val="auto"/>
              </w:rPr>
            </w:pPr>
          </w:p>
        </w:tc>
      </w:tr>
      <w:tr>
        <w:trPr>
          <w:trHeight w:val="182"/>
        </w:trPr>
        <w:tc>
          <w:tcPr>
            <w:tcW w:w="4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0" w:type="dxa"/>
            <w:vAlign w:val="bottom"/>
          </w:tcPr>
          <w:p>
            <w:pPr>
              <w:jc w:val="center"/>
              <w:ind w:right="581"/>
              <w:spacing w:after="0"/>
              <w:rPr>
                <w:sz w:val="20"/>
                <w:szCs w:val="20"/>
                <w:color w:val="auto"/>
              </w:rPr>
            </w:pPr>
            <w:r>
              <w:rPr>
                <w:rFonts w:ascii="Courier New" w:cs="Courier New" w:eastAsia="Courier New" w:hAnsi="Courier New"/>
                <w:sz w:val="16"/>
                <w:szCs w:val="16"/>
                <w:color w:val="auto"/>
                <w:w w:val="97"/>
              </w:rPr>
              <w:t>Stock Fund</w:t>
            </w:r>
          </w:p>
        </w:tc>
        <w:tc>
          <w:tcPr>
            <w:tcW w:w="660" w:type="dxa"/>
            <w:vAlign w:val="bottom"/>
          </w:tcPr>
          <w:p>
            <w:pPr>
              <w:spacing w:after="0"/>
              <w:rPr>
                <w:sz w:val="15"/>
                <w:szCs w:val="15"/>
                <w:color w:val="auto"/>
              </w:rPr>
            </w:pPr>
          </w:p>
        </w:tc>
        <w:tc>
          <w:tcPr>
            <w:tcW w:w="190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Notes</w:t>
            </w:r>
          </w:p>
        </w:tc>
        <w:tc>
          <w:tcPr>
            <w:tcW w:w="80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300" w:type="dxa"/>
            <w:vAlign w:val="bottom"/>
          </w:tcPr>
          <w:p>
            <w:pPr>
              <w:spacing w:after="0"/>
              <w:rPr>
                <w:sz w:val="23"/>
                <w:szCs w:val="23"/>
                <w:color w:val="auto"/>
              </w:rPr>
            </w:pPr>
          </w:p>
        </w:tc>
        <w:tc>
          <w:tcPr>
            <w:tcW w:w="250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256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2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4300" w:type="dxa"/>
            <w:vAlign w:val="bottom"/>
          </w:tcPr>
          <w:p>
            <w:pPr>
              <w:spacing w:after="0"/>
              <w:rPr>
                <w:sz w:val="20"/>
                <w:szCs w:val="20"/>
                <w:color w:val="auto"/>
              </w:rPr>
            </w:pPr>
            <w:r>
              <w:rPr>
                <w:rFonts w:ascii="Courier New" w:cs="Courier New" w:eastAsia="Courier New" w:hAnsi="Courier New"/>
                <w:sz w:val="16"/>
                <w:szCs w:val="16"/>
                <w:color w:val="auto"/>
              </w:rPr>
              <w:t>Additions</w:t>
            </w: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300" w:type="dxa"/>
            <w:vAlign w:val="bottom"/>
          </w:tcPr>
          <w:p>
            <w:pPr>
              <w:spacing w:after="0"/>
              <w:rPr>
                <w:sz w:val="20"/>
                <w:szCs w:val="20"/>
                <w:color w:val="auto"/>
              </w:rPr>
            </w:pPr>
            <w:r>
              <w:rPr>
                <w:rFonts w:ascii="Courier New" w:cs="Courier New" w:eastAsia="Courier New" w:hAnsi="Courier New"/>
                <w:sz w:val="16"/>
                <w:szCs w:val="16"/>
                <w:color w:val="auto"/>
              </w:rPr>
              <w:t>Additions to net assets attributed to:</w:t>
            </w:r>
          </w:p>
        </w:tc>
        <w:tc>
          <w:tcPr>
            <w:tcW w:w="7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300" w:type="dxa"/>
            <w:vAlign w:val="bottom"/>
          </w:tcPr>
          <w:p>
            <w:pPr>
              <w:ind w:left="180"/>
              <w:spacing w:after="0"/>
              <w:rPr>
                <w:sz w:val="20"/>
                <w:szCs w:val="20"/>
                <w:color w:val="auto"/>
              </w:rPr>
            </w:pPr>
            <w:r>
              <w:rPr>
                <w:rFonts w:ascii="Courier New" w:cs="Courier New" w:eastAsia="Courier New" w:hAnsi="Courier New"/>
                <w:sz w:val="16"/>
                <w:szCs w:val="16"/>
                <w:color w:val="auto"/>
              </w:rPr>
              <w:t>Investment income</w:t>
            </w:r>
          </w:p>
        </w:tc>
        <w:tc>
          <w:tcPr>
            <w:tcW w:w="7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300" w:type="dxa"/>
            <w:vAlign w:val="bottom"/>
          </w:tcPr>
          <w:p>
            <w:pPr>
              <w:ind w:left="380"/>
              <w:spacing w:after="0"/>
              <w:rPr>
                <w:sz w:val="20"/>
                <w:szCs w:val="20"/>
                <w:color w:val="auto"/>
              </w:rPr>
            </w:pPr>
            <w:r>
              <w:rPr>
                <w:rFonts w:ascii="Courier New" w:cs="Courier New" w:eastAsia="Courier New" w:hAnsi="Courier New"/>
                <w:sz w:val="16"/>
                <w:szCs w:val="16"/>
                <w:color w:val="auto"/>
              </w:rPr>
              <w:t>Net appreciation/(depreciation) in</w:t>
            </w:r>
          </w:p>
        </w:tc>
        <w:tc>
          <w:tcPr>
            <w:tcW w:w="700" w:type="dxa"/>
            <w:vAlign w:val="bottom"/>
            <w:vMerge w:val="restart"/>
          </w:tcPr>
          <w:p>
            <w:pPr>
              <w:jc w:val="right"/>
              <w:ind w:right="281"/>
              <w:spacing w:after="0"/>
              <w:rPr>
                <w:sz w:val="20"/>
                <w:szCs w:val="20"/>
                <w:color w:val="auto"/>
              </w:rPr>
            </w:pPr>
            <w:r>
              <w:rPr>
                <w:rFonts w:ascii="Courier New" w:cs="Courier New" w:eastAsia="Courier New" w:hAnsi="Courier New"/>
                <w:sz w:val="16"/>
                <w:szCs w:val="16"/>
                <w:color w:val="auto"/>
              </w:rPr>
              <w:t>$</w:t>
            </w:r>
          </w:p>
        </w:tc>
        <w:tc>
          <w:tcPr>
            <w:tcW w:w="180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(453,248)</w:t>
            </w:r>
          </w:p>
        </w:tc>
        <w:tc>
          <w:tcPr>
            <w:tcW w:w="66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90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800" w:type="dxa"/>
            <w:vAlign w:val="bottom"/>
            <w:vMerge w:val="restart"/>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8,566,882</w:t>
            </w:r>
          </w:p>
        </w:tc>
        <w:tc>
          <w:tcPr>
            <w:tcW w:w="0" w:type="dxa"/>
            <w:vAlign w:val="bottom"/>
          </w:tcPr>
          <w:p>
            <w:pPr>
              <w:spacing w:after="0"/>
              <w:rPr>
                <w:sz w:val="1"/>
                <w:szCs w:val="1"/>
                <w:color w:val="auto"/>
              </w:rPr>
            </w:pPr>
          </w:p>
        </w:tc>
      </w:tr>
      <w:tr>
        <w:trPr>
          <w:trHeight w:val="182"/>
        </w:trPr>
        <w:tc>
          <w:tcPr>
            <w:tcW w:w="4300" w:type="dxa"/>
            <w:vAlign w:val="bottom"/>
          </w:tcPr>
          <w:p>
            <w:pPr>
              <w:ind w:left="380"/>
              <w:spacing w:after="0"/>
              <w:rPr>
                <w:sz w:val="20"/>
                <w:szCs w:val="20"/>
                <w:color w:val="auto"/>
              </w:rPr>
            </w:pPr>
            <w:r>
              <w:rPr>
                <w:rFonts w:ascii="Courier New" w:cs="Courier New" w:eastAsia="Courier New" w:hAnsi="Courier New"/>
                <w:sz w:val="16"/>
                <w:szCs w:val="16"/>
                <w:color w:val="auto"/>
              </w:rPr>
              <w:t>fair value of investments</w:t>
            </w:r>
          </w:p>
        </w:tc>
        <w:tc>
          <w:tcPr>
            <w:tcW w:w="700" w:type="dxa"/>
            <w:vAlign w:val="bottom"/>
            <w:vMerge w:val="continue"/>
          </w:tcPr>
          <w:p>
            <w:pPr>
              <w:spacing w:after="0"/>
              <w:rPr>
                <w:sz w:val="15"/>
                <w:szCs w:val="15"/>
                <w:color w:val="auto"/>
              </w:rPr>
            </w:pPr>
          </w:p>
        </w:tc>
        <w:tc>
          <w:tcPr>
            <w:tcW w:w="180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90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300" w:type="dxa"/>
            <w:vAlign w:val="bottom"/>
          </w:tcPr>
          <w:p>
            <w:pPr>
              <w:ind w:left="180"/>
              <w:spacing w:after="0"/>
              <w:rPr>
                <w:sz w:val="20"/>
                <w:szCs w:val="20"/>
                <w:color w:val="auto"/>
              </w:rPr>
            </w:pPr>
            <w:r>
              <w:rPr>
                <w:rFonts w:ascii="Courier New" w:cs="Courier New" w:eastAsia="Courier New" w:hAnsi="Courier New"/>
                <w:sz w:val="16"/>
                <w:szCs w:val="16"/>
                <w:color w:val="auto"/>
              </w:rPr>
              <w:t>Interest</w:t>
            </w:r>
          </w:p>
        </w:tc>
        <w:tc>
          <w:tcPr>
            <w:tcW w:w="700" w:type="dxa"/>
            <w:vAlign w:val="bottom"/>
          </w:tcPr>
          <w:p>
            <w:pPr>
              <w:spacing w:after="0"/>
              <w:rPr>
                <w:sz w:val="15"/>
                <w:szCs w:val="15"/>
                <w:color w:val="auto"/>
              </w:rPr>
            </w:pPr>
          </w:p>
        </w:tc>
        <w:tc>
          <w:tcPr>
            <w:tcW w:w="18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5"/>
                <w:szCs w:val="15"/>
                <w:color w:val="auto"/>
              </w:rPr>
            </w:pPr>
          </w:p>
        </w:tc>
        <w:tc>
          <w:tcPr>
            <w:tcW w:w="19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585,513</w:t>
            </w:r>
          </w:p>
        </w:tc>
        <w:tc>
          <w:tcPr>
            <w:tcW w:w="8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585,513</w:t>
            </w:r>
          </w:p>
        </w:tc>
        <w:tc>
          <w:tcPr>
            <w:tcW w:w="0" w:type="dxa"/>
            <w:vAlign w:val="bottom"/>
          </w:tcPr>
          <w:p>
            <w:pPr>
              <w:spacing w:after="0"/>
              <w:rPr>
                <w:sz w:val="1"/>
                <w:szCs w:val="1"/>
                <w:color w:val="auto"/>
              </w:rPr>
            </w:pPr>
          </w:p>
        </w:tc>
      </w:tr>
      <w:tr>
        <w:trPr>
          <w:trHeight w:val="182"/>
        </w:trPr>
        <w:tc>
          <w:tcPr>
            <w:tcW w:w="4300" w:type="dxa"/>
            <w:vAlign w:val="bottom"/>
          </w:tcPr>
          <w:p>
            <w:pPr>
              <w:ind w:left="180"/>
              <w:spacing w:after="0"/>
              <w:rPr>
                <w:sz w:val="20"/>
                <w:szCs w:val="20"/>
                <w:color w:val="auto"/>
              </w:rPr>
            </w:pPr>
            <w:r>
              <w:rPr>
                <w:rFonts w:ascii="Courier New" w:cs="Courier New" w:eastAsia="Courier New" w:hAnsi="Courier New"/>
                <w:sz w:val="16"/>
                <w:szCs w:val="16"/>
                <w:color w:val="auto"/>
              </w:rPr>
              <w:t>Dividends</w:t>
            </w:r>
          </w:p>
        </w:tc>
        <w:tc>
          <w:tcPr>
            <w:tcW w:w="700" w:type="dxa"/>
            <w:vAlign w:val="bottom"/>
          </w:tcPr>
          <w:p>
            <w:pPr>
              <w:spacing w:after="0"/>
              <w:rPr>
                <w:sz w:val="15"/>
                <w:szCs w:val="15"/>
                <w:color w:val="auto"/>
              </w:rPr>
            </w:pPr>
          </w:p>
        </w:tc>
        <w:tc>
          <w:tcPr>
            <w:tcW w:w="18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22,012</w:t>
            </w:r>
          </w:p>
        </w:tc>
        <w:tc>
          <w:tcPr>
            <w:tcW w:w="660" w:type="dxa"/>
            <w:vAlign w:val="bottom"/>
          </w:tcPr>
          <w:p>
            <w:pPr>
              <w:spacing w:after="0"/>
              <w:rPr>
                <w:sz w:val="15"/>
                <w:szCs w:val="15"/>
                <w:color w:val="auto"/>
              </w:rPr>
            </w:pPr>
          </w:p>
        </w:tc>
        <w:tc>
          <w:tcPr>
            <w:tcW w:w="19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4,958,003</w:t>
            </w:r>
          </w:p>
        </w:tc>
        <w:tc>
          <w:tcPr>
            <w:tcW w:w="0" w:type="dxa"/>
            <w:vAlign w:val="bottom"/>
          </w:tcPr>
          <w:p>
            <w:pPr>
              <w:spacing w:after="0"/>
              <w:rPr>
                <w:sz w:val="1"/>
                <w:szCs w:val="1"/>
                <w:color w:val="auto"/>
              </w:rPr>
            </w:pPr>
          </w:p>
        </w:tc>
      </w:tr>
      <w:tr>
        <w:trPr>
          <w:trHeight w:val="265"/>
        </w:trPr>
        <w:tc>
          <w:tcPr>
            <w:tcW w:w="4300" w:type="dxa"/>
            <w:vAlign w:val="bottom"/>
          </w:tcPr>
          <w:p>
            <w:pPr>
              <w:spacing w:after="0"/>
              <w:rPr>
                <w:sz w:val="23"/>
                <w:szCs w:val="23"/>
                <w:color w:val="auto"/>
              </w:rPr>
            </w:pPr>
          </w:p>
        </w:tc>
        <w:tc>
          <w:tcPr>
            <w:tcW w:w="250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256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2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4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(431,236)</w:t>
            </w:r>
          </w:p>
        </w:tc>
        <w:tc>
          <w:tcPr>
            <w:tcW w:w="660" w:type="dxa"/>
            <w:vAlign w:val="bottom"/>
          </w:tcPr>
          <w:p>
            <w:pPr>
              <w:spacing w:after="0"/>
              <w:rPr>
                <w:sz w:val="24"/>
                <w:szCs w:val="24"/>
                <w:color w:val="auto"/>
              </w:rPr>
            </w:pPr>
          </w:p>
        </w:tc>
        <w:tc>
          <w:tcPr>
            <w:tcW w:w="19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585,513</w:t>
            </w:r>
          </w:p>
        </w:tc>
        <w:tc>
          <w:tcPr>
            <w:tcW w:w="8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14,110,398</w:t>
            </w:r>
          </w:p>
        </w:tc>
        <w:tc>
          <w:tcPr>
            <w:tcW w:w="0" w:type="dxa"/>
            <w:vAlign w:val="bottom"/>
          </w:tcPr>
          <w:p>
            <w:pPr>
              <w:spacing w:after="0"/>
              <w:rPr>
                <w:sz w:val="1"/>
                <w:szCs w:val="1"/>
                <w:color w:val="auto"/>
              </w:rPr>
            </w:pPr>
          </w:p>
        </w:tc>
      </w:tr>
      <w:tr>
        <w:trPr>
          <w:trHeight w:val="265"/>
        </w:trPr>
        <w:tc>
          <w:tcPr>
            <w:tcW w:w="4300" w:type="dxa"/>
            <w:vAlign w:val="bottom"/>
          </w:tcPr>
          <w:p>
            <w:pPr>
              <w:spacing w:after="0"/>
              <w:rPr>
                <w:sz w:val="23"/>
                <w:szCs w:val="23"/>
                <w:color w:val="auto"/>
              </w:rPr>
            </w:pPr>
          </w:p>
        </w:tc>
        <w:tc>
          <w:tcPr>
            <w:tcW w:w="250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256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2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4300" w:type="dxa"/>
            <w:vAlign w:val="bottom"/>
          </w:tcPr>
          <w:p>
            <w:pPr>
              <w:ind w:left="100"/>
              <w:spacing w:after="0"/>
              <w:rPr>
                <w:sz w:val="20"/>
                <w:szCs w:val="20"/>
                <w:color w:val="auto"/>
              </w:rPr>
            </w:pPr>
            <w:r>
              <w:rPr>
                <w:rFonts w:ascii="Courier New" w:cs="Courier New" w:eastAsia="Courier New" w:hAnsi="Courier New"/>
                <w:sz w:val="16"/>
                <w:szCs w:val="16"/>
                <w:color w:val="auto"/>
              </w:rPr>
              <w:t>Contributions</w:t>
            </w:r>
          </w:p>
        </w:tc>
        <w:tc>
          <w:tcPr>
            <w:tcW w:w="700" w:type="dxa"/>
            <w:vAlign w:val="bottom"/>
          </w:tcPr>
          <w:p>
            <w:pPr>
              <w:spacing w:after="0"/>
              <w:rPr>
                <w:sz w:val="24"/>
                <w:szCs w:val="24"/>
                <w:color w:val="auto"/>
              </w:rPr>
            </w:pPr>
          </w:p>
        </w:tc>
        <w:tc>
          <w:tcPr>
            <w:tcW w:w="1800" w:type="dxa"/>
            <w:vAlign w:val="bottom"/>
            <w:vMerge w:val="restart"/>
          </w:tcPr>
          <w:p>
            <w:pPr>
              <w:jc w:val="right"/>
              <w:ind w:right="381"/>
              <w:spacing w:after="0"/>
              <w:rPr>
                <w:sz w:val="20"/>
                <w:szCs w:val="20"/>
                <w:color w:val="auto"/>
              </w:rPr>
            </w:pPr>
            <w:r>
              <w:rPr>
                <w:rFonts w:ascii="Courier New" w:cs="Courier New" w:eastAsia="Courier New" w:hAnsi="Courier New"/>
                <w:sz w:val="16"/>
                <w:szCs w:val="16"/>
                <w:color w:val="auto"/>
              </w:rPr>
              <w:t>572,622</w:t>
            </w:r>
          </w:p>
        </w:tc>
        <w:tc>
          <w:tcPr>
            <w:tcW w:w="660" w:type="dxa"/>
            <w:vAlign w:val="bottom"/>
          </w:tcPr>
          <w:p>
            <w:pPr>
              <w:spacing w:after="0"/>
              <w:rPr>
                <w:sz w:val="24"/>
                <w:szCs w:val="24"/>
                <w:color w:val="auto"/>
              </w:rPr>
            </w:pPr>
          </w:p>
        </w:tc>
        <w:tc>
          <w:tcPr>
            <w:tcW w:w="190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spacing w:after="0"/>
              <w:rPr>
                <w:sz w:val="24"/>
                <w:szCs w:val="24"/>
                <w:color w:val="auto"/>
              </w:rPr>
            </w:pPr>
          </w:p>
        </w:tc>
        <w:tc>
          <w:tcPr>
            <w:tcW w:w="13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9,137,818</w:t>
            </w:r>
          </w:p>
        </w:tc>
        <w:tc>
          <w:tcPr>
            <w:tcW w:w="0" w:type="dxa"/>
            <w:vAlign w:val="bottom"/>
          </w:tcPr>
          <w:p>
            <w:pPr>
              <w:spacing w:after="0"/>
              <w:rPr>
                <w:sz w:val="1"/>
                <w:szCs w:val="1"/>
                <w:color w:val="auto"/>
              </w:rPr>
            </w:pPr>
          </w:p>
        </w:tc>
      </w:tr>
      <w:tr>
        <w:trPr>
          <w:trHeight w:val="182"/>
        </w:trPr>
        <w:tc>
          <w:tcPr>
            <w:tcW w:w="4300" w:type="dxa"/>
            <w:vAlign w:val="bottom"/>
          </w:tcPr>
          <w:p>
            <w:pPr>
              <w:ind w:left="180"/>
              <w:spacing w:after="0"/>
              <w:rPr>
                <w:sz w:val="20"/>
                <w:szCs w:val="20"/>
                <w:color w:val="auto"/>
              </w:rPr>
            </w:pPr>
            <w:r>
              <w:rPr>
                <w:rFonts w:ascii="Courier New" w:cs="Courier New" w:eastAsia="Courier New" w:hAnsi="Courier New"/>
                <w:sz w:val="16"/>
                <w:szCs w:val="16"/>
                <w:color w:val="auto"/>
              </w:rPr>
              <w:t>Participants'</w:t>
            </w:r>
          </w:p>
        </w:tc>
        <w:tc>
          <w:tcPr>
            <w:tcW w:w="700" w:type="dxa"/>
            <w:vAlign w:val="bottom"/>
          </w:tcPr>
          <w:p>
            <w:pPr>
              <w:spacing w:after="0"/>
              <w:rPr>
                <w:sz w:val="15"/>
                <w:szCs w:val="15"/>
                <w:color w:val="auto"/>
              </w:rPr>
            </w:pPr>
          </w:p>
        </w:tc>
        <w:tc>
          <w:tcPr>
            <w:tcW w:w="1800" w:type="dxa"/>
            <w:vAlign w:val="bottom"/>
            <w:vMerge w:val="continue"/>
          </w:tcPr>
          <w:p>
            <w:pPr>
              <w:spacing w:after="0"/>
              <w:rPr>
                <w:sz w:val="15"/>
                <w:szCs w:val="15"/>
                <w:color w:val="auto"/>
              </w:rPr>
            </w:pPr>
          </w:p>
        </w:tc>
        <w:tc>
          <w:tcPr>
            <w:tcW w:w="660" w:type="dxa"/>
            <w:vAlign w:val="bottom"/>
          </w:tcPr>
          <w:p>
            <w:pPr>
              <w:spacing w:after="0"/>
              <w:rPr>
                <w:sz w:val="15"/>
                <w:szCs w:val="15"/>
                <w:color w:val="auto"/>
              </w:rPr>
            </w:pPr>
          </w:p>
        </w:tc>
        <w:tc>
          <w:tcPr>
            <w:tcW w:w="190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300" w:type="dxa"/>
            <w:vAlign w:val="bottom"/>
          </w:tcPr>
          <w:p>
            <w:pPr>
              <w:ind w:left="180"/>
              <w:spacing w:after="0"/>
              <w:rPr>
                <w:sz w:val="20"/>
                <w:szCs w:val="20"/>
                <w:color w:val="auto"/>
              </w:rPr>
            </w:pPr>
            <w:r>
              <w:rPr>
                <w:rFonts w:ascii="Courier New" w:cs="Courier New" w:eastAsia="Courier New" w:hAnsi="Courier New"/>
                <w:sz w:val="16"/>
                <w:szCs w:val="16"/>
                <w:color w:val="auto"/>
              </w:rPr>
              <w:t>Employer's</w:t>
            </w:r>
          </w:p>
        </w:tc>
        <w:tc>
          <w:tcPr>
            <w:tcW w:w="700" w:type="dxa"/>
            <w:vAlign w:val="bottom"/>
          </w:tcPr>
          <w:p>
            <w:pPr>
              <w:spacing w:after="0"/>
              <w:rPr>
                <w:sz w:val="15"/>
                <w:szCs w:val="15"/>
                <w:color w:val="auto"/>
              </w:rPr>
            </w:pPr>
          </w:p>
        </w:tc>
        <w:tc>
          <w:tcPr>
            <w:tcW w:w="18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117,951</w:t>
            </w:r>
          </w:p>
        </w:tc>
        <w:tc>
          <w:tcPr>
            <w:tcW w:w="660" w:type="dxa"/>
            <w:vAlign w:val="bottom"/>
          </w:tcPr>
          <w:p>
            <w:pPr>
              <w:spacing w:after="0"/>
              <w:rPr>
                <w:sz w:val="15"/>
                <w:szCs w:val="15"/>
                <w:color w:val="auto"/>
              </w:rPr>
            </w:pPr>
          </w:p>
        </w:tc>
        <w:tc>
          <w:tcPr>
            <w:tcW w:w="19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2,071,347</w:t>
            </w:r>
          </w:p>
        </w:tc>
        <w:tc>
          <w:tcPr>
            <w:tcW w:w="0" w:type="dxa"/>
            <w:vAlign w:val="bottom"/>
          </w:tcPr>
          <w:p>
            <w:pPr>
              <w:spacing w:after="0"/>
              <w:rPr>
                <w:sz w:val="1"/>
                <w:szCs w:val="1"/>
                <w:color w:val="auto"/>
              </w:rPr>
            </w:pPr>
          </w:p>
        </w:tc>
      </w:tr>
      <w:tr>
        <w:trPr>
          <w:trHeight w:val="265"/>
        </w:trPr>
        <w:tc>
          <w:tcPr>
            <w:tcW w:w="4300" w:type="dxa"/>
            <w:vAlign w:val="bottom"/>
          </w:tcPr>
          <w:p>
            <w:pPr>
              <w:spacing w:after="0"/>
              <w:rPr>
                <w:sz w:val="23"/>
                <w:szCs w:val="23"/>
                <w:color w:val="auto"/>
              </w:rPr>
            </w:pPr>
          </w:p>
        </w:tc>
        <w:tc>
          <w:tcPr>
            <w:tcW w:w="250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256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2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4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690,573</w:t>
            </w:r>
          </w:p>
        </w:tc>
        <w:tc>
          <w:tcPr>
            <w:tcW w:w="660" w:type="dxa"/>
            <w:vAlign w:val="bottom"/>
          </w:tcPr>
          <w:p>
            <w:pPr>
              <w:spacing w:after="0"/>
              <w:rPr>
                <w:sz w:val="24"/>
                <w:szCs w:val="24"/>
                <w:color w:val="auto"/>
              </w:rPr>
            </w:pPr>
          </w:p>
        </w:tc>
        <w:tc>
          <w:tcPr>
            <w:tcW w:w="19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11,209,165</w:t>
            </w:r>
          </w:p>
        </w:tc>
        <w:tc>
          <w:tcPr>
            <w:tcW w:w="0" w:type="dxa"/>
            <w:vAlign w:val="bottom"/>
          </w:tcPr>
          <w:p>
            <w:pPr>
              <w:spacing w:after="0"/>
              <w:rPr>
                <w:sz w:val="1"/>
                <w:szCs w:val="1"/>
                <w:color w:val="auto"/>
              </w:rPr>
            </w:pPr>
          </w:p>
        </w:tc>
      </w:tr>
      <w:tr>
        <w:trPr>
          <w:trHeight w:val="265"/>
        </w:trPr>
        <w:tc>
          <w:tcPr>
            <w:tcW w:w="4300" w:type="dxa"/>
            <w:vAlign w:val="bottom"/>
          </w:tcPr>
          <w:p>
            <w:pPr>
              <w:spacing w:after="0"/>
              <w:rPr>
                <w:sz w:val="23"/>
                <w:szCs w:val="23"/>
                <w:color w:val="auto"/>
              </w:rPr>
            </w:pPr>
          </w:p>
        </w:tc>
        <w:tc>
          <w:tcPr>
            <w:tcW w:w="250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256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2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4300" w:type="dxa"/>
            <w:vAlign w:val="bottom"/>
          </w:tcPr>
          <w:p>
            <w:pPr>
              <w:ind w:left="460"/>
              <w:spacing w:after="0"/>
              <w:rPr>
                <w:sz w:val="20"/>
                <w:szCs w:val="20"/>
                <w:color w:val="auto"/>
              </w:rPr>
            </w:pPr>
            <w:r>
              <w:rPr>
                <w:rFonts w:ascii="Courier New" w:cs="Courier New" w:eastAsia="Courier New" w:hAnsi="Courier New"/>
                <w:sz w:val="16"/>
                <w:szCs w:val="16"/>
                <w:color w:val="auto"/>
              </w:rPr>
              <w:t>Total additions</w:t>
            </w:r>
          </w:p>
        </w:tc>
        <w:tc>
          <w:tcPr>
            <w:tcW w:w="700" w:type="dxa"/>
            <w:vAlign w:val="bottom"/>
          </w:tcPr>
          <w:p>
            <w:pPr>
              <w:spacing w:after="0"/>
              <w:rPr>
                <w:sz w:val="24"/>
                <w:szCs w:val="24"/>
                <w:color w:val="auto"/>
              </w:rPr>
            </w:pPr>
          </w:p>
        </w:tc>
        <w:tc>
          <w:tcPr>
            <w:tcW w:w="18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259,337</w:t>
            </w:r>
          </w:p>
        </w:tc>
        <w:tc>
          <w:tcPr>
            <w:tcW w:w="660" w:type="dxa"/>
            <w:vAlign w:val="bottom"/>
          </w:tcPr>
          <w:p>
            <w:pPr>
              <w:spacing w:after="0"/>
              <w:rPr>
                <w:sz w:val="24"/>
                <w:szCs w:val="24"/>
                <w:color w:val="auto"/>
              </w:rPr>
            </w:pPr>
          </w:p>
        </w:tc>
        <w:tc>
          <w:tcPr>
            <w:tcW w:w="19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585,513</w:t>
            </w:r>
          </w:p>
        </w:tc>
        <w:tc>
          <w:tcPr>
            <w:tcW w:w="8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25,319,563</w:t>
            </w:r>
          </w:p>
        </w:tc>
        <w:tc>
          <w:tcPr>
            <w:tcW w:w="0" w:type="dxa"/>
            <w:vAlign w:val="bottom"/>
          </w:tcPr>
          <w:p>
            <w:pPr>
              <w:spacing w:after="0"/>
              <w:rPr>
                <w:sz w:val="1"/>
                <w:szCs w:val="1"/>
                <w:color w:val="auto"/>
              </w:rPr>
            </w:pPr>
          </w:p>
        </w:tc>
      </w:tr>
      <w:tr>
        <w:trPr>
          <w:trHeight w:val="265"/>
        </w:trPr>
        <w:tc>
          <w:tcPr>
            <w:tcW w:w="4300" w:type="dxa"/>
            <w:vAlign w:val="bottom"/>
          </w:tcPr>
          <w:p>
            <w:pPr>
              <w:spacing w:after="0"/>
              <w:rPr>
                <w:sz w:val="23"/>
                <w:szCs w:val="23"/>
                <w:color w:val="auto"/>
              </w:rPr>
            </w:pPr>
          </w:p>
        </w:tc>
        <w:tc>
          <w:tcPr>
            <w:tcW w:w="250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256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2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4300" w:type="dxa"/>
            <w:vAlign w:val="bottom"/>
          </w:tcPr>
          <w:p>
            <w:pPr>
              <w:spacing w:after="0"/>
              <w:rPr>
                <w:sz w:val="20"/>
                <w:szCs w:val="20"/>
                <w:color w:val="auto"/>
              </w:rPr>
            </w:pPr>
            <w:r>
              <w:rPr>
                <w:rFonts w:ascii="Courier New" w:cs="Courier New" w:eastAsia="Courier New" w:hAnsi="Courier New"/>
                <w:sz w:val="16"/>
                <w:szCs w:val="16"/>
                <w:color w:val="auto"/>
              </w:rPr>
              <w:t>Deductions</w:t>
            </w: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300" w:type="dxa"/>
            <w:vAlign w:val="bottom"/>
          </w:tcPr>
          <w:p>
            <w:pPr>
              <w:spacing w:after="0"/>
              <w:rPr>
                <w:sz w:val="20"/>
                <w:szCs w:val="20"/>
                <w:color w:val="auto"/>
              </w:rPr>
            </w:pPr>
            <w:r>
              <w:rPr>
                <w:rFonts w:ascii="Courier New" w:cs="Courier New" w:eastAsia="Courier New" w:hAnsi="Courier New"/>
                <w:sz w:val="16"/>
                <w:szCs w:val="16"/>
                <w:color w:val="auto"/>
              </w:rPr>
              <w:t>Deductions from net assets attributable to:</w:t>
            </w:r>
          </w:p>
        </w:tc>
        <w:tc>
          <w:tcPr>
            <w:tcW w:w="700" w:type="dxa"/>
            <w:vAlign w:val="bottom"/>
          </w:tcPr>
          <w:p>
            <w:pPr>
              <w:spacing w:after="0"/>
              <w:rPr>
                <w:sz w:val="15"/>
                <w:szCs w:val="15"/>
                <w:color w:val="auto"/>
              </w:rPr>
            </w:pPr>
          </w:p>
        </w:tc>
        <w:tc>
          <w:tcPr>
            <w:tcW w:w="1800" w:type="dxa"/>
            <w:vAlign w:val="bottom"/>
            <w:vMerge w:val="restart"/>
          </w:tcPr>
          <w:p>
            <w:pPr>
              <w:jc w:val="right"/>
              <w:ind w:right="381"/>
              <w:spacing w:after="0"/>
              <w:rPr>
                <w:sz w:val="20"/>
                <w:szCs w:val="20"/>
                <w:color w:val="auto"/>
              </w:rPr>
            </w:pPr>
            <w:r>
              <w:rPr>
                <w:rFonts w:ascii="Courier New" w:cs="Courier New" w:eastAsia="Courier New" w:hAnsi="Courier New"/>
                <w:sz w:val="16"/>
                <w:szCs w:val="16"/>
                <w:color w:val="auto"/>
              </w:rPr>
              <w:t>194,558</w:t>
            </w:r>
          </w:p>
        </w:tc>
        <w:tc>
          <w:tcPr>
            <w:tcW w:w="660" w:type="dxa"/>
            <w:vAlign w:val="bottom"/>
          </w:tcPr>
          <w:p>
            <w:pPr>
              <w:spacing w:after="0"/>
              <w:rPr>
                <w:sz w:val="15"/>
                <w:szCs w:val="15"/>
                <w:color w:val="auto"/>
              </w:rPr>
            </w:pPr>
          </w:p>
        </w:tc>
        <w:tc>
          <w:tcPr>
            <w:tcW w:w="190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391,858</w:t>
            </w:r>
          </w:p>
        </w:tc>
        <w:tc>
          <w:tcPr>
            <w:tcW w:w="80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9,617,642</w:t>
            </w:r>
          </w:p>
        </w:tc>
        <w:tc>
          <w:tcPr>
            <w:tcW w:w="0" w:type="dxa"/>
            <w:vAlign w:val="bottom"/>
          </w:tcPr>
          <w:p>
            <w:pPr>
              <w:spacing w:after="0"/>
              <w:rPr>
                <w:sz w:val="1"/>
                <w:szCs w:val="1"/>
                <w:color w:val="auto"/>
              </w:rPr>
            </w:pPr>
          </w:p>
        </w:tc>
      </w:tr>
      <w:tr>
        <w:trPr>
          <w:trHeight w:val="182"/>
        </w:trPr>
        <w:tc>
          <w:tcPr>
            <w:tcW w:w="4300" w:type="dxa"/>
            <w:vAlign w:val="bottom"/>
          </w:tcPr>
          <w:p>
            <w:pPr>
              <w:ind w:left="100"/>
              <w:spacing w:after="0"/>
              <w:rPr>
                <w:sz w:val="20"/>
                <w:szCs w:val="20"/>
                <w:color w:val="auto"/>
              </w:rPr>
            </w:pPr>
            <w:r>
              <w:rPr>
                <w:rFonts w:ascii="Courier New" w:cs="Courier New" w:eastAsia="Courier New" w:hAnsi="Courier New"/>
                <w:sz w:val="16"/>
                <w:szCs w:val="16"/>
                <w:color w:val="auto"/>
              </w:rPr>
              <w:t>Benefits paid to participants</w:t>
            </w:r>
          </w:p>
        </w:tc>
        <w:tc>
          <w:tcPr>
            <w:tcW w:w="700" w:type="dxa"/>
            <w:vAlign w:val="bottom"/>
          </w:tcPr>
          <w:p>
            <w:pPr>
              <w:spacing w:after="0"/>
              <w:rPr>
                <w:sz w:val="15"/>
                <w:szCs w:val="15"/>
                <w:color w:val="auto"/>
              </w:rPr>
            </w:pPr>
          </w:p>
        </w:tc>
        <w:tc>
          <w:tcPr>
            <w:tcW w:w="1800" w:type="dxa"/>
            <w:vAlign w:val="bottom"/>
            <w:vMerge w:val="continue"/>
          </w:tcPr>
          <w:p>
            <w:pPr>
              <w:spacing w:after="0"/>
              <w:rPr>
                <w:sz w:val="15"/>
                <w:szCs w:val="15"/>
                <w:color w:val="auto"/>
              </w:rPr>
            </w:pPr>
          </w:p>
        </w:tc>
        <w:tc>
          <w:tcPr>
            <w:tcW w:w="660" w:type="dxa"/>
            <w:vAlign w:val="bottom"/>
          </w:tcPr>
          <w:p>
            <w:pPr>
              <w:spacing w:after="0"/>
              <w:rPr>
                <w:sz w:val="15"/>
                <w:szCs w:val="15"/>
                <w:color w:val="auto"/>
              </w:rPr>
            </w:pPr>
          </w:p>
        </w:tc>
        <w:tc>
          <w:tcPr>
            <w:tcW w:w="190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300" w:type="dxa"/>
            <w:vAlign w:val="bottom"/>
          </w:tcPr>
          <w:p>
            <w:pPr>
              <w:ind w:left="100"/>
              <w:spacing w:after="0"/>
              <w:rPr>
                <w:sz w:val="20"/>
                <w:szCs w:val="20"/>
                <w:color w:val="auto"/>
              </w:rPr>
            </w:pPr>
            <w:r>
              <w:rPr>
                <w:rFonts w:ascii="Courier New" w:cs="Courier New" w:eastAsia="Courier New" w:hAnsi="Courier New"/>
                <w:sz w:val="16"/>
                <w:szCs w:val="16"/>
                <w:color w:val="auto"/>
              </w:rPr>
              <w:t>Administrative expenses</w:t>
            </w:r>
          </w:p>
        </w:tc>
        <w:tc>
          <w:tcPr>
            <w:tcW w:w="700" w:type="dxa"/>
            <w:vAlign w:val="bottom"/>
          </w:tcPr>
          <w:p>
            <w:pPr>
              <w:spacing w:after="0"/>
              <w:rPr>
                <w:sz w:val="15"/>
                <w:szCs w:val="15"/>
                <w:color w:val="auto"/>
              </w:rPr>
            </w:pPr>
          </w:p>
        </w:tc>
        <w:tc>
          <w:tcPr>
            <w:tcW w:w="18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1,078</w:t>
            </w:r>
          </w:p>
        </w:tc>
        <w:tc>
          <w:tcPr>
            <w:tcW w:w="660" w:type="dxa"/>
            <w:vAlign w:val="bottom"/>
          </w:tcPr>
          <w:p>
            <w:pPr>
              <w:spacing w:after="0"/>
              <w:rPr>
                <w:sz w:val="15"/>
                <w:szCs w:val="15"/>
                <w:color w:val="auto"/>
              </w:rPr>
            </w:pPr>
          </w:p>
        </w:tc>
        <w:tc>
          <w:tcPr>
            <w:tcW w:w="19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26,693</w:t>
            </w:r>
          </w:p>
        </w:tc>
        <w:tc>
          <w:tcPr>
            <w:tcW w:w="0" w:type="dxa"/>
            <w:vAlign w:val="bottom"/>
          </w:tcPr>
          <w:p>
            <w:pPr>
              <w:spacing w:after="0"/>
              <w:rPr>
                <w:sz w:val="1"/>
                <w:szCs w:val="1"/>
                <w:color w:val="auto"/>
              </w:rPr>
            </w:pPr>
          </w:p>
        </w:tc>
      </w:tr>
      <w:tr>
        <w:trPr>
          <w:trHeight w:val="265"/>
        </w:trPr>
        <w:tc>
          <w:tcPr>
            <w:tcW w:w="4300" w:type="dxa"/>
            <w:vAlign w:val="bottom"/>
          </w:tcPr>
          <w:p>
            <w:pPr>
              <w:spacing w:after="0"/>
              <w:rPr>
                <w:sz w:val="23"/>
                <w:szCs w:val="23"/>
                <w:color w:val="auto"/>
              </w:rPr>
            </w:pPr>
          </w:p>
        </w:tc>
        <w:tc>
          <w:tcPr>
            <w:tcW w:w="250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256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2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4300" w:type="dxa"/>
            <w:vAlign w:val="bottom"/>
          </w:tcPr>
          <w:p>
            <w:pPr>
              <w:ind w:left="460"/>
              <w:spacing w:after="0"/>
              <w:rPr>
                <w:sz w:val="20"/>
                <w:szCs w:val="20"/>
                <w:color w:val="auto"/>
              </w:rPr>
            </w:pPr>
            <w:r>
              <w:rPr>
                <w:rFonts w:ascii="Courier New" w:cs="Courier New" w:eastAsia="Courier New" w:hAnsi="Courier New"/>
                <w:sz w:val="16"/>
                <w:szCs w:val="16"/>
                <w:color w:val="auto"/>
              </w:rPr>
              <w:t>Total deductions</w:t>
            </w:r>
          </w:p>
        </w:tc>
        <w:tc>
          <w:tcPr>
            <w:tcW w:w="700" w:type="dxa"/>
            <w:vAlign w:val="bottom"/>
          </w:tcPr>
          <w:p>
            <w:pPr>
              <w:spacing w:after="0"/>
              <w:rPr>
                <w:sz w:val="24"/>
                <w:szCs w:val="24"/>
                <w:color w:val="auto"/>
              </w:rPr>
            </w:pPr>
          </w:p>
        </w:tc>
        <w:tc>
          <w:tcPr>
            <w:tcW w:w="18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195,636</w:t>
            </w:r>
          </w:p>
        </w:tc>
        <w:tc>
          <w:tcPr>
            <w:tcW w:w="660" w:type="dxa"/>
            <w:vAlign w:val="bottom"/>
          </w:tcPr>
          <w:p>
            <w:pPr>
              <w:spacing w:after="0"/>
              <w:rPr>
                <w:sz w:val="24"/>
                <w:szCs w:val="24"/>
                <w:color w:val="auto"/>
              </w:rPr>
            </w:pPr>
          </w:p>
        </w:tc>
        <w:tc>
          <w:tcPr>
            <w:tcW w:w="19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391,858</w:t>
            </w:r>
          </w:p>
        </w:tc>
        <w:tc>
          <w:tcPr>
            <w:tcW w:w="8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9,644,335</w:t>
            </w:r>
          </w:p>
        </w:tc>
        <w:tc>
          <w:tcPr>
            <w:tcW w:w="0" w:type="dxa"/>
            <w:vAlign w:val="bottom"/>
          </w:tcPr>
          <w:p>
            <w:pPr>
              <w:spacing w:after="0"/>
              <w:rPr>
                <w:sz w:val="1"/>
                <w:szCs w:val="1"/>
                <w:color w:val="auto"/>
              </w:rPr>
            </w:pPr>
          </w:p>
        </w:tc>
      </w:tr>
      <w:tr>
        <w:trPr>
          <w:trHeight w:val="265"/>
        </w:trPr>
        <w:tc>
          <w:tcPr>
            <w:tcW w:w="4300" w:type="dxa"/>
            <w:vAlign w:val="bottom"/>
          </w:tcPr>
          <w:p>
            <w:pPr>
              <w:spacing w:after="0"/>
              <w:rPr>
                <w:sz w:val="23"/>
                <w:szCs w:val="23"/>
                <w:color w:val="auto"/>
              </w:rPr>
            </w:pPr>
          </w:p>
        </w:tc>
        <w:tc>
          <w:tcPr>
            <w:tcW w:w="250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256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2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64"/>
        </w:trPr>
        <w:tc>
          <w:tcPr>
            <w:tcW w:w="4300" w:type="dxa"/>
            <w:vAlign w:val="bottom"/>
          </w:tcPr>
          <w:p>
            <w:pPr>
              <w:spacing w:after="0"/>
              <w:rPr>
                <w:sz w:val="20"/>
                <w:szCs w:val="20"/>
                <w:color w:val="auto"/>
              </w:rPr>
            </w:pPr>
            <w:r>
              <w:rPr>
                <w:rFonts w:ascii="Courier New" w:cs="Courier New" w:eastAsia="Courier New" w:hAnsi="Courier New"/>
                <w:sz w:val="16"/>
                <w:szCs w:val="16"/>
                <w:color w:val="auto"/>
              </w:rPr>
              <w:t>Net increase prior to interfund transfers</w:t>
            </w:r>
          </w:p>
        </w:tc>
        <w:tc>
          <w:tcPr>
            <w:tcW w:w="700" w:type="dxa"/>
            <w:vAlign w:val="bottom"/>
          </w:tcPr>
          <w:p>
            <w:pPr>
              <w:spacing w:after="0"/>
              <w:rPr>
                <w:sz w:val="24"/>
                <w:szCs w:val="24"/>
                <w:color w:val="auto"/>
              </w:rPr>
            </w:pPr>
          </w:p>
        </w:tc>
        <w:tc>
          <w:tcPr>
            <w:tcW w:w="18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63,701</w:t>
            </w:r>
          </w:p>
        </w:tc>
        <w:tc>
          <w:tcPr>
            <w:tcW w:w="660" w:type="dxa"/>
            <w:vAlign w:val="bottom"/>
          </w:tcPr>
          <w:p>
            <w:pPr>
              <w:spacing w:after="0"/>
              <w:rPr>
                <w:sz w:val="24"/>
                <w:szCs w:val="24"/>
                <w:color w:val="auto"/>
              </w:rPr>
            </w:pPr>
          </w:p>
        </w:tc>
        <w:tc>
          <w:tcPr>
            <w:tcW w:w="19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193,655</w:t>
            </w:r>
          </w:p>
        </w:tc>
        <w:tc>
          <w:tcPr>
            <w:tcW w:w="8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15,675,228</w:t>
            </w:r>
          </w:p>
        </w:tc>
        <w:tc>
          <w:tcPr>
            <w:tcW w:w="0" w:type="dxa"/>
            <w:vAlign w:val="bottom"/>
          </w:tcPr>
          <w:p>
            <w:pPr>
              <w:spacing w:after="0"/>
              <w:rPr>
                <w:sz w:val="1"/>
                <w:szCs w:val="1"/>
                <w:color w:val="auto"/>
              </w:rPr>
            </w:pPr>
          </w:p>
        </w:tc>
      </w:tr>
      <w:tr>
        <w:trPr>
          <w:trHeight w:val="280"/>
        </w:trPr>
        <w:tc>
          <w:tcPr>
            <w:tcW w:w="4300" w:type="dxa"/>
            <w:vAlign w:val="bottom"/>
          </w:tcPr>
          <w:p>
            <w:pPr>
              <w:spacing w:after="0"/>
              <w:rPr>
                <w:sz w:val="20"/>
                <w:szCs w:val="20"/>
                <w:color w:val="auto"/>
              </w:rPr>
            </w:pPr>
            <w:r>
              <w:rPr>
                <w:rFonts w:ascii="Courier New" w:cs="Courier New" w:eastAsia="Courier New" w:hAnsi="Courier New"/>
                <w:sz w:val="16"/>
                <w:szCs w:val="16"/>
                <w:color w:val="auto"/>
              </w:rPr>
              <w:t>Interfund transfers</w:t>
            </w:r>
          </w:p>
        </w:tc>
        <w:tc>
          <w:tcPr>
            <w:tcW w:w="700" w:type="dxa"/>
            <w:vAlign w:val="bottom"/>
          </w:tcPr>
          <w:p>
            <w:pPr>
              <w:spacing w:after="0"/>
              <w:rPr>
                <w:sz w:val="24"/>
                <w:szCs w:val="24"/>
                <w:color w:val="auto"/>
              </w:rPr>
            </w:pPr>
          </w:p>
        </w:tc>
        <w:tc>
          <w:tcPr>
            <w:tcW w:w="18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353,717</w:t>
            </w:r>
          </w:p>
        </w:tc>
        <w:tc>
          <w:tcPr>
            <w:tcW w:w="660" w:type="dxa"/>
            <w:vAlign w:val="bottom"/>
          </w:tcPr>
          <w:p>
            <w:pPr>
              <w:spacing w:after="0"/>
              <w:rPr>
                <w:sz w:val="24"/>
                <w:szCs w:val="24"/>
                <w:color w:val="auto"/>
              </w:rPr>
            </w:pPr>
          </w:p>
        </w:tc>
        <w:tc>
          <w:tcPr>
            <w:tcW w:w="19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102,094</w:t>
            </w:r>
          </w:p>
        </w:tc>
        <w:tc>
          <w:tcPr>
            <w:tcW w:w="8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5"/>
        </w:trPr>
        <w:tc>
          <w:tcPr>
            <w:tcW w:w="4300" w:type="dxa"/>
            <w:vAlign w:val="bottom"/>
          </w:tcPr>
          <w:p>
            <w:pPr>
              <w:spacing w:after="0"/>
              <w:rPr>
                <w:sz w:val="23"/>
                <w:szCs w:val="23"/>
                <w:color w:val="auto"/>
              </w:rPr>
            </w:pPr>
          </w:p>
        </w:tc>
        <w:tc>
          <w:tcPr>
            <w:tcW w:w="250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256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2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64"/>
        </w:trPr>
        <w:tc>
          <w:tcPr>
            <w:tcW w:w="4300" w:type="dxa"/>
            <w:vAlign w:val="bottom"/>
          </w:tcPr>
          <w:p>
            <w:pPr>
              <w:spacing w:after="0"/>
              <w:rPr>
                <w:sz w:val="20"/>
                <w:szCs w:val="20"/>
                <w:color w:val="auto"/>
              </w:rPr>
            </w:pPr>
            <w:r>
              <w:rPr>
                <w:rFonts w:ascii="Courier New" w:cs="Courier New" w:eastAsia="Courier New" w:hAnsi="Courier New"/>
                <w:sz w:val="16"/>
                <w:szCs w:val="16"/>
                <w:color w:val="auto"/>
              </w:rPr>
              <w:t>Net increase/(decrease)</w:t>
            </w:r>
          </w:p>
        </w:tc>
        <w:tc>
          <w:tcPr>
            <w:tcW w:w="700" w:type="dxa"/>
            <w:vAlign w:val="bottom"/>
          </w:tcPr>
          <w:p>
            <w:pPr>
              <w:spacing w:after="0"/>
              <w:rPr>
                <w:sz w:val="24"/>
                <w:szCs w:val="24"/>
                <w:color w:val="auto"/>
              </w:rPr>
            </w:pPr>
          </w:p>
        </w:tc>
        <w:tc>
          <w:tcPr>
            <w:tcW w:w="18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417,418</w:t>
            </w:r>
          </w:p>
        </w:tc>
        <w:tc>
          <w:tcPr>
            <w:tcW w:w="660" w:type="dxa"/>
            <w:vAlign w:val="bottom"/>
          </w:tcPr>
          <w:p>
            <w:pPr>
              <w:spacing w:after="0"/>
              <w:rPr>
                <w:sz w:val="24"/>
                <w:szCs w:val="24"/>
                <w:color w:val="auto"/>
              </w:rPr>
            </w:pPr>
          </w:p>
        </w:tc>
        <w:tc>
          <w:tcPr>
            <w:tcW w:w="19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295,749</w:t>
            </w:r>
          </w:p>
        </w:tc>
        <w:tc>
          <w:tcPr>
            <w:tcW w:w="8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15,675,228</w:t>
            </w:r>
          </w:p>
        </w:tc>
        <w:tc>
          <w:tcPr>
            <w:tcW w:w="0" w:type="dxa"/>
            <w:vAlign w:val="bottom"/>
          </w:tcPr>
          <w:p>
            <w:pPr>
              <w:spacing w:after="0"/>
              <w:rPr>
                <w:sz w:val="1"/>
                <w:szCs w:val="1"/>
                <w:color w:val="auto"/>
              </w:rPr>
            </w:pPr>
          </w:p>
        </w:tc>
      </w:tr>
      <w:tr>
        <w:trPr>
          <w:trHeight w:val="280"/>
        </w:trPr>
        <w:tc>
          <w:tcPr>
            <w:tcW w:w="4300" w:type="dxa"/>
            <w:vAlign w:val="bottom"/>
          </w:tcPr>
          <w:p>
            <w:pPr>
              <w:spacing w:after="0"/>
              <w:rPr>
                <w:sz w:val="20"/>
                <w:szCs w:val="20"/>
                <w:color w:val="auto"/>
              </w:rPr>
            </w:pPr>
            <w:r>
              <w:rPr>
                <w:rFonts w:ascii="Courier New" w:cs="Courier New" w:eastAsia="Courier New" w:hAnsi="Courier New"/>
                <w:sz w:val="16"/>
                <w:szCs w:val="16"/>
                <w:color w:val="auto"/>
              </w:rPr>
              <w:t>Net assets available for benefits:</w:t>
            </w:r>
          </w:p>
        </w:tc>
        <w:tc>
          <w:tcPr>
            <w:tcW w:w="700" w:type="dxa"/>
            <w:vAlign w:val="bottom"/>
          </w:tcPr>
          <w:p>
            <w:pPr>
              <w:spacing w:after="0"/>
              <w:rPr>
                <w:sz w:val="24"/>
                <w:szCs w:val="24"/>
                <w:color w:val="auto"/>
              </w:rPr>
            </w:pPr>
          </w:p>
        </w:tc>
        <w:tc>
          <w:tcPr>
            <w:tcW w:w="1800" w:type="dxa"/>
            <w:vAlign w:val="bottom"/>
            <w:vMerge w:val="restart"/>
          </w:tcPr>
          <w:p>
            <w:pPr>
              <w:jc w:val="right"/>
              <w:ind w:right="381"/>
              <w:spacing w:after="0"/>
              <w:rPr>
                <w:sz w:val="20"/>
                <w:szCs w:val="20"/>
                <w:color w:val="auto"/>
              </w:rPr>
            </w:pPr>
            <w:r>
              <w:rPr>
                <w:rFonts w:ascii="Courier New" w:cs="Courier New" w:eastAsia="Courier New" w:hAnsi="Courier New"/>
                <w:sz w:val="16"/>
                <w:szCs w:val="16"/>
                <w:color w:val="auto"/>
              </w:rPr>
              <w:t>3,388,813</w:t>
            </w:r>
          </w:p>
        </w:tc>
        <w:tc>
          <w:tcPr>
            <w:tcW w:w="660" w:type="dxa"/>
            <w:vAlign w:val="bottom"/>
          </w:tcPr>
          <w:p>
            <w:pPr>
              <w:spacing w:after="0"/>
              <w:rPr>
                <w:sz w:val="24"/>
                <w:szCs w:val="24"/>
                <w:color w:val="auto"/>
              </w:rPr>
            </w:pPr>
          </w:p>
        </w:tc>
        <w:tc>
          <w:tcPr>
            <w:tcW w:w="190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6,594,717</w:t>
            </w:r>
          </w:p>
        </w:tc>
        <w:tc>
          <w:tcPr>
            <w:tcW w:w="800" w:type="dxa"/>
            <w:vAlign w:val="bottom"/>
          </w:tcPr>
          <w:p>
            <w:pPr>
              <w:spacing w:after="0"/>
              <w:rPr>
                <w:sz w:val="24"/>
                <w:szCs w:val="24"/>
                <w:color w:val="auto"/>
              </w:rPr>
            </w:pPr>
          </w:p>
        </w:tc>
        <w:tc>
          <w:tcPr>
            <w:tcW w:w="13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104,051,740</w:t>
            </w:r>
          </w:p>
        </w:tc>
        <w:tc>
          <w:tcPr>
            <w:tcW w:w="0" w:type="dxa"/>
            <w:vAlign w:val="bottom"/>
          </w:tcPr>
          <w:p>
            <w:pPr>
              <w:spacing w:after="0"/>
              <w:rPr>
                <w:sz w:val="1"/>
                <w:szCs w:val="1"/>
                <w:color w:val="auto"/>
              </w:rPr>
            </w:pPr>
          </w:p>
        </w:tc>
      </w:tr>
      <w:tr>
        <w:trPr>
          <w:trHeight w:val="182"/>
        </w:trPr>
        <w:tc>
          <w:tcPr>
            <w:tcW w:w="4300" w:type="dxa"/>
            <w:vAlign w:val="bottom"/>
          </w:tcPr>
          <w:p>
            <w:pPr>
              <w:ind w:left="100"/>
              <w:spacing w:after="0"/>
              <w:rPr>
                <w:sz w:val="20"/>
                <w:szCs w:val="20"/>
                <w:color w:val="auto"/>
              </w:rPr>
            </w:pPr>
            <w:r>
              <w:rPr>
                <w:rFonts w:ascii="Courier New" w:cs="Courier New" w:eastAsia="Courier New" w:hAnsi="Courier New"/>
                <w:sz w:val="16"/>
                <w:szCs w:val="16"/>
                <w:color w:val="auto"/>
              </w:rPr>
              <w:t>Beginning of year</w:t>
            </w:r>
          </w:p>
        </w:tc>
        <w:tc>
          <w:tcPr>
            <w:tcW w:w="700" w:type="dxa"/>
            <w:vAlign w:val="bottom"/>
          </w:tcPr>
          <w:p>
            <w:pPr>
              <w:spacing w:after="0"/>
              <w:rPr>
                <w:sz w:val="15"/>
                <w:szCs w:val="15"/>
                <w:color w:val="auto"/>
              </w:rPr>
            </w:pPr>
          </w:p>
        </w:tc>
        <w:tc>
          <w:tcPr>
            <w:tcW w:w="1800" w:type="dxa"/>
            <w:vAlign w:val="bottom"/>
            <w:vMerge w:val="continue"/>
          </w:tcPr>
          <w:p>
            <w:pPr>
              <w:spacing w:after="0"/>
              <w:rPr>
                <w:sz w:val="15"/>
                <w:szCs w:val="15"/>
                <w:color w:val="auto"/>
              </w:rPr>
            </w:pPr>
          </w:p>
        </w:tc>
        <w:tc>
          <w:tcPr>
            <w:tcW w:w="660" w:type="dxa"/>
            <w:vAlign w:val="bottom"/>
          </w:tcPr>
          <w:p>
            <w:pPr>
              <w:spacing w:after="0"/>
              <w:rPr>
                <w:sz w:val="15"/>
                <w:szCs w:val="15"/>
                <w:color w:val="auto"/>
              </w:rPr>
            </w:pPr>
          </w:p>
        </w:tc>
        <w:tc>
          <w:tcPr>
            <w:tcW w:w="190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300" w:type="dxa"/>
            <w:vAlign w:val="bottom"/>
          </w:tcPr>
          <w:p>
            <w:pPr>
              <w:spacing w:after="0"/>
              <w:rPr>
                <w:sz w:val="23"/>
                <w:szCs w:val="23"/>
                <w:color w:val="auto"/>
              </w:rPr>
            </w:pPr>
          </w:p>
        </w:tc>
        <w:tc>
          <w:tcPr>
            <w:tcW w:w="250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256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2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4300" w:type="dxa"/>
            <w:vAlign w:val="bottom"/>
          </w:tcPr>
          <w:p>
            <w:pPr>
              <w:ind w:left="100"/>
              <w:spacing w:after="0"/>
              <w:rPr>
                <w:sz w:val="20"/>
                <w:szCs w:val="20"/>
                <w:color w:val="auto"/>
              </w:rPr>
            </w:pPr>
            <w:r>
              <w:rPr>
                <w:rFonts w:ascii="Courier New" w:cs="Courier New" w:eastAsia="Courier New" w:hAnsi="Courier New"/>
                <w:sz w:val="16"/>
                <w:szCs w:val="16"/>
                <w:color w:val="auto"/>
              </w:rPr>
              <w:t>End of year</w:t>
            </w:r>
          </w:p>
        </w:tc>
        <w:tc>
          <w:tcPr>
            <w:tcW w:w="7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3,806,231</w:t>
            </w:r>
          </w:p>
        </w:tc>
        <w:tc>
          <w:tcPr>
            <w:tcW w:w="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6,890,466</w:t>
            </w:r>
          </w:p>
        </w:tc>
        <w:tc>
          <w:tcPr>
            <w:tcW w:w="8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119,726,968</w:t>
            </w:r>
          </w:p>
        </w:tc>
        <w:tc>
          <w:tcPr>
            <w:tcW w:w="0" w:type="dxa"/>
            <w:vAlign w:val="bottom"/>
          </w:tcPr>
          <w:p>
            <w:pPr>
              <w:spacing w:after="0"/>
              <w:rPr>
                <w:sz w:val="1"/>
                <w:szCs w:val="1"/>
                <w:color w:val="auto"/>
              </w:rPr>
            </w:pPr>
          </w:p>
        </w:tc>
      </w:tr>
      <w:tr>
        <w:trPr>
          <w:trHeight w:val="265"/>
        </w:trPr>
        <w:tc>
          <w:tcPr>
            <w:tcW w:w="4300" w:type="dxa"/>
            <w:vAlign w:val="bottom"/>
          </w:tcPr>
          <w:p>
            <w:pPr>
              <w:spacing w:after="0"/>
              <w:rPr>
                <w:sz w:val="23"/>
                <w:szCs w:val="23"/>
                <w:color w:val="auto"/>
              </w:rPr>
            </w:pPr>
          </w:p>
        </w:tc>
        <w:tc>
          <w:tcPr>
            <w:tcW w:w="250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256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2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The accompanying notes are an integral</w:t>
      </w:r>
    </w:p>
    <w:p>
      <w:pPr>
        <w:spacing w:after="0" w:line="29"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part of these financial statements.</w:t>
      </w:r>
    </w:p>
    <w:p>
      <w:pPr>
        <w:spacing w:after="0" w:line="15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1520"/>
          </w:cols>
          <w:pgMar w:left="240" w:top="635" w:right="139" w:bottom="1440" w:gutter="0" w:footer="0" w:header="0"/>
        </w:sectPr>
      </w:pPr>
    </w:p>
    <w:bookmarkStart w:id="7" w:name="page8"/>
    <w:bookmarkEnd w:id="7"/>
    <w:tbl>
      <w:tblPr>
        <w:tblLayout w:type="fixed"/>
        <w:tblInd w:w="2360" w:type="dxa"/>
        <w:tblCellMar>
          <w:top w:w="0" w:type="dxa"/>
          <w:left w:w="0" w:type="dxa"/>
          <w:bottom w:w="0" w:type="dxa"/>
          <w:right w:w="0" w:type="dxa"/>
        </w:tblCellMar>
      </w:tblPr>
      <w:tr>
        <w:trPr>
          <w:trHeight w:val="182"/>
        </w:trPr>
        <w:tc>
          <w:tcPr>
            <w:tcW w:w="1760" w:type="dxa"/>
            <w:vAlign w:val="bottom"/>
          </w:tcPr>
          <w:p>
            <w:pPr>
              <w:jc w:val="right"/>
              <w:spacing w:after="0"/>
              <w:rPr>
                <w:sz w:val="20"/>
                <w:szCs w:val="20"/>
                <w:color w:val="auto"/>
              </w:rPr>
            </w:pPr>
            <w:r>
              <w:rPr>
                <w:rFonts w:ascii="Courier New" w:cs="Courier New" w:eastAsia="Courier New" w:hAnsi="Courier New"/>
                <w:sz w:val="16"/>
                <w:szCs w:val="16"/>
                <w:color w:val="auto"/>
              </w:rPr>
              <w:t>CAMCO THRIFT</w:t>
            </w:r>
          </w:p>
        </w:tc>
        <w:tc>
          <w:tcPr>
            <w:tcW w:w="980" w:type="dxa"/>
            <w:vAlign w:val="bottom"/>
          </w:tcPr>
          <w:p>
            <w:pPr>
              <w:ind w:left="40"/>
              <w:spacing w:after="0"/>
              <w:rPr>
                <w:sz w:val="20"/>
                <w:szCs w:val="20"/>
                <w:color w:val="auto"/>
              </w:rPr>
            </w:pPr>
            <w:r>
              <w:rPr>
                <w:rFonts w:ascii="Courier New" w:cs="Courier New" w:eastAsia="Courier New" w:hAnsi="Courier New"/>
                <w:sz w:val="16"/>
                <w:szCs w:val="16"/>
                <w:color w:val="auto"/>
              </w:rPr>
              <w:t>PLAN</w:t>
            </w:r>
          </w:p>
        </w:tc>
      </w:tr>
      <w:tr>
        <w:trPr>
          <w:trHeight w:val="182"/>
        </w:trPr>
        <w:tc>
          <w:tcPr>
            <w:tcW w:w="1760" w:type="dxa"/>
            <w:vAlign w:val="bottom"/>
          </w:tcPr>
          <w:p>
            <w:pPr>
              <w:jc w:val="right"/>
              <w:spacing w:after="0"/>
              <w:rPr>
                <w:sz w:val="20"/>
                <w:szCs w:val="20"/>
                <w:color w:val="auto"/>
              </w:rPr>
            </w:pPr>
            <w:r>
              <w:rPr>
                <w:rFonts w:ascii="Courier New" w:cs="Courier New" w:eastAsia="Courier New" w:hAnsi="Courier New"/>
                <w:sz w:val="16"/>
                <w:szCs w:val="16"/>
                <w:color w:val="auto"/>
                <w:w w:val="97"/>
              </w:rPr>
              <w:t>Notes to Financial</w:t>
            </w:r>
          </w:p>
        </w:tc>
        <w:tc>
          <w:tcPr>
            <w:tcW w:w="980" w:type="dxa"/>
            <w:vAlign w:val="bottom"/>
          </w:tcPr>
          <w:p>
            <w:pPr>
              <w:ind w:left="40"/>
              <w:spacing w:after="0"/>
              <w:rPr>
                <w:sz w:val="20"/>
                <w:szCs w:val="20"/>
                <w:color w:val="auto"/>
              </w:rPr>
            </w:pPr>
            <w:r>
              <w:rPr>
                <w:rFonts w:ascii="Courier New" w:cs="Courier New" w:eastAsia="Courier New" w:hAnsi="Courier New"/>
                <w:sz w:val="16"/>
                <w:szCs w:val="16"/>
                <w:color w:val="auto"/>
                <w:w w:val="95"/>
              </w:rPr>
              <w:t>Statements</w:t>
            </w:r>
          </w:p>
        </w:tc>
      </w:tr>
      <w:tr>
        <w:trPr>
          <w:trHeight w:val="265"/>
        </w:trPr>
        <w:tc>
          <w:tcPr>
            <w:tcW w:w="1760" w:type="dxa"/>
            <w:vAlign w:val="bottom"/>
          </w:tcPr>
          <w:p>
            <w:pPr>
              <w:jc w:val="right"/>
              <w:spacing w:after="0"/>
              <w:rPr>
                <w:sz w:val="20"/>
                <w:szCs w:val="20"/>
                <w:color w:val="auto"/>
              </w:rPr>
            </w:pPr>
            <w:r>
              <w:rPr>
                <w:rFonts w:ascii="Courier New" w:cs="Courier New" w:eastAsia="Courier New" w:hAnsi="Courier New"/>
                <w:sz w:val="16"/>
                <w:szCs w:val="16"/>
                <w:color w:val="auto"/>
              </w:rPr>
              <w:t>December 31,</w:t>
            </w:r>
          </w:p>
        </w:tc>
        <w:tc>
          <w:tcPr>
            <w:tcW w:w="980" w:type="dxa"/>
            <w:vAlign w:val="bottom"/>
          </w:tcPr>
          <w:p>
            <w:pPr>
              <w:ind w:left="40"/>
              <w:spacing w:after="0"/>
              <w:rPr>
                <w:sz w:val="20"/>
                <w:szCs w:val="20"/>
                <w:color w:val="auto"/>
              </w:rPr>
            </w:pPr>
            <w:r>
              <w:rPr>
                <w:rFonts w:ascii="Courier New" w:cs="Courier New" w:eastAsia="Courier New" w:hAnsi="Courier New"/>
                <w:sz w:val="16"/>
                <w:szCs w:val="16"/>
                <w:color w:val="auto"/>
              </w:rPr>
              <w:t>1998</w:t>
            </w:r>
          </w:p>
        </w:tc>
      </w:tr>
    </w:tbl>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1 - Description of the Plan</w:t>
      </w:r>
    </w:p>
    <w:p>
      <w:pPr>
        <w:spacing w:after="0" w:line="183" w:lineRule="exact"/>
        <w:rPr>
          <w:sz w:val="20"/>
          <w:szCs w:val="20"/>
          <w:color w:val="auto"/>
        </w:rPr>
      </w:pPr>
    </w:p>
    <w:p>
      <w:pPr>
        <w:ind w:right="2659"/>
        <w:spacing w:after="0" w:line="263" w:lineRule="auto"/>
        <w:rPr>
          <w:sz w:val="20"/>
          <w:szCs w:val="20"/>
          <w:color w:val="auto"/>
        </w:rPr>
      </w:pPr>
      <w:r>
        <w:rPr>
          <w:rFonts w:ascii="Courier New" w:cs="Courier New" w:eastAsia="Courier New" w:hAnsi="Courier New"/>
          <w:sz w:val="16"/>
          <w:szCs w:val="16"/>
          <w:color w:val="auto"/>
        </w:rPr>
        <w:t>The Camco Thrift Plan (the "Plan"), a defined contribution plan, was established on February 1, 1975. It covers substantially all domestic employees and certain employees in foreign service of Camco International Inc. (the "Company"). The following description of the Plan and Plan Amendments is provided for general purposes only. Participants should refer to the Plan Document, as amended, for more complete information.</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83" w:lineRule="exact"/>
        <w:rPr>
          <w:sz w:val="20"/>
          <w:szCs w:val="20"/>
          <w:color w:val="auto"/>
        </w:rPr>
      </w:pPr>
    </w:p>
    <w:p>
      <w:pPr>
        <w:ind w:right="2659"/>
        <w:spacing w:after="0" w:line="268" w:lineRule="auto"/>
        <w:rPr>
          <w:sz w:val="20"/>
          <w:szCs w:val="20"/>
          <w:color w:val="auto"/>
        </w:rPr>
      </w:pPr>
      <w:r>
        <w:rPr>
          <w:rFonts w:ascii="Courier New" w:cs="Courier New" w:eastAsia="Courier New" w:hAnsi="Courier New"/>
          <w:sz w:val="16"/>
          <w:szCs w:val="16"/>
          <w:color w:val="auto"/>
        </w:rPr>
        <w:t>Administration of the Plan is conducted by a committee consisting of no less than three members appointed by the board of directors of the Company. The board of directors has appointed two officers of the Company as Trustees for the Plan. American Express Trust Company ("American Express") is asset custodian and record keeper for the Plan.</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Eligibility and Vesting</w:t>
      </w:r>
    </w:p>
    <w:p>
      <w:pPr>
        <w:spacing w:after="0" w:line="183" w:lineRule="exact"/>
        <w:rPr>
          <w:sz w:val="20"/>
          <w:szCs w:val="20"/>
          <w:color w:val="auto"/>
        </w:rPr>
      </w:pPr>
    </w:p>
    <w:p>
      <w:pPr>
        <w:ind w:right="2759"/>
        <w:spacing w:after="0" w:line="283" w:lineRule="auto"/>
        <w:rPr>
          <w:sz w:val="20"/>
          <w:szCs w:val="20"/>
          <w:color w:val="auto"/>
        </w:rPr>
      </w:pPr>
      <w:r>
        <w:rPr>
          <w:rFonts w:ascii="Courier New" w:cs="Courier New" w:eastAsia="Courier New" w:hAnsi="Courier New"/>
          <w:sz w:val="15"/>
          <w:szCs w:val="15"/>
          <w:color w:val="auto"/>
        </w:rPr>
        <w:t>Employees are eligible to participate in the Plan after completing one hour of service. Participants are fully vested in their contributions and the related earnings/losses. Participants vest in Company matching contributions and related earnings/losses at 20% per year, becoming fully vested after five years of service. In the event the Plan is partially or completely terminated, all participants will become 100% vested in their account balances.</w:t>
      </w:r>
    </w:p>
    <w:p>
      <w:pPr>
        <w:spacing w:after="0" w:line="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Contributions</w:t>
      </w:r>
    </w:p>
    <w:p>
      <w:pPr>
        <w:spacing w:after="0" w:line="183" w:lineRule="exact"/>
        <w:rPr>
          <w:sz w:val="20"/>
          <w:szCs w:val="20"/>
          <w:color w:val="auto"/>
        </w:rPr>
      </w:pPr>
    </w:p>
    <w:p>
      <w:pPr>
        <w:ind w:right="2759"/>
        <w:spacing w:after="0" w:line="263" w:lineRule="auto"/>
        <w:rPr>
          <w:sz w:val="20"/>
          <w:szCs w:val="20"/>
          <w:color w:val="auto"/>
        </w:rPr>
      </w:pPr>
      <w:r>
        <w:rPr>
          <w:rFonts w:ascii="Courier New" w:cs="Courier New" w:eastAsia="Courier New" w:hAnsi="Courier New"/>
          <w:sz w:val="16"/>
          <w:szCs w:val="16"/>
          <w:color w:val="auto"/>
        </w:rPr>
        <w:t>Participants may elect to defer from 1% to 15% of their compensation on a pre-tax basis, subject to maximum annual contributions of $10,000 ($9,500 in 1997), and have the Company contribute to the Plan on their behalf the amount so deferred. After-tax contributions of up to 10% of compensation are also permitted. The Company makes matching contributions of 50% of participants' pre-tax contributions up to a maximum contribution amount of $1,500 per year.</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Expenses</w:t>
      </w:r>
    </w:p>
    <w:p>
      <w:pPr>
        <w:spacing w:after="0" w:line="183" w:lineRule="exact"/>
        <w:rPr>
          <w:sz w:val="20"/>
          <w:szCs w:val="20"/>
          <w:color w:val="auto"/>
        </w:rPr>
      </w:pPr>
    </w:p>
    <w:p>
      <w:pPr>
        <w:ind w:right="2659"/>
        <w:spacing w:after="0" w:line="268" w:lineRule="auto"/>
        <w:rPr>
          <w:sz w:val="20"/>
          <w:szCs w:val="20"/>
          <w:color w:val="auto"/>
        </w:rPr>
      </w:pPr>
      <w:r>
        <w:rPr>
          <w:rFonts w:ascii="Courier New" w:cs="Courier New" w:eastAsia="Courier New" w:hAnsi="Courier New"/>
          <w:sz w:val="16"/>
          <w:szCs w:val="16"/>
          <w:color w:val="auto"/>
        </w:rPr>
        <w:t>The accounts of participants are charged fees of $2.50 per quarter, which are applied to the cost of administering the Plan. Transaction fees are also charged for participant loans, withdrawals and distributions. For the years ending December 31, 1998 and 1997, the Company elected to pay all administrative expenses in excess of these fees.</w:t>
      </w:r>
    </w:p>
    <w:p>
      <w:pPr>
        <w:spacing w:after="0" w:line="79"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35"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6"/>
          <w:szCs w:val="16"/>
          <w:color w:val="auto"/>
        </w:rPr>
        <w:t>Withdrawals</w:t>
      </w:r>
    </w:p>
    <w:p>
      <w:pPr>
        <w:spacing w:after="0" w:line="183" w:lineRule="exact"/>
        <w:rPr>
          <w:sz w:val="20"/>
          <w:szCs w:val="20"/>
          <w:color w:val="auto"/>
        </w:rPr>
      </w:pPr>
    </w:p>
    <w:p>
      <w:pPr>
        <w:ind w:right="2759"/>
        <w:spacing w:after="0" w:line="253" w:lineRule="auto"/>
        <w:rPr>
          <w:sz w:val="20"/>
          <w:szCs w:val="20"/>
          <w:color w:val="auto"/>
        </w:rPr>
      </w:pPr>
      <w:r>
        <w:rPr>
          <w:rFonts w:ascii="Courier New" w:cs="Courier New" w:eastAsia="Courier New" w:hAnsi="Courier New"/>
          <w:sz w:val="16"/>
          <w:szCs w:val="16"/>
          <w:color w:val="auto"/>
        </w:rPr>
        <w:t>Company matching contributions made before January 1, 1983, and all after-tax contributions may be withdrawn by participants by making written application to the Plan's record keeper. Company matching contributions made after December 31, 1982, pre-tax contributions and rollover contributions may be withdrawn after the participant has attained age 59-1/2 or if the participant suffers an immediate and heavy financial hardship that cannot be satisfied from other reasonably available resources. Additionally, Company matching contributions may be withdrawn only if they have been credited to a participant's account for more than two years. No more than one withdrawal may be made during any calendar quarter.</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Loans</w:t>
      </w:r>
    </w:p>
    <w:p>
      <w:pPr>
        <w:spacing w:after="0" w:line="183" w:lineRule="exact"/>
        <w:rPr>
          <w:sz w:val="20"/>
          <w:szCs w:val="20"/>
          <w:color w:val="auto"/>
        </w:rPr>
      </w:pPr>
    </w:p>
    <w:p>
      <w:pPr>
        <w:ind w:right="2759"/>
        <w:spacing w:after="0" w:line="290" w:lineRule="auto"/>
        <w:rPr>
          <w:sz w:val="20"/>
          <w:szCs w:val="20"/>
          <w:color w:val="auto"/>
        </w:rPr>
      </w:pPr>
      <w:r>
        <w:rPr>
          <w:rFonts w:ascii="Courier New" w:cs="Courier New" w:eastAsia="Courier New" w:hAnsi="Courier New"/>
          <w:sz w:val="15"/>
          <w:szCs w:val="15"/>
          <w:color w:val="auto"/>
        </w:rPr>
        <w:t>Participants may borrow a portion of their account balance to relieve a financial hardship or for any other suitable purpose. Loan amounts are limited in accordance with a formula based on 50% of the present value of a participant's vested account balance, not to exceed $50,000. Loans must be repaid within five years and are secured by the participant's account balance.</w:t>
      </w:r>
    </w:p>
    <w:p>
      <w:pPr>
        <w:spacing w:after="0" w:line="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Forfeitures</w:t>
      </w:r>
    </w:p>
    <w:p>
      <w:pPr>
        <w:spacing w:after="0" w:line="183" w:lineRule="exact"/>
        <w:rPr>
          <w:sz w:val="20"/>
          <w:szCs w:val="20"/>
          <w:color w:val="auto"/>
        </w:rPr>
      </w:pPr>
    </w:p>
    <w:p>
      <w:pPr>
        <w:ind w:right="2759"/>
        <w:spacing w:after="0" w:line="268" w:lineRule="auto"/>
        <w:rPr>
          <w:sz w:val="20"/>
          <w:szCs w:val="20"/>
          <w:color w:val="auto"/>
        </w:rPr>
      </w:pPr>
      <w:r>
        <w:rPr>
          <w:rFonts w:ascii="Courier New" w:cs="Courier New" w:eastAsia="Courier New" w:hAnsi="Courier New"/>
          <w:sz w:val="16"/>
          <w:szCs w:val="16"/>
          <w:color w:val="auto"/>
        </w:rPr>
        <w:t>Participants who terminate employment forfeit the non-vested portion of their account. Forfeited amounts will be restored for former participants who resume employment if they repay, within five years, the full amount of termination distribution they received. Amounts forfeited are used first to restore accounts, as above, and then to reduce Company contributions.</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2 - Corporate Structure and Continuation of Plan</w:t>
      </w:r>
    </w:p>
    <w:p>
      <w:pPr>
        <w:spacing w:after="0" w:line="183" w:lineRule="exact"/>
        <w:rPr>
          <w:sz w:val="20"/>
          <w:szCs w:val="20"/>
          <w:color w:val="auto"/>
        </w:rPr>
      </w:pPr>
    </w:p>
    <w:p>
      <w:pPr>
        <w:ind w:right="2759"/>
        <w:spacing w:after="0" w:line="263" w:lineRule="auto"/>
        <w:rPr>
          <w:sz w:val="20"/>
          <w:szCs w:val="20"/>
          <w:color w:val="auto"/>
        </w:rPr>
      </w:pPr>
      <w:r>
        <w:rPr>
          <w:rFonts w:ascii="Courier New" w:cs="Courier New" w:eastAsia="Courier New" w:hAnsi="Courier New"/>
          <w:sz w:val="16"/>
          <w:szCs w:val="16"/>
          <w:color w:val="auto"/>
        </w:rPr>
        <w:t>On August 31, 1998, the Company merged into Schlumberger Technology Corporation ("STC"), a wholly owned subsidiary of Schlumberger Limited ("Schlumberger"). Schlumberger maintains defined contribution plans similar to the Plan and expects to merge the Plan into a Schlumberger plan before the end of 2001. Nevertheless, the Company has reserved the right to terminate the Plan at any time by resolution of the board of directors.</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3 - Summary of Significant Accounting Policies</w:t>
      </w:r>
    </w:p>
    <w:p>
      <w:pPr>
        <w:spacing w:after="0" w:line="183" w:lineRule="exact"/>
        <w:rPr>
          <w:sz w:val="20"/>
          <w:szCs w:val="20"/>
          <w:color w:val="auto"/>
        </w:rPr>
      </w:pPr>
    </w:p>
    <w:p>
      <w:pPr>
        <w:ind w:right="2659"/>
        <w:spacing w:after="0" w:line="277" w:lineRule="auto"/>
        <w:rPr>
          <w:sz w:val="20"/>
          <w:szCs w:val="20"/>
          <w:color w:val="auto"/>
        </w:rPr>
      </w:pPr>
      <w:r>
        <w:rPr>
          <w:rFonts w:ascii="Courier New" w:cs="Courier New" w:eastAsia="Courier New" w:hAnsi="Courier New"/>
          <w:sz w:val="16"/>
          <w:szCs w:val="16"/>
          <w:color w:val="auto"/>
        </w:rPr>
        <w:t>The financial statements of the Plan are presented on the accrual basis of accounting in compliance with generally accepted accounting principles. Certain reclassifications have been made to prior year balances to conform to current year financial statement presentation.</w:t>
      </w:r>
    </w:p>
    <w:p>
      <w:pPr>
        <w:spacing w:after="0" w:line="73" w:lineRule="exact"/>
        <w:rPr>
          <w:sz w:val="20"/>
          <w:szCs w:val="20"/>
          <w:color w:val="auto"/>
        </w:rPr>
      </w:pPr>
    </w:p>
    <w:p>
      <w:pPr>
        <w:ind w:right="2759"/>
        <w:spacing w:after="0" w:line="277" w:lineRule="auto"/>
        <w:rPr>
          <w:sz w:val="20"/>
          <w:szCs w:val="20"/>
          <w:color w:val="auto"/>
        </w:rPr>
      </w:pPr>
      <w:r>
        <w:rPr>
          <w:rFonts w:ascii="Courier New" w:cs="Courier New" w:eastAsia="Courier New" w:hAnsi="Courier New"/>
          <w:sz w:val="16"/>
          <w:szCs w:val="16"/>
          <w:color w:val="auto"/>
        </w:rPr>
        <w:t>The preparation of financial statements in conformity with generally accepted accounting principles requires the Plan administrator to make estimates and assumptions that affect certain reported amounts and disclosures. Accordingly, actual results may differ from those estimates.</w:t>
      </w:r>
    </w:p>
    <w:p>
      <w:pPr>
        <w:spacing w:after="0" w:line="73" w:lineRule="exact"/>
        <w:rPr>
          <w:sz w:val="20"/>
          <w:szCs w:val="20"/>
          <w:color w:val="auto"/>
        </w:rPr>
      </w:pPr>
    </w:p>
    <w:p>
      <w:pPr>
        <w:ind w:right="2659"/>
        <w:spacing w:after="0" w:line="259" w:lineRule="auto"/>
        <w:rPr>
          <w:sz w:val="20"/>
          <w:szCs w:val="20"/>
          <w:color w:val="auto"/>
        </w:rPr>
      </w:pPr>
      <w:r>
        <w:rPr>
          <w:rFonts w:ascii="Courier New" w:cs="Courier New" w:eastAsia="Courier New" w:hAnsi="Courier New"/>
          <w:sz w:val="16"/>
          <w:szCs w:val="16"/>
          <w:color w:val="auto"/>
        </w:rPr>
        <w:t>Investments in registered investment companies (mutual funds) are valued at quoted market prices. American Express Trust Equity Index Fund I and American Express Trust Income Fund II are collective trusts stated at contract value. Units of the Camco/Schlumberger Stock Fund, invested primarily in common stock of Camco before September 1, 1998, and common stock of Schlumberger after August 31, 1998, but also in cash or cash equivalents to provide liquidity, are valued using quoted market prices</w:t>
      </w:r>
    </w:p>
    <w:p>
      <w:pPr>
        <w:spacing w:after="0" w:line="8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35" w:right="1440" w:bottom="1440" w:gutter="0" w:footer="0" w:header="0"/>
        </w:sectPr>
      </w:pPr>
    </w:p>
    <w:bookmarkStart w:id="9" w:name="page10"/>
    <w:bookmarkEnd w:id="9"/>
    <w:p>
      <w:pPr>
        <w:ind w:right="2659"/>
        <w:spacing w:after="0" w:line="277" w:lineRule="auto"/>
        <w:rPr>
          <w:sz w:val="20"/>
          <w:szCs w:val="20"/>
          <w:color w:val="auto"/>
        </w:rPr>
      </w:pPr>
      <w:r>
        <w:rPr>
          <w:rFonts w:ascii="Courier New" w:cs="Courier New" w:eastAsia="Courier New" w:hAnsi="Courier New"/>
          <w:sz w:val="16"/>
          <w:szCs w:val="16"/>
          <w:color w:val="auto"/>
        </w:rPr>
        <w:t>for the common stock. Effective January 1, 1998, American Express changed its method of computing gains and losses on the sale of investments from the average cost method to the first-in-first-out (FIFO) method. This change in method had no effect on the accompanying financial statements.</w:t>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4 - Investment Programs</w:t>
      </w:r>
    </w:p>
    <w:p>
      <w:pPr>
        <w:spacing w:after="0" w:line="183" w:lineRule="exact"/>
        <w:rPr>
          <w:sz w:val="20"/>
          <w:szCs w:val="20"/>
          <w:color w:val="auto"/>
        </w:rPr>
      </w:pPr>
    </w:p>
    <w:p>
      <w:pPr>
        <w:ind w:right="2659"/>
        <w:spacing w:after="0" w:line="268" w:lineRule="auto"/>
        <w:rPr>
          <w:sz w:val="20"/>
          <w:szCs w:val="20"/>
          <w:color w:val="auto"/>
        </w:rPr>
      </w:pPr>
      <w:r>
        <w:rPr>
          <w:rFonts w:ascii="Courier New" w:cs="Courier New" w:eastAsia="Courier New" w:hAnsi="Courier New"/>
          <w:sz w:val="16"/>
          <w:szCs w:val="16"/>
          <w:color w:val="auto"/>
        </w:rPr>
        <w:t>Participants may invest their account balances and all contributions made to their accounts in the investment choices described below. Investments may be made in one or more of the funds in 1% increments and choices may be changed any business day. The number of participants investing in each fund at December 31, 1998, is shown parenthetically.</w:t>
      </w:r>
    </w:p>
    <w:p>
      <w:pPr>
        <w:spacing w:after="0" w:line="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IDS International Fund (381 participants)</w:t>
      </w:r>
    </w:p>
    <w:p>
      <w:pPr>
        <w:spacing w:after="0" w:line="183" w:lineRule="exact"/>
        <w:rPr>
          <w:sz w:val="20"/>
          <w:szCs w:val="20"/>
          <w:color w:val="auto"/>
        </w:rPr>
      </w:pPr>
    </w:p>
    <w:p>
      <w:pPr>
        <w:ind w:left="940" w:right="2839"/>
        <w:spacing w:after="0" w:line="296" w:lineRule="auto"/>
        <w:rPr>
          <w:sz w:val="20"/>
          <w:szCs w:val="20"/>
          <w:color w:val="auto"/>
        </w:rPr>
      </w:pPr>
      <w:r>
        <w:rPr>
          <w:rFonts w:ascii="Courier New" w:cs="Courier New" w:eastAsia="Courier New" w:hAnsi="Courier New"/>
          <w:sz w:val="16"/>
          <w:szCs w:val="16"/>
          <w:color w:val="auto"/>
        </w:rPr>
        <w:t>A specialty growth fund for aggressive investors whose objective is long-term growth of capital that invests in common stocks of foreign companies.</w:t>
      </w:r>
    </w:p>
    <w:p>
      <w:pPr>
        <w:spacing w:after="0" w:line="5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IDS New Dimensions Fund (1,179 participants)</w:t>
      </w:r>
    </w:p>
    <w:p>
      <w:pPr>
        <w:spacing w:after="0" w:line="183" w:lineRule="exact"/>
        <w:rPr>
          <w:sz w:val="20"/>
          <w:szCs w:val="20"/>
          <w:color w:val="auto"/>
        </w:rPr>
      </w:pPr>
    </w:p>
    <w:p>
      <w:pPr>
        <w:ind w:left="940" w:right="2939"/>
        <w:spacing w:after="0" w:line="324" w:lineRule="auto"/>
        <w:rPr>
          <w:sz w:val="20"/>
          <w:szCs w:val="20"/>
          <w:color w:val="auto"/>
        </w:rPr>
      </w:pPr>
      <w:r>
        <w:rPr>
          <w:rFonts w:ascii="Courier New" w:cs="Courier New" w:eastAsia="Courier New" w:hAnsi="Courier New"/>
          <w:sz w:val="15"/>
          <w:szCs w:val="15"/>
          <w:color w:val="auto"/>
        </w:rPr>
        <w:t>A growth fund for aggressive investors whose objective is long-term growth of capital that invests in a portfolio of company stocks in which powerful economic and/or technical changes may take place.</w:t>
      </w:r>
    </w:p>
    <w:p>
      <w:pPr>
        <w:spacing w:after="0" w:line="3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IDS Mutual Fund (739 participants)</w:t>
      </w:r>
    </w:p>
    <w:p>
      <w:pPr>
        <w:spacing w:after="0" w:line="183" w:lineRule="exact"/>
        <w:rPr>
          <w:sz w:val="20"/>
          <w:szCs w:val="20"/>
          <w:color w:val="auto"/>
        </w:rPr>
      </w:pPr>
    </w:p>
    <w:p>
      <w:pPr>
        <w:ind w:left="940" w:right="2759"/>
        <w:spacing w:after="0" w:line="277" w:lineRule="auto"/>
        <w:rPr>
          <w:sz w:val="20"/>
          <w:szCs w:val="20"/>
          <w:color w:val="auto"/>
        </w:rPr>
      </w:pPr>
      <w:r>
        <w:rPr>
          <w:rFonts w:ascii="Courier New" w:cs="Courier New" w:eastAsia="Courier New" w:hAnsi="Courier New"/>
          <w:sz w:val="16"/>
          <w:szCs w:val="16"/>
          <w:color w:val="auto"/>
        </w:rPr>
        <w:t>A growth and income fund for investors with moderate tolerance for risk whose objective is balance of growth of capital and current income that invests in a portfolio of common and preferred stocks and bonds.</w:t>
      </w:r>
    </w:p>
    <w:p>
      <w:pPr>
        <w:spacing w:after="0" w:line="7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IDS Federal Income Fund (1,167 participants)</w:t>
      </w:r>
    </w:p>
    <w:p>
      <w:pPr>
        <w:spacing w:after="0" w:line="183" w:lineRule="exact"/>
        <w:rPr>
          <w:sz w:val="20"/>
          <w:szCs w:val="20"/>
          <w:color w:val="auto"/>
        </w:rPr>
      </w:pPr>
    </w:p>
    <w:p>
      <w:pPr>
        <w:jc w:val="both"/>
        <w:ind w:left="940" w:right="2839"/>
        <w:spacing w:after="0" w:line="296" w:lineRule="auto"/>
        <w:rPr>
          <w:sz w:val="20"/>
          <w:szCs w:val="20"/>
          <w:color w:val="auto"/>
        </w:rPr>
      </w:pPr>
      <w:r>
        <w:rPr>
          <w:rFonts w:ascii="Courier New" w:cs="Courier New" w:eastAsia="Courier New" w:hAnsi="Courier New"/>
          <w:sz w:val="16"/>
          <w:szCs w:val="16"/>
          <w:color w:val="auto"/>
        </w:rPr>
        <w:t>An income fund for conservative investors whose objective is current income and preservation of capital that invests in a portfolio of U. S. government and government agency securities.</w:t>
      </w:r>
    </w:p>
    <w:p>
      <w:pPr>
        <w:spacing w:after="0" w:line="5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AIM Constellation Fund (125 participants)</w:t>
      </w:r>
    </w:p>
    <w:p>
      <w:pPr>
        <w:spacing w:after="0" w:line="183" w:lineRule="exact"/>
        <w:rPr>
          <w:sz w:val="20"/>
          <w:szCs w:val="20"/>
          <w:color w:val="auto"/>
        </w:rPr>
      </w:pPr>
    </w:p>
    <w:p>
      <w:pPr>
        <w:ind w:left="940" w:right="3119"/>
        <w:spacing w:after="0" w:line="324" w:lineRule="auto"/>
        <w:rPr>
          <w:sz w:val="20"/>
          <w:szCs w:val="20"/>
          <w:color w:val="auto"/>
        </w:rPr>
      </w:pPr>
      <w:r>
        <w:rPr>
          <w:rFonts w:ascii="Courier New" w:cs="Courier New" w:eastAsia="Courier New" w:hAnsi="Courier New"/>
          <w:sz w:val="15"/>
          <w:szCs w:val="15"/>
          <w:color w:val="auto"/>
        </w:rPr>
        <w:t>A growth fund for aggressive investors whose objective is capital appreciation primarily through investments in common stocks with emphasis on medium-sized and smaller emerging growth companies.</w:t>
      </w:r>
    </w:p>
    <w:p>
      <w:pPr>
        <w:spacing w:after="0" w:line="3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American Express Trust Equity Index Fund I (826 participants)</w:t>
      </w:r>
    </w:p>
    <w:p>
      <w:pPr>
        <w:spacing w:after="0" w:line="183" w:lineRule="exact"/>
        <w:rPr>
          <w:sz w:val="20"/>
          <w:szCs w:val="20"/>
          <w:color w:val="auto"/>
        </w:rPr>
      </w:pPr>
    </w:p>
    <w:p>
      <w:pPr>
        <w:ind w:left="940" w:right="2659"/>
        <w:spacing w:after="0" w:line="268" w:lineRule="auto"/>
        <w:rPr>
          <w:sz w:val="20"/>
          <w:szCs w:val="20"/>
          <w:color w:val="auto"/>
        </w:rPr>
      </w:pPr>
      <w:r>
        <w:rPr>
          <w:rFonts w:ascii="Courier New" w:cs="Courier New" w:eastAsia="Courier New" w:hAnsi="Courier New"/>
          <w:sz w:val="16"/>
          <w:szCs w:val="16"/>
          <w:color w:val="auto"/>
        </w:rPr>
        <w:t>A growth fund for aggressive investors whose objective is to achieve a rate of return as close as possible to the return of the Standard &amp; Poor's 500 Index that employs a passive portfolio structuring and stock selecting strategy by investing primarily in common stocks of the S&amp;P 500 Index.</w:t>
      </w:r>
    </w:p>
    <w:p>
      <w:pPr>
        <w:spacing w:after="0" w:line="79"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35"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6"/>
          <w:szCs w:val="16"/>
          <w:color w:val="auto"/>
        </w:rPr>
        <w:t>American Express Trust Income Fund II (1,240 participants)</w:t>
      </w:r>
    </w:p>
    <w:p>
      <w:pPr>
        <w:spacing w:after="0" w:line="183" w:lineRule="exact"/>
        <w:rPr>
          <w:sz w:val="20"/>
          <w:szCs w:val="20"/>
          <w:color w:val="auto"/>
        </w:rPr>
      </w:pPr>
    </w:p>
    <w:p>
      <w:pPr>
        <w:ind w:left="940" w:right="2659"/>
        <w:spacing w:after="0" w:line="296" w:lineRule="auto"/>
        <w:rPr>
          <w:sz w:val="20"/>
          <w:szCs w:val="20"/>
          <w:color w:val="auto"/>
        </w:rPr>
      </w:pPr>
      <w:r>
        <w:rPr>
          <w:rFonts w:ascii="Courier New" w:cs="Courier New" w:eastAsia="Courier New" w:hAnsi="Courier New"/>
          <w:sz w:val="16"/>
          <w:szCs w:val="16"/>
          <w:color w:val="auto"/>
        </w:rPr>
        <w:t>A stable capital fund for conservative investors whose objective is to preserve principal and income while maximizing current income that invests in investment contracts and stable value contracts.</w:t>
      </w:r>
    </w:p>
    <w:p>
      <w:pPr>
        <w:spacing w:after="0" w:line="5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Camco/Schlumberger Stock Fund (524 participants)</w:t>
      </w:r>
    </w:p>
    <w:p>
      <w:pPr>
        <w:spacing w:after="0" w:line="183" w:lineRule="exact"/>
        <w:rPr>
          <w:sz w:val="20"/>
          <w:szCs w:val="20"/>
          <w:color w:val="auto"/>
        </w:rPr>
      </w:pPr>
    </w:p>
    <w:p>
      <w:pPr>
        <w:ind w:left="940" w:right="2659"/>
        <w:spacing w:after="0" w:line="290" w:lineRule="auto"/>
        <w:rPr>
          <w:sz w:val="20"/>
          <w:szCs w:val="20"/>
          <w:color w:val="auto"/>
        </w:rPr>
      </w:pPr>
      <w:r>
        <w:rPr>
          <w:rFonts w:ascii="Courier New" w:cs="Courier New" w:eastAsia="Courier New" w:hAnsi="Courier New"/>
          <w:sz w:val="15"/>
          <w:szCs w:val="15"/>
          <w:color w:val="auto"/>
        </w:rPr>
        <w:t>A stock fund for aggressive investors whose objective is growth of capital and dividend income that invests in Schlumberger common stock. On August 31, 1998, Camco shares previously held by this fund were exchanged for Schlumberger shares. Participants may invest no more than 25% of their account balances and/or contributions in this fund.</w:t>
      </w:r>
    </w:p>
    <w:p>
      <w:pPr>
        <w:spacing w:after="0" w:line="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5 - Regulatory Status of the Plan</w:t>
      </w:r>
    </w:p>
    <w:p>
      <w:pPr>
        <w:spacing w:after="0" w:line="183" w:lineRule="exact"/>
        <w:rPr>
          <w:sz w:val="20"/>
          <w:szCs w:val="20"/>
          <w:color w:val="auto"/>
        </w:rPr>
      </w:pPr>
    </w:p>
    <w:p>
      <w:pPr>
        <w:ind w:right="2759"/>
        <w:spacing w:after="0" w:line="268" w:lineRule="auto"/>
        <w:rPr>
          <w:sz w:val="20"/>
          <w:szCs w:val="20"/>
          <w:color w:val="auto"/>
        </w:rPr>
      </w:pPr>
      <w:r>
        <w:rPr>
          <w:rFonts w:ascii="Courier New" w:cs="Courier New" w:eastAsia="Courier New" w:hAnsi="Courier New"/>
          <w:sz w:val="16"/>
          <w:szCs w:val="16"/>
          <w:color w:val="auto"/>
        </w:rPr>
        <w:t>The Plan was amended and restated on April 21, 1998, to incorporate changes to the Internal Revenue Code and ERISA as a result of the Uniformed Services Employment and Reemployment Rights Act of 1994, the Small Business Job Protection Act of 1996 and the Taxpayer Relief Act of 1997. This amendment did not have a material effect on the December 31, 1998 Financial Statements.</w:t>
      </w:r>
    </w:p>
    <w:p>
      <w:pPr>
        <w:spacing w:after="0" w:line="79" w:lineRule="exact"/>
        <w:rPr>
          <w:sz w:val="20"/>
          <w:szCs w:val="20"/>
          <w:color w:val="auto"/>
        </w:rPr>
      </w:pPr>
    </w:p>
    <w:p>
      <w:pPr>
        <w:ind w:right="2839"/>
        <w:spacing w:after="0" w:line="256" w:lineRule="auto"/>
        <w:rPr>
          <w:sz w:val="20"/>
          <w:szCs w:val="20"/>
          <w:color w:val="auto"/>
        </w:rPr>
      </w:pPr>
      <w:r>
        <w:rPr>
          <w:rFonts w:ascii="Courier New" w:cs="Courier New" w:eastAsia="Courier New" w:hAnsi="Courier New"/>
          <w:sz w:val="16"/>
          <w:szCs w:val="16"/>
          <w:color w:val="auto"/>
        </w:rPr>
        <w:t>The amended Plan was filed with the Internal Revenue Service (the "IRS") prior to its adoption. In a determination letter dated February 19, 1998, the IRS stated that the Plan met the requirements of Section 401(a) of the Internal Revenue Code of 1986, as amended (the "Code"), and that the trust established thereunder was entitled to exemption from federal income tax under the provisions of Section 501(a) of the Code. Company matching contributions will not be required to be included in participants' taxable income until they are distributed to the participants.</w:t>
      </w:r>
    </w:p>
    <w:p>
      <w:pPr>
        <w:spacing w:after="0" w:line="90" w:lineRule="exact"/>
        <w:rPr>
          <w:sz w:val="20"/>
          <w:szCs w:val="20"/>
          <w:color w:val="auto"/>
        </w:rPr>
      </w:pPr>
    </w:p>
    <w:p>
      <w:pPr>
        <w:ind w:right="2659"/>
        <w:spacing w:after="0" w:line="268" w:lineRule="auto"/>
        <w:rPr>
          <w:sz w:val="20"/>
          <w:szCs w:val="20"/>
          <w:color w:val="auto"/>
        </w:rPr>
      </w:pPr>
      <w:r>
        <w:rPr>
          <w:rFonts w:ascii="Courier New" w:cs="Courier New" w:eastAsia="Courier New" w:hAnsi="Courier New"/>
          <w:sz w:val="16"/>
          <w:szCs w:val="16"/>
          <w:color w:val="auto"/>
        </w:rPr>
        <w:t>The Plan administrator and the Plan's counsel believe that the Plan currently is designed and being operated in compliance with the applicable requirements of the Code. They believe, therefore, that the Plan was qualified and the related trust was tax-exempt as of the financial statement date. The Plan is also in compliance with the provisions of the ERISA.</w:t>
      </w:r>
    </w:p>
    <w:p>
      <w:pPr>
        <w:spacing w:after="0" w:line="79"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35" w:right="1440" w:bottom="1440" w:gutter="0" w:footer="0" w:header="0"/>
        </w:sectPr>
      </w:pPr>
    </w:p>
    <w:bookmarkStart w:id="11" w:name="page12"/>
    <w:bookmarkEnd w:id="11"/>
    <w:p>
      <w:pPr>
        <w:jc w:val="center"/>
        <w:ind w:right="3960"/>
        <w:spacing w:after="0"/>
        <w:rPr>
          <w:sz w:val="20"/>
          <w:szCs w:val="20"/>
          <w:color w:val="auto"/>
        </w:rPr>
      </w:pPr>
      <w:r>
        <w:rPr>
          <w:rFonts w:ascii="Courier New" w:cs="Courier New" w:eastAsia="Courier New" w:hAnsi="Courier New"/>
          <w:sz w:val="16"/>
          <w:szCs w:val="16"/>
          <w:color w:val="auto"/>
        </w:rPr>
        <w:t>Line 27a - Schedule of Assets Held for Investment Purposes</w:t>
      </w:r>
    </w:p>
    <w:p>
      <w:pPr>
        <w:spacing w:after="0" w:line="29" w:lineRule="exact"/>
        <w:rPr>
          <w:sz w:val="20"/>
          <w:szCs w:val="20"/>
          <w:color w:val="auto"/>
        </w:rPr>
      </w:pPr>
    </w:p>
    <w:p>
      <w:pPr>
        <w:jc w:val="center"/>
        <w:ind w:right="4060"/>
        <w:spacing w:after="0"/>
        <w:rPr>
          <w:sz w:val="20"/>
          <w:szCs w:val="20"/>
          <w:color w:val="auto"/>
        </w:rPr>
      </w:pPr>
      <w:r>
        <w:rPr>
          <w:rFonts w:ascii="Courier New" w:cs="Courier New" w:eastAsia="Courier New" w:hAnsi="Courier New"/>
          <w:sz w:val="16"/>
          <w:szCs w:val="16"/>
          <w:color w:val="auto"/>
        </w:rPr>
        <w:t>Camco Thrift Plan</w:t>
      </w:r>
    </w:p>
    <w:p>
      <w:pPr>
        <w:spacing w:after="0" w:line="1" w:lineRule="exact"/>
        <w:rPr>
          <w:sz w:val="20"/>
          <w:szCs w:val="20"/>
          <w:color w:val="auto"/>
        </w:rPr>
      </w:pPr>
    </w:p>
    <w:p>
      <w:pPr>
        <w:jc w:val="center"/>
        <w:ind w:right="1500"/>
        <w:spacing w:after="0"/>
        <w:tabs>
          <w:tab w:leader="none" w:pos="180" w:val="left"/>
        </w:tabs>
        <w:rPr>
          <w:sz w:val="20"/>
          <w:szCs w:val="20"/>
          <w:color w:val="auto"/>
        </w:rPr>
      </w:pPr>
      <w:r>
        <w:rPr>
          <w:rFonts w:ascii="Courier New" w:cs="Courier New" w:eastAsia="Courier New" w:hAnsi="Courier New"/>
          <w:sz w:val="16"/>
          <w:szCs w:val="16"/>
          <w:color w:val="auto"/>
        </w:rPr>
        <w:t>EIN:</w:t>
        <w:tab/>
        <w:t>13-3517570; P/N 001</w:t>
      </w:r>
    </w:p>
    <w:p>
      <w:pPr>
        <w:spacing w:after="0" w:line="1" w:lineRule="exact"/>
        <w:rPr>
          <w:sz w:val="20"/>
          <w:szCs w:val="20"/>
          <w:color w:val="auto"/>
        </w:rPr>
      </w:pPr>
    </w:p>
    <w:p>
      <w:pPr>
        <w:jc w:val="center"/>
        <w:ind w:right="4060"/>
        <w:spacing w:after="0"/>
        <w:rPr>
          <w:sz w:val="20"/>
          <w:szCs w:val="20"/>
          <w:color w:val="auto"/>
        </w:rPr>
      </w:pPr>
      <w:r>
        <w:rPr>
          <w:rFonts w:ascii="Courier New" w:cs="Courier New" w:eastAsia="Courier New" w:hAnsi="Courier New"/>
          <w:sz w:val="16"/>
          <w:szCs w:val="16"/>
          <w:color w:val="auto"/>
        </w:rPr>
        <w:t>December 31, 1998</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3300" w:type="dxa"/>
            <w:vAlign w:val="bottom"/>
          </w:tcPr>
          <w:p>
            <w:pPr>
              <w:jc w:val="center"/>
              <w:ind w:right="201"/>
              <w:spacing w:after="0"/>
              <w:rPr>
                <w:sz w:val="20"/>
                <w:szCs w:val="20"/>
                <w:color w:val="auto"/>
              </w:rPr>
            </w:pPr>
            <w:r>
              <w:rPr>
                <w:rFonts w:ascii="Courier New" w:cs="Courier New" w:eastAsia="Courier New" w:hAnsi="Courier New"/>
                <w:sz w:val="16"/>
                <w:szCs w:val="16"/>
                <w:color w:val="auto"/>
              </w:rPr>
              <w:t>(c)</w:t>
            </w:r>
          </w:p>
        </w:tc>
        <w:tc>
          <w:tcPr>
            <w:tcW w:w="4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3360" w:type="dxa"/>
            <w:vAlign w:val="bottom"/>
            <w:vMerge w:val="restart"/>
          </w:tcPr>
          <w:p>
            <w:pPr>
              <w:ind w:left="1420"/>
              <w:spacing w:after="0"/>
              <w:rPr>
                <w:sz w:val="20"/>
                <w:szCs w:val="20"/>
                <w:color w:val="auto"/>
              </w:rPr>
            </w:pPr>
            <w:r>
              <w:rPr>
                <w:rFonts w:ascii="Courier New" w:cs="Courier New" w:eastAsia="Courier New" w:hAnsi="Courier New"/>
                <w:sz w:val="16"/>
                <w:szCs w:val="16"/>
                <w:color w:val="auto"/>
              </w:rPr>
              <w:t>(b)</w:t>
            </w:r>
          </w:p>
        </w:tc>
        <w:tc>
          <w:tcPr>
            <w:tcW w:w="3300" w:type="dxa"/>
            <w:vAlign w:val="bottom"/>
          </w:tcPr>
          <w:p>
            <w:pPr>
              <w:jc w:val="center"/>
              <w:ind w:right="201"/>
              <w:spacing w:after="0"/>
              <w:rPr>
                <w:sz w:val="20"/>
                <w:szCs w:val="20"/>
                <w:color w:val="auto"/>
              </w:rPr>
            </w:pPr>
            <w:r>
              <w:rPr>
                <w:rFonts w:ascii="Courier New" w:cs="Courier New" w:eastAsia="Courier New" w:hAnsi="Courier New"/>
                <w:sz w:val="16"/>
                <w:szCs w:val="16"/>
                <w:color w:val="auto"/>
                <w:w w:val="99"/>
              </w:rPr>
              <w:t>Description of investment</w:t>
            </w:r>
          </w:p>
        </w:tc>
        <w:tc>
          <w:tcPr>
            <w:tcW w:w="4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3360" w:type="dxa"/>
            <w:vAlign w:val="bottom"/>
            <w:vMerge w:val="continue"/>
          </w:tcPr>
          <w:p>
            <w:pPr>
              <w:spacing w:after="0"/>
              <w:rPr>
                <w:sz w:val="15"/>
                <w:szCs w:val="15"/>
                <w:color w:val="auto"/>
              </w:rPr>
            </w:pPr>
          </w:p>
        </w:tc>
        <w:tc>
          <w:tcPr>
            <w:tcW w:w="330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8"/>
              </w:rPr>
              <w:t>including maturity date,</w:t>
            </w:r>
          </w:p>
        </w:tc>
        <w:tc>
          <w:tcPr>
            <w:tcW w:w="4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40" w:type="dxa"/>
            <w:vAlign w:val="bottom"/>
            <w:vMerge w:val="restart"/>
          </w:tcPr>
          <w:p>
            <w:pPr>
              <w:jc w:val="center"/>
              <w:spacing w:after="0"/>
              <w:rPr>
                <w:sz w:val="20"/>
                <w:szCs w:val="20"/>
                <w:color w:val="auto"/>
              </w:rPr>
            </w:pPr>
            <w:r>
              <w:rPr>
                <w:rFonts w:ascii="Courier New" w:cs="Courier New" w:eastAsia="Courier New" w:hAnsi="Courier New"/>
                <w:sz w:val="16"/>
                <w:szCs w:val="16"/>
                <w:color w:val="auto"/>
              </w:rPr>
              <w:t>(e)</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3360" w:type="dxa"/>
            <w:vAlign w:val="bottom"/>
          </w:tcPr>
          <w:p>
            <w:pPr>
              <w:ind w:left="660"/>
              <w:spacing w:after="0"/>
              <w:rPr>
                <w:sz w:val="20"/>
                <w:szCs w:val="20"/>
                <w:color w:val="auto"/>
              </w:rPr>
            </w:pPr>
            <w:r>
              <w:rPr>
                <w:rFonts w:ascii="Courier New" w:cs="Courier New" w:eastAsia="Courier New" w:hAnsi="Courier New"/>
                <w:sz w:val="16"/>
                <w:szCs w:val="16"/>
                <w:color w:val="auto"/>
              </w:rPr>
              <w:t>Identity of issue,</w:t>
            </w:r>
          </w:p>
        </w:tc>
        <w:tc>
          <w:tcPr>
            <w:tcW w:w="3300" w:type="dxa"/>
            <w:vAlign w:val="bottom"/>
          </w:tcPr>
          <w:p>
            <w:pPr>
              <w:jc w:val="center"/>
              <w:ind w:right="201"/>
              <w:spacing w:after="0"/>
              <w:rPr>
                <w:sz w:val="20"/>
                <w:szCs w:val="20"/>
                <w:color w:val="auto"/>
              </w:rPr>
            </w:pPr>
            <w:r>
              <w:rPr>
                <w:rFonts w:ascii="Courier New" w:cs="Courier New" w:eastAsia="Courier New" w:hAnsi="Courier New"/>
                <w:sz w:val="16"/>
                <w:szCs w:val="16"/>
                <w:color w:val="auto"/>
                <w:w w:val="99"/>
              </w:rPr>
              <w:t>rate of interest,</w:t>
            </w:r>
          </w:p>
        </w:tc>
        <w:tc>
          <w:tcPr>
            <w:tcW w:w="480" w:type="dxa"/>
            <w:vAlign w:val="bottom"/>
          </w:tcPr>
          <w:p>
            <w:pPr>
              <w:spacing w:after="0"/>
              <w:rPr>
                <w:sz w:val="15"/>
                <w:szCs w:val="15"/>
                <w:color w:val="auto"/>
              </w:rPr>
            </w:pPr>
          </w:p>
        </w:tc>
        <w:tc>
          <w:tcPr>
            <w:tcW w:w="1700" w:type="dxa"/>
            <w:vAlign w:val="bottom"/>
            <w:vMerge w:val="restart"/>
          </w:tcPr>
          <w:p>
            <w:pPr>
              <w:jc w:val="right"/>
              <w:ind w:right="821"/>
              <w:spacing w:after="0"/>
              <w:rPr>
                <w:sz w:val="20"/>
                <w:szCs w:val="20"/>
                <w:color w:val="auto"/>
              </w:rPr>
            </w:pPr>
            <w:r>
              <w:rPr>
                <w:rFonts w:ascii="Courier New" w:cs="Courier New" w:eastAsia="Courier New" w:hAnsi="Courier New"/>
                <w:sz w:val="16"/>
                <w:szCs w:val="16"/>
                <w:color w:val="auto"/>
              </w:rPr>
              <w:t>(d)</w:t>
            </w:r>
          </w:p>
        </w:tc>
        <w:tc>
          <w:tcPr>
            <w:tcW w:w="480" w:type="dxa"/>
            <w:vAlign w:val="bottom"/>
          </w:tcPr>
          <w:p>
            <w:pPr>
              <w:spacing w:after="0"/>
              <w:rPr>
                <w:sz w:val="15"/>
                <w:szCs w:val="15"/>
                <w:color w:val="auto"/>
              </w:rPr>
            </w:pPr>
          </w:p>
        </w:tc>
        <w:tc>
          <w:tcPr>
            <w:tcW w:w="1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60" w:type="dxa"/>
            <w:vAlign w:val="bottom"/>
            <w:vMerge w:val="restart"/>
          </w:tcPr>
          <w:p>
            <w:pPr>
              <w:spacing w:after="0"/>
              <w:rPr>
                <w:sz w:val="20"/>
                <w:szCs w:val="20"/>
                <w:color w:val="auto"/>
              </w:rPr>
            </w:pPr>
            <w:r>
              <w:rPr>
                <w:rFonts w:ascii="Courier New" w:cs="Courier New" w:eastAsia="Courier New" w:hAnsi="Courier New"/>
                <w:sz w:val="16"/>
                <w:szCs w:val="16"/>
                <w:color w:val="auto"/>
              </w:rPr>
              <w:t>(a)</w:t>
            </w:r>
          </w:p>
        </w:tc>
        <w:tc>
          <w:tcPr>
            <w:tcW w:w="3360" w:type="dxa"/>
            <w:vAlign w:val="bottom"/>
          </w:tcPr>
          <w:p>
            <w:pPr>
              <w:ind w:left="560"/>
              <w:spacing w:after="0"/>
              <w:rPr>
                <w:sz w:val="20"/>
                <w:szCs w:val="20"/>
                <w:color w:val="auto"/>
              </w:rPr>
            </w:pPr>
            <w:r>
              <w:rPr>
                <w:rFonts w:ascii="Courier New" w:cs="Courier New" w:eastAsia="Courier New" w:hAnsi="Courier New"/>
                <w:sz w:val="16"/>
                <w:szCs w:val="16"/>
                <w:color w:val="auto"/>
              </w:rPr>
              <w:t>borrower, lessor, or</w:t>
            </w:r>
          </w:p>
        </w:tc>
        <w:tc>
          <w:tcPr>
            <w:tcW w:w="3300" w:type="dxa"/>
            <w:vAlign w:val="bottom"/>
          </w:tcPr>
          <w:p>
            <w:pPr>
              <w:jc w:val="center"/>
              <w:ind w:right="281"/>
              <w:spacing w:after="0"/>
              <w:rPr>
                <w:sz w:val="20"/>
                <w:szCs w:val="20"/>
                <w:color w:val="auto"/>
              </w:rPr>
            </w:pPr>
            <w:r>
              <w:rPr>
                <w:rFonts w:ascii="Courier New" w:cs="Courier New" w:eastAsia="Courier New" w:hAnsi="Courier New"/>
                <w:sz w:val="16"/>
                <w:szCs w:val="16"/>
                <w:color w:val="auto"/>
                <w:w w:val="98"/>
              </w:rPr>
              <w:t>collateral, par or</w:t>
            </w:r>
          </w:p>
        </w:tc>
        <w:tc>
          <w:tcPr>
            <w:tcW w:w="48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Courier New" w:cs="Courier New" w:eastAsia="Courier New" w:hAnsi="Courier New"/>
                <w:sz w:val="16"/>
                <w:szCs w:val="16"/>
                <w:color w:val="auto"/>
                <w:w w:val="98"/>
              </w:rPr>
              <w:t>Current</w:t>
            </w:r>
          </w:p>
        </w:tc>
        <w:tc>
          <w:tcPr>
            <w:tcW w:w="0" w:type="dxa"/>
            <w:vAlign w:val="bottom"/>
          </w:tcPr>
          <w:p>
            <w:pPr>
              <w:spacing w:after="0"/>
              <w:rPr>
                <w:sz w:val="1"/>
                <w:szCs w:val="1"/>
                <w:color w:val="auto"/>
              </w:rPr>
            </w:pPr>
          </w:p>
        </w:tc>
      </w:tr>
      <w:tr>
        <w:trPr>
          <w:trHeight w:val="182"/>
        </w:trPr>
        <w:tc>
          <w:tcPr>
            <w:tcW w:w="660" w:type="dxa"/>
            <w:vAlign w:val="bottom"/>
            <w:vMerge w:val="continue"/>
          </w:tcPr>
          <w:p>
            <w:pPr>
              <w:spacing w:after="0"/>
              <w:rPr>
                <w:sz w:val="15"/>
                <w:szCs w:val="15"/>
                <w:color w:val="auto"/>
              </w:rPr>
            </w:pPr>
          </w:p>
        </w:tc>
        <w:tc>
          <w:tcPr>
            <w:tcW w:w="3360" w:type="dxa"/>
            <w:vAlign w:val="bottom"/>
          </w:tcPr>
          <w:p>
            <w:pPr>
              <w:ind w:left="940"/>
              <w:spacing w:after="0"/>
              <w:rPr>
                <w:sz w:val="20"/>
                <w:szCs w:val="20"/>
                <w:color w:val="auto"/>
              </w:rPr>
            </w:pPr>
            <w:r>
              <w:rPr>
                <w:rFonts w:ascii="Courier New" w:cs="Courier New" w:eastAsia="Courier New" w:hAnsi="Courier New"/>
                <w:sz w:val="16"/>
                <w:szCs w:val="16"/>
                <w:color w:val="auto"/>
              </w:rPr>
              <w:t>similar party</w:t>
            </w:r>
          </w:p>
        </w:tc>
        <w:tc>
          <w:tcPr>
            <w:tcW w:w="330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8"/>
              </w:rPr>
              <w:t>maturity value</w:t>
            </w:r>
          </w:p>
        </w:tc>
        <w:tc>
          <w:tcPr>
            <w:tcW w:w="480" w:type="dxa"/>
            <w:vAlign w:val="bottom"/>
          </w:tcPr>
          <w:p>
            <w:pPr>
              <w:spacing w:after="0"/>
              <w:rPr>
                <w:sz w:val="15"/>
                <w:szCs w:val="15"/>
                <w:color w:val="auto"/>
              </w:rPr>
            </w:pPr>
          </w:p>
        </w:tc>
        <w:tc>
          <w:tcPr>
            <w:tcW w:w="170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Cost</w:t>
            </w:r>
          </w:p>
        </w:tc>
        <w:tc>
          <w:tcPr>
            <w:tcW w:w="48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Courier New" w:cs="Courier New" w:eastAsia="Courier New" w:hAnsi="Courier New"/>
                <w:sz w:val="16"/>
                <w:szCs w:val="16"/>
                <w:color w:val="auto"/>
                <w:w w:val="95"/>
              </w:rPr>
              <w:t>value</w:t>
            </w:r>
          </w:p>
        </w:tc>
        <w:tc>
          <w:tcPr>
            <w:tcW w:w="0" w:type="dxa"/>
            <w:vAlign w:val="bottom"/>
          </w:tcPr>
          <w:p>
            <w:pPr>
              <w:spacing w:after="0"/>
              <w:rPr>
                <w:sz w:val="1"/>
                <w:szCs w:val="1"/>
                <w:color w:val="auto"/>
              </w:rPr>
            </w:pPr>
          </w:p>
        </w:tc>
      </w:tr>
      <w:tr>
        <w:trPr>
          <w:trHeight w:val="265"/>
        </w:trPr>
        <w:tc>
          <w:tcPr>
            <w:tcW w:w="6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36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330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23"/>
                <w:szCs w:val="23"/>
                <w:color w:val="auto"/>
              </w:rPr>
            </w:pPr>
          </w:p>
        </w:tc>
        <w:tc>
          <w:tcPr>
            <w:tcW w:w="17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364"/>
        </w:trPr>
        <w:tc>
          <w:tcPr>
            <w:tcW w:w="660" w:type="dxa"/>
            <w:vAlign w:val="bottom"/>
          </w:tcPr>
          <w:p>
            <w:pPr>
              <w:spacing w:after="0"/>
              <w:rPr>
                <w:sz w:val="24"/>
                <w:szCs w:val="24"/>
                <w:color w:val="auto"/>
              </w:rPr>
            </w:pPr>
          </w:p>
        </w:tc>
        <w:tc>
          <w:tcPr>
            <w:tcW w:w="3360" w:type="dxa"/>
            <w:vAlign w:val="bottom"/>
          </w:tcPr>
          <w:p>
            <w:pPr>
              <w:ind w:left="180"/>
              <w:spacing w:after="0"/>
              <w:rPr>
                <w:sz w:val="20"/>
                <w:szCs w:val="20"/>
                <w:color w:val="auto"/>
              </w:rPr>
            </w:pPr>
            <w:r>
              <w:rPr>
                <w:rFonts w:ascii="Courier New" w:cs="Courier New" w:eastAsia="Courier New" w:hAnsi="Courier New"/>
                <w:sz w:val="16"/>
                <w:szCs w:val="16"/>
                <w:color w:val="auto"/>
              </w:rPr>
              <w:t>Participant loans</w:t>
            </w:r>
          </w:p>
        </w:tc>
        <w:tc>
          <w:tcPr>
            <w:tcW w:w="3300" w:type="dxa"/>
            <w:vAlign w:val="bottom"/>
          </w:tcPr>
          <w:p>
            <w:pPr>
              <w:ind w:left="140"/>
              <w:spacing w:after="0"/>
              <w:rPr>
                <w:sz w:val="20"/>
                <w:szCs w:val="20"/>
                <w:color w:val="auto"/>
              </w:rPr>
            </w:pPr>
            <w:r>
              <w:rPr>
                <w:rFonts w:ascii="Courier New" w:cs="Courier New" w:eastAsia="Courier New" w:hAnsi="Courier New"/>
                <w:sz w:val="16"/>
                <w:szCs w:val="16"/>
                <w:color w:val="auto"/>
              </w:rPr>
              <w:t>7.0% - 12.0% interest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6,890,466</w:t>
            </w:r>
          </w:p>
        </w:tc>
        <w:tc>
          <w:tcPr>
            <w:tcW w:w="0" w:type="dxa"/>
            <w:vAlign w:val="bottom"/>
          </w:tcPr>
          <w:p>
            <w:pPr>
              <w:spacing w:after="0"/>
              <w:rPr>
                <w:sz w:val="1"/>
                <w:szCs w:val="1"/>
                <w:color w:val="auto"/>
              </w:rPr>
            </w:pPr>
          </w:p>
        </w:tc>
      </w:tr>
      <w:tr>
        <w:trPr>
          <w:trHeight w:val="280"/>
        </w:trPr>
        <w:tc>
          <w:tcPr>
            <w:tcW w:w="660" w:type="dxa"/>
            <w:vAlign w:val="bottom"/>
          </w:tcPr>
          <w:p>
            <w:pPr>
              <w:spacing w:after="0"/>
              <w:rPr>
                <w:sz w:val="24"/>
                <w:szCs w:val="24"/>
                <w:color w:val="auto"/>
              </w:rPr>
            </w:pPr>
          </w:p>
        </w:tc>
        <w:tc>
          <w:tcPr>
            <w:tcW w:w="3360" w:type="dxa"/>
            <w:vAlign w:val="bottom"/>
          </w:tcPr>
          <w:p>
            <w:pPr>
              <w:ind w:left="180"/>
              <w:spacing w:after="0"/>
              <w:rPr>
                <w:sz w:val="20"/>
                <w:szCs w:val="20"/>
                <w:color w:val="auto"/>
              </w:rPr>
            </w:pPr>
            <w:r>
              <w:rPr>
                <w:rFonts w:ascii="Courier New" w:cs="Courier New" w:eastAsia="Courier New" w:hAnsi="Courier New"/>
                <w:sz w:val="16"/>
                <w:szCs w:val="16"/>
                <w:color w:val="auto"/>
              </w:rPr>
              <w:t>Camco/Schlumberger Stock</w:t>
            </w:r>
          </w:p>
        </w:tc>
        <w:tc>
          <w:tcPr>
            <w:tcW w:w="3300" w:type="dxa"/>
            <w:vAlign w:val="bottom"/>
          </w:tcPr>
          <w:p>
            <w:pPr>
              <w:ind w:left="140"/>
              <w:spacing w:after="0"/>
              <w:rPr>
                <w:sz w:val="20"/>
                <w:szCs w:val="20"/>
                <w:color w:val="auto"/>
              </w:rPr>
            </w:pPr>
            <w:r>
              <w:rPr>
                <w:rFonts w:ascii="Courier New" w:cs="Courier New" w:eastAsia="Courier New" w:hAnsi="Courier New"/>
                <w:sz w:val="16"/>
                <w:szCs w:val="16"/>
                <w:color w:val="auto"/>
              </w:rPr>
              <w:t>Employer common stock</w:t>
            </w:r>
          </w:p>
        </w:tc>
        <w:tc>
          <w:tcPr>
            <w:tcW w:w="480" w:type="dxa"/>
            <w:vAlign w:val="bottom"/>
          </w:tcPr>
          <w:p>
            <w:pPr>
              <w:spacing w:after="0"/>
              <w:rPr>
                <w:sz w:val="24"/>
                <w:szCs w:val="24"/>
                <w:color w:val="auto"/>
              </w:rPr>
            </w:pPr>
          </w:p>
        </w:tc>
        <w:tc>
          <w:tcPr>
            <w:tcW w:w="170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rPr>
              <w:t>4,005,572</w:t>
            </w:r>
          </w:p>
        </w:tc>
        <w:tc>
          <w:tcPr>
            <w:tcW w:w="480" w:type="dxa"/>
            <w:vAlign w:val="bottom"/>
          </w:tcPr>
          <w:p>
            <w:pPr>
              <w:spacing w:after="0"/>
              <w:rPr>
                <w:sz w:val="24"/>
                <w:szCs w:val="24"/>
                <w:color w:val="auto"/>
              </w:rPr>
            </w:pPr>
          </w:p>
        </w:tc>
        <w:tc>
          <w:tcPr>
            <w:tcW w:w="154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3,806,231</w:t>
            </w:r>
          </w:p>
        </w:tc>
        <w:tc>
          <w:tcPr>
            <w:tcW w:w="0" w:type="dxa"/>
            <w:vAlign w:val="bottom"/>
          </w:tcPr>
          <w:p>
            <w:pPr>
              <w:spacing w:after="0"/>
              <w:rPr>
                <w:sz w:val="1"/>
                <w:szCs w:val="1"/>
                <w:color w:val="auto"/>
              </w:rPr>
            </w:pPr>
          </w:p>
        </w:tc>
      </w:tr>
      <w:tr>
        <w:trPr>
          <w:trHeight w:val="265"/>
        </w:trPr>
        <w:tc>
          <w:tcPr>
            <w:tcW w:w="660" w:type="dxa"/>
            <w:vAlign w:val="bottom"/>
          </w:tcPr>
          <w:p>
            <w:pPr>
              <w:spacing w:after="0"/>
              <w:rPr>
                <w:sz w:val="23"/>
                <w:szCs w:val="23"/>
                <w:color w:val="auto"/>
              </w:rPr>
            </w:pPr>
          </w:p>
        </w:tc>
        <w:tc>
          <w:tcPr>
            <w:tcW w:w="3360" w:type="dxa"/>
            <w:vAlign w:val="bottom"/>
          </w:tcPr>
          <w:p>
            <w:pPr>
              <w:ind w:left="180"/>
              <w:spacing w:after="0"/>
              <w:rPr>
                <w:sz w:val="20"/>
                <w:szCs w:val="20"/>
                <w:color w:val="auto"/>
              </w:rPr>
            </w:pPr>
            <w:r>
              <w:rPr>
                <w:rFonts w:ascii="Courier New" w:cs="Courier New" w:eastAsia="Courier New" w:hAnsi="Courier New"/>
                <w:sz w:val="16"/>
                <w:szCs w:val="16"/>
                <w:color w:val="auto"/>
              </w:rPr>
              <w:t>Fund</w:t>
            </w:r>
          </w:p>
        </w:tc>
        <w:tc>
          <w:tcPr>
            <w:tcW w:w="3300" w:type="dxa"/>
            <w:vAlign w:val="bottom"/>
          </w:tcPr>
          <w:p>
            <w:pPr>
              <w:ind w:left="800"/>
              <w:spacing w:after="0"/>
              <w:rPr>
                <w:sz w:val="20"/>
                <w:szCs w:val="20"/>
                <w:color w:val="auto"/>
              </w:rPr>
            </w:pPr>
            <w:r>
              <w:rPr>
                <w:rFonts w:ascii="Courier New" w:cs="Courier New" w:eastAsia="Courier New" w:hAnsi="Courier New"/>
                <w:sz w:val="16"/>
                <w:szCs w:val="16"/>
                <w:color w:val="auto"/>
              </w:rPr>
              <w:t>241,023 units</w:t>
            </w:r>
          </w:p>
        </w:tc>
        <w:tc>
          <w:tcPr>
            <w:tcW w:w="480" w:type="dxa"/>
            <w:vAlign w:val="bottom"/>
          </w:tcPr>
          <w:p>
            <w:pPr>
              <w:spacing w:after="0"/>
              <w:rPr>
                <w:sz w:val="23"/>
                <w:szCs w:val="23"/>
                <w:color w:val="auto"/>
              </w:rPr>
            </w:pPr>
          </w:p>
        </w:tc>
        <w:tc>
          <w:tcPr>
            <w:tcW w:w="1700" w:type="dxa"/>
            <w:vAlign w:val="bottom"/>
            <w:vMerge w:val="continue"/>
          </w:tcPr>
          <w:p>
            <w:pPr>
              <w:spacing w:after="0"/>
              <w:rPr>
                <w:sz w:val="23"/>
                <w:szCs w:val="23"/>
                <w:color w:val="auto"/>
              </w:rPr>
            </w:pPr>
          </w:p>
        </w:tc>
        <w:tc>
          <w:tcPr>
            <w:tcW w:w="480" w:type="dxa"/>
            <w:vAlign w:val="bottom"/>
          </w:tcPr>
          <w:p>
            <w:pPr>
              <w:spacing w:after="0"/>
              <w:rPr>
                <w:sz w:val="23"/>
                <w:szCs w:val="23"/>
                <w:color w:val="auto"/>
              </w:rPr>
            </w:pPr>
          </w:p>
        </w:tc>
        <w:tc>
          <w:tcPr>
            <w:tcW w:w="15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62"/>
        </w:trPr>
        <w:tc>
          <w:tcPr>
            <w:tcW w:w="660" w:type="dxa"/>
            <w:vAlign w:val="bottom"/>
          </w:tcPr>
          <w:p>
            <w:pPr>
              <w:spacing w:after="0"/>
              <w:rPr>
                <w:sz w:val="24"/>
                <w:szCs w:val="24"/>
                <w:color w:val="auto"/>
              </w:rPr>
            </w:pPr>
          </w:p>
        </w:tc>
        <w:tc>
          <w:tcPr>
            <w:tcW w:w="3360" w:type="dxa"/>
            <w:vAlign w:val="bottom"/>
            <w:vMerge w:val="restart"/>
          </w:tcPr>
          <w:p>
            <w:pPr>
              <w:ind w:left="180"/>
              <w:spacing w:after="0"/>
              <w:rPr>
                <w:sz w:val="20"/>
                <w:szCs w:val="20"/>
                <w:color w:val="auto"/>
              </w:rPr>
            </w:pPr>
            <w:r>
              <w:rPr>
                <w:rFonts w:ascii="Courier New" w:cs="Courier New" w:eastAsia="Courier New" w:hAnsi="Courier New"/>
                <w:sz w:val="16"/>
                <w:szCs w:val="16"/>
                <w:color w:val="auto"/>
              </w:rPr>
              <w:t>AET Equity Index Fund I</w:t>
            </w:r>
          </w:p>
        </w:tc>
        <w:tc>
          <w:tcPr>
            <w:tcW w:w="3300" w:type="dxa"/>
            <w:vAlign w:val="bottom"/>
          </w:tcPr>
          <w:p>
            <w:pPr>
              <w:ind w:left="140"/>
              <w:spacing w:after="0"/>
              <w:rPr>
                <w:sz w:val="20"/>
                <w:szCs w:val="20"/>
                <w:color w:val="auto"/>
              </w:rPr>
            </w:pPr>
            <w:r>
              <w:rPr>
                <w:rFonts w:ascii="Courier New" w:cs="Courier New" w:eastAsia="Courier New" w:hAnsi="Courier New"/>
                <w:sz w:val="16"/>
                <w:szCs w:val="16"/>
                <w:color w:val="auto"/>
              </w:rPr>
              <w:t>Common/collective trusts:</w:t>
            </w:r>
          </w:p>
        </w:tc>
        <w:tc>
          <w:tcPr>
            <w:tcW w:w="480" w:type="dxa"/>
            <w:vAlign w:val="bottom"/>
          </w:tcPr>
          <w:p>
            <w:pPr>
              <w:spacing w:after="0"/>
              <w:rPr>
                <w:sz w:val="24"/>
                <w:szCs w:val="24"/>
                <w:color w:val="auto"/>
              </w:rPr>
            </w:pPr>
          </w:p>
        </w:tc>
        <w:tc>
          <w:tcPr>
            <w:tcW w:w="170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rPr>
              <w:t>11,838,346</w:t>
            </w:r>
          </w:p>
        </w:tc>
        <w:tc>
          <w:tcPr>
            <w:tcW w:w="480" w:type="dxa"/>
            <w:vAlign w:val="bottom"/>
          </w:tcPr>
          <w:p>
            <w:pPr>
              <w:spacing w:after="0"/>
              <w:rPr>
                <w:sz w:val="24"/>
                <w:szCs w:val="24"/>
                <w:color w:val="auto"/>
              </w:rPr>
            </w:pPr>
          </w:p>
        </w:tc>
        <w:tc>
          <w:tcPr>
            <w:tcW w:w="154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13,935,694</w:t>
            </w:r>
          </w:p>
        </w:tc>
        <w:tc>
          <w:tcPr>
            <w:tcW w:w="0" w:type="dxa"/>
            <w:vAlign w:val="bottom"/>
          </w:tcPr>
          <w:p>
            <w:pPr>
              <w:spacing w:after="0"/>
              <w:rPr>
                <w:sz w:val="1"/>
                <w:szCs w:val="1"/>
                <w:color w:val="auto"/>
              </w:rPr>
            </w:pPr>
          </w:p>
        </w:tc>
      </w:tr>
      <w:tr>
        <w:trPr>
          <w:trHeight w:val="265"/>
        </w:trPr>
        <w:tc>
          <w:tcPr>
            <w:tcW w:w="660" w:type="dxa"/>
            <w:vAlign w:val="bottom"/>
          </w:tcPr>
          <w:p>
            <w:pPr>
              <w:spacing w:after="0"/>
              <w:rPr>
                <w:sz w:val="23"/>
                <w:szCs w:val="23"/>
                <w:color w:val="auto"/>
              </w:rPr>
            </w:pPr>
          </w:p>
        </w:tc>
        <w:tc>
          <w:tcPr>
            <w:tcW w:w="3360" w:type="dxa"/>
            <w:vAlign w:val="bottom"/>
            <w:vMerge w:val="continue"/>
          </w:tcPr>
          <w:p>
            <w:pPr>
              <w:spacing w:after="0"/>
              <w:rPr>
                <w:sz w:val="23"/>
                <w:szCs w:val="23"/>
                <w:color w:val="auto"/>
              </w:rPr>
            </w:pPr>
          </w:p>
        </w:tc>
        <w:tc>
          <w:tcPr>
            <w:tcW w:w="330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8"/>
              </w:rPr>
              <w:t>397,981 shares</w:t>
            </w:r>
          </w:p>
        </w:tc>
        <w:tc>
          <w:tcPr>
            <w:tcW w:w="480" w:type="dxa"/>
            <w:vAlign w:val="bottom"/>
          </w:tcPr>
          <w:p>
            <w:pPr>
              <w:spacing w:after="0"/>
              <w:rPr>
                <w:sz w:val="23"/>
                <w:szCs w:val="23"/>
                <w:color w:val="auto"/>
              </w:rPr>
            </w:pPr>
          </w:p>
        </w:tc>
        <w:tc>
          <w:tcPr>
            <w:tcW w:w="1700" w:type="dxa"/>
            <w:vAlign w:val="bottom"/>
            <w:vMerge w:val="continue"/>
          </w:tcPr>
          <w:p>
            <w:pPr>
              <w:spacing w:after="0"/>
              <w:rPr>
                <w:sz w:val="23"/>
                <w:szCs w:val="23"/>
                <w:color w:val="auto"/>
              </w:rPr>
            </w:pPr>
          </w:p>
        </w:tc>
        <w:tc>
          <w:tcPr>
            <w:tcW w:w="480" w:type="dxa"/>
            <w:vAlign w:val="bottom"/>
          </w:tcPr>
          <w:p>
            <w:pPr>
              <w:spacing w:after="0"/>
              <w:rPr>
                <w:sz w:val="23"/>
                <w:szCs w:val="23"/>
                <w:color w:val="auto"/>
              </w:rPr>
            </w:pPr>
          </w:p>
        </w:tc>
        <w:tc>
          <w:tcPr>
            <w:tcW w:w="15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64"/>
        </w:trPr>
        <w:tc>
          <w:tcPr>
            <w:tcW w:w="660" w:type="dxa"/>
            <w:vAlign w:val="bottom"/>
          </w:tcPr>
          <w:p>
            <w:pPr>
              <w:spacing w:after="0"/>
              <w:rPr>
                <w:sz w:val="24"/>
                <w:szCs w:val="24"/>
                <w:color w:val="auto"/>
              </w:rPr>
            </w:pPr>
          </w:p>
        </w:tc>
        <w:tc>
          <w:tcPr>
            <w:tcW w:w="3360" w:type="dxa"/>
            <w:vAlign w:val="bottom"/>
          </w:tcPr>
          <w:p>
            <w:pPr>
              <w:ind w:left="180"/>
              <w:spacing w:after="0"/>
              <w:rPr>
                <w:sz w:val="20"/>
                <w:szCs w:val="20"/>
                <w:color w:val="auto"/>
              </w:rPr>
            </w:pPr>
            <w:r>
              <w:rPr>
                <w:rFonts w:ascii="Courier New" w:cs="Courier New" w:eastAsia="Courier New" w:hAnsi="Courier New"/>
                <w:sz w:val="16"/>
                <w:szCs w:val="16"/>
                <w:color w:val="auto"/>
              </w:rPr>
              <w:t>AET Income Fund II</w:t>
            </w:r>
          </w:p>
        </w:tc>
        <w:tc>
          <w:tcPr>
            <w:tcW w:w="330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8"/>
              </w:rPr>
              <w:t>1,386,096 shares</w:t>
            </w:r>
          </w:p>
        </w:tc>
        <w:tc>
          <w:tcPr>
            <w:tcW w:w="480" w:type="dxa"/>
            <w:vAlign w:val="bottom"/>
          </w:tcPr>
          <w:p>
            <w:pPr>
              <w:spacing w:after="0"/>
              <w:rPr>
                <w:sz w:val="24"/>
                <w:szCs w:val="24"/>
                <w:color w:val="auto"/>
              </w:rPr>
            </w:pPr>
          </w:p>
        </w:tc>
        <w:tc>
          <w:tcPr>
            <w:tcW w:w="17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22,038,464</w:t>
            </w:r>
          </w:p>
        </w:tc>
        <w:tc>
          <w:tcPr>
            <w:tcW w:w="480" w:type="dxa"/>
            <w:vAlign w:val="bottom"/>
          </w:tcPr>
          <w:p>
            <w:pPr>
              <w:spacing w:after="0"/>
              <w:rPr>
                <w:sz w:val="24"/>
                <w:szCs w:val="24"/>
                <w:color w:val="auto"/>
              </w:rPr>
            </w:pPr>
          </w:p>
        </w:tc>
        <w:tc>
          <w:tcPr>
            <w:tcW w:w="15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25,562,380</w:t>
            </w:r>
          </w:p>
        </w:tc>
        <w:tc>
          <w:tcPr>
            <w:tcW w:w="0" w:type="dxa"/>
            <w:vAlign w:val="bottom"/>
          </w:tcPr>
          <w:p>
            <w:pPr>
              <w:spacing w:after="0"/>
              <w:rPr>
                <w:sz w:val="1"/>
                <w:szCs w:val="1"/>
                <w:color w:val="auto"/>
              </w:rPr>
            </w:pPr>
          </w:p>
        </w:tc>
      </w:tr>
      <w:tr>
        <w:trPr>
          <w:trHeight w:val="280"/>
        </w:trPr>
        <w:tc>
          <w:tcPr>
            <w:tcW w:w="6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300" w:type="dxa"/>
            <w:vAlign w:val="bottom"/>
          </w:tcPr>
          <w:p>
            <w:pPr>
              <w:ind w:left="140"/>
              <w:spacing w:after="0"/>
              <w:rPr>
                <w:sz w:val="20"/>
                <w:szCs w:val="20"/>
                <w:color w:val="auto"/>
              </w:rPr>
            </w:pPr>
            <w:r>
              <w:rPr>
                <w:rFonts w:ascii="Courier New" w:cs="Courier New" w:eastAsia="Courier New" w:hAnsi="Courier New"/>
                <w:sz w:val="16"/>
                <w:szCs w:val="16"/>
                <w:color w:val="auto"/>
              </w:rPr>
              <w:t>Registered investment</w:t>
            </w:r>
          </w:p>
        </w:tc>
        <w:tc>
          <w:tcPr>
            <w:tcW w:w="4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3360" w:type="dxa"/>
            <w:vAlign w:val="bottom"/>
            <w:vMerge w:val="restart"/>
          </w:tcPr>
          <w:p>
            <w:pPr>
              <w:ind w:left="180"/>
              <w:spacing w:after="0"/>
              <w:rPr>
                <w:sz w:val="20"/>
                <w:szCs w:val="20"/>
                <w:color w:val="auto"/>
              </w:rPr>
            </w:pPr>
            <w:r>
              <w:rPr>
                <w:rFonts w:ascii="Courier New" w:cs="Courier New" w:eastAsia="Courier New" w:hAnsi="Courier New"/>
                <w:sz w:val="16"/>
                <w:szCs w:val="16"/>
                <w:color w:val="auto"/>
              </w:rPr>
              <w:t>IDS International Fund</w:t>
            </w:r>
          </w:p>
        </w:tc>
        <w:tc>
          <w:tcPr>
            <w:tcW w:w="3300" w:type="dxa"/>
            <w:vAlign w:val="bottom"/>
          </w:tcPr>
          <w:p>
            <w:pPr>
              <w:ind w:left="140"/>
              <w:spacing w:after="0"/>
              <w:rPr>
                <w:sz w:val="20"/>
                <w:szCs w:val="20"/>
                <w:color w:val="auto"/>
              </w:rPr>
            </w:pPr>
            <w:r>
              <w:rPr>
                <w:rFonts w:ascii="Courier New" w:cs="Courier New" w:eastAsia="Courier New" w:hAnsi="Courier New"/>
                <w:sz w:val="16"/>
                <w:szCs w:val="16"/>
                <w:color w:val="auto"/>
              </w:rPr>
              <w:t>companies:</w:t>
            </w:r>
          </w:p>
        </w:tc>
        <w:tc>
          <w:tcPr>
            <w:tcW w:w="480" w:type="dxa"/>
            <w:vAlign w:val="bottom"/>
          </w:tcPr>
          <w:p>
            <w:pPr>
              <w:spacing w:after="0"/>
              <w:rPr>
                <w:sz w:val="15"/>
                <w:szCs w:val="15"/>
                <w:color w:val="auto"/>
              </w:rPr>
            </w:pPr>
          </w:p>
        </w:tc>
        <w:tc>
          <w:tcPr>
            <w:tcW w:w="170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rPr>
              <w:t>2,874,557</w:t>
            </w:r>
          </w:p>
        </w:tc>
        <w:tc>
          <w:tcPr>
            <w:tcW w:w="480" w:type="dxa"/>
            <w:vAlign w:val="bottom"/>
          </w:tcPr>
          <w:p>
            <w:pPr>
              <w:spacing w:after="0"/>
              <w:rPr>
                <w:sz w:val="15"/>
                <w:szCs w:val="15"/>
                <w:color w:val="auto"/>
              </w:rPr>
            </w:pPr>
          </w:p>
        </w:tc>
        <w:tc>
          <w:tcPr>
            <w:tcW w:w="154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2,862,437</w:t>
            </w:r>
          </w:p>
        </w:tc>
        <w:tc>
          <w:tcPr>
            <w:tcW w:w="0" w:type="dxa"/>
            <w:vAlign w:val="bottom"/>
          </w:tcPr>
          <w:p>
            <w:pPr>
              <w:spacing w:after="0"/>
              <w:rPr>
                <w:sz w:val="1"/>
                <w:szCs w:val="1"/>
                <w:color w:val="auto"/>
              </w:rPr>
            </w:pPr>
          </w:p>
        </w:tc>
      </w:tr>
      <w:tr>
        <w:trPr>
          <w:trHeight w:val="265"/>
        </w:trPr>
        <w:tc>
          <w:tcPr>
            <w:tcW w:w="660" w:type="dxa"/>
            <w:vAlign w:val="bottom"/>
          </w:tcPr>
          <w:p>
            <w:pPr>
              <w:spacing w:after="0"/>
              <w:rPr>
                <w:sz w:val="23"/>
                <w:szCs w:val="23"/>
                <w:color w:val="auto"/>
              </w:rPr>
            </w:pPr>
          </w:p>
        </w:tc>
        <w:tc>
          <w:tcPr>
            <w:tcW w:w="3360" w:type="dxa"/>
            <w:vAlign w:val="bottom"/>
            <w:vMerge w:val="continue"/>
          </w:tcPr>
          <w:p>
            <w:pPr>
              <w:spacing w:after="0"/>
              <w:rPr>
                <w:sz w:val="23"/>
                <w:szCs w:val="23"/>
                <w:color w:val="auto"/>
              </w:rPr>
            </w:pPr>
          </w:p>
        </w:tc>
        <w:tc>
          <w:tcPr>
            <w:tcW w:w="330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8"/>
              </w:rPr>
              <w:t>247,359 shares</w:t>
            </w:r>
          </w:p>
        </w:tc>
        <w:tc>
          <w:tcPr>
            <w:tcW w:w="480" w:type="dxa"/>
            <w:vAlign w:val="bottom"/>
          </w:tcPr>
          <w:p>
            <w:pPr>
              <w:spacing w:after="0"/>
              <w:rPr>
                <w:sz w:val="23"/>
                <w:szCs w:val="23"/>
                <w:color w:val="auto"/>
              </w:rPr>
            </w:pPr>
          </w:p>
        </w:tc>
        <w:tc>
          <w:tcPr>
            <w:tcW w:w="1700" w:type="dxa"/>
            <w:vAlign w:val="bottom"/>
            <w:vMerge w:val="continue"/>
          </w:tcPr>
          <w:p>
            <w:pPr>
              <w:spacing w:after="0"/>
              <w:rPr>
                <w:sz w:val="23"/>
                <w:szCs w:val="23"/>
                <w:color w:val="auto"/>
              </w:rPr>
            </w:pPr>
          </w:p>
        </w:tc>
        <w:tc>
          <w:tcPr>
            <w:tcW w:w="480" w:type="dxa"/>
            <w:vAlign w:val="bottom"/>
          </w:tcPr>
          <w:p>
            <w:pPr>
              <w:spacing w:after="0"/>
              <w:rPr>
                <w:sz w:val="23"/>
                <w:szCs w:val="23"/>
                <w:color w:val="auto"/>
              </w:rPr>
            </w:pPr>
          </w:p>
        </w:tc>
        <w:tc>
          <w:tcPr>
            <w:tcW w:w="15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64"/>
        </w:trPr>
        <w:tc>
          <w:tcPr>
            <w:tcW w:w="660" w:type="dxa"/>
            <w:vAlign w:val="bottom"/>
          </w:tcPr>
          <w:p>
            <w:pPr>
              <w:spacing w:after="0"/>
              <w:rPr>
                <w:sz w:val="24"/>
                <w:szCs w:val="24"/>
                <w:color w:val="auto"/>
              </w:rPr>
            </w:pPr>
          </w:p>
        </w:tc>
        <w:tc>
          <w:tcPr>
            <w:tcW w:w="3360" w:type="dxa"/>
            <w:vAlign w:val="bottom"/>
          </w:tcPr>
          <w:p>
            <w:pPr>
              <w:ind w:left="180"/>
              <w:spacing w:after="0"/>
              <w:rPr>
                <w:sz w:val="20"/>
                <w:szCs w:val="20"/>
                <w:color w:val="auto"/>
              </w:rPr>
            </w:pPr>
            <w:r>
              <w:rPr>
                <w:rFonts w:ascii="Courier New" w:cs="Courier New" w:eastAsia="Courier New" w:hAnsi="Courier New"/>
                <w:sz w:val="16"/>
                <w:szCs w:val="16"/>
                <w:color w:val="auto"/>
              </w:rPr>
              <w:t>IDS New Dimensions Fund</w:t>
            </w:r>
          </w:p>
        </w:tc>
        <w:tc>
          <w:tcPr>
            <w:tcW w:w="330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8"/>
              </w:rPr>
              <w:t>1,156,948 shares</w:t>
            </w:r>
          </w:p>
        </w:tc>
        <w:tc>
          <w:tcPr>
            <w:tcW w:w="480" w:type="dxa"/>
            <w:vAlign w:val="bottom"/>
          </w:tcPr>
          <w:p>
            <w:pPr>
              <w:spacing w:after="0"/>
              <w:rPr>
                <w:sz w:val="24"/>
                <w:szCs w:val="24"/>
                <w:color w:val="auto"/>
              </w:rPr>
            </w:pPr>
          </w:p>
        </w:tc>
        <w:tc>
          <w:tcPr>
            <w:tcW w:w="17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24,292,548</w:t>
            </w:r>
          </w:p>
        </w:tc>
        <w:tc>
          <w:tcPr>
            <w:tcW w:w="480" w:type="dxa"/>
            <w:vAlign w:val="bottom"/>
          </w:tcPr>
          <w:p>
            <w:pPr>
              <w:spacing w:after="0"/>
              <w:rPr>
                <w:sz w:val="24"/>
                <w:szCs w:val="24"/>
                <w:color w:val="auto"/>
              </w:rPr>
            </w:pPr>
          </w:p>
        </w:tc>
        <w:tc>
          <w:tcPr>
            <w:tcW w:w="15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33,372,154</w:t>
            </w:r>
          </w:p>
        </w:tc>
        <w:tc>
          <w:tcPr>
            <w:tcW w:w="0" w:type="dxa"/>
            <w:vAlign w:val="bottom"/>
          </w:tcPr>
          <w:p>
            <w:pPr>
              <w:spacing w:after="0"/>
              <w:rPr>
                <w:sz w:val="1"/>
                <w:szCs w:val="1"/>
                <w:color w:val="auto"/>
              </w:rPr>
            </w:pPr>
          </w:p>
        </w:tc>
      </w:tr>
      <w:tr>
        <w:trPr>
          <w:trHeight w:val="364"/>
        </w:trPr>
        <w:tc>
          <w:tcPr>
            <w:tcW w:w="660" w:type="dxa"/>
            <w:vAlign w:val="bottom"/>
          </w:tcPr>
          <w:p>
            <w:pPr>
              <w:spacing w:after="0"/>
              <w:rPr>
                <w:sz w:val="24"/>
                <w:szCs w:val="24"/>
                <w:color w:val="auto"/>
              </w:rPr>
            </w:pPr>
          </w:p>
        </w:tc>
        <w:tc>
          <w:tcPr>
            <w:tcW w:w="3360" w:type="dxa"/>
            <w:vAlign w:val="bottom"/>
          </w:tcPr>
          <w:p>
            <w:pPr>
              <w:ind w:left="180"/>
              <w:spacing w:after="0"/>
              <w:rPr>
                <w:sz w:val="20"/>
                <w:szCs w:val="20"/>
                <w:color w:val="auto"/>
              </w:rPr>
            </w:pPr>
            <w:r>
              <w:rPr>
                <w:rFonts w:ascii="Courier New" w:cs="Courier New" w:eastAsia="Courier New" w:hAnsi="Courier New"/>
                <w:sz w:val="16"/>
                <w:szCs w:val="16"/>
                <w:color w:val="auto"/>
              </w:rPr>
              <w:t>IDS Mutual Fund</w:t>
            </w:r>
          </w:p>
        </w:tc>
        <w:tc>
          <w:tcPr>
            <w:tcW w:w="330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8"/>
              </w:rPr>
              <w:t>765,761 shares</w:t>
            </w:r>
          </w:p>
        </w:tc>
        <w:tc>
          <w:tcPr>
            <w:tcW w:w="480" w:type="dxa"/>
            <w:vAlign w:val="bottom"/>
          </w:tcPr>
          <w:p>
            <w:pPr>
              <w:spacing w:after="0"/>
              <w:rPr>
                <w:sz w:val="24"/>
                <w:szCs w:val="24"/>
                <w:color w:val="auto"/>
              </w:rPr>
            </w:pPr>
          </w:p>
        </w:tc>
        <w:tc>
          <w:tcPr>
            <w:tcW w:w="17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10,275,030</w:t>
            </w:r>
          </w:p>
        </w:tc>
        <w:tc>
          <w:tcPr>
            <w:tcW w:w="480" w:type="dxa"/>
            <w:vAlign w:val="bottom"/>
          </w:tcPr>
          <w:p>
            <w:pPr>
              <w:spacing w:after="0"/>
              <w:rPr>
                <w:sz w:val="24"/>
                <w:szCs w:val="24"/>
                <w:color w:val="auto"/>
              </w:rPr>
            </w:pPr>
          </w:p>
        </w:tc>
        <w:tc>
          <w:tcPr>
            <w:tcW w:w="15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9,973,266</w:t>
            </w:r>
          </w:p>
        </w:tc>
        <w:tc>
          <w:tcPr>
            <w:tcW w:w="0" w:type="dxa"/>
            <w:vAlign w:val="bottom"/>
          </w:tcPr>
          <w:p>
            <w:pPr>
              <w:spacing w:after="0"/>
              <w:rPr>
                <w:sz w:val="1"/>
                <w:szCs w:val="1"/>
                <w:color w:val="auto"/>
              </w:rPr>
            </w:pPr>
          </w:p>
        </w:tc>
      </w:tr>
      <w:tr>
        <w:trPr>
          <w:trHeight w:val="364"/>
        </w:trPr>
        <w:tc>
          <w:tcPr>
            <w:tcW w:w="660" w:type="dxa"/>
            <w:vAlign w:val="bottom"/>
          </w:tcPr>
          <w:p>
            <w:pPr>
              <w:spacing w:after="0"/>
              <w:rPr>
                <w:sz w:val="24"/>
                <w:szCs w:val="24"/>
                <w:color w:val="auto"/>
              </w:rPr>
            </w:pPr>
          </w:p>
        </w:tc>
        <w:tc>
          <w:tcPr>
            <w:tcW w:w="3360" w:type="dxa"/>
            <w:vAlign w:val="bottom"/>
          </w:tcPr>
          <w:p>
            <w:pPr>
              <w:ind w:left="180"/>
              <w:spacing w:after="0"/>
              <w:rPr>
                <w:sz w:val="20"/>
                <w:szCs w:val="20"/>
                <w:color w:val="auto"/>
              </w:rPr>
            </w:pPr>
            <w:r>
              <w:rPr>
                <w:rFonts w:ascii="Courier New" w:cs="Courier New" w:eastAsia="Courier New" w:hAnsi="Courier New"/>
                <w:sz w:val="16"/>
                <w:szCs w:val="16"/>
                <w:color w:val="auto"/>
              </w:rPr>
              <w:t>IDS Federal Income Fund</w:t>
            </w:r>
          </w:p>
        </w:tc>
        <w:tc>
          <w:tcPr>
            <w:tcW w:w="330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8"/>
              </w:rPr>
              <w:t>4,229,323 shares</w:t>
            </w:r>
          </w:p>
        </w:tc>
        <w:tc>
          <w:tcPr>
            <w:tcW w:w="480" w:type="dxa"/>
            <w:vAlign w:val="bottom"/>
          </w:tcPr>
          <w:p>
            <w:pPr>
              <w:spacing w:after="0"/>
              <w:rPr>
                <w:sz w:val="24"/>
                <w:szCs w:val="24"/>
                <w:color w:val="auto"/>
              </w:rPr>
            </w:pPr>
          </w:p>
        </w:tc>
        <w:tc>
          <w:tcPr>
            <w:tcW w:w="17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21,427,898</w:t>
            </w:r>
          </w:p>
        </w:tc>
        <w:tc>
          <w:tcPr>
            <w:tcW w:w="480" w:type="dxa"/>
            <w:vAlign w:val="bottom"/>
          </w:tcPr>
          <w:p>
            <w:pPr>
              <w:spacing w:after="0"/>
              <w:rPr>
                <w:sz w:val="24"/>
                <w:szCs w:val="24"/>
                <w:color w:val="auto"/>
              </w:rPr>
            </w:pPr>
          </w:p>
        </w:tc>
        <w:tc>
          <w:tcPr>
            <w:tcW w:w="15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21,336,933</w:t>
            </w:r>
          </w:p>
        </w:tc>
        <w:tc>
          <w:tcPr>
            <w:tcW w:w="0" w:type="dxa"/>
            <w:vAlign w:val="bottom"/>
          </w:tcPr>
          <w:p>
            <w:pPr>
              <w:spacing w:after="0"/>
              <w:rPr>
                <w:sz w:val="1"/>
                <w:szCs w:val="1"/>
                <w:color w:val="auto"/>
              </w:rPr>
            </w:pPr>
          </w:p>
        </w:tc>
      </w:tr>
      <w:tr>
        <w:trPr>
          <w:trHeight w:val="280"/>
        </w:trPr>
        <w:tc>
          <w:tcPr>
            <w:tcW w:w="660" w:type="dxa"/>
            <w:vAlign w:val="bottom"/>
          </w:tcPr>
          <w:p>
            <w:pPr>
              <w:spacing w:after="0"/>
              <w:rPr>
                <w:sz w:val="24"/>
                <w:szCs w:val="24"/>
                <w:color w:val="auto"/>
              </w:rPr>
            </w:pPr>
          </w:p>
        </w:tc>
        <w:tc>
          <w:tcPr>
            <w:tcW w:w="3360" w:type="dxa"/>
            <w:vAlign w:val="bottom"/>
          </w:tcPr>
          <w:p>
            <w:pPr>
              <w:ind w:left="180"/>
              <w:spacing w:after="0"/>
              <w:rPr>
                <w:sz w:val="20"/>
                <w:szCs w:val="20"/>
                <w:color w:val="auto"/>
              </w:rPr>
            </w:pPr>
            <w:r>
              <w:rPr>
                <w:rFonts w:ascii="Courier New" w:cs="Courier New" w:eastAsia="Courier New" w:hAnsi="Courier New"/>
                <w:sz w:val="16"/>
                <w:szCs w:val="16"/>
                <w:color w:val="auto"/>
              </w:rPr>
              <w:t>AIM Constellation Fund</w:t>
            </w:r>
          </w:p>
        </w:tc>
        <w:tc>
          <w:tcPr>
            <w:tcW w:w="3300" w:type="dxa"/>
            <w:vAlign w:val="bottom"/>
          </w:tcPr>
          <w:p>
            <w:pPr>
              <w:ind w:left="800"/>
              <w:spacing w:after="0"/>
              <w:rPr>
                <w:sz w:val="20"/>
                <w:szCs w:val="20"/>
                <w:color w:val="auto"/>
              </w:rPr>
            </w:pPr>
            <w:r>
              <w:rPr>
                <w:rFonts w:ascii="Courier New" w:cs="Courier New" w:eastAsia="Courier New" w:hAnsi="Courier New"/>
                <w:sz w:val="16"/>
                <w:szCs w:val="16"/>
                <w:color w:val="auto"/>
              </w:rPr>
              <w:t>65,118 shares</w:t>
            </w:r>
          </w:p>
        </w:tc>
        <w:tc>
          <w:tcPr>
            <w:tcW w:w="480" w:type="dxa"/>
            <w:vAlign w:val="bottom"/>
          </w:tcPr>
          <w:p>
            <w:pPr>
              <w:spacing w:after="0"/>
              <w:rPr>
                <w:sz w:val="24"/>
                <w:szCs w:val="24"/>
                <w:color w:val="auto"/>
              </w:rPr>
            </w:pPr>
          </w:p>
        </w:tc>
        <w:tc>
          <w:tcPr>
            <w:tcW w:w="17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1,853,033</w:t>
            </w:r>
          </w:p>
        </w:tc>
        <w:tc>
          <w:tcPr>
            <w:tcW w:w="480" w:type="dxa"/>
            <w:vAlign w:val="bottom"/>
          </w:tcPr>
          <w:p>
            <w:pPr>
              <w:spacing w:after="0"/>
              <w:rPr>
                <w:sz w:val="24"/>
                <w:szCs w:val="24"/>
                <w:color w:val="auto"/>
              </w:rPr>
            </w:pPr>
          </w:p>
        </w:tc>
        <w:tc>
          <w:tcPr>
            <w:tcW w:w="15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1,987,407</w:t>
            </w:r>
          </w:p>
        </w:tc>
        <w:tc>
          <w:tcPr>
            <w:tcW w:w="0" w:type="dxa"/>
            <w:vAlign w:val="bottom"/>
          </w:tcPr>
          <w:p>
            <w:pPr>
              <w:spacing w:after="0"/>
              <w:rPr>
                <w:sz w:val="1"/>
                <w:szCs w:val="1"/>
                <w:color w:val="auto"/>
              </w:rPr>
            </w:pPr>
          </w:p>
        </w:tc>
      </w:tr>
      <w:tr>
        <w:trPr>
          <w:trHeight w:val="265"/>
        </w:trPr>
        <w:tc>
          <w:tcPr>
            <w:tcW w:w="66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218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20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6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98,605,448</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119,726,968</w:t>
            </w:r>
          </w:p>
        </w:tc>
        <w:tc>
          <w:tcPr>
            <w:tcW w:w="0" w:type="dxa"/>
            <w:vAlign w:val="bottom"/>
          </w:tcPr>
          <w:p>
            <w:pPr>
              <w:spacing w:after="0"/>
              <w:rPr>
                <w:sz w:val="1"/>
                <w:szCs w:val="1"/>
                <w:color w:val="auto"/>
              </w:rPr>
            </w:pPr>
          </w:p>
        </w:tc>
      </w:tr>
      <w:tr>
        <w:trPr>
          <w:trHeight w:val="265"/>
        </w:trPr>
        <w:tc>
          <w:tcPr>
            <w:tcW w:w="66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218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20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546"/>
        </w:trPr>
        <w:tc>
          <w:tcPr>
            <w:tcW w:w="660" w:type="dxa"/>
            <w:vAlign w:val="bottom"/>
          </w:tcPr>
          <w:p>
            <w:pPr>
              <w:spacing w:after="0"/>
              <w:rPr>
                <w:sz w:val="24"/>
                <w:szCs w:val="24"/>
                <w:color w:val="auto"/>
              </w:rPr>
            </w:pPr>
          </w:p>
        </w:tc>
        <w:tc>
          <w:tcPr>
            <w:tcW w:w="3360" w:type="dxa"/>
            <w:vAlign w:val="bottom"/>
          </w:tcPr>
          <w:p>
            <w:pPr>
              <w:ind w:left="2940"/>
              <w:spacing w:after="0"/>
              <w:rPr>
                <w:sz w:val="20"/>
                <w:szCs w:val="20"/>
                <w:color w:val="auto"/>
              </w:rPr>
            </w:pPr>
            <w:r>
              <w:rPr>
                <w:rFonts w:ascii="Courier New" w:cs="Courier New" w:eastAsia="Courier New" w:hAnsi="Courier New"/>
                <w:sz w:val="16"/>
                <w:szCs w:val="16"/>
                <w:color w:val="auto"/>
              </w:rPr>
              <w:t>-9-</w:t>
            </w:r>
          </w:p>
        </w:tc>
        <w:tc>
          <w:tcPr>
            <w:tcW w:w="3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520"/>
          </w:cols>
          <w:pgMar w:left="240" w:top="635" w:right="1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100" w:type="dxa"/>
            <w:vAlign w:val="bottom"/>
            <w:gridSpan w:val="4"/>
          </w:tcPr>
          <w:p>
            <w:pPr>
              <w:jc w:val="center"/>
              <w:ind w:left="1381"/>
              <w:spacing w:after="0"/>
              <w:rPr>
                <w:sz w:val="20"/>
                <w:szCs w:val="20"/>
                <w:color w:val="auto"/>
              </w:rPr>
            </w:pPr>
            <w:r>
              <w:rPr>
                <w:rFonts w:ascii="Courier New" w:cs="Courier New" w:eastAsia="Courier New" w:hAnsi="Courier New"/>
                <w:sz w:val="16"/>
                <w:szCs w:val="16"/>
                <w:color w:val="auto"/>
                <w:w w:val="98"/>
              </w:rPr>
              <w:t>Line 27d - Schedule of Reportable Transactions</w:t>
            </w:r>
          </w:p>
        </w:tc>
        <w:tc>
          <w:tcPr>
            <w:tcW w:w="2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920" w:type="dxa"/>
            <w:vAlign w:val="bottom"/>
            <w:vMerge w:val="restart"/>
          </w:tcPr>
          <w:p>
            <w:pPr>
              <w:ind w:left="2560"/>
              <w:spacing w:after="0"/>
              <w:rPr>
                <w:sz w:val="20"/>
                <w:szCs w:val="20"/>
                <w:color w:val="auto"/>
              </w:rPr>
            </w:pPr>
            <w:r>
              <w:rPr>
                <w:rFonts w:ascii="Courier New" w:cs="Courier New" w:eastAsia="Courier New" w:hAnsi="Courier New"/>
                <w:sz w:val="16"/>
                <w:szCs w:val="16"/>
                <w:color w:val="auto"/>
                <w:w w:val="88"/>
              </w:rPr>
              <w:t>EIN:</w:t>
            </w:r>
          </w:p>
        </w:tc>
        <w:tc>
          <w:tcPr>
            <w:tcW w:w="2000" w:type="dxa"/>
            <w:vAlign w:val="bottom"/>
          </w:tcPr>
          <w:p>
            <w:pPr>
              <w:spacing w:after="0"/>
              <w:rPr>
                <w:sz w:val="20"/>
                <w:szCs w:val="20"/>
                <w:color w:val="auto"/>
              </w:rPr>
            </w:pPr>
            <w:r>
              <w:rPr>
                <w:rFonts w:ascii="Courier New" w:cs="Courier New" w:eastAsia="Courier New" w:hAnsi="Courier New"/>
                <w:sz w:val="16"/>
                <w:szCs w:val="16"/>
                <w:color w:val="auto"/>
              </w:rPr>
              <w:t>Camco Thrift Plan</w:t>
            </w: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920" w:type="dxa"/>
            <w:vAlign w:val="bottom"/>
            <w:vMerge w:val="continue"/>
          </w:tcPr>
          <w:p>
            <w:pPr>
              <w:spacing w:after="0"/>
              <w:rPr>
                <w:sz w:val="15"/>
                <w:szCs w:val="15"/>
                <w:color w:val="auto"/>
              </w:rPr>
            </w:pPr>
          </w:p>
        </w:tc>
        <w:tc>
          <w:tcPr>
            <w:tcW w:w="2000" w:type="dxa"/>
            <w:vAlign w:val="bottom"/>
          </w:tcPr>
          <w:p>
            <w:pPr>
              <w:ind w:left="200"/>
              <w:spacing w:after="0"/>
              <w:rPr>
                <w:sz w:val="20"/>
                <w:szCs w:val="20"/>
                <w:color w:val="auto"/>
              </w:rPr>
            </w:pPr>
            <w:r>
              <w:rPr>
                <w:rFonts w:ascii="Courier New" w:cs="Courier New" w:eastAsia="Courier New" w:hAnsi="Courier New"/>
                <w:sz w:val="16"/>
                <w:szCs w:val="16"/>
                <w:color w:val="auto"/>
                <w:w w:val="97"/>
              </w:rPr>
              <w:t>13-3517570; P/N 001</w:t>
            </w: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6100" w:type="dxa"/>
            <w:vAlign w:val="bottom"/>
            <w:gridSpan w:val="4"/>
          </w:tcPr>
          <w:p>
            <w:pPr>
              <w:jc w:val="center"/>
              <w:ind w:left="1381"/>
              <w:spacing w:after="0"/>
              <w:rPr>
                <w:sz w:val="20"/>
                <w:szCs w:val="20"/>
                <w:color w:val="auto"/>
              </w:rPr>
            </w:pPr>
            <w:r>
              <w:rPr>
                <w:rFonts w:ascii="Courier New" w:cs="Courier New" w:eastAsia="Courier New" w:hAnsi="Courier New"/>
                <w:sz w:val="16"/>
                <w:szCs w:val="16"/>
                <w:color w:val="auto"/>
                <w:w w:val="98"/>
              </w:rPr>
              <w:t>For the Year Ended December 31, 1998</w:t>
            </w:r>
          </w:p>
        </w:tc>
        <w:tc>
          <w:tcPr>
            <w:tcW w:w="2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26"/>
        </w:trPr>
        <w:tc>
          <w:tcPr>
            <w:tcW w:w="2920" w:type="dxa"/>
            <w:vAlign w:val="bottom"/>
          </w:tcPr>
          <w:p>
            <w:pPr>
              <w:ind w:left="1320"/>
              <w:spacing w:after="0"/>
              <w:rPr>
                <w:sz w:val="20"/>
                <w:szCs w:val="20"/>
                <w:color w:val="auto"/>
              </w:rPr>
            </w:pPr>
            <w:r>
              <w:rPr>
                <w:rFonts w:ascii="Courier New" w:cs="Courier New" w:eastAsia="Courier New" w:hAnsi="Courier New"/>
                <w:sz w:val="16"/>
                <w:szCs w:val="16"/>
                <w:color w:val="auto"/>
              </w:rPr>
              <w:t>(a)</w:t>
            </w:r>
          </w:p>
        </w:tc>
        <w:tc>
          <w:tcPr>
            <w:tcW w:w="2000" w:type="dxa"/>
            <w:vAlign w:val="bottom"/>
            <w:vMerge w:val="restart"/>
          </w:tcPr>
          <w:p>
            <w:pPr>
              <w:jc w:val="right"/>
              <w:ind w:right="121"/>
              <w:spacing w:after="0"/>
              <w:rPr>
                <w:sz w:val="20"/>
                <w:szCs w:val="20"/>
                <w:color w:val="auto"/>
              </w:rPr>
            </w:pPr>
            <w:r>
              <w:rPr>
                <w:rFonts w:ascii="Courier New" w:cs="Courier New" w:eastAsia="Courier New" w:hAnsi="Courier New"/>
                <w:sz w:val="16"/>
                <w:szCs w:val="16"/>
                <w:color w:val="auto"/>
              </w:rPr>
              <w:t>(b)</w:t>
            </w: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(c)</w:t>
            </w:r>
          </w:p>
        </w:tc>
        <w:tc>
          <w:tcPr>
            <w:tcW w:w="1700" w:type="dxa"/>
            <w:vAlign w:val="bottom"/>
          </w:tcPr>
          <w:p>
            <w:pPr>
              <w:jc w:val="center"/>
              <w:ind w:left="21"/>
              <w:spacing w:after="0"/>
              <w:rPr>
                <w:sz w:val="20"/>
                <w:szCs w:val="20"/>
                <w:color w:val="auto"/>
              </w:rPr>
            </w:pPr>
            <w:r>
              <w:rPr>
                <w:rFonts w:ascii="Courier New" w:cs="Courier New" w:eastAsia="Courier New" w:hAnsi="Courier New"/>
                <w:sz w:val="16"/>
                <w:szCs w:val="16"/>
                <w:color w:val="auto"/>
                <w:w w:val="97"/>
              </w:rPr>
              <w:t>(d)</w:t>
            </w:r>
          </w:p>
        </w:tc>
        <w:tc>
          <w:tcPr>
            <w:tcW w:w="14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(i)</w:t>
            </w:r>
          </w:p>
        </w:tc>
        <w:tc>
          <w:tcPr>
            <w:tcW w:w="0" w:type="dxa"/>
            <w:vAlign w:val="bottom"/>
          </w:tcPr>
          <w:p>
            <w:pPr>
              <w:spacing w:after="0"/>
              <w:rPr>
                <w:sz w:val="1"/>
                <w:szCs w:val="1"/>
                <w:color w:val="auto"/>
              </w:rPr>
            </w:pPr>
          </w:p>
        </w:tc>
      </w:tr>
      <w:tr>
        <w:trPr>
          <w:trHeight w:val="182"/>
        </w:trPr>
        <w:tc>
          <w:tcPr>
            <w:tcW w:w="2920" w:type="dxa"/>
            <w:vAlign w:val="bottom"/>
          </w:tcPr>
          <w:p>
            <w:pPr>
              <w:ind w:left="940"/>
              <w:spacing w:after="0"/>
              <w:rPr>
                <w:sz w:val="20"/>
                <w:szCs w:val="20"/>
                <w:color w:val="auto"/>
              </w:rPr>
            </w:pPr>
            <w:r>
              <w:rPr>
                <w:rFonts w:ascii="Courier New" w:cs="Courier New" w:eastAsia="Courier New" w:hAnsi="Courier New"/>
                <w:sz w:val="16"/>
                <w:szCs w:val="16"/>
                <w:color w:val="auto"/>
              </w:rPr>
              <w:t>Identity of</w:t>
            </w:r>
          </w:p>
        </w:tc>
        <w:tc>
          <w:tcPr>
            <w:tcW w:w="200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Purchase</w:t>
            </w:r>
          </w:p>
        </w:tc>
        <w:tc>
          <w:tcPr>
            <w:tcW w:w="1700" w:type="dxa"/>
            <w:vAlign w:val="bottom"/>
          </w:tcPr>
          <w:p>
            <w:pPr>
              <w:jc w:val="center"/>
              <w:ind w:left="41"/>
              <w:spacing w:after="0"/>
              <w:rPr>
                <w:sz w:val="20"/>
                <w:szCs w:val="20"/>
                <w:color w:val="auto"/>
              </w:rPr>
            </w:pPr>
            <w:r>
              <w:rPr>
                <w:rFonts w:ascii="Courier New" w:cs="Courier New" w:eastAsia="Courier New" w:hAnsi="Courier New"/>
                <w:sz w:val="16"/>
                <w:szCs w:val="16"/>
                <w:color w:val="auto"/>
                <w:w w:val="98"/>
              </w:rPr>
              <w:t>Selling</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Net gain</w:t>
            </w:r>
          </w:p>
        </w:tc>
        <w:tc>
          <w:tcPr>
            <w:tcW w:w="0" w:type="dxa"/>
            <w:vAlign w:val="bottom"/>
          </w:tcPr>
          <w:p>
            <w:pPr>
              <w:spacing w:after="0"/>
              <w:rPr>
                <w:sz w:val="1"/>
                <w:szCs w:val="1"/>
                <w:color w:val="auto"/>
              </w:rPr>
            </w:pPr>
          </w:p>
        </w:tc>
      </w:tr>
      <w:tr>
        <w:trPr>
          <w:trHeight w:val="182"/>
        </w:trPr>
        <w:tc>
          <w:tcPr>
            <w:tcW w:w="2920" w:type="dxa"/>
            <w:vAlign w:val="bottom"/>
          </w:tcPr>
          <w:p>
            <w:pPr>
              <w:ind w:left="760"/>
              <w:spacing w:after="0"/>
              <w:rPr>
                <w:sz w:val="20"/>
                <w:szCs w:val="20"/>
                <w:color w:val="auto"/>
              </w:rPr>
            </w:pPr>
            <w:r>
              <w:rPr>
                <w:rFonts w:ascii="Courier New" w:cs="Courier New" w:eastAsia="Courier New" w:hAnsi="Courier New"/>
                <w:sz w:val="16"/>
                <w:szCs w:val="16"/>
                <w:color w:val="auto"/>
              </w:rPr>
              <w:t>party involved</w:t>
            </w:r>
          </w:p>
        </w:tc>
        <w:tc>
          <w:tcPr>
            <w:tcW w:w="3180" w:type="dxa"/>
            <w:vAlign w:val="bottom"/>
            <w:gridSpan w:val="3"/>
          </w:tcPr>
          <w:p>
            <w:pPr>
              <w:ind w:left="680"/>
              <w:spacing w:after="0"/>
              <w:rPr>
                <w:sz w:val="20"/>
                <w:szCs w:val="20"/>
                <w:color w:val="auto"/>
              </w:rPr>
            </w:pPr>
            <w:r>
              <w:rPr>
                <w:rFonts w:ascii="Courier New" w:cs="Courier New" w:eastAsia="Courier New" w:hAnsi="Courier New"/>
                <w:sz w:val="16"/>
                <w:szCs w:val="16"/>
                <w:color w:val="auto"/>
              </w:rPr>
              <w:t>Description of asset</w:t>
            </w:r>
          </w:p>
        </w:tc>
        <w:tc>
          <w:tcPr>
            <w:tcW w:w="240" w:type="dxa"/>
            <w:vAlign w:val="bottom"/>
          </w:tcPr>
          <w:p>
            <w:pPr>
              <w:spacing w:after="0"/>
              <w:rPr>
                <w:sz w:val="15"/>
                <w:szCs w:val="15"/>
                <w:color w:val="auto"/>
              </w:rPr>
            </w:pPr>
          </w:p>
        </w:tc>
        <w:tc>
          <w:tcPr>
            <w:tcW w:w="15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price</w:t>
            </w:r>
          </w:p>
        </w:tc>
        <w:tc>
          <w:tcPr>
            <w:tcW w:w="1700" w:type="dxa"/>
            <w:vAlign w:val="bottom"/>
          </w:tcPr>
          <w:p>
            <w:pPr>
              <w:jc w:val="center"/>
              <w:ind w:left="21"/>
              <w:spacing w:after="0"/>
              <w:rPr>
                <w:sz w:val="20"/>
                <w:szCs w:val="20"/>
                <w:color w:val="auto"/>
              </w:rPr>
            </w:pPr>
            <w:r>
              <w:rPr>
                <w:rFonts w:ascii="Courier New" w:cs="Courier New" w:eastAsia="Courier New" w:hAnsi="Courier New"/>
                <w:sz w:val="16"/>
                <w:szCs w:val="16"/>
                <w:color w:val="auto"/>
                <w:w w:val="99"/>
              </w:rPr>
              <w:t>price</w:t>
            </w:r>
          </w:p>
        </w:tc>
        <w:tc>
          <w:tcPr>
            <w:tcW w:w="1420" w:type="dxa"/>
            <w:vAlign w:val="bottom"/>
          </w:tcPr>
          <w:p>
            <w:pPr>
              <w:ind w:left="380"/>
              <w:spacing w:after="0"/>
              <w:rPr>
                <w:sz w:val="20"/>
                <w:szCs w:val="20"/>
                <w:color w:val="auto"/>
              </w:rPr>
            </w:pPr>
            <w:r>
              <w:rPr>
                <w:rFonts w:ascii="Courier New" w:cs="Courier New" w:eastAsia="Courier New" w:hAnsi="Courier New"/>
                <w:sz w:val="16"/>
                <w:szCs w:val="16"/>
                <w:color w:val="auto"/>
              </w:rPr>
              <w:t>or (loss)</w:t>
            </w:r>
          </w:p>
        </w:tc>
        <w:tc>
          <w:tcPr>
            <w:tcW w:w="0" w:type="dxa"/>
            <w:vAlign w:val="bottom"/>
          </w:tcPr>
          <w:p>
            <w:pPr>
              <w:spacing w:after="0"/>
              <w:rPr>
                <w:sz w:val="1"/>
                <w:szCs w:val="1"/>
                <w:color w:val="auto"/>
              </w:rPr>
            </w:pPr>
          </w:p>
        </w:tc>
      </w:tr>
      <w:tr>
        <w:trPr>
          <w:trHeight w:val="265"/>
        </w:trPr>
        <w:tc>
          <w:tcPr>
            <w:tcW w:w="6100" w:type="dxa"/>
            <w:vAlign w:val="bottom"/>
            <w:gridSpan w:val="4"/>
          </w:tcPr>
          <w:p>
            <w:pPr>
              <w:spacing w:after="0"/>
              <w:rPr>
                <w:sz w:val="20"/>
                <w:szCs w:val="20"/>
                <w:color w:val="auto"/>
              </w:rPr>
            </w:pPr>
            <w:r>
              <w:rPr>
                <w:rFonts w:ascii="Courier New" w:cs="Courier New" w:eastAsia="Courier New" w:hAnsi="Courier New"/>
                <w:sz w:val="16"/>
                <w:szCs w:val="16"/>
                <w:color w:val="auto"/>
              </w:rPr>
              <w:t>- -------------------------------------------------------------</w:t>
            </w:r>
          </w:p>
        </w:tc>
        <w:tc>
          <w:tcPr>
            <w:tcW w:w="240" w:type="dxa"/>
            <w:vAlign w:val="bottom"/>
          </w:tcPr>
          <w:p>
            <w:pPr>
              <w:spacing w:after="0"/>
              <w:rPr>
                <w:sz w:val="23"/>
                <w:szCs w:val="23"/>
                <w:color w:val="auto"/>
              </w:rPr>
            </w:pPr>
          </w:p>
        </w:tc>
        <w:tc>
          <w:tcPr>
            <w:tcW w:w="15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ind w:left="380"/>
              <w:spacing w:after="0"/>
              <w:rPr>
                <w:sz w:val="20"/>
                <w:szCs w:val="20"/>
                <w:color w:val="auto"/>
              </w:rPr>
            </w:pPr>
            <w:r>
              <w:rPr>
                <w:rFonts w:ascii="Courier New" w:cs="Courier New" w:eastAsia="Courier New" w:hAnsi="Courier New"/>
                <w:sz w:val="16"/>
                <w:szCs w:val="16"/>
                <w:color w:val="auto"/>
                <w:w w:val="96"/>
              </w:rPr>
              <w:t>-----------</w:t>
            </w:r>
          </w:p>
        </w:tc>
        <w:tc>
          <w:tcPr>
            <w:tcW w:w="0" w:type="dxa"/>
            <w:vAlign w:val="bottom"/>
          </w:tcPr>
          <w:p>
            <w:pPr>
              <w:spacing w:after="0"/>
              <w:rPr>
                <w:sz w:val="1"/>
                <w:szCs w:val="1"/>
                <w:color w:val="auto"/>
              </w:rPr>
            </w:pPr>
          </w:p>
        </w:tc>
      </w:tr>
      <w:tr>
        <w:trPr>
          <w:trHeight w:val="280"/>
        </w:trPr>
        <w:tc>
          <w:tcPr>
            <w:tcW w:w="2920" w:type="dxa"/>
            <w:vAlign w:val="bottom"/>
          </w:tcPr>
          <w:p>
            <w:pPr>
              <w:spacing w:after="0"/>
              <w:rPr>
                <w:sz w:val="20"/>
                <w:szCs w:val="20"/>
                <w:color w:val="auto"/>
              </w:rPr>
            </w:pPr>
            <w:r>
              <w:rPr>
                <w:rFonts w:ascii="Courier New" w:cs="Courier New" w:eastAsia="Courier New" w:hAnsi="Courier New"/>
                <w:sz w:val="16"/>
                <w:szCs w:val="16"/>
                <w:color w:val="auto"/>
              </w:rPr>
              <w:t>Camco/Schlumberger Stock Fund</w:t>
            </w:r>
          </w:p>
        </w:tc>
        <w:tc>
          <w:tcPr>
            <w:tcW w:w="2380" w:type="dxa"/>
            <w:vAlign w:val="bottom"/>
            <w:gridSpan w:val="2"/>
          </w:tcPr>
          <w:p>
            <w:pPr>
              <w:ind w:left="380"/>
              <w:spacing w:after="0"/>
              <w:rPr>
                <w:sz w:val="20"/>
                <w:szCs w:val="20"/>
                <w:color w:val="auto"/>
              </w:rPr>
            </w:pPr>
            <w:r>
              <w:rPr>
                <w:rFonts w:ascii="Courier New" w:cs="Courier New" w:eastAsia="Courier New" w:hAnsi="Courier New"/>
                <w:sz w:val="16"/>
                <w:szCs w:val="16"/>
                <w:color w:val="auto"/>
                <w:w w:val="98"/>
              </w:rPr>
              <w:t>Employer common stock</w:t>
            </w:r>
          </w:p>
        </w:tc>
        <w:tc>
          <w:tcPr>
            <w:tcW w:w="800" w:type="dxa"/>
            <w:vAlign w:val="bottom"/>
            <w:vMerge w:val="restart"/>
          </w:tcPr>
          <w:p>
            <w:pPr>
              <w:spacing w:after="0"/>
              <w:rPr>
                <w:sz w:val="20"/>
                <w:szCs w:val="20"/>
                <w:color w:val="auto"/>
              </w:rPr>
            </w:pPr>
            <w:r>
              <w:rPr>
                <w:rFonts w:ascii="Courier New" w:cs="Courier New" w:eastAsia="Courier New" w:hAnsi="Courier New"/>
                <w:sz w:val="16"/>
                <w:szCs w:val="16"/>
                <w:color w:val="auto"/>
              </w:rPr>
              <w:t>sales</w:t>
            </w:r>
          </w:p>
        </w:tc>
        <w:tc>
          <w:tcPr>
            <w:tcW w:w="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50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2,907,195</w:t>
            </w:r>
          </w:p>
        </w:tc>
        <w:tc>
          <w:tcPr>
            <w:tcW w:w="1700" w:type="dxa"/>
            <w:vAlign w:val="bottom"/>
            <w:vMerge w:val="restart"/>
          </w:tcPr>
          <w:p>
            <w:pPr>
              <w:jc w:val="right"/>
              <w:ind w:right="281"/>
              <w:spacing w:after="0"/>
              <w:rPr>
                <w:sz w:val="20"/>
                <w:szCs w:val="20"/>
                <w:color w:val="auto"/>
              </w:rPr>
            </w:pPr>
            <w:r>
              <w:rPr>
                <w:rFonts w:ascii="Courier New" w:cs="Courier New" w:eastAsia="Courier New" w:hAnsi="Courier New"/>
                <w:sz w:val="16"/>
                <w:szCs w:val="16"/>
                <w:color w:val="auto"/>
              </w:rPr>
              <w:t>$  2,011,964</w:t>
            </w:r>
          </w:p>
        </w:tc>
        <w:tc>
          <w:tcPr>
            <w:tcW w:w="142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   350,362</w:t>
            </w:r>
          </w:p>
        </w:tc>
        <w:tc>
          <w:tcPr>
            <w:tcW w:w="0" w:type="dxa"/>
            <w:vAlign w:val="bottom"/>
          </w:tcPr>
          <w:p>
            <w:pPr>
              <w:spacing w:after="0"/>
              <w:rPr>
                <w:sz w:val="1"/>
                <w:szCs w:val="1"/>
                <w:color w:val="auto"/>
              </w:rPr>
            </w:pPr>
          </w:p>
        </w:tc>
      </w:tr>
      <w:tr>
        <w:trPr>
          <w:trHeight w:val="265"/>
        </w:trPr>
        <w:tc>
          <w:tcPr>
            <w:tcW w:w="2920" w:type="dxa"/>
            <w:vAlign w:val="bottom"/>
          </w:tcPr>
          <w:p>
            <w:pPr>
              <w:spacing w:after="0"/>
              <w:rPr>
                <w:sz w:val="23"/>
                <w:szCs w:val="23"/>
                <w:color w:val="auto"/>
              </w:rPr>
            </w:pPr>
          </w:p>
        </w:tc>
        <w:tc>
          <w:tcPr>
            <w:tcW w:w="2000" w:type="dxa"/>
            <w:vAlign w:val="bottom"/>
          </w:tcPr>
          <w:p>
            <w:pPr>
              <w:ind w:left="380"/>
              <w:spacing w:after="0"/>
              <w:rPr>
                <w:sz w:val="20"/>
                <w:szCs w:val="20"/>
                <w:color w:val="auto"/>
              </w:rPr>
            </w:pPr>
            <w:r>
              <w:rPr>
                <w:rFonts w:ascii="Courier New" w:cs="Courier New" w:eastAsia="Courier New" w:hAnsi="Courier New"/>
                <w:sz w:val="16"/>
                <w:szCs w:val="16"/>
                <w:color w:val="auto"/>
              </w:rPr>
              <w:t>121 purchases,</w:t>
            </w: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0"/>
              </w:rPr>
              <w:t>100</w:t>
            </w:r>
          </w:p>
        </w:tc>
        <w:tc>
          <w:tcPr>
            <w:tcW w:w="800" w:type="dxa"/>
            <w:vAlign w:val="bottom"/>
            <w:vMerge w:val="continue"/>
          </w:tcPr>
          <w:p>
            <w:pPr>
              <w:spacing w:after="0"/>
              <w:rPr>
                <w:sz w:val="23"/>
                <w:szCs w:val="23"/>
                <w:color w:val="auto"/>
              </w:rPr>
            </w:pPr>
          </w:p>
        </w:tc>
        <w:tc>
          <w:tcPr>
            <w:tcW w:w="240" w:type="dxa"/>
            <w:vAlign w:val="bottom"/>
            <w:vMerge w:val="continue"/>
          </w:tcPr>
          <w:p>
            <w:pPr>
              <w:spacing w:after="0"/>
              <w:rPr>
                <w:sz w:val="23"/>
                <w:szCs w:val="23"/>
                <w:color w:val="auto"/>
              </w:rPr>
            </w:pPr>
          </w:p>
        </w:tc>
        <w:tc>
          <w:tcPr>
            <w:tcW w:w="1500" w:type="dxa"/>
            <w:vAlign w:val="bottom"/>
            <w:vMerge w:val="continue"/>
          </w:tcPr>
          <w:p>
            <w:pPr>
              <w:spacing w:after="0"/>
              <w:rPr>
                <w:sz w:val="23"/>
                <w:szCs w:val="23"/>
                <w:color w:val="auto"/>
              </w:rPr>
            </w:pPr>
          </w:p>
        </w:tc>
        <w:tc>
          <w:tcPr>
            <w:tcW w:w="1700" w:type="dxa"/>
            <w:vAlign w:val="bottom"/>
            <w:vMerge w:val="continue"/>
          </w:tcPr>
          <w:p>
            <w:pPr>
              <w:spacing w:after="0"/>
              <w:rPr>
                <w:sz w:val="23"/>
                <w:szCs w:val="23"/>
                <w:color w:val="auto"/>
              </w:rPr>
            </w:pPr>
          </w:p>
        </w:tc>
        <w:tc>
          <w:tcPr>
            <w:tcW w:w="14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2920" w:type="dxa"/>
            <w:vAlign w:val="bottom"/>
            <w:vMerge w:val="restart"/>
          </w:tcPr>
          <w:p>
            <w:pPr>
              <w:spacing w:after="0"/>
              <w:rPr>
                <w:sz w:val="20"/>
                <w:szCs w:val="20"/>
                <w:color w:val="auto"/>
              </w:rPr>
            </w:pPr>
            <w:r>
              <w:rPr>
                <w:rFonts w:ascii="Courier New" w:cs="Courier New" w:eastAsia="Courier New" w:hAnsi="Courier New"/>
                <w:sz w:val="16"/>
                <w:szCs w:val="16"/>
                <w:color w:val="auto"/>
              </w:rPr>
              <w:t>AET Equity Index Fund I</w:t>
            </w:r>
          </w:p>
        </w:tc>
        <w:tc>
          <w:tcPr>
            <w:tcW w:w="2000" w:type="dxa"/>
            <w:vAlign w:val="bottom"/>
          </w:tcPr>
          <w:p>
            <w:pPr>
              <w:ind w:left="380"/>
              <w:spacing w:after="0"/>
              <w:rPr>
                <w:sz w:val="20"/>
                <w:szCs w:val="20"/>
                <w:color w:val="auto"/>
              </w:rPr>
            </w:pPr>
            <w:r>
              <w:rPr>
                <w:rFonts w:ascii="Courier New" w:cs="Courier New" w:eastAsia="Courier New" w:hAnsi="Courier New"/>
                <w:sz w:val="16"/>
                <w:szCs w:val="16"/>
                <w:color w:val="auto"/>
                <w:w w:val="98"/>
              </w:rPr>
              <w:t>Common/collective</w:t>
            </w:r>
          </w:p>
        </w:tc>
        <w:tc>
          <w:tcPr>
            <w:tcW w:w="118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trusts:</w:t>
            </w:r>
          </w:p>
        </w:tc>
        <w:tc>
          <w:tcPr>
            <w:tcW w:w="240" w:type="dxa"/>
            <w:vAlign w:val="bottom"/>
          </w:tcPr>
          <w:p>
            <w:pPr>
              <w:spacing w:after="0"/>
              <w:rPr>
                <w:sz w:val="24"/>
                <w:szCs w:val="24"/>
                <w:color w:val="auto"/>
              </w:rPr>
            </w:pPr>
          </w:p>
        </w:tc>
        <w:tc>
          <w:tcPr>
            <w:tcW w:w="150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12,974,709</w:t>
            </w:r>
          </w:p>
        </w:tc>
        <w:tc>
          <w:tcPr>
            <w:tcW w:w="1700" w:type="dxa"/>
            <w:vAlign w:val="bottom"/>
            <w:vMerge w:val="restart"/>
          </w:tcPr>
          <w:p>
            <w:pPr>
              <w:jc w:val="right"/>
              <w:ind w:right="281"/>
              <w:spacing w:after="0"/>
              <w:rPr>
                <w:sz w:val="20"/>
                <w:szCs w:val="20"/>
                <w:color w:val="auto"/>
              </w:rPr>
            </w:pPr>
            <w:r>
              <w:rPr>
                <w:rFonts w:ascii="Courier New" w:cs="Courier New" w:eastAsia="Courier New" w:hAnsi="Courier New"/>
                <w:sz w:val="16"/>
                <w:szCs w:val="16"/>
                <w:color w:val="auto"/>
              </w:rPr>
              <w:t>1,069,228</w:t>
            </w:r>
          </w:p>
        </w:tc>
        <w:tc>
          <w:tcPr>
            <w:tcW w:w="142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(67,135)</w:t>
            </w:r>
          </w:p>
        </w:tc>
        <w:tc>
          <w:tcPr>
            <w:tcW w:w="0" w:type="dxa"/>
            <w:vAlign w:val="bottom"/>
          </w:tcPr>
          <w:p>
            <w:pPr>
              <w:spacing w:after="0"/>
              <w:rPr>
                <w:sz w:val="1"/>
                <w:szCs w:val="1"/>
                <w:color w:val="auto"/>
              </w:rPr>
            </w:pPr>
          </w:p>
        </w:tc>
      </w:tr>
      <w:tr>
        <w:trPr>
          <w:trHeight w:val="265"/>
        </w:trPr>
        <w:tc>
          <w:tcPr>
            <w:tcW w:w="2920" w:type="dxa"/>
            <w:vAlign w:val="bottom"/>
            <w:vMerge w:val="continue"/>
          </w:tcPr>
          <w:p>
            <w:pPr>
              <w:spacing w:after="0"/>
              <w:rPr>
                <w:sz w:val="23"/>
                <w:szCs w:val="23"/>
                <w:color w:val="auto"/>
              </w:rPr>
            </w:pPr>
          </w:p>
        </w:tc>
        <w:tc>
          <w:tcPr>
            <w:tcW w:w="2000" w:type="dxa"/>
            <w:vAlign w:val="bottom"/>
          </w:tcPr>
          <w:p>
            <w:pPr>
              <w:ind w:left="380"/>
              <w:spacing w:after="0"/>
              <w:rPr>
                <w:sz w:val="20"/>
                <w:szCs w:val="20"/>
                <w:color w:val="auto"/>
              </w:rPr>
            </w:pPr>
            <w:r>
              <w:rPr>
                <w:rFonts w:ascii="Courier New" w:cs="Courier New" w:eastAsia="Courier New" w:hAnsi="Courier New"/>
                <w:sz w:val="16"/>
                <w:szCs w:val="16"/>
                <w:color w:val="auto"/>
              </w:rPr>
              <w:t>87 purchases,</w:t>
            </w: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37</w:t>
            </w:r>
          </w:p>
        </w:tc>
        <w:tc>
          <w:tcPr>
            <w:tcW w:w="800" w:type="dxa"/>
            <w:vAlign w:val="bottom"/>
          </w:tcPr>
          <w:p>
            <w:pPr>
              <w:spacing w:after="0"/>
              <w:rPr>
                <w:sz w:val="20"/>
                <w:szCs w:val="20"/>
                <w:color w:val="auto"/>
              </w:rPr>
            </w:pPr>
            <w:r>
              <w:rPr>
                <w:rFonts w:ascii="Courier New" w:cs="Courier New" w:eastAsia="Courier New" w:hAnsi="Courier New"/>
                <w:sz w:val="16"/>
                <w:szCs w:val="16"/>
                <w:color w:val="auto"/>
              </w:rPr>
              <w:t>sales</w:t>
            </w:r>
          </w:p>
        </w:tc>
        <w:tc>
          <w:tcPr>
            <w:tcW w:w="240" w:type="dxa"/>
            <w:vAlign w:val="bottom"/>
          </w:tcPr>
          <w:p>
            <w:pPr>
              <w:spacing w:after="0"/>
              <w:rPr>
                <w:sz w:val="23"/>
                <w:szCs w:val="23"/>
                <w:color w:val="auto"/>
              </w:rPr>
            </w:pPr>
          </w:p>
        </w:tc>
        <w:tc>
          <w:tcPr>
            <w:tcW w:w="1500" w:type="dxa"/>
            <w:vAlign w:val="bottom"/>
            <w:vMerge w:val="continue"/>
          </w:tcPr>
          <w:p>
            <w:pPr>
              <w:spacing w:after="0"/>
              <w:rPr>
                <w:sz w:val="23"/>
                <w:szCs w:val="23"/>
                <w:color w:val="auto"/>
              </w:rPr>
            </w:pPr>
          </w:p>
        </w:tc>
        <w:tc>
          <w:tcPr>
            <w:tcW w:w="1700" w:type="dxa"/>
            <w:vAlign w:val="bottom"/>
            <w:vMerge w:val="continue"/>
          </w:tcPr>
          <w:p>
            <w:pPr>
              <w:spacing w:after="0"/>
              <w:rPr>
                <w:sz w:val="23"/>
                <w:szCs w:val="23"/>
                <w:color w:val="auto"/>
              </w:rPr>
            </w:pPr>
          </w:p>
        </w:tc>
        <w:tc>
          <w:tcPr>
            <w:tcW w:w="14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64"/>
        </w:trPr>
        <w:tc>
          <w:tcPr>
            <w:tcW w:w="2920" w:type="dxa"/>
            <w:vAlign w:val="bottom"/>
          </w:tcPr>
          <w:p>
            <w:pPr>
              <w:spacing w:after="0"/>
              <w:rPr>
                <w:sz w:val="20"/>
                <w:szCs w:val="20"/>
                <w:color w:val="auto"/>
              </w:rPr>
            </w:pPr>
            <w:r>
              <w:rPr>
                <w:rFonts w:ascii="Courier New" w:cs="Courier New" w:eastAsia="Courier New" w:hAnsi="Courier New"/>
                <w:sz w:val="16"/>
                <w:szCs w:val="16"/>
                <w:color w:val="auto"/>
              </w:rPr>
              <w:t>AET Income Fund II</w:t>
            </w:r>
          </w:p>
        </w:tc>
        <w:tc>
          <w:tcPr>
            <w:tcW w:w="2000" w:type="dxa"/>
            <w:vAlign w:val="bottom"/>
          </w:tcPr>
          <w:p>
            <w:pPr>
              <w:ind w:left="380"/>
              <w:spacing w:after="0"/>
              <w:rPr>
                <w:sz w:val="20"/>
                <w:szCs w:val="20"/>
                <w:color w:val="auto"/>
              </w:rPr>
            </w:pPr>
            <w:r>
              <w:rPr>
                <w:rFonts w:ascii="Courier New" w:cs="Courier New" w:eastAsia="Courier New" w:hAnsi="Courier New"/>
                <w:sz w:val="16"/>
                <w:szCs w:val="16"/>
                <w:color w:val="auto"/>
              </w:rPr>
              <w:t>108 purchases,</w:t>
            </w: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0"/>
              </w:rPr>
              <w:t>138</w:t>
            </w:r>
          </w:p>
        </w:tc>
        <w:tc>
          <w:tcPr>
            <w:tcW w:w="800" w:type="dxa"/>
            <w:vAlign w:val="bottom"/>
          </w:tcPr>
          <w:p>
            <w:pPr>
              <w:spacing w:after="0"/>
              <w:rPr>
                <w:sz w:val="20"/>
                <w:szCs w:val="20"/>
                <w:color w:val="auto"/>
              </w:rPr>
            </w:pPr>
            <w:r>
              <w:rPr>
                <w:rFonts w:ascii="Courier New" w:cs="Courier New" w:eastAsia="Courier New" w:hAnsi="Courier New"/>
                <w:sz w:val="16"/>
                <w:szCs w:val="16"/>
                <w:color w:val="auto"/>
              </w:rPr>
              <w:t>sales</w:t>
            </w:r>
          </w:p>
        </w:tc>
        <w:tc>
          <w:tcPr>
            <w:tcW w:w="240" w:type="dxa"/>
            <w:vAlign w:val="bottom"/>
          </w:tcPr>
          <w:p>
            <w:pPr>
              <w:spacing w:after="0"/>
              <w:rPr>
                <w:sz w:val="24"/>
                <w:szCs w:val="24"/>
                <w:color w:val="auto"/>
              </w:rPr>
            </w:pPr>
          </w:p>
        </w:tc>
        <w:tc>
          <w:tcPr>
            <w:tcW w:w="15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6,327,600</w:t>
            </w:r>
          </w:p>
        </w:tc>
        <w:tc>
          <w:tcPr>
            <w:tcW w:w="17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7,449,357</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1,122,788</w:t>
            </w:r>
          </w:p>
        </w:tc>
        <w:tc>
          <w:tcPr>
            <w:tcW w:w="0" w:type="dxa"/>
            <w:vAlign w:val="bottom"/>
          </w:tcPr>
          <w:p>
            <w:pPr>
              <w:spacing w:after="0"/>
              <w:rPr>
                <w:sz w:val="1"/>
                <w:szCs w:val="1"/>
                <w:color w:val="auto"/>
              </w:rPr>
            </w:pPr>
          </w:p>
        </w:tc>
      </w:tr>
      <w:tr>
        <w:trPr>
          <w:trHeight w:val="280"/>
        </w:trPr>
        <w:tc>
          <w:tcPr>
            <w:tcW w:w="2920" w:type="dxa"/>
            <w:vAlign w:val="bottom"/>
          </w:tcPr>
          <w:p>
            <w:pPr>
              <w:spacing w:after="0"/>
              <w:rPr>
                <w:sz w:val="24"/>
                <w:szCs w:val="24"/>
                <w:color w:val="auto"/>
              </w:rPr>
            </w:pPr>
          </w:p>
        </w:tc>
        <w:tc>
          <w:tcPr>
            <w:tcW w:w="2380" w:type="dxa"/>
            <w:vAlign w:val="bottom"/>
            <w:gridSpan w:val="2"/>
          </w:tcPr>
          <w:p>
            <w:pPr>
              <w:ind w:left="380"/>
              <w:spacing w:after="0"/>
              <w:rPr>
                <w:sz w:val="20"/>
                <w:szCs w:val="20"/>
                <w:color w:val="auto"/>
              </w:rPr>
            </w:pPr>
            <w:r>
              <w:rPr>
                <w:rFonts w:ascii="Courier New" w:cs="Courier New" w:eastAsia="Courier New" w:hAnsi="Courier New"/>
                <w:sz w:val="16"/>
                <w:szCs w:val="16"/>
                <w:color w:val="auto"/>
                <w:w w:val="98"/>
              </w:rPr>
              <w:t>Registered investment</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920" w:type="dxa"/>
            <w:vAlign w:val="bottom"/>
            <w:vMerge w:val="restart"/>
          </w:tcPr>
          <w:p>
            <w:pPr>
              <w:spacing w:after="0"/>
              <w:rPr>
                <w:sz w:val="20"/>
                <w:szCs w:val="20"/>
                <w:color w:val="auto"/>
              </w:rPr>
            </w:pPr>
            <w:r>
              <w:rPr>
                <w:rFonts w:ascii="Courier New" w:cs="Courier New" w:eastAsia="Courier New" w:hAnsi="Courier New"/>
                <w:sz w:val="16"/>
                <w:szCs w:val="16"/>
                <w:color w:val="auto"/>
              </w:rPr>
              <w:t>IDS International Fund</w:t>
            </w:r>
          </w:p>
        </w:tc>
        <w:tc>
          <w:tcPr>
            <w:tcW w:w="2000" w:type="dxa"/>
            <w:vAlign w:val="bottom"/>
          </w:tcPr>
          <w:p>
            <w:pPr>
              <w:ind w:left="380"/>
              <w:spacing w:after="0"/>
              <w:rPr>
                <w:sz w:val="20"/>
                <w:szCs w:val="20"/>
                <w:color w:val="auto"/>
              </w:rPr>
            </w:pPr>
            <w:r>
              <w:rPr>
                <w:rFonts w:ascii="Courier New" w:cs="Courier New" w:eastAsia="Courier New" w:hAnsi="Courier New"/>
                <w:sz w:val="16"/>
                <w:szCs w:val="16"/>
                <w:color w:val="auto"/>
              </w:rPr>
              <w:t>companies:</w:t>
            </w:r>
          </w:p>
        </w:tc>
        <w:tc>
          <w:tcPr>
            <w:tcW w:w="38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w w:val="90"/>
              </w:rPr>
              <w:t>104</w:t>
            </w:r>
          </w:p>
        </w:tc>
        <w:tc>
          <w:tcPr>
            <w:tcW w:w="800" w:type="dxa"/>
            <w:vAlign w:val="bottom"/>
            <w:vMerge w:val="restart"/>
          </w:tcPr>
          <w:p>
            <w:pPr>
              <w:spacing w:after="0"/>
              <w:rPr>
                <w:sz w:val="20"/>
                <w:szCs w:val="20"/>
                <w:color w:val="auto"/>
              </w:rPr>
            </w:pPr>
            <w:r>
              <w:rPr>
                <w:rFonts w:ascii="Courier New" w:cs="Courier New" w:eastAsia="Courier New" w:hAnsi="Courier New"/>
                <w:sz w:val="16"/>
                <w:szCs w:val="16"/>
                <w:color w:val="auto"/>
              </w:rPr>
              <w:t>sales</w:t>
            </w:r>
          </w:p>
        </w:tc>
        <w:tc>
          <w:tcPr>
            <w:tcW w:w="240" w:type="dxa"/>
            <w:vAlign w:val="bottom"/>
          </w:tcPr>
          <w:p>
            <w:pPr>
              <w:spacing w:after="0"/>
              <w:rPr>
                <w:sz w:val="15"/>
                <w:szCs w:val="15"/>
                <w:color w:val="auto"/>
              </w:rPr>
            </w:pPr>
          </w:p>
        </w:tc>
        <w:tc>
          <w:tcPr>
            <w:tcW w:w="150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2,938,957</w:t>
            </w:r>
          </w:p>
        </w:tc>
        <w:tc>
          <w:tcPr>
            <w:tcW w:w="1700" w:type="dxa"/>
            <w:vAlign w:val="bottom"/>
            <w:vMerge w:val="restart"/>
          </w:tcPr>
          <w:p>
            <w:pPr>
              <w:jc w:val="right"/>
              <w:ind w:right="281"/>
              <w:spacing w:after="0"/>
              <w:rPr>
                <w:sz w:val="20"/>
                <w:szCs w:val="20"/>
                <w:color w:val="auto"/>
              </w:rPr>
            </w:pPr>
            <w:r>
              <w:rPr>
                <w:rFonts w:ascii="Courier New" w:cs="Courier New" w:eastAsia="Courier New" w:hAnsi="Courier New"/>
                <w:sz w:val="16"/>
                <w:szCs w:val="16"/>
                <w:color w:val="auto"/>
              </w:rPr>
              <w:t>2,289,494</w:t>
            </w:r>
          </w:p>
        </w:tc>
        <w:tc>
          <w:tcPr>
            <w:tcW w:w="142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75,171</w:t>
            </w:r>
          </w:p>
        </w:tc>
        <w:tc>
          <w:tcPr>
            <w:tcW w:w="0" w:type="dxa"/>
            <w:vAlign w:val="bottom"/>
          </w:tcPr>
          <w:p>
            <w:pPr>
              <w:spacing w:after="0"/>
              <w:rPr>
                <w:sz w:val="1"/>
                <w:szCs w:val="1"/>
                <w:color w:val="auto"/>
              </w:rPr>
            </w:pPr>
          </w:p>
        </w:tc>
      </w:tr>
      <w:tr>
        <w:trPr>
          <w:trHeight w:val="265"/>
        </w:trPr>
        <w:tc>
          <w:tcPr>
            <w:tcW w:w="2920" w:type="dxa"/>
            <w:vAlign w:val="bottom"/>
            <w:vMerge w:val="continue"/>
          </w:tcPr>
          <w:p>
            <w:pPr>
              <w:spacing w:after="0"/>
              <w:rPr>
                <w:sz w:val="23"/>
                <w:szCs w:val="23"/>
                <w:color w:val="auto"/>
              </w:rPr>
            </w:pPr>
          </w:p>
        </w:tc>
        <w:tc>
          <w:tcPr>
            <w:tcW w:w="2000" w:type="dxa"/>
            <w:vAlign w:val="bottom"/>
          </w:tcPr>
          <w:p>
            <w:pPr>
              <w:ind w:left="380"/>
              <w:spacing w:after="0"/>
              <w:rPr>
                <w:sz w:val="20"/>
                <w:szCs w:val="20"/>
                <w:color w:val="auto"/>
              </w:rPr>
            </w:pPr>
            <w:r>
              <w:rPr>
                <w:rFonts w:ascii="Courier New" w:cs="Courier New" w:eastAsia="Courier New" w:hAnsi="Courier New"/>
                <w:sz w:val="16"/>
                <w:szCs w:val="16"/>
                <w:color w:val="auto"/>
              </w:rPr>
              <w:t>112 purchases,</w:t>
            </w:r>
          </w:p>
        </w:tc>
        <w:tc>
          <w:tcPr>
            <w:tcW w:w="380" w:type="dxa"/>
            <w:vAlign w:val="bottom"/>
            <w:vMerge w:val="continue"/>
          </w:tcPr>
          <w:p>
            <w:pPr>
              <w:spacing w:after="0"/>
              <w:rPr>
                <w:sz w:val="23"/>
                <w:szCs w:val="23"/>
                <w:color w:val="auto"/>
              </w:rPr>
            </w:pPr>
          </w:p>
        </w:tc>
        <w:tc>
          <w:tcPr>
            <w:tcW w:w="800" w:type="dxa"/>
            <w:vAlign w:val="bottom"/>
            <w:vMerge w:val="continue"/>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vMerge w:val="continue"/>
          </w:tcPr>
          <w:p>
            <w:pPr>
              <w:spacing w:after="0"/>
              <w:rPr>
                <w:sz w:val="23"/>
                <w:szCs w:val="23"/>
                <w:color w:val="auto"/>
              </w:rPr>
            </w:pPr>
          </w:p>
        </w:tc>
        <w:tc>
          <w:tcPr>
            <w:tcW w:w="1700" w:type="dxa"/>
            <w:vAlign w:val="bottom"/>
            <w:vMerge w:val="continue"/>
          </w:tcPr>
          <w:p>
            <w:pPr>
              <w:spacing w:after="0"/>
              <w:rPr>
                <w:sz w:val="23"/>
                <w:szCs w:val="23"/>
                <w:color w:val="auto"/>
              </w:rPr>
            </w:pPr>
          </w:p>
        </w:tc>
        <w:tc>
          <w:tcPr>
            <w:tcW w:w="14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64"/>
        </w:trPr>
        <w:tc>
          <w:tcPr>
            <w:tcW w:w="2920" w:type="dxa"/>
            <w:vAlign w:val="bottom"/>
          </w:tcPr>
          <w:p>
            <w:pPr>
              <w:spacing w:after="0"/>
              <w:rPr>
                <w:sz w:val="20"/>
                <w:szCs w:val="20"/>
                <w:color w:val="auto"/>
              </w:rPr>
            </w:pPr>
            <w:r>
              <w:rPr>
                <w:rFonts w:ascii="Courier New" w:cs="Courier New" w:eastAsia="Courier New" w:hAnsi="Courier New"/>
                <w:sz w:val="16"/>
                <w:szCs w:val="16"/>
                <w:color w:val="auto"/>
              </w:rPr>
              <w:t>IDS New Dimensions Fund</w:t>
            </w:r>
          </w:p>
        </w:tc>
        <w:tc>
          <w:tcPr>
            <w:tcW w:w="2000" w:type="dxa"/>
            <w:vAlign w:val="bottom"/>
          </w:tcPr>
          <w:p>
            <w:pPr>
              <w:ind w:left="380"/>
              <w:spacing w:after="0"/>
              <w:rPr>
                <w:sz w:val="20"/>
                <w:szCs w:val="20"/>
                <w:color w:val="auto"/>
              </w:rPr>
            </w:pPr>
            <w:r>
              <w:rPr>
                <w:rFonts w:ascii="Courier New" w:cs="Courier New" w:eastAsia="Courier New" w:hAnsi="Courier New"/>
                <w:sz w:val="16"/>
                <w:szCs w:val="16"/>
                <w:color w:val="auto"/>
              </w:rPr>
              <w:t>150 purchases,</w:t>
            </w: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0"/>
              </w:rPr>
              <w:t>116</w:t>
            </w:r>
          </w:p>
        </w:tc>
        <w:tc>
          <w:tcPr>
            <w:tcW w:w="800" w:type="dxa"/>
            <w:vAlign w:val="bottom"/>
          </w:tcPr>
          <w:p>
            <w:pPr>
              <w:spacing w:after="0"/>
              <w:rPr>
                <w:sz w:val="20"/>
                <w:szCs w:val="20"/>
                <w:color w:val="auto"/>
              </w:rPr>
            </w:pPr>
            <w:r>
              <w:rPr>
                <w:rFonts w:ascii="Courier New" w:cs="Courier New" w:eastAsia="Courier New" w:hAnsi="Courier New"/>
                <w:sz w:val="16"/>
                <w:szCs w:val="16"/>
                <w:color w:val="auto"/>
              </w:rPr>
              <w:t>sales</w:t>
            </w:r>
          </w:p>
        </w:tc>
        <w:tc>
          <w:tcPr>
            <w:tcW w:w="240" w:type="dxa"/>
            <w:vAlign w:val="bottom"/>
          </w:tcPr>
          <w:p>
            <w:pPr>
              <w:spacing w:after="0"/>
              <w:rPr>
                <w:sz w:val="24"/>
                <w:szCs w:val="24"/>
                <w:color w:val="auto"/>
              </w:rPr>
            </w:pPr>
          </w:p>
        </w:tc>
        <w:tc>
          <w:tcPr>
            <w:tcW w:w="15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8,841,574</w:t>
            </w:r>
          </w:p>
        </w:tc>
        <w:tc>
          <w:tcPr>
            <w:tcW w:w="17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6,158,367</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1,899,001</w:t>
            </w:r>
          </w:p>
        </w:tc>
        <w:tc>
          <w:tcPr>
            <w:tcW w:w="0" w:type="dxa"/>
            <w:vAlign w:val="bottom"/>
          </w:tcPr>
          <w:p>
            <w:pPr>
              <w:spacing w:after="0"/>
              <w:rPr>
                <w:sz w:val="1"/>
                <w:szCs w:val="1"/>
                <w:color w:val="auto"/>
              </w:rPr>
            </w:pPr>
          </w:p>
        </w:tc>
      </w:tr>
      <w:tr>
        <w:trPr>
          <w:trHeight w:val="364"/>
        </w:trPr>
        <w:tc>
          <w:tcPr>
            <w:tcW w:w="2920" w:type="dxa"/>
            <w:vAlign w:val="bottom"/>
          </w:tcPr>
          <w:p>
            <w:pPr>
              <w:spacing w:after="0"/>
              <w:rPr>
                <w:sz w:val="20"/>
                <w:szCs w:val="20"/>
                <w:color w:val="auto"/>
              </w:rPr>
            </w:pPr>
            <w:r>
              <w:rPr>
                <w:rFonts w:ascii="Courier New" w:cs="Courier New" w:eastAsia="Courier New" w:hAnsi="Courier New"/>
                <w:sz w:val="16"/>
                <w:szCs w:val="16"/>
                <w:color w:val="auto"/>
              </w:rPr>
              <w:t>IDS Stock Fund</w:t>
            </w:r>
          </w:p>
        </w:tc>
        <w:tc>
          <w:tcPr>
            <w:tcW w:w="2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79 purchases,</w:t>
            </w: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0"/>
              </w:rPr>
              <w:t>118</w:t>
            </w:r>
          </w:p>
        </w:tc>
        <w:tc>
          <w:tcPr>
            <w:tcW w:w="800" w:type="dxa"/>
            <w:vAlign w:val="bottom"/>
          </w:tcPr>
          <w:p>
            <w:pPr>
              <w:spacing w:after="0"/>
              <w:rPr>
                <w:sz w:val="20"/>
                <w:szCs w:val="20"/>
                <w:color w:val="auto"/>
              </w:rPr>
            </w:pPr>
            <w:r>
              <w:rPr>
                <w:rFonts w:ascii="Courier New" w:cs="Courier New" w:eastAsia="Courier New" w:hAnsi="Courier New"/>
                <w:sz w:val="16"/>
                <w:szCs w:val="16"/>
                <w:color w:val="auto"/>
              </w:rPr>
              <w:t>sales</w:t>
            </w:r>
          </w:p>
        </w:tc>
        <w:tc>
          <w:tcPr>
            <w:tcW w:w="240" w:type="dxa"/>
            <w:vAlign w:val="bottom"/>
          </w:tcPr>
          <w:p>
            <w:pPr>
              <w:spacing w:after="0"/>
              <w:rPr>
                <w:sz w:val="24"/>
                <w:szCs w:val="24"/>
                <w:color w:val="auto"/>
              </w:rPr>
            </w:pPr>
          </w:p>
        </w:tc>
        <w:tc>
          <w:tcPr>
            <w:tcW w:w="15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2,114,256</w:t>
            </w:r>
          </w:p>
        </w:tc>
        <w:tc>
          <w:tcPr>
            <w:tcW w:w="17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14,559,755</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1,339,480</w:t>
            </w:r>
          </w:p>
        </w:tc>
        <w:tc>
          <w:tcPr>
            <w:tcW w:w="0" w:type="dxa"/>
            <w:vAlign w:val="bottom"/>
          </w:tcPr>
          <w:p>
            <w:pPr>
              <w:spacing w:after="0"/>
              <w:rPr>
                <w:sz w:val="1"/>
                <w:szCs w:val="1"/>
                <w:color w:val="auto"/>
              </w:rPr>
            </w:pPr>
          </w:p>
        </w:tc>
      </w:tr>
      <w:tr>
        <w:trPr>
          <w:trHeight w:val="364"/>
        </w:trPr>
        <w:tc>
          <w:tcPr>
            <w:tcW w:w="2920" w:type="dxa"/>
            <w:vAlign w:val="bottom"/>
          </w:tcPr>
          <w:p>
            <w:pPr>
              <w:spacing w:after="0"/>
              <w:rPr>
                <w:sz w:val="20"/>
                <w:szCs w:val="20"/>
                <w:color w:val="auto"/>
              </w:rPr>
            </w:pPr>
            <w:r>
              <w:rPr>
                <w:rFonts w:ascii="Courier New" w:cs="Courier New" w:eastAsia="Courier New" w:hAnsi="Courier New"/>
                <w:sz w:val="16"/>
                <w:szCs w:val="16"/>
                <w:color w:val="auto"/>
              </w:rPr>
              <w:t>IDS Mutual Fund</w:t>
            </w:r>
          </w:p>
        </w:tc>
        <w:tc>
          <w:tcPr>
            <w:tcW w:w="2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122 purchases,</w:t>
            </w: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0"/>
              </w:rPr>
              <w:t>133</w:t>
            </w:r>
          </w:p>
        </w:tc>
        <w:tc>
          <w:tcPr>
            <w:tcW w:w="800" w:type="dxa"/>
            <w:vAlign w:val="bottom"/>
          </w:tcPr>
          <w:p>
            <w:pPr>
              <w:spacing w:after="0"/>
              <w:rPr>
                <w:sz w:val="20"/>
                <w:szCs w:val="20"/>
                <w:color w:val="auto"/>
              </w:rPr>
            </w:pPr>
            <w:r>
              <w:rPr>
                <w:rFonts w:ascii="Courier New" w:cs="Courier New" w:eastAsia="Courier New" w:hAnsi="Courier New"/>
                <w:sz w:val="16"/>
                <w:szCs w:val="16"/>
                <w:color w:val="auto"/>
              </w:rPr>
              <w:t>sales</w:t>
            </w:r>
          </w:p>
        </w:tc>
        <w:tc>
          <w:tcPr>
            <w:tcW w:w="240" w:type="dxa"/>
            <w:vAlign w:val="bottom"/>
          </w:tcPr>
          <w:p>
            <w:pPr>
              <w:spacing w:after="0"/>
              <w:rPr>
                <w:sz w:val="24"/>
                <w:szCs w:val="24"/>
                <w:color w:val="auto"/>
              </w:rPr>
            </w:pPr>
          </w:p>
        </w:tc>
        <w:tc>
          <w:tcPr>
            <w:tcW w:w="15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3,458,230</w:t>
            </w:r>
          </w:p>
        </w:tc>
        <w:tc>
          <w:tcPr>
            <w:tcW w:w="17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3,141,741</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197,148</w:t>
            </w:r>
          </w:p>
        </w:tc>
        <w:tc>
          <w:tcPr>
            <w:tcW w:w="0" w:type="dxa"/>
            <w:vAlign w:val="bottom"/>
          </w:tcPr>
          <w:p>
            <w:pPr>
              <w:spacing w:after="0"/>
              <w:rPr>
                <w:sz w:val="1"/>
                <w:szCs w:val="1"/>
                <w:color w:val="auto"/>
              </w:rPr>
            </w:pPr>
          </w:p>
        </w:tc>
      </w:tr>
      <w:tr>
        <w:trPr>
          <w:trHeight w:val="364"/>
        </w:trPr>
        <w:tc>
          <w:tcPr>
            <w:tcW w:w="2920" w:type="dxa"/>
            <w:vAlign w:val="bottom"/>
          </w:tcPr>
          <w:p>
            <w:pPr>
              <w:spacing w:after="0"/>
              <w:rPr>
                <w:sz w:val="20"/>
                <w:szCs w:val="20"/>
                <w:color w:val="auto"/>
              </w:rPr>
            </w:pPr>
            <w:r>
              <w:rPr>
                <w:rFonts w:ascii="Courier New" w:cs="Courier New" w:eastAsia="Courier New" w:hAnsi="Courier New"/>
                <w:sz w:val="16"/>
                <w:szCs w:val="16"/>
                <w:color w:val="auto"/>
              </w:rPr>
              <w:t>IDS Federal Income Fund</w:t>
            </w:r>
          </w:p>
        </w:tc>
        <w:tc>
          <w:tcPr>
            <w:tcW w:w="2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277 purchases,</w:t>
            </w: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0"/>
              </w:rPr>
              <w:t>133</w:t>
            </w:r>
          </w:p>
        </w:tc>
        <w:tc>
          <w:tcPr>
            <w:tcW w:w="800" w:type="dxa"/>
            <w:vAlign w:val="bottom"/>
          </w:tcPr>
          <w:p>
            <w:pPr>
              <w:spacing w:after="0"/>
              <w:rPr>
                <w:sz w:val="20"/>
                <w:szCs w:val="20"/>
                <w:color w:val="auto"/>
              </w:rPr>
            </w:pPr>
            <w:r>
              <w:rPr>
                <w:rFonts w:ascii="Courier New" w:cs="Courier New" w:eastAsia="Courier New" w:hAnsi="Courier New"/>
                <w:sz w:val="16"/>
                <w:szCs w:val="16"/>
                <w:color w:val="auto"/>
              </w:rPr>
              <w:t>sales</w:t>
            </w:r>
          </w:p>
        </w:tc>
        <w:tc>
          <w:tcPr>
            <w:tcW w:w="240" w:type="dxa"/>
            <w:vAlign w:val="bottom"/>
          </w:tcPr>
          <w:p>
            <w:pPr>
              <w:spacing w:after="0"/>
              <w:rPr>
                <w:sz w:val="24"/>
                <w:szCs w:val="24"/>
                <w:color w:val="auto"/>
              </w:rPr>
            </w:pPr>
          </w:p>
        </w:tc>
        <w:tc>
          <w:tcPr>
            <w:tcW w:w="15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8,000,356</w:t>
            </w:r>
          </w:p>
        </w:tc>
        <w:tc>
          <w:tcPr>
            <w:tcW w:w="17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5,914,818</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40,891</w:t>
            </w:r>
          </w:p>
        </w:tc>
        <w:tc>
          <w:tcPr>
            <w:tcW w:w="0" w:type="dxa"/>
            <w:vAlign w:val="bottom"/>
          </w:tcPr>
          <w:p>
            <w:pPr>
              <w:spacing w:after="0"/>
              <w:rPr>
                <w:sz w:val="1"/>
                <w:szCs w:val="1"/>
                <w:color w:val="auto"/>
              </w:rPr>
            </w:pPr>
          </w:p>
        </w:tc>
      </w:tr>
      <w:tr>
        <w:trPr>
          <w:trHeight w:val="280"/>
        </w:trPr>
        <w:tc>
          <w:tcPr>
            <w:tcW w:w="2920" w:type="dxa"/>
            <w:vAlign w:val="bottom"/>
          </w:tcPr>
          <w:p>
            <w:pPr>
              <w:spacing w:after="0"/>
              <w:rPr>
                <w:sz w:val="20"/>
                <w:szCs w:val="20"/>
                <w:color w:val="auto"/>
              </w:rPr>
            </w:pPr>
            <w:r>
              <w:rPr>
                <w:rFonts w:ascii="Courier New" w:cs="Courier New" w:eastAsia="Courier New" w:hAnsi="Courier New"/>
                <w:sz w:val="16"/>
                <w:szCs w:val="16"/>
                <w:color w:val="auto"/>
              </w:rPr>
              <w:t>AIM Constellation Fund</w:t>
            </w:r>
          </w:p>
        </w:tc>
        <w:tc>
          <w:tcPr>
            <w:tcW w:w="2000" w:type="dxa"/>
            <w:vAlign w:val="bottom"/>
          </w:tcPr>
          <w:p>
            <w:pPr>
              <w:ind w:left="480"/>
              <w:spacing w:after="0"/>
              <w:rPr>
                <w:sz w:val="20"/>
                <w:szCs w:val="20"/>
                <w:color w:val="auto"/>
              </w:rPr>
            </w:pPr>
            <w:r>
              <w:rPr>
                <w:rFonts w:ascii="Courier New" w:cs="Courier New" w:eastAsia="Courier New" w:hAnsi="Courier New"/>
                <w:sz w:val="16"/>
                <w:szCs w:val="16"/>
                <w:color w:val="auto"/>
              </w:rPr>
              <w:t>72 purchases,</w:t>
            </w: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26</w:t>
            </w:r>
          </w:p>
        </w:tc>
        <w:tc>
          <w:tcPr>
            <w:tcW w:w="800" w:type="dxa"/>
            <w:vAlign w:val="bottom"/>
          </w:tcPr>
          <w:p>
            <w:pPr>
              <w:spacing w:after="0"/>
              <w:rPr>
                <w:sz w:val="20"/>
                <w:szCs w:val="20"/>
                <w:color w:val="auto"/>
              </w:rPr>
            </w:pPr>
            <w:r>
              <w:rPr>
                <w:rFonts w:ascii="Courier New" w:cs="Courier New" w:eastAsia="Courier New" w:hAnsi="Courier New"/>
                <w:sz w:val="16"/>
                <w:szCs w:val="16"/>
                <w:color w:val="auto"/>
              </w:rPr>
              <w:t>sales</w:t>
            </w:r>
          </w:p>
        </w:tc>
        <w:tc>
          <w:tcPr>
            <w:tcW w:w="240" w:type="dxa"/>
            <w:vAlign w:val="bottom"/>
          </w:tcPr>
          <w:p>
            <w:pPr>
              <w:spacing w:after="0"/>
              <w:rPr>
                <w:sz w:val="24"/>
                <w:szCs w:val="24"/>
                <w:color w:val="auto"/>
              </w:rPr>
            </w:pPr>
          </w:p>
        </w:tc>
        <w:tc>
          <w:tcPr>
            <w:tcW w:w="15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1,997,636</w:t>
            </w:r>
          </w:p>
        </w:tc>
        <w:tc>
          <w:tcPr>
            <w:tcW w:w="17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131,795</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(12,809)</w:t>
            </w:r>
          </w:p>
        </w:tc>
        <w:tc>
          <w:tcPr>
            <w:tcW w:w="0" w:type="dxa"/>
            <w:vAlign w:val="bottom"/>
          </w:tcPr>
          <w:p>
            <w:pPr>
              <w:spacing w:after="0"/>
              <w:rPr>
                <w:sz w:val="1"/>
                <w:szCs w:val="1"/>
                <w:color w:val="auto"/>
              </w:rPr>
            </w:pPr>
          </w:p>
        </w:tc>
      </w:tr>
      <w:tr>
        <w:trPr>
          <w:trHeight w:val="265"/>
        </w:trPr>
        <w:tc>
          <w:tcPr>
            <w:tcW w:w="29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w:t>
            </w:r>
          </w:p>
        </w:tc>
        <w:tc>
          <w:tcPr>
            <w:tcW w:w="17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29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49,560,513</w:t>
            </w:r>
          </w:p>
        </w:tc>
        <w:tc>
          <w:tcPr>
            <w:tcW w:w="17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$ 42,726,519</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$ 4,944,897</w:t>
            </w:r>
          </w:p>
        </w:tc>
        <w:tc>
          <w:tcPr>
            <w:tcW w:w="0" w:type="dxa"/>
            <w:vAlign w:val="bottom"/>
          </w:tcPr>
          <w:p>
            <w:pPr>
              <w:spacing w:after="0"/>
              <w:rPr>
                <w:sz w:val="1"/>
                <w:szCs w:val="1"/>
                <w:color w:val="auto"/>
              </w:rPr>
            </w:pPr>
          </w:p>
        </w:tc>
      </w:tr>
      <w:tr>
        <w:trPr>
          <w:trHeight w:val="265"/>
        </w:trPr>
        <w:tc>
          <w:tcPr>
            <w:tcW w:w="29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w:t>
            </w:r>
          </w:p>
        </w:tc>
        <w:tc>
          <w:tcPr>
            <w:tcW w:w="17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546"/>
        </w:trPr>
        <w:tc>
          <w:tcPr>
            <w:tcW w:w="2920" w:type="dxa"/>
            <w:vAlign w:val="bottom"/>
          </w:tcPr>
          <w:p>
            <w:pPr>
              <w:spacing w:after="0"/>
              <w:rPr>
                <w:sz w:val="24"/>
                <w:szCs w:val="24"/>
                <w:color w:val="auto"/>
              </w:rPr>
            </w:pPr>
          </w:p>
        </w:tc>
        <w:tc>
          <w:tcPr>
            <w:tcW w:w="2000" w:type="dxa"/>
            <w:vAlign w:val="bottom"/>
          </w:tcPr>
          <w:p>
            <w:pPr>
              <w:jc w:val="center"/>
              <w:ind w:right="201"/>
              <w:spacing w:after="0"/>
              <w:rPr>
                <w:sz w:val="20"/>
                <w:szCs w:val="20"/>
                <w:color w:val="auto"/>
              </w:rPr>
            </w:pPr>
            <w:r>
              <w:rPr>
                <w:rFonts w:ascii="Courier New" w:cs="Courier New" w:eastAsia="Courier New" w:hAnsi="Courier New"/>
                <w:sz w:val="16"/>
                <w:szCs w:val="16"/>
                <w:color w:val="auto"/>
                <w:w w:val="93"/>
              </w:rPr>
              <w:t>-10-</w:t>
            </w: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635" w:right="69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900" w:type="dxa"/>
            <w:vAlign w:val="bottom"/>
          </w:tcPr>
          <w:p>
            <w:pPr>
              <w:spacing w:after="0"/>
              <w:rPr>
                <w:sz w:val="23"/>
                <w:szCs w:val="23"/>
                <w:color w:val="auto"/>
              </w:rPr>
            </w:pPr>
          </w:p>
        </w:tc>
        <w:tc>
          <w:tcPr>
            <w:tcW w:w="430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EXHIBIT INDEX</w:t>
            </w:r>
          </w:p>
        </w:tc>
        <w:tc>
          <w:tcPr>
            <w:tcW w:w="0" w:type="dxa"/>
            <w:vAlign w:val="bottom"/>
          </w:tcPr>
          <w:p>
            <w:pPr>
              <w:spacing w:after="0"/>
              <w:rPr>
                <w:sz w:val="1"/>
                <w:szCs w:val="1"/>
                <w:color w:val="auto"/>
              </w:rPr>
            </w:pPr>
          </w:p>
        </w:tc>
      </w:tr>
      <w:tr>
        <w:trPr>
          <w:trHeight w:val="462"/>
        </w:trPr>
        <w:tc>
          <w:tcPr>
            <w:tcW w:w="90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4300" w:type="dxa"/>
            <w:vAlign w:val="bottom"/>
            <w:vMerge w:val="restart"/>
          </w:tcPr>
          <w:p>
            <w:pPr>
              <w:jc w:val="right"/>
              <w:ind w:right="1621"/>
              <w:spacing w:after="0"/>
              <w:rPr>
                <w:sz w:val="20"/>
                <w:szCs w:val="20"/>
                <w:color w:val="auto"/>
              </w:rPr>
            </w:pPr>
            <w:r>
              <w:rPr>
                <w:rFonts w:ascii="Courier New" w:cs="Courier New" w:eastAsia="Courier New" w:hAnsi="Courier New"/>
                <w:sz w:val="16"/>
                <w:szCs w:val="16"/>
                <w:color w:val="auto"/>
              </w:rPr>
              <w:t>Description</w:t>
            </w:r>
          </w:p>
        </w:tc>
        <w:tc>
          <w:tcPr>
            <w:tcW w:w="0" w:type="dxa"/>
            <w:vAlign w:val="bottom"/>
          </w:tcPr>
          <w:p>
            <w:pPr>
              <w:spacing w:after="0"/>
              <w:rPr>
                <w:sz w:val="1"/>
                <w:szCs w:val="1"/>
                <w:color w:val="auto"/>
              </w:rPr>
            </w:pPr>
          </w:p>
        </w:tc>
      </w:tr>
      <w:tr>
        <w:trPr>
          <w:trHeight w:val="182"/>
        </w:trPr>
        <w:tc>
          <w:tcPr>
            <w:tcW w:w="900" w:type="dxa"/>
            <w:vAlign w:val="bottom"/>
          </w:tcPr>
          <w:p>
            <w:pPr>
              <w:ind w:left="180"/>
              <w:spacing w:after="0"/>
              <w:rPr>
                <w:sz w:val="20"/>
                <w:szCs w:val="20"/>
                <w:color w:val="auto"/>
              </w:rPr>
            </w:pPr>
            <w:r>
              <w:rPr>
                <w:rFonts w:ascii="Courier New" w:cs="Courier New" w:eastAsia="Courier New" w:hAnsi="Courier New"/>
                <w:sz w:val="16"/>
                <w:szCs w:val="16"/>
                <w:color w:val="auto"/>
              </w:rPr>
              <w:t>No.</w:t>
            </w:r>
          </w:p>
        </w:tc>
        <w:tc>
          <w:tcPr>
            <w:tcW w:w="4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9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4300" w:type="dxa"/>
            <w:vAlign w:val="bottom"/>
          </w:tcPr>
          <w:p>
            <w:pPr>
              <w:jc w:val="right"/>
              <w:ind w:right="144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64"/>
        </w:trPr>
        <w:tc>
          <w:tcPr>
            <w:tcW w:w="900" w:type="dxa"/>
            <w:vAlign w:val="bottom"/>
          </w:tcPr>
          <w:p>
            <w:pPr>
              <w:ind w:left="180"/>
              <w:spacing w:after="0"/>
              <w:rPr>
                <w:sz w:val="20"/>
                <w:szCs w:val="20"/>
                <w:color w:val="auto"/>
              </w:rPr>
            </w:pPr>
            <w:r>
              <w:rPr>
                <w:rFonts w:ascii="Courier New" w:cs="Courier New" w:eastAsia="Courier New" w:hAnsi="Courier New"/>
                <w:sz w:val="16"/>
                <w:szCs w:val="16"/>
                <w:color w:val="auto"/>
              </w:rPr>
              <w:t>23</w:t>
            </w:r>
          </w:p>
        </w:tc>
        <w:tc>
          <w:tcPr>
            <w:tcW w:w="4300" w:type="dxa"/>
            <w:vAlign w:val="bottom"/>
          </w:tcPr>
          <w:p>
            <w:pPr>
              <w:jc w:val="right"/>
              <w:spacing w:after="0"/>
              <w:rPr>
                <w:sz w:val="20"/>
                <w:szCs w:val="20"/>
                <w:color w:val="auto"/>
              </w:rPr>
            </w:pPr>
            <w:r>
              <w:rPr>
                <w:rFonts w:ascii="Courier New" w:cs="Courier New" w:eastAsia="Courier New" w:hAnsi="Courier New"/>
                <w:sz w:val="16"/>
                <w:szCs w:val="16"/>
                <w:color w:val="auto"/>
                <w:w w:val="99"/>
              </w:rPr>
              <w:t>-- Consent of Larkin, Ervin &amp; Shirley, L.L.P.</w:t>
            </w:r>
          </w:p>
        </w:tc>
        <w:tc>
          <w:tcPr>
            <w:tcW w:w="0" w:type="dxa"/>
            <w:vAlign w:val="bottom"/>
          </w:tcPr>
          <w:p>
            <w:pPr>
              <w:spacing w:after="0"/>
              <w:rPr>
                <w:sz w:val="1"/>
                <w:szCs w:val="1"/>
                <w:color w:val="auto"/>
              </w:rPr>
            </w:pPr>
          </w:p>
        </w:tc>
      </w:tr>
    </w:tbl>
    <w:p>
      <w:pPr>
        <w:sectPr>
          <w:pgSz w:w="11900" w:h="16838" w:orient="portrait"/>
          <w:cols w:equalWidth="0" w:num="1">
            <w:col w:w="10219"/>
          </w:cols>
          <w:pgMar w:left="240" w:top="817" w:right="1440" w:bottom="1440" w:gutter="0" w:footer="0" w:header="0"/>
        </w:sectPr>
      </w:pPr>
    </w:p>
    <w:bookmarkStart w:id="14" w:name="page15"/>
    <w:bookmarkEnd w:id="14"/>
    <w:p>
      <w:pPr>
        <w:jc w:val="right"/>
        <w:ind w:right="2659"/>
        <w:spacing w:after="0"/>
        <w:rPr>
          <w:sz w:val="20"/>
          <w:szCs w:val="20"/>
          <w:color w:val="auto"/>
        </w:rPr>
      </w:pPr>
      <w:r>
        <w:rPr>
          <w:rFonts w:ascii="Courier New" w:cs="Courier New" w:eastAsia="Courier New" w:hAnsi="Courier New"/>
          <w:sz w:val="16"/>
          <w:szCs w:val="16"/>
          <w:color w:val="auto"/>
        </w:rPr>
        <w:t>EXHIBIT 23</w:t>
      </w:r>
    </w:p>
    <w:p>
      <w:pPr>
        <w:spacing w:after="0" w:line="183"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183" w:lineRule="exact"/>
        <w:rPr>
          <w:sz w:val="20"/>
          <w:szCs w:val="20"/>
          <w:color w:val="auto"/>
        </w:rPr>
      </w:pPr>
    </w:p>
    <w:p>
      <w:pPr>
        <w:ind w:right="2759"/>
        <w:spacing w:after="0" w:line="277" w:lineRule="auto"/>
        <w:rPr>
          <w:sz w:val="20"/>
          <w:szCs w:val="20"/>
          <w:color w:val="auto"/>
        </w:rPr>
      </w:pPr>
      <w:r>
        <w:rPr>
          <w:rFonts w:ascii="Courier New" w:cs="Courier New" w:eastAsia="Courier New" w:hAnsi="Courier New"/>
          <w:sz w:val="16"/>
          <w:szCs w:val="16"/>
          <w:color w:val="auto"/>
        </w:rPr>
        <w:t>We hereby consent to the incorporation by reference in Registration Statement No. 333-81717 of Schlumberger Limited on Form S-8 of our report dated June 11, 1999, appearing in this Annual Report on Form 11-K of the Camco Thrift Plan for the year ended December 31, 1998.</w:t>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LARKIN, ERVIN &amp; SHIRLEY, L.L.P.</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Houston, Texas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28, 1999</w:t>
      </w:r>
    </w:p>
    <w:sectPr>
      <w:pgSz w:w="11900" w:h="16838" w:orient="portrait"/>
      <w:cols w:equalWidth="0" w:num="1">
        <w:col w:w="10219"/>
      </w:cols>
      <w:pgMar w:left="240" w:top="47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2020-02-22T11:15:30Z</dcterms:created>
  <dcterms:modified xsi:type="dcterms:W3CDTF">2020-02-22T11:15:30Z</dcterms:modified>
</cp:coreProperties>
</file>