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320" w:right="219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December 15, 1999 Registration No. 333-</w:t>
      </w:r>
    </w:p>
    <w:p>
      <w:pPr>
        <w:spacing w:after="0" w:line="208"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0" w:gutter="0" w:footer="0" w:header="0"/>
        </w:sectPr>
      </w:pPr>
    </w:p>
    <w:p>
      <w:pPr>
        <w:spacing w:after="0" w:line="207" w:lineRule="exact"/>
        <w:rPr>
          <w:sz w:val="24"/>
          <w:szCs w:val="24"/>
          <w:color w:val="auto"/>
        </w:rPr>
      </w:pPr>
    </w:p>
    <w:p>
      <w:pPr>
        <w:ind w:left="320" w:firstLine="527"/>
        <w:spacing w:after="0" w:line="279" w:lineRule="auto"/>
        <w:rPr>
          <w:sz w:val="20"/>
          <w:szCs w:val="20"/>
          <w:color w:val="auto"/>
        </w:rPr>
      </w:pPr>
      <w:r>
        <w:rPr>
          <w:rFonts w:ascii="Courier New" w:cs="Courier New" w:eastAsia="Courier New" w:hAnsi="Courier New"/>
          <w:sz w:val="16"/>
          <w:szCs w:val="16"/>
          <w:color w:val="auto"/>
        </w:rPr>
        <w:t>Netherlands Antilles (State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52-0684746</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21" w:lineRule="exact"/>
        <w:rPr>
          <w:sz w:val="24"/>
          <w:szCs w:val="24"/>
          <w:color w:val="auto"/>
        </w:rPr>
      </w:pPr>
    </w:p>
    <w:p>
      <w:pPr>
        <w:sectPr>
          <w:pgSz w:w="11900" w:h="16838" w:orient="portrait"/>
          <w:cols w:equalWidth="0" w:num="2">
            <w:col w:w="3580" w:space="640"/>
            <w:col w:w="5999"/>
          </w:cols>
          <w:pgMar w:left="240" w:top="655" w:right="1440" w:bottom="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New York, New York</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10172-2066</w:t>
      </w:r>
    </w:p>
    <w:p>
      <w:pPr>
        <w:spacing w:after="0" w:line="20" w:lineRule="exact"/>
        <w:rPr>
          <w:sz w:val="24"/>
          <w:szCs w:val="24"/>
          <w:color w:val="auto"/>
        </w:rPr>
      </w:pPr>
      <w:r>
        <w:rPr>
          <w:sz w:val="24"/>
          <w:szCs w:val="24"/>
          <w:color w:val="auto"/>
        </w:rPr>
        <w:br w:type="column"/>
      </w:r>
    </w:p>
    <w:p>
      <w:pPr>
        <w:jc w:val="center"/>
        <w:ind w:right="2199"/>
        <w:spacing w:after="0" w:line="236" w:lineRule="auto"/>
        <w:rPr>
          <w:sz w:val="20"/>
          <w:szCs w:val="20"/>
          <w:color w:val="auto"/>
        </w:rPr>
      </w:pPr>
      <w:r>
        <w:rPr>
          <w:rFonts w:ascii="Courier New" w:cs="Courier New" w:eastAsia="Courier New" w:hAnsi="Courier New"/>
          <w:sz w:val="18"/>
          <w:szCs w:val="18"/>
          <w:color w:val="auto"/>
        </w:rPr>
        <w:t>42, Rue Saint-Dominique Parkstraat 83, The Hague Paris, France           The Netherlands 75007                   2514 JG</w:t>
      </w:r>
    </w:p>
    <w:p>
      <w:pPr>
        <w:spacing w:after="0" w:line="201" w:lineRule="exact"/>
        <w:rPr>
          <w:sz w:val="24"/>
          <w:szCs w:val="24"/>
          <w:color w:val="auto"/>
        </w:rPr>
      </w:pPr>
    </w:p>
    <w:p>
      <w:pPr>
        <w:sectPr>
          <w:pgSz w:w="11900" w:h="16838" w:orient="portrait"/>
          <w:cols w:equalWidth="0" w:num="2">
            <w:col w:w="2240" w:space="720"/>
            <w:col w:w="7259"/>
          </w:cols>
          <w:pgMar w:left="240" w:top="655" w:right="1440" w:bottom="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3480"/>
        <w:spacing w:after="0"/>
        <w:rPr>
          <w:sz w:val="20"/>
          <w:szCs w:val="20"/>
          <w:color w:val="auto"/>
        </w:rPr>
      </w:pPr>
      <w:r>
        <w:rPr>
          <w:rFonts w:ascii="Courier New" w:cs="Courier New" w:eastAsia="Courier New" w:hAnsi="Courier New"/>
          <w:sz w:val="18"/>
          <w:szCs w:val="18"/>
          <w:color w:val="auto"/>
        </w:rPr>
        <w:t>(212) 350-9400</w:t>
      </w:r>
    </w:p>
    <w:p>
      <w:pPr>
        <w:spacing w:after="0" w:line="4"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Copy to:</w:t>
      </w:r>
    </w:p>
    <w:p>
      <w:pPr>
        <w:jc w:val="center"/>
        <w:ind w:right="1759"/>
        <w:spacing w:after="0" w:line="238" w:lineRule="auto"/>
        <w:rPr>
          <w:sz w:val="20"/>
          <w:szCs w:val="20"/>
          <w:color w:val="auto"/>
        </w:rPr>
      </w:pPr>
      <w:r>
        <w:rPr>
          <w:rFonts w:ascii="Courier New" w:cs="Courier New" w:eastAsia="Courier New" w:hAnsi="Courier New"/>
          <w:sz w:val="18"/>
          <w:szCs w:val="18"/>
          <w:color w:val="auto"/>
        </w:rPr>
        <w:t>J. David Kirkland, Jr., Esq.</w:t>
      </w:r>
    </w:p>
    <w:p>
      <w:pPr>
        <w:jc w:val="center"/>
        <w:ind w:right="1759"/>
        <w:spacing w:after="0"/>
        <w:rPr>
          <w:sz w:val="20"/>
          <w:szCs w:val="20"/>
          <w:color w:val="auto"/>
        </w:rPr>
      </w:pPr>
      <w:r>
        <w:rPr>
          <w:rFonts w:ascii="Courier New" w:cs="Courier New" w:eastAsia="Courier New" w:hAnsi="Courier New"/>
          <w:sz w:val="18"/>
          <w:szCs w:val="18"/>
          <w:color w:val="auto"/>
        </w:rPr>
        <w:t>Baker &amp; Botts, L.L.P. 3000 One Shell Plaza</w:t>
      </w:r>
    </w:p>
    <w:p>
      <w:pPr>
        <w:jc w:val="center"/>
        <w:ind w:right="1759"/>
        <w:spacing w:after="0" w:line="237" w:lineRule="auto"/>
        <w:rPr>
          <w:sz w:val="20"/>
          <w:szCs w:val="20"/>
          <w:color w:val="auto"/>
        </w:rPr>
      </w:pPr>
      <w:r>
        <w:rPr>
          <w:rFonts w:ascii="Courier New" w:cs="Courier New" w:eastAsia="Courier New" w:hAnsi="Courier New"/>
          <w:sz w:val="18"/>
          <w:szCs w:val="18"/>
          <w:color w:val="auto"/>
        </w:rPr>
        <w:t>910 Louisiana Houston, Texas 77002</w:t>
      </w:r>
    </w:p>
    <w:p>
      <w:pPr>
        <w:ind w:left="4120" w:hanging="636"/>
        <w:spacing w:after="0" w:line="238" w:lineRule="auto"/>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229-1101</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to be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ectPr>
          <w:pgSz w:w="11900" w:h="16838" w:orient="portrait"/>
          <w:cols w:equalWidth="0" w:num="1">
            <w:col w:w="10219"/>
          </w:cols>
          <w:pgMar w:left="240" w:top="655" w:right="1440" w:bottom="0" w:gutter="0" w:footer="0" w:header="0"/>
          <w:type w:val="continuous"/>
        </w:sectPr>
      </w:pPr>
    </w:p>
    <w:bookmarkStart w:id="1" w:name="page2"/>
    <w:bookmarkEnd w:id="1"/>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2720" w:val="left"/>
          <w:tab w:leader="none" w:pos="3880" w:val="left"/>
          <w:tab w:leader="none" w:pos="7580" w:val="left"/>
        </w:tabs>
        <w:rPr>
          <w:sz w:val="20"/>
          <w:szCs w:val="20"/>
          <w:color w:val="auto"/>
        </w:rPr>
      </w:pPr>
      <w:r>
        <w:rPr>
          <w:rFonts w:ascii="Courier New" w:cs="Courier New" w:eastAsia="Courier New" w:hAnsi="Courier New"/>
          <w:sz w:val="18"/>
          <w:szCs w:val="18"/>
          <w:color w:val="auto"/>
        </w:rPr>
        <w:t>Title of Each Class of</w:t>
        <w:tab/>
        <w:t>Amount to</w:t>
        <w:tab/>
        <w:t>Proposed Maximum Proposed Maximum</w:t>
      </w:r>
      <w:r>
        <w:rPr>
          <w:sz w:val="20"/>
          <w:szCs w:val="20"/>
          <w:color w:val="auto"/>
        </w:rPr>
        <w:tab/>
      </w:r>
      <w:r>
        <w:rPr>
          <w:rFonts w:ascii="Courier New" w:cs="Courier New" w:eastAsia="Courier New" w:hAnsi="Courier New"/>
          <w:sz w:val="16"/>
          <w:szCs w:val="16"/>
          <w:color w:val="auto"/>
        </w:rPr>
        <w:t>Amount of</w:t>
      </w:r>
    </w:p>
    <w:p>
      <w:pPr>
        <w:ind w:left="420"/>
        <w:spacing w:after="0"/>
        <w:tabs>
          <w:tab w:leader="none" w:pos="3140" w:val="left"/>
          <w:tab w:leader="none" w:pos="4000" w:val="left"/>
          <w:tab w:leader="none" w:pos="6000" w:val="left"/>
          <w:tab w:leader="none" w:pos="7460" w:val="left"/>
        </w:tabs>
        <w:rPr>
          <w:sz w:val="20"/>
          <w:szCs w:val="20"/>
          <w:color w:val="auto"/>
        </w:rPr>
      </w:pPr>
      <w:r>
        <w:rPr>
          <w:rFonts w:ascii="Courier New" w:cs="Courier New" w:eastAsia="Courier New" w:hAnsi="Courier New"/>
          <w:sz w:val="18"/>
          <w:szCs w:val="18"/>
          <w:color w:val="auto"/>
        </w:rPr>
        <w:t>Securities to be</w:t>
      </w:r>
      <w:r>
        <w:rPr>
          <w:sz w:val="20"/>
          <w:szCs w:val="20"/>
          <w:color w:val="auto"/>
        </w:rPr>
        <w:tab/>
      </w:r>
      <w:r>
        <w:rPr>
          <w:rFonts w:ascii="Courier New" w:cs="Courier New" w:eastAsia="Courier New" w:hAnsi="Courier New"/>
          <w:sz w:val="18"/>
          <w:szCs w:val="18"/>
          <w:color w:val="auto"/>
        </w:rPr>
        <w:t>be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Registration</w:t>
      </w:r>
    </w:p>
    <w:p>
      <w:pPr>
        <w:ind w:left="740"/>
        <w:spacing w:after="0"/>
        <w:tabs>
          <w:tab w:leader="none" w:pos="2720" w:val="left"/>
          <w:tab w:leader="none" w:pos="4200" w:val="left"/>
          <w:tab w:leader="none" w:pos="5780" w:val="left"/>
          <w:tab w:leader="none" w:pos="7880" w:val="left"/>
        </w:tabs>
        <w:rPr>
          <w:sz w:val="20"/>
          <w:szCs w:val="20"/>
          <w:color w:val="auto"/>
        </w:rPr>
      </w:pP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6"/>
          <w:szCs w:val="16"/>
          <w:color w:val="auto"/>
        </w:rPr>
        <w:t>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32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 per share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15,153,018</w:t>
            </w:r>
          </w:p>
        </w:tc>
        <w:tc>
          <w:tcPr>
            <w:tcW w:w="4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$55.59375(1)   $842,413,095(1)  $222,398(1)</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75"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computing the registration fee pursuant to Rule 457(o). Pursuant to Rule 457(c), the proposed maximum offering price has been calculated based on the average of the high and low prices of the common stock on the New York Stock Exchange on December 13, 1999.</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+The information in this prospectus</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is not complete and may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change. This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+prospectus is included in a registration statement that we 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+Securities and Exchange Commission. The selling holder cannot sell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until that registration</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 becomes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these securities and is not soliciting an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+offer to buy these securities in any state where the offer or sale is not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+permitted.</w:t>
            </w:r>
          </w:p>
        </w:tc>
        <w:tc>
          <w:tcPr>
            <w:tcW w:w="2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SUBJECT TO COMPLETION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PRELIMINARY PROSPECTUS DATED DECEMBER 15,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 FOR SCHLUMBERGER LIMITED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15,153,018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3480"/>
        <w:spacing w:after="0"/>
        <w:rPr>
          <w:sz w:val="20"/>
          <w:szCs w:val="20"/>
          <w:color w:val="auto"/>
        </w:rPr>
      </w:pPr>
      <w:r>
        <w:rPr>
          <w:rFonts w:ascii="Courier New" w:cs="Courier New" w:eastAsia="Courier New" w:hAnsi="Courier New"/>
          <w:sz w:val="18"/>
          <w:szCs w:val="18"/>
          <w:color w:val="auto"/>
        </w:rPr>
        <w:t>(212) 350-9400</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This prospectus covers the offer and sale of common stock by Dow Financial Holdings Inc., the selling holder. We will not receive any proceeds from these sales.</w:t>
      </w:r>
    </w:p>
    <w:p>
      <w:pPr>
        <w:spacing w:after="0" w:line="209" w:lineRule="exact"/>
        <w:rPr>
          <w:sz w:val="20"/>
          <w:szCs w:val="20"/>
          <w:color w:val="auto"/>
        </w:rPr>
      </w:pPr>
    </w:p>
    <w:p>
      <w:pPr>
        <w:jc w:val="both"/>
        <w:ind w:right="2419" w:firstLine="211"/>
        <w:spacing w:after="0" w:line="237" w:lineRule="auto"/>
        <w:rPr>
          <w:sz w:val="20"/>
          <w:szCs w:val="20"/>
          <w:color w:val="auto"/>
        </w:rPr>
      </w:pPr>
      <w:r>
        <w:rPr>
          <w:rFonts w:ascii="Courier New" w:cs="Courier New" w:eastAsia="Courier New" w:hAnsi="Courier New"/>
          <w:sz w:val="18"/>
          <w:szCs w:val="18"/>
          <w:color w:val="auto"/>
        </w:rPr>
        <w:t>The selling holder may offer and sell the shares from time to time. The selling holder may offer the shares at prevailing market prices, at prices related to such prevailing market prices, at negotiated prices or at fixed prices.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common stock is quoted on the New York Stock Exchange under the symbol SLB. On December 13, 1999, the last reported sale price of the common stock on the New York Stock Exchange was $54.</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w w:val="96"/>
              </w:rPr>
              <w:t>The date of this Prospectus</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1999.</w:t>
            </w:r>
          </w:p>
        </w:tc>
      </w:tr>
    </w:tbl>
    <w:p>
      <w:pPr>
        <w:sectPr>
          <w:pgSz w:w="11900" w:h="16838" w:orient="portrait"/>
          <w:cols w:equalWidth="0" w:num="1">
            <w:col w:w="10219"/>
          </w:cols>
          <w:pgMar w:left="240" w:top="723" w:right="1440" w:bottom="1440" w:gutter="0" w:footer="0" w:header="0"/>
        </w:sectPr>
      </w:pPr>
    </w:p>
    <w:bookmarkStart w:id="3" w:name="page4"/>
    <w:bookmarkEnd w:id="3"/>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640" w:type="dxa"/>
            <w:vAlign w:val="bottom"/>
          </w:tcPr>
          <w:p>
            <w:pPr>
              <w:ind w:left="296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6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w w:val="97"/>
              </w:rPr>
              <w:t>Schlumberger Limited....................................................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Recent Developments.....................................................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Forward-Looking 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Selling Holder......................................................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Matters...........................................................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Where You Can Find More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316"/>
        <w:spacing w:after="0" w:line="271"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different information. You should assume that the information appearing in this prospectus is accurate only as of the date on the front cover of this prospectus and that any information we have incorporated by reference is accurate only as of the date of the document incorporated by reference. Our business, financial condition, results of operations and prospects may have changed since those dates.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Through our subsidiaries, we engage in the following businesses:</w:t>
      </w:r>
    </w:p>
    <w:p>
      <w:pPr>
        <w:spacing w:after="0" w:line="207" w:lineRule="exact"/>
        <w:rPr>
          <w:sz w:val="20"/>
          <w:szCs w:val="20"/>
          <w:color w:val="auto"/>
        </w:rPr>
      </w:pPr>
    </w:p>
    <w:p>
      <w:pPr>
        <w:jc w:val="both"/>
        <w:ind w:left="420" w:right="2519" w:hanging="201"/>
        <w:spacing w:after="0" w:line="23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 which provides exploration and production services during the life of an oil and gas reservoir to the petroleum industry throughout the world;</w:t>
      </w:r>
    </w:p>
    <w:p>
      <w:pPr>
        <w:spacing w:after="0" w:line="209" w:lineRule="exact"/>
        <w:rPr>
          <w:sz w:val="20"/>
          <w:szCs w:val="20"/>
          <w:color w:val="auto"/>
        </w:rPr>
      </w:pPr>
    </w:p>
    <w:p>
      <w:pPr>
        <w:ind w:left="420" w:right="2739" w:hanging="201"/>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Services, which includes metering equipment and systems and related services; and</w:t>
      </w:r>
    </w:p>
    <w:p>
      <w:pPr>
        <w:spacing w:after="0" w:line="208" w:lineRule="exact"/>
        <w:rPr>
          <w:sz w:val="20"/>
          <w:szCs w:val="20"/>
          <w:color w:val="auto"/>
        </w:rPr>
      </w:pPr>
    </w:p>
    <w:p>
      <w:pPr>
        <w:ind w:left="420" w:right="2319" w:hanging="201"/>
        <w:spacing w:after="0" w:line="290"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&amp; Transactions, which includes electronic transactions, automated test equipment and communications and information technology solutions.</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December 13, 1999, we announced that our shareholders and the shareholders of Transocean Offshore Inc. had taken the necessary actions to approve the spin-off of our offshore drilling business, Sedco Forex, and the subsequent merger of Sedco Forex with Transocean. Our shareholders of record on December 20, 1999 are to receive shares of Sedco Forex in the spin-off; in the merger, these shares will be converted into shares of Transocean. The spin-off and merger are scheduled to be completed by December 31, 1999.</w:t>
      </w:r>
    </w:p>
    <w:p>
      <w:pPr>
        <w:spacing w:after="0" w:line="205"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include the information concerning our possible or assumed future results of operations, including statements about the following subjects:</w:t>
      </w:r>
    </w:p>
    <w:p>
      <w:pPr>
        <w:spacing w:after="0" w:line="182" w:lineRule="exact"/>
        <w:rPr>
          <w:sz w:val="20"/>
          <w:szCs w:val="20"/>
          <w:color w:val="auto"/>
        </w:rPr>
      </w:pPr>
    </w:p>
    <w:p>
      <w:pPr>
        <w:ind w:left="220"/>
        <w:spacing w:after="0"/>
        <w:tabs>
          <w:tab w:leader="none" w:pos="520" w:val="left"/>
          <w:tab w:leader="none" w:pos="4200" w:val="left"/>
          <w:tab w:leader="none" w:pos="4520" w:val="left"/>
        </w:tabs>
        <w:rPr>
          <w:sz w:val="20"/>
          <w:szCs w:val="20"/>
          <w:color w:val="auto"/>
        </w:rPr>
      </w:pPr>
      <w:r>
        <w:rPr>
          <w:rFonts w:ascii="Courier New" w:cs="Courier New" w:eastAsia="Courier New" w:hAnsi="Courier New"/>
          <w:sz w:val="18"/>
          <w:szCs w:val="18"/>
          <w:color w:val="auto"/>
        </w:rPr>
        <w:t>.</w:t>
        <w:tab/>
        <w:t>business strategies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financing plans</w:t>
      </w:r>
    </w:p>
    <w:p>
      <w:pPr>
        <w:spacing w:after="0" w:line="200" w:lineRule="exact"/>
        <w:rPr>
          <w:sz w:val="20"/>
          <w:szCs w:val="20"/>
          <w:color w:val="auto"/>
        </w:rPr>
      </w:pPr>
    </w:p>
    <w:p>
      <w:pPr>
        <w:spacing w:after="0" w:line="209" w:lineRule="exact"/>
        <w:rPr>
          <w:sz w:val="20"/>
          <w:szCs w:val="20"/>
          <w:color w:val="auto"/>
        </w:rPr>
      </w:pPr>
    </w:p>
    <w:p>
      <w:pPr>
        <w:ind w:left="4540" w:right="2619" w:hanging="4321"/>
        <w:spacing w:after="0" w:line="235" w:lineRule="auto"/>
        <w:tabs>
          <w:tab w:leader="none" w:pos="5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efficiencies or synergies. budgets for capital and other expenditures</w:t>
      </w: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growth opportunities</w:t>
            </w:r>
          </w:p>
        </w:tc>
        <w:tc>
          <w:tcPr>
            <w:tcW w:w="48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  timing and cost of completion of</w:t>
            </w:r>
          </w:p>
        </w:tc>
      </w:tr>
      <w:tr>
        <w:trPr>
          <w:trHeight w:val="203"/>
        </w:trPr>
        <w:tc>
          <w:tcPr>
            <w:tcW w:w="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 projects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competitive position</w:t>
            </w: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market outlook</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performance of contracts</w:t>
            </w: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expected financial position</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outcomes of legal proceedings</w:t>
            </w: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expected results of operations</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w w:val="99"/>
              </w:rPr>
              <w:t>compliance with applicable laws</w:t>
            </w: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future cash flows</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adequacy of insurance</w:t>
            </w: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future dividends</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w w:val="96"/>
              </w:rPr>
              <w:t>plans and expectations regarding</w:t>
            </w:r>
          </w:p>
        </w:tc>
      </w:tr>
      <w:tr>
        <w:trPr>
          <w:trHeight w:val="203"/>
        </w:trPr>
        <w:tc>
          <w:tcPr>
            <w:tcW w:w="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2000 issues</w:t>
            </w:r>
          </w:p>
        </w:tc>
      </w:tr>
    </w:tbl>
    <w:p>
      <w:pPr>
        <w:spacing w:after="0" w:line="207" w:lineRule="exact"/>
        <w:rPr>
          <w:sz w:val="20"/>
          <w:szCs w:val="20"/>
          <w:color w:val="auto"/>
        </w:rPr>
      </w:pPr>
    </w:p>
    <w:p>
      <w:pPr>
        <w:ind w:right="2839" w:firstLine="316"/>
        <w:spacing w:after="0" w:line="235" w:lineRule="auto"/>
        <w:rPr>
          <w:sz w:val="20"/>
          <w:szCs w:val="20"/>
          <w:color w:val="auto"/>
        </w:rPr>
      </w:pPr>
      <w:r>
        <w:rPr>
          <w:rFonts w:ascii="Courier New" w:cs="Courier New" w:eastAsia="Courier New" w:hAnsi="Courier New"/>
          <w:sz w:val="18"/>
          <w:szCs w:val="18"/>
          <w:color w:val="auto"/>
        </w:rPr>
        <w:t>Forward-looking statements are generally identifiable by use of the following words and other similar expressions, among others: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"anticipate"</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"intend"</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"believe"</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"may"</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"budget"</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"might"</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"could"</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"plan"</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"estimate"</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"predict"</w:t>
            </w:r>
          </w:p>
        </w:tc>
      </w:tr>
    </w:tbl>
    <w:p>
      <w:pPr>
        <w:sectPr>
          <w:pgSz w:w="11900" w:h="16838" w:orient="portrait"/>
          <w:cols w:equalWidth="0" w:num="1">
            <w:col w:w="10219"/>
          </w:cols>
          <w:pgMar w:left="240" w:top="717" w:right="1440" w:bottom="0" w:gutter="0" w:footer="0" w:header="0"/>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6" w:name="page7"/>
    <w:bookmarkEnd w:id="6"/>
    <w:p>
      <w:pPr>
        <w:spacing w:after="0" w:line="6"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"expect"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"project"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sectPr>
      </w:pPr>
    </w:p>
    <w:p>
      <w:pPr>
        <w:spacing w:after="0" w:line="7"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"forecast"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"should"</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The following factors could affect our future results of operations, and could cause those results to differ materially from those expressed in the forward-looking statements we include in this document or incorporate by reference:</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worldwide demand for oil and gas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 and gas prices</w:t>
      </w:r>
    </w:p>
    <w:p>
      <w:pPr>
        <w:spacing w:after="0" w:line="207" w:lineRule="exact"/>
        <w:rPr>
          <w:sz w:val="20"/>
          <w:szCs w:val="20"/>
          <w:color w:val="auto"/>
        </w:rPr>
      </w:pPr>
    </w:p>
    <w:p>
      <w:pPr>
        <w:ind w:left="540" w:right="2839" w:hanging="321"/>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level of activity in oil and gas exploration, development and production</w:t>
      </w:r>
    </w:p>
    <w:p>
      <w:pPr>
        <w:spacing w:after="0" w:line="203"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exploration success by producers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and market conditions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qualified personnel</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relations and wage negotiations with unions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hazards</w:t>
      </w:r>
    </w:p>
    <w:p>
      <w:pPr>
        <w:spacing w:after="0" w:line="207" w:lineRule="exact"/>
        <w:rPr>
          <w:sz w:val="20"/>
          <w:szCs w:val="20"/>
          <w:color w:val="auto"/>
        </w:rPr>
      </w:pPr>
    </w:p>
    <w:p>
      <w:pPr>
        <w:ind w:left="540" w:right="2739" w:hanging="321"/>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and other uncertainties inherent in non-U.S. operations, including exchange and currency fluctuations</w:t>
      </w:r>
    </w:p>
    <w:p>
      <w:pPr>
        <w:spacing w:after="0" w:line="203" w:lineRule="exact"/>
        <w:rPr>
          <w:sz w:val="20"/>
          <w:szCs w:val="20"/>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governmental laws and regulations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adequacy of sources of liquidity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litigation and contingencies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in implementing a year 2000 compliance plan</w:t>
      </w:r>
    </w:p>
    <w:p>
      <w:pPr>
        <w:spacing w:after="0" w:line="207" w:lineRule="exact"/>
        <w:rPr>
          <w:sz w:val="20"/>
          <w:szCs w:val="20"/>
          <w:color w:val="auto"/>
        </w:rPr>
      </w:pPr>
    </w:p>
    <w:p>
      <w:pPr>
        <w:ind w:left="540" w:right="2319" w:hanging="321"/>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service providers to be year 2000 compliant on a timely basis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above factors are in addition to those factors discussed in the documents we incorporate by reference into this prospectus, including in the "Currency Risks," "Environmental Matters," "Year 2000 Readiness Disclosure" and "Euro Disclosures" subsections of the "Management's Discussion and Analysis of Financial Condition and Results of Operations" sections of our Annual Report on Form 10-K for the fiscal year ended December 31, 1998 and our Quarterly Reports on Form 10-Q for the periods ended March 31, 1999, June 30, 1999 and September 30, 1999, and subsequent SEC filings on those forms.</w:t>
      </w:r>
    </w:p>
    <w:p>
      <w:pPr>
        <w:spacing w:after="0" w:line="212"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We will not receive any proceeds from sales of common stock by the selling holder.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8"/>
                <w:szCs w:val="18"/>
                <w:color w:val="auto"/>
              </w:rPr>
              <w:t>THE SELLING HOLDER</w:t>
            </w:r>
          </w:p>
        </w:tc>
        <w:tc>
          <w:tcPr>
            <w:tcW w:w="2900" w:type="dxa"/>
            <w:vAlign w:val="bottom"/>
          </w:tcPr>
          <w:p>
            <w:pPr>
              <w:spacing w:after="0"/>
              <w:rPr>
                <w:sz w:val="17"/>
                <w:szCs w:val="17"/>
                <w:color w:val="auto"/>
              </w:rPr>
            </w:pPr>
          </w:p>
        </w:tc>
      </w:tr>
      <w:tr>
        <w:trPr>
          <w:trHeight w:val="405"/>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This prospectus covers</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offer and sale by Dow Financial Holdings Inc.,</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selling holder, of up</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to 15,153,018 shares of our common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The shares</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were purchased by Dow Financial Holdings Inc. on December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1999 for</w:t>
            </w:r>
          </w:p>
        </w:tc>
      </w:tr>
      <w:tr>
        <w:trPr>
          <w:trHeight w:val="203"/>
        </w:trPr>
        <w:tc>
          <w:tcPr>
            <w:tcW w:w="9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$29.6723 per share upon exercise of a warrant held by Dow Financial Holdings</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 We originally issued</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warrant entitling the holder to purchase</w:t>
            </w:r>
          </w:p>
        </w:tc>
      </w:tr>
      <w:tr>
        <w:trPr>
          <w:trHeight w:val="203"/>
        </w:trPr>
        <w:tc>
          <w:tcPr>
            <w:tcW w:w="9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7,500,000 shares of our common stock in connection with our acquisition in 1992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various companies that</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owned 50% by Schlumberger entities and 50% by</w:t>
            </w:r>
          </w:p>
        </w:tc>
      </w:tr>
      <w:tr>
        <w:trPr>
          <w:trHeight w:val="203"/>
        </w:trPr>
        <w:tc>
          <w:tcPr>
            <w:tcW w:w="9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Dow entities prior to that transaction. As a result of a two-for-one split of</w:t>
            </w:r>
          </w:p>
        </w:tc>
      </w:tr>
      <w:tr>
        <w:trPr>
          <w:trHeight w:val="203"/>
        </w:trPr>
        <w:tc>
          <w:tcPr>
            <w:tcW w:w="9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our common stock and various transactions, the warrant entitled Dow Financial</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Holdings Inc. to purchase</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15,153,018 shares of our common stock.</w:t>
            </w:r>
          </w:p>
        </w:tc>
      </w:tr>
      <w:tr>
        <w:trPr>
          <w:trHeight w:val="810"/>
        </w:trPr>
        <w:tc>
          <w:tcPr>
            <w:tcW w:w="638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Number of shares of common stock</w:t>
            </w:r>
          </w:p>
        </w:tc>
        <w:tc>
          <w:tcPr>
            <w:tcW w:w="2900" w:type="dxa"/>
            <w:vAlign w:val="bottom"/>
          </w:tcPr>
          <w:p>
            <w:pPr>
              <w:spacing w:after="0"/>
              <w:rPr>
                <w:sz w:val="24"/>
                <w:szCs w:val="24"/>
                <w:color w:val="auto"/>
              </w:rPr>
            </w:pPr>
          </w:p>
        </w:tc>
      </w:tr>
      <w:tr>
        <w:trPr>
          <w:trHeight w:val="203"/>
        </w:trPr>
        <w:tc>
          <w:tcPr>
            <w:tcW w:w="638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rPr>
              <w:t>owned by the selling holder</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Number of shares of common</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prior to</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offering</w:t>
            </w: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stock offered</w:t>
            </w:r>
          </w:p>
        </w:tc>
      </w:tr>
      <w:tr>
        <w:trPr>
          <w:trHeight w:val="203"/>
        </w:trPr>
        <w:tc>
          <w:tcPr>
            <w:tcW w:w="6380" w:type="dxa"/>
            <w:vAlign w:val="bottom"/>
            <w:gridSpan w:val="2"/>
          </w:tcPr>
          <w:p>
            <w:pPr>
              <w:jc w:val="right"/>
              <w:ind w:right="165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gridSpan w:val="2"/>
          </w:tcPr>
          <w:p>
            <w:pPr>
              <w:jc w:val="right"/>
              <w:ind w:right="2812"/>
              <w:spacing w:after="0"/>
              <w:rPr>
                <w:sz w:val="20"/>
                <w:szCs w:val="20"/>
                <w:color w:val="auto"/>
              </w:rPr>
            </w:pPr>
            <w:r>
              <w:rPr>
                <w:rFonts w:ascii="Courier New" w:cs="Courier New" w:eastAsia="Courier New" w:hAnsi="Courier New"/>
                <w:sz w:val="18"/>
                <w:szCs w:val="18"/>
                <w:color w:val="auto"/>
              </w:rPr>
              <w:t>15,153,018</w:t>
            </w:r>
          </w:p>
        </w:tc>
        <w:tc>
          <w:tcPr>
            <w:tcW w:w="2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15,153,018</w:t>
            </w:r>
          </w:p>
        </w:tc>
      </w:tr>
    </w:tbl>
    <w:p>
      <w:pPr>
        <w:spacing w:after="0" w:line="200" w:lineRule="exact"/>
        <w:rPr>
          <w:sz w:val="20"/>
          <w:szCs w:val="20"/>
          <w:color w:val="auto"/>
        </w:rPr>
      </w:pP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selling holder may sell up to all of the shares of the common stock shown above under the heading "Number of shares of common stock offered" pursuant to this prospectus in one or more transactions from time to time as described below under "Plan of Distribution." However, the selling holder is not obligated to sell any of the shares of common stock offered by this prospectus.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 selling holder may offer and sell the shares of common stock offered by this prospectus from time to time in one or more of the following transactions:</w:t>
      </w:r>
    </w:p>
    <w:p>
      <w:pPr>
        <w:spacing w:after="0" w:line="170" w:lineRule="exact"/>
        <w:rPr>
          <w:sz w:val="20"/>
          <w:szCs w:val="20"/>
          <w:color w:val="auto"/>
        </w:rPr>
      </w:pPr>
    </w:p>
    <w:p>
      <w:pPr>
        <w:ind w:left="420" w:right="2099" w:hanging="201"/>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New York Stock Exchange or any other securities exchange that quotes the common stock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the over-the-counter market</w:t>
      </w:r>
    </w:p>
    <w:p>
      <w:pPr>
        <w:spacing w:after="0" w:line="207" w:lineRule="exact"/>
        <w:rPr>
          <w:sz w:val="20"/>
          <w:szCs w:val="20"/>
          <w:color w:val="auto"/>
        </w:rPr>
      </w:pPr>
    </w:p>
    <w:p>
      <w:pPr>
        <w:ind w:left="420" w:right="2099" w:hanging="201"/>
        <w:spacing w:after="0" w:line="290" w:lineRule="auto"/>
        <w:tabs>
          <w:tab w:leader="none" w:pos="4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other than on those exchanges or in the over-the-counter market (including negotiated transactions and other private transactions)</w:t>
      </w:r>
    </w:p>
    <w:p>
      <w:pPr>
        <w:spacing w:after="0" w:line="170" w:lineRule="exact"/>
        <w:rPr>
          <w:sz w:val="20"/>
          <w:szCs w:val="20"/>
          <w:color w:val="auto"/>
        </w:rPr>
      </w:pPr>
    </w:p>
    <w:p>
      <w:pPr>
        <w:ind w:left="420" w:right="2199" w:hanging="201"/>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short sales of the common stock, in transactions to cover short sales or otherwise in connection with short sales</w:t>
      </w:r>
    </w:p>
    <w:p>
      <w:pPr>
        <w:spacing w:after="0" w:line="208" w:lineRule="exact"/>
        <w:rPr>
          <w:sz w:val="20"/>
          <w:szCs w:val="20"/>
          <w:color w:val="auto"/>
        </w:rPr>
      </w:pPr>
    </w:p>
    <w:p>
      <w:pPr>
        <w:ind w:left="420" w:right="2419" w:hanging="201"/>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pledge to secure debts and other obligations or on foreclosure of a pledge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a combination of any of the above transactions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selling holder may sell its shares at market prices prevailing at the time of sale, at prices related to the prevailing market prices, at negotiated prices or at fixed prices. The transactions listed above may include block transactions.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holder may use broker-dealers to sell its shares or may sell its shares to broker-dealers acting as principals. If this happens, broker-dealers will either receive discounts or commissions from the selling holder, or they will receive commissions from purchasers of shares for whom they acted as agents, or both. If a broker-dealer purchases shares as a principal, it may resell the shares for its own account under this prospectus.</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have informed the selling holder that the anti-manipulation provisions of Regulation M under the Securities Exchange Act of 1934 may apply to its sales of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767" w:gutter="0" w:footer="0" w:header="0"/>
        </w:sectPr>
      </w:pPr>
    </w:p>
    <w:bookmarkStart w:id="8" w:name="page9"/>
    <w:bookmarkEnd w:id="8"/>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holder and any agent, broker or dealer that participates in sales of common stock offered by this prospectus may be deemed "underwriters" under the Securities Act of 1933, and any commissions or other consideration received by any agent, broker or dealer may be considered underwriting discounts or commissions under the Securities Act. We have agreed to indemnify the selling holder against certain liabilities arising under the Securities Act of 1933 from sales of common stock. The selling holder may agree to indemnify any agent, broker or dealer that participates in sales of common stock or warrants against liabilities arising under the Securities Act of 1933 from sales of common stock.</w:t>
      </w:r>
    </w:p>
    <w:p>
      <w:pPr>
        <w:spacing w:after="0" w:line="215"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Instead of selling common stock under this prospectus, the selling holder may sell common stock in compliance with the provisions of Rule 144 under the Securities Act of 1933, if available.</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term "selling holder" also includes persons who obtain common stock from the selling holder in a distribution or dividend of assets by an entity to its equity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descriptions provide a summary of our capital stock.</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We are authorized to issue 1,000,000,000 shares of common stock, par value $0.01 per share. On November 30, 1999, 667,054,806 shares were issued; 550,433,691 shares were outstanding; and 116,621,115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2099" w:firstLine="316"/>
        <w:spacing w:after="0" w:line="271" w:lineRule="auto"/>
        <w:rPr>
          <w:sz w:val="20"/>
          <w:szCs w:val="20"/>
          <w:color w:val="auto"/>
        </w:rPr>
      </w:pPr>
      <w:r>
        <w:rPr>
          <w:rFonts w:ascii="Courier New" w:cs="Courier New" w:eastAsia="Courier New" w:hAnsi="Courier New"/>
          <w:sz w:val="16"/>
          <w:szCs w:val="16"/>
          <w:color w:val="auto"/>
        </w:rPr>
        <w:t>All outstanding shares of our common stock (i.e., shares not held by us or our subsidiaries)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declare interim dividends.</w:t>
      </w:r>
    </w:p>
    <w:p>
      <w:pPr>
        <w:spacing w:after="0" w:line="3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Each holder of shares of common stock is entitled to one vote for each share registered in that holder's name. Voting rights may be exercised in person or by proxy. No action to amend our articles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articles of incorporation that would adversely affect the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board of directors is authorized to effect reorganizations or rearrangements of our corporate structure or that of our subsidiaries without the vote of stockholders if such reorganization or rearrangement does not result in any diminution of the beneficial interest of the stockholders in our assets. The board of directors may change our corporate domicile from the Netherlands Antilles to another jurisdiction without the necessity of any stockholder action or approval.</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Our common stock is listed for trading on the New York, London, Paris, Amsterdam and Swiss stock exchanges. The Transfer Agent and Registrar for the Common Stock is Boston EquiServe LP, Boston, Massachusetts.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59"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2199" w:firstLine="316"/>
        <w:spacing w:after="0" w:line="236" w:lineRule="auto"/>
        <w:rPr>
          <w:sz w:val="20"/>
          <w:szCs w:val="20"/>
          <w:color w:val="auto"/>
        </w:rPr>
      </w:pPr>
      <w:r>
        <w:rPr>
          <w:rFonts w:ascii="Courier New" w:cs="Courier New" w:eastAsia="Courier New" w:hAnsi="Courier New"/>
          <w:sz w:val="18"/>
          <w:szCs w:val="18"/>
          <w:color w:val="auto"/>
        </w:rPr>
        <w:t>Certain legal matters in connection with the common stock offered by this prospectus will be passed on for us by James L. Gunderson, Esq., our General Counsel.</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prospectus by reference to our Annual Report on Form 10-K for the year December 31, 1998 have been so incorporated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 we file at the SEC's public reference room at 450 Fifth Street, N.W., Washington, D.C. 20549. Please call the SEC at 1-800-SEC-0330 for further information on the public reference room. Our SEC filings also are available to the public at the SEC's web site at http://www.sec.gov.</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we make with the SEC under Sections 13(a), 13(c), 14, or 15(d) of the Securities Exchange Act of 1934:</w:t>
      </w:r>
    </w:p>
    <w:p>
      <w:pPr>
        <w:spacing w:after="0" w:line="212" w:lineRule="exact"/>
        <w:rPr>
          <w:sz w:val="20"/>
          <w:szCs w:val="20"/>
          <w:color w:val="auto"/>
        </w:rPr>
      </w:pPr>
    </w:p>
    <w:p>
      <w:pPr>
        <w:ind w:left="420" w:right="2099" w:hanging="201"/>
        <w:spacing w:after="0" w:line="235"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 (File No. 1-4601);</w:t>
      </w:r>
    </w:p>
    <w:p>
      <w:pPr>
        <w:spacing w:after="0" w:line="208" w:lineRule="exact"/>
        <w:rPr>
          <w:sz w:val="20"/>
          <w:szCs w:val="20"/>
          <w:color w:val="auto"/>
        </w:rPr>
      </w:pPr>
    </w:p>
    <w:p>
      <w:pPr>
        <w:ind w:left="420" w:right="2319" w:hanging="201"/>
        <w:spacing w:after="0" w:line="236"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1999; the quarter ended June 30, 1999; and the quarter ended September 30, 1999; and</w:t>
      </w:r>
    </w:p>
    <w:p>
      <w:pPr>
        <w:spacing w:after="0" w:line="209" w:lineRule="exact"/>
        <w:rPr>
          <w:sz w:val="20"/>
          <w:szCs w:val="20"/>
          <w:color w:val="auto"/>
        </w:rPr>
      </w:pPr>
    </w:p>
    <w:p>
      <w:pPr>
        <w:ind w:left="420" w:right="2099" w:hanging="201"/>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our registration statement on Form 20 dated January 8, 1962, filed under the Securities Exchange Act of 1934, as amended, including any amendment or report filed for the purpose of updating such 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obtain a copy of these filings, at no cost, by writing or telephoning:</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Rex Ross</w:t>
      </w:r>
    </w:p>
    <w:p>
      <w:pPr>
        <w:ind w:left="1280"/>
        <w:spacing w:after="0" w:line="238" w:lineRule="auto"/>
        <w:rPr>
          <w:sz w:val="20"/>
          <w:szCs w:val="20"/>
          <w:color w:val="auto"/>
        </w:rPr>
      </w:pPr>
      <w:r>
        <w:rPr>
          <w:rFonts w:ascii="Courier New" w:cs="Courier New" w:eastAsia="Courier New" w:hAnsi="Courier New"/>
          <w:sz w:val="18"/>
          <w:szCs w:val="18"/>
          <w:color w:val="auto"/>
        </w:rPr>
        <w:t>Vice President, Communications</w:t>
      </w:r>
    </w:p>
    <w:p>
      <w:pPr>
        <w:ind w:left="1280"/>
        <w:spacing w:after="0"/>
        <w:rPr>
          <w:sz w:val="20"/>
          <w:szCs w:val="20"/>
          <w:color w:val="auto"/>
        </w:rPr>
      </w:pPr>
      <w:r>
        <w:rPr>
          <w:rFonts w:ascii="Courier New" w:cs="Courier New" w:eastAsia="Courier New" w:hAnsi="Courier New"/>
          <w:sz w:val="18"/>
          <w:szCs w:val="18"/>
          <w:color w:val="auto"/>
        </w:rPr>
        <w:t>Schlumberger Limited</w:t>
      </w:r>
    </w:p>
    <w:p>
      <w:pPr>
        <w:ind w:left="1280"/>
        <w:spacing w:after="0" w:line="237" w:lineRule="auto"/>
        <w:rPr>
          <w:sz w:val="20"/>
          <w:szCs w:val="20"/>
          <w:color w:val="auto"/>
        </w:rPr>
      </w:pPr>
      <w:r>
        <w:rPr>
          <w:rFonts w:ascii="Courier New" w:cs="Courier New" w:eastAsia="Courier New" w:hAnsi="Courier New"/>
          <w:sz w:val="18"/>
          <w:szCs w:val="18"/>
          <w:color w:val="auto"/>
        </w:rPr>
        <w:t>277 Park Avenue</w:t>
      </w:r>
    </w:p>
    <w:p>
      <w:pPr>
        <w:ind w:left="128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1280"/>
        <w:spacing w:after="0"/>
        <w:rPr>
          <w:sz w:val="20"/>
          <w:szCs w:val="20"/>
          <w:color w:val="auto"/>
        </w:rPr>
      </w:pPr>
      <w:r>
        <w:rPr>
          <w:rFonts w:ascii="Courier New" w:cs="Courier New" w:eastAsia="Courier New" w:hAnsi="Courier New"/>
          <w:sz w:val="18"/>
          <w:szCs w:val="18"/>
          <w:color w:val="auto"/>
        </w:rPr>
        <w:t>(212) 350-9432</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This prospectus is part of a registration statement we filed with the SEC.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All expenses in connection with the offering described in this Registration Statement will be paid by the selling holder. Such expenses are as follows:*</w:t>
      </w:r>
    </w:p>
    <w:p>
      <w:pPr>
        <w:spacing w:after="0" w:line="200" w:lineRule="exact"/>
        <w:rPr>
          <w:sz w:val="20"/>
          <w:szCs w:val="20"/>
          <w:color w:val="auto"/>
        </w:rPr>
      </w:pPr>
    </w:p>
    <w:p>
      <w:pPr>
        <w:spacing w:after="0" w:line="369"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220" w:type="dxa"/>
            <w:vAlign w:val="bottom"/>
          </w:tcPr>
          <w:p>
            <w:pPr>
              <w:jc w:val="right"/>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$222,398</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rPr>
                <w:sz w:val="17"/>
                <w:szCs w:val="17"/>
                <w:color w:val="auto"/>
              </w:rPr>
            </w:pP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r>
      <w:tr>
        <w:trPr>
          <w:trHeight w:val="203"/>
        </w:trPr>
        <w:tc>
          <w:tcPr>
            <w:tcW w:w="7220" w:type="dxa"/>
            <w:vAlign w:val="bottom"/>
          </w:tcPr>
          <w:p>
            <w:pPr>
              <w:spacing w:after="0"/>
              <w:rPr>
                <w:sz w:val="17"/>
                <w:szCs w:val="17"/>
                <w:color w:val="auto"/>
              </w:rPr>
            </w:pP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firstLine="8"/>
        <w:spacing w:after="0" w:line="235" w:lineRule="auto"/>
        <w:tabs>
          <w:tab w:leader="none" w:pos="21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set forth, except for the filing fees for the Securities and Exchange Commission, are estimated.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To be provided by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Article IX, Section 7 of our Articles of Incorporation and Article V of our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By-Laws provide that:</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have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Schlumberger,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our best interests, and, with respect to any criminal action or proceeding, had reasonable cause to believe that his conduct was unlawful.</w:t>
      </w:r>
    </w:p>
    <w:p>
      <w:pPr>
        <w:spacing w:after="0" w:line="39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have the power to indemnify any person who was or is a party or is threatened to be made a party to any threatened, pending or completed action or suit by or in the right of Schlumberger to procure a judgment in our favor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our best interests and except that no indemnification may be made in respect of any claim, issue or matter as to which that person has been finally adjudged to be liable to us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767" w:gutter="0" w:footer="0" w:header="0"/>
        </w:sectPr>
      </w:pPr>
    </w:p>
    <w:bookmarkStart w:id="12" w:name="page13"/>
    <w:bookmarkEnd w:id="12"/>
    <w:p>
      <w:pPr>
        <w:ind w:right="1999" w:firstLine="316"/>
        <w:spacing w:after="0" w:line="237" w:lineRule="auto"/>
        <w:rPr>
          <w:sz w:val="20"/>
          <w:szCs w:val="20"/>
          <w:color w:val="auto"/>
        </w:rPr>
      </w:pPr>
      <w:r>
        <w:rPr>
          <w:rFonts w:ascii="Courier New" w:cs="Courier New" w:eastAsia="Courier New" w:hAnsi="Courier New"/>
          <w:sz w:val="18"/>
          <w:szCs w:val="18"/>
          <w:color w:val="auto"/>
        </w:rPr>
        <w:t>To the extent that one of our directors, officers, employees or agents has been successful on the merits or otherwise in defense of any action, suit or proceeding referred to in the two preceding paragraphs, or in defense of any claim, issue or matter therein, we will indemnify that person against expenses (including attorneys' fees) actually and reasonably incurred by him or her in connection therewith.</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us only as authorized by contract approved, or by-laws, resolution or other action adopted or taken, by the Board of Directors or by the stockholders.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us in advance of the final disposition of such action, suit or proceeding upon receipt of an undertaking by or on behalf of the director, officer, employee or agent to repay such amount if it is ultimately determined that he or she is not entitled to be indemnified by us as authorized by Article V of the By-Laws or Article IX, Section 7 of the Articles of Incorporation.</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indemnification and advancement of expenses provided by or granted pursuant to the other Sections of Article V of the By-Laws and Article IX, Section 7 of the Articles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21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have the power to purchase and maintain insurance on behalf of any person who is or was a director, officer, employee or agent of Schlumberger, or is or was serving at our request in such a capacity for another corporation, partnership, joint venture, trust or other enterprise against any liability asserted against that person and incurred by that person in any of those capacities or arising out of his status as such, whether or not we may indemnify him or her against such liability under the provisions of Article V of the By-Laws or Article IX, Section 7 of the Articles of Incorporation.</w:t>
      </w:r>
    </w:p>
    <w:p>
      <w:pPr>
        <w:spacing w:after="0" w:line="186"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For purposes of Article V of the By-Laws and Article IX, Section 7 of the Articles of Incorporation, reference to us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Articles of Incorporation with respect to the resulting or surviving corporation as he would have with respect to such constituent corporation if its separate existence had continued.</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In addition, we maintain directors' and officers' liability insurance which insures against certain liabilities that the officers and directors of Schlumberger may incur in such capacities.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ITEM 16. Exhibits</w:t>
            </w:r>
          </w:p>
        </w:tc>
        <w:tc>
          <w:tcPr>
            <w:tcW w:w="5760" w:type="dxa"/>
            <w:vAlign w:val="bottom"/>
          </w:tcPr>
          <w:p>
            <w:pPr>
              <w:spacing w:after="0"/>
              <w:rPr>
                <w:sz w:val="17"/>
                <w:szCs w:val="17"/>
                <w:color w:val="auto"/>
              </w:rPr>
            </w:pPr>
          </w:p>
        </w:tc>
      </w:tr>
      <w:tr>
        <w:trPr>
          <w:trHeight w:val="810"/>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Exhibit No.</w:t>
            </w:r>
          </w:p>
        </w:tc>
        <w:tc>
          <w:tcPr>
            <w:tcW w:w="1200" w:type="dxa"/>
            <w:vAlign w:val="bottom"/>
          </w:tcPr>
          <w:p>
            <w:pPr>
              <w:spacing w:after="0"/>
              <w:rPr>
                <w:sz w:val="24"/>
                <w:szCs w:val="24"/>
                <w:color w:val="auto"/>
              </w:rPr>
            </w:pPr>
          </w:p>
        </w:tc>
        <w:tc>
          <w:tcPr>
            <w:tcW w:w="5760" w:type="dxa"/>
            <w:vAlign w:val="bottom"/>
          </w:tcPr>
          <w:p>
            <w:pPr>
              <w:ind w:left="206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w:t>
            </w:r>
          </w:p>
        </w:tc>
        <w:tc>
          <w:tcPr>
            <w:tcW w:w="69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 Articles of Incorporation of Schlumberger N.V. as last amended</w:t>
            </w:r>
          </w:p>
        </w:tc>
      </w:tr>
      <w:tr>
        <w:trPr>
          <w:trHeight w:val="203"/>
        </w:trPr>
        <w:tc>
          <w:tcPr>
            <w:tcW w:w="13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on April 28, 1997 (Incorporated by reference to the Form 10-Q</w:t>
            </w:r>
          </w:p>
        </w:tc>
      </w:tr>
      <w:tr>
        <w:trPr>
          <w:trHeight w:val="203"/>
        </w:trPr>
        <w:tc>
          <w:tcPr>
            <w:tcW w:w="13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the</w:t>
            </w:r>
          </w:p>
        </w:tc>
        <w:tc>
          <w:tcPr>
            <w:tcW w:w="57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 ended March 31, 1997, File No. 1-4601)</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 By-laws</w:t>
            </w:r>
          </w:p>
        </w:tc>
        <w:tc>
          <w:tcPr>
            <w:tcW w:w="5760" w:type="dxa"/>
            <w:vAlign w:val="bottom"/>
          </w:tcPr>
          <w:p>
            <w:pPr>
              <w:ind w:left="60"/>
              <w:spacing w:after="0"/>
              <w:rPr>
                <w:sz w:val="20"/>
                <w:szCs w:val="20"/>
                <w:color w:val="auto"/>
              </w:rPr>
            </w:pPr>
            <w:r>
              <w:rPr>
                <w:rFonts w:ascii="Courier New" w:cs="Courier New" w:eastAsia="Courier New" w:hAnsi="Courier New"/>
                <w:sz w:val="18"/>
                <w:szCs w:val="18"/>
                <w:color w:val="auto"/>
              </w:rPr>
              <w:t>of Schlumberger N.V. as last amended on October 20,</w:t>
            </w:r>
          </w:p>
        </w:tc>
      </w:tr>
      <w:tr>
        <w:trPr>
          <w:trHeight w:val="203"/>
        </w:trPr>
        <w:tc>
          <w:tcPr>
            <w:tcW w:w="13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1993 (Incorporated by reference to Exhibit 3 to the Form 10-K</w:t>
            </w:r>
          </w:p>
        </w:tc>
      </w:tr>
      <w:tr>
        <w:trPr>
          <w:trHeight w:val="203"/>
        </w:trPr>
        <w:tc>
          <w:tcPr>
            <w:tcW w:w="13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the</w:t>
            </w:r>
          </w:p>
        </w:tc>
        <w:tc>
          <w:tcPr>
            <w:tcW w:w="57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ended December 31, 1993, File No. 1-4601)</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 Opinion</w:t>
            </w:r>
          </w:p>
        </w:tc>
        <w:tc>
          <w:tcPr>
            <w:tcW w:w="5760" w:type="dxa"/>
            <w:vAlign w:val="bottom"/>
          </w:tcPr>
          <w:p>
            <w:pPr>
              <w:ind w:left="60"/>
              <w:spacing w:after="0"/>
              <w:rPr>
                <w:sz w:val="20"/>
                <w:szCs w:val="20"/>
                <w:color w:val="auto"/>
              </w:rPr>
            </w:pPr>
            <w:r>
              <w:rPr>
                <w:rFonts w:ascii="Courier New" w:cs="Courier New" w:eastAsia="Courier New" w:hAnsi="Courier New"/>
                <w:sz w:val="18"/>
                <w:szCs w:val="18"/>
                <w:color w:val="auto"/>
              </w:rPr>
              <w:t>of James L. Gunderson, Esq.</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 Consent</w:t>
            </w:r>
          </w:p>
        </w:tc>
        <w:tc>
          <w:tcPr>
            <w:tcW w:w="5760" w:type="dxa"/>
            <w:vAlign w:val="bottom"/>
          </w:tcPr>
          <w:p>
            <w:pPr>
              <w:ind w:left="60"/>
              <w:spacing w:after="0"/>
              <w:rPr>
                <w:sz w:val="20"/>
                <w:szCs w:val="20"/>
                <w:color w:val="auto"/>
              </w:rPr>
            </w:pPr>
            <w:r>
              <w:rPr>
                <w:rFonts w:ascii="Courier New" w:cs="Courier New" w:eastAsia="Courier New" w:hAnsi="Courier New"/>
                <w:sz w:val="18"/>
                <w:szCs w:val="18"/>
                <w:color w:val="auto"/>
                <w:w w:val="97"/>
              </w:rPr>
              <w:t>of PricewaterhouseCoopers LLP, independent accountants</w:t>
            </w:r>
          </w:p>
        </w:tc>
      </w:tr>
      <w:tr>
        <w:trPr>
          <w:trHeight w:val="203"/>
        </w:trPr>
        <w:tc>
          <w:tcPr>
            <w:tcW w:w="13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(filed herewith)</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 Consent</w:t>
            </w:r>
          </w:p>
        </w:tc>
        <w:tc>
          <w:tcPr>
            <w:tcW w:w="5760" w:type="dxa"/>
            <w:vAlign w:val="bottom"/>
          </w:tcPr>
          <w:p>
            <w:pPr>
              <w:ind w:left="60"/>
              <w:spacing w:after="0"/>
              <w:rPr>
                <w:sz w:val="20"/>
                <w:szCs w:val="20"/>
                <w:color w:val="auto"/>
              </w:rPr>
            </w:pPr>
            <w:r>
              <w:rPr>
                <w:rFonts w:ascii="Courier New" w:cs="Courier New" w:eastAsia="Courier New" w:hAnsi="Courier New"/>
                <w:sz w:val="18"/>
                <w:szCs w:val="18"/>
                <w:color w:val="auto"/>
                <w:w w:val="99"/>
              </w:rPr>
              <w:t>of James L. Gunderson, Esq. (contained in Exhibit 5).</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w:t>
            </w:r>
          </w:p>
        </w:tc>
        <w:tc>
          <w:tcPr>
            <w:tcW w:w="69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Powers of Attorney (filed herewith)</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5899" w:firstLine="8"/>
        <w:spacing w:after="0" w:line="470" w:lineRule="auto"/>
        <w:tabs>
          <w:tab w:leader="none" w:pos="21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as indicated. + To be filed by amendment.</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17. Undertakings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619" w:firstLine="325"/>
        <w:spacing w:after="0" w:line="235" w:lineRule="auto"/>
        <w:tabs>
          <w:tab w:leader="none" w:pos="1157"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319" w:firstLine="325"/>
        <w:spacing w:after="0" w:line="238" w:lineRule="auto"/>
        <w:tabs>
          <w:tab w:leader="none" w:pos="1263"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w:t>
      </w:r>
    </w:p>
    <w:p>
      <w:pPr>
        <w:spacing w:after="0" w:line="4" w:lineRule="exact"/>
        <w:rPr>
          <w:sz w:val="20"/>
          <w:szCs w:val="20"/>
          <w:color w:val="auto"/>
        </w:rPr>
      </w:pPr>
    </w:p>
    <w:p>
      <w:pPr>
        <w:ind w:left="420" w:right="2419"/>
        <w:spacing w:after="0" w:line="236" w:lineRule="auto"/>
        <w:rPr>
          <w:sz w:val="20"/>
          <w:szCs w:val="20"/>
          <w:color w:val="auto"/>
        </w:rPr>
      </w:pPr>
      <w:r>
        <w:rPr>
          <w:rFonts w:ascii="Courier New" w:cs="Courier New" w:eastAsia="Courier New" w:hAnsi="Courier New"/>
          <w:sz w:val="18"/>
          <w:szCs w:val="18"/>
          <w:color w:val="auto"/>
        </w:rPr>
        <w:t>of distribution not previously disclosed in the Registration Statement or any material change to such information in the Registration Statement;</w:t>
      </w:r>
    </w:p>
    <w:p>
      <w:pPr>
        <w:spacing w:after="0" w:line="209" w:lineRule="exact"/>
        <w:rPr>
          <w:sz w:val="20"/>
          <w:szCs w:val="20"/>
          <w:color w:val="auto"/>
        </w:rPr>
      </w:pPr>
    </w:p>
    <w:p>
      <w:pPr>
        <w:ind w:left="220" w:right="209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4" w:lineRule="exact"/>
        <w:rPr>
          <w:sz w:val="20"/>
          <w:szCs w:val="20"/>
          <w:color w:val="auto"/>
        </w:rPr>
      </w:pPr>
    </w:p>
    <w:p>
      <w:pPr>
        <w:ind w:left="960" w:hanging="42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left="22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left="220" w:right="2319" w:firstLine="315"/>
        <w:spacing w:after="0" w:line="236" w:lineRule="auto"/>
        <w:tabs>
          <w:tab w:leader="none" w:pos="95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0" w:gutter="0" w:footer="0" w:header="0"/>
        </w:sectPr>
      </w:pPr>
    </w:p>
    <w:bookmarkStart w:id="14" w:name="page15"/>
    <w:bookmarkEnd w:id="14"/>
    <w:p>
      <w:pPr>
        <w:ind w:left="-324" w:right="1879" w:firstLine="324"/>
        <w:spacing w:after="0" w:line="271" w:lineRule="auto"/>
        <w:tabs>
          <w:tab w:leader="none" w:pos="4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rFonts w:ascii="Courier New" w:cs="Courier New" w:eastAsia="Courier New" w:hAnsi="Courier New"/>
          <w:sz w:val="16"/>
          <w:szCs w:val="16"/>
          <w:color w:val="auto"/>
        </w:rPr>
      </w:pPr>
    </w:p>
    <w:p>
      <w:pPr>
        <w:ind w:left="-324" w:right="1879" w:firstLine="324"/>
        <w:spacing w:after="0" w:line="270" w:lineRule="auto"/>
        <w:tabs>
          <w:tab w:leader="none" w:pos="4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1" w:lineRule="exact"/>
        <w:rPr>
          <w:sz w:val="20"/>
          <w:szCs w:val="20"/>
          <w:color w:val="auto"/>
        </w:rPr>
      </w:pPr>
    </w:p>
    <w:p>
      <w:pPr>
        <w:ind w:left="3696"/>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95"/>
          </w:cols>
          <w:pgMar w:left="564" w:top="723"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December 15, 1999.</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SCHLUMBERGER N.V.</w:t>
      </w:r>
    </w:p>
    <w:p>
      <w:pPr>
        <w:ind w:left="444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 Executive Vice</w:t>
      </w:r>
    </w:p>
    <w:p>
      <w:pPr>
        <w:spacing w:after="0" w:line="238" w:lineRule="auto"/>
        <w:rPr>
          <w:sz w:val="20"/>
          <w:szCs w:val="20"/>
          <w:color w:val="auto"/>
        </w:rPr>
      </w:pPr>
      <w:r>
        <w:rPr>
          <w:rFonts w:ascii="Courier New" w:cs="Courier New" w:eastAsia="Courier New" w:hAnsi="Courier New"/>
          <w:sz w:val="18"/>
          <w:szCs w:val="18"/>
          <w:color w:val="auto"/>
        </w:rPr>
        <w:t>President--Finance;</w:t>
      </w:r>
    </w:p>
    <w:p>
      <w:pPr>
        <w:spacing w:after="0"/>
        <w:rPr>
          <w:sz w:val="20"/>
          <w:szCs w:val="20"/>
          <w:color w:val="auto"/>
        </w:rPr>
      </w:pPr>
      <w:r>
        <w:rPr>
          <w:rFonts w:ascii="Courier New" w:cs="Courier New" w:eastAsia="Courier New" w:hAnsi="Courier New"/>
          <w:sz w:val="18"/>
          <w:szCs w:val="18"/>
          <w:color w:val="auto"/>
        </w:rPr>
        <w:t>Chief Financial Officer and Chief</w:t>
      </w:r>
    </w:p>
    <w:p>
      <w:pPr>
        <w:spacing w:after="0" w:line="237"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4740" w:space="0"/>
            <w:col w:w="5479"/>
          </w:cols>
          <w:pgMar w:left="240" w:top="717" w:right="1440" w:bottom="0" w:gutter="0" w:footer="0" w:header="0"/>
          <w:type w:val="continuous"/>
        </w:sectPr>
      </w:pPr>
    </w:p>
    <w:p>
      <w:pPr>
        <w:spacing w:after="0" w:line="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registration statement has been signed below by the following persons on behalf of the Registrant and in the capacities indicated on December 15, 1999.</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020" w:space="720"/>
            <w:col w:w="5479"/>
          </w:cols>
          <w:pgMar w:left="240" w:top="717" w:right="1440" w:bottom="0" w:gutter="0" w:footer="0" w:header="0"/>
          <w:type w:val="continuous"/>
        </w:sectPr>
      </w:pP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Chairman,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w:t>
      </w:r>
    </w:p>
    <w:p>
      <w:pPr>
        <w:spacing w:after="0" w:line="4" w:lineRule="exact"/>
        <w:rPr>
          <w:sz w:val="20"/>
          <w:szCs w:val="20"/>
          <w:color w:val="auto"/>
        </w:rPr>
      </w:pPr>
    </w:p>
    <w:p>
      <w:pPr>
        <w:sectPr>
          <w:pgSz w:w="11900" w:h="16838" w:orient="portrait"/>
          <w:cols w:equalWidth="0" w:num="2">
            <w:col w:w="3180" w:space="720"/>
            <w:col w:w="6319"/>
          </w:cols>
          <w:pgMar w:left="240" w:top="717" w:right="1440" w:bottom="0" w:gutter="0" w:footer="0" w:header="0"/>
          <w:type w:val="continuous"/>
        </w:sect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Euan Baird</w:t>
      </w:r>
    </w:p>
    <w:p>
      <w:pPr>
        <w:sectPr>
          <w:pgSz w:w="11900" w:h="16838" w:orient="portrait"/>
          <w:cols w:equalWidth="0" w:num="1">
            <w:col w:w="10219"/>
          </w:cols>
          <w:pgMar w:left="240" w:top="717" w:right="1440" w:bottom="0" w:gutter="0" w:footer="0" w:header="0"/>
          <w:type w:val="continuous"/>
        </w:sectPr>
      </w:pP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Victor E. Grijalva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Director, Vice Chairman</w:t>
      </w:r>
    </w:p>
    <w:p>
      <w:pPr>
        <w:spacing w:after="0" w:line="622" w:lineRule="exact"/>
        <w:rPr>
          <w:sz w:val="20"/>
          <w:szCs w:val="20"/>
          <w:color w:val="auto"/>
        </w:rPr>
      </w:pPr>
    </w:p>
    <w:p>
      <w:pPr>
        <w:sectPr>
          <w:pgSz w:w="11900" w:h="16838" w:orient="portrait"/>
          <w:cols w:equalWidth="0" w:num="2">
            <w:col w:w="3900" w:space="0"/>
            <w:col w:w="6319"/>
          </w:cols>
          <w:pgMar w:left="240" w:top="717" w:right="1440" w:bottom="0" w:gutter="0" w:footer="0" w:header="0"/>
          <w:type w:val="continuous"/>
        </w:sectPr>
      </w:pPr>
    </w:p>
    <w:p>
      <w:pPr>
        <w:spacing w:after="0" w:line="7"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Jack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President--Finance;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 and Chief Accounting</w:t>
      </w:r>
    </w:p>
    <w:p>
      <w:pPr>
        <w:spacing w:after="0" w:line="4" w:lineRule="exact"/>
        <w:rPr>
          <w:sz w:val="20"/>
          <w:szCs w:val="20"/>
          <w:color w:val="auto"/>
        </w:rPr>
      </w:pPr>
    </w:p>
    <w:p>
      <w:pPr>
        <w:sectPr>
          <w:pgSz w:w="11900" w:h="16838" w:orient="portrait"/>
          <w:cols w:equalWidth="0" w:num="2">
            <w:col w:w="3180" w:space="720"/>
            <w:col w:w="6319"/>
          </w:cols>
          <w:pgMar w:left="240" w:top="717" w:right="1440" w:bottom="0" w:gutter="0" w:footer="0" w:header="0"/>
          <w:type w:val="continuous"/>
        </w:sectPr>
      </w:pPr>
    </w:p>
    <w:p>
      <w:pPr>
        <w:ind w:left="1380" w:right="5359" w:hanging="1372"/>
        <w:spacing w:after="0" w:line="235" w:lineRule="auto"/>
        <w:tabs>
          <w:tab w:leader="none" w:pos="2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Jack Liu</w:t>
      </w:r>
    </w:p>
    <w:p>
      <w:pPr>
        <w:spacing w:after="0" w:line="203"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E. Ackerman</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Deutch</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Denys Henderson</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 Levy-Lang</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T. McCormick, Jr.</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Didier Primat</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Nicolas Seydoux</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Linda G. Stuntz</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Yoshihiko Wakumoto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By: /s/ James L. Gunderson</w:t>
      </w:r>
    </w:p>
    <w:p>
      <w:pPr>
        <w:sectPr>
          <w:pgSz w:w="11900" w:h="16838" w:orient="portrait"/>
          <w:cols w:equalWidth="0" w:num="1">
            <w:col w:w="10219"/>
          </w:cols>
          <w:pgMar w:left="240" w:top="717" w:right="1440" w:bottom="0" w:gutter="0" w:footer="0" w:header="0"/>
          <w:type w:val="continuous"/>
        </w:sectPr>
      </w:pPr>
    </w:p>
    <w:bookmarkStart w:id="16" w:name="page17"/>
    <w:bookmarkEnd w:id="16"/>
    <w:p>
      <w:pPr>
        <w:ind w:left="1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James L. Gunderson, Attorney-in-</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fact</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099"/>
          </w:cols>
          <w:pgMar w:left="360" w:top="136"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January 20, 1999 relating to the financial statements which appear in Schlumberger Limited's Annual Report on Form 10-K for the year ended December 31, 1998.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NY</w:t>
      </w:r>
    </w:p>
    <w:p>
      <w:pPr>
        <w:spacing w:after="0"/>
        <w:rPr>
          <w:sz w:val="20"/>
          <w:szCs w:val="20"/>
          <w:color w:val="auto"/>
        </w:rPr>
      </w:pPr>
      <w:r>
        <w:rPr>
          <w:rFonts w:ascii="Courier New" w:cs="Courier New" w:eastAsia="Courier New" w:hAnsi="Courier New"/>
          <w:sz w:val="18"/>
          <w:szCs w:val="18"/>
          <w:color w:val="auto"/>
        </w:rPr>
        <w:t>December 14, 1999</w:t>
      </w:r>
    </w:p>
    <w:p>
      <w:pPr>
        <w:sectPr>
          <w:pgSz w:w="11900" w:h="16838" w:orient="portrait"/>
          <w:cols w:equalWidth="0" w:num="1">
            <w:col w:w="10219"/>
          </w:cols>
          <w:pgMar w:left="240" w:top="541"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William T. McCormick, Jr.</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William T. McCormick, Jr.</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541"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Nicolas Seydoux</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Nicolas Seydoux</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0" w:name="page21"/>
    <w:bookmarkEnd w:id="20"/>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Andre Levy-Lang</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Andre Levy-Lang</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1" w:name="page22"/>
    <w:bookmarkEnd w:id="21"/>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Denys Henderson</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Denys Henderson</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2" w:name="page23"/>
    <w:bookmarkEnd w:id="22"/>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Victor E. Grijalva</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Victor E. Grijalva</w:t>
      </w:r>
    </w:p>
    <w:p>
      <w:pPr>
        <w:ind w:left="4440"/>
        <w:spacing w:after="0" w:line="237" w:lineRule="auto"/>
        <w:rPr>
          <w:sz w:val="20"/>
          <w:szCs w:val="20"/>
          <w:color w:val="auto"/>
        </w:rPr>
      </w:pPr>
      <w:r>
        <w:rPr>
          <w:rFonts w:ascii="Courier New" w:cs="Courier New" w:eastAsia="Courier New" w:hAnsi="Courier New"/>
          <w:sz w:val="18"/>
          <w:szCs w:val="18"/>
          <w:color w:val="auto"/>
        </w:rPr>
        <w:t>Director, Vice Chairman</w:t>
      </w:r>
    </w:p>
    <w:p>
      <w:pPr>
        <w:sectPr>
          <w:pgSz w:w="11900" w:h="16838" w:orient="portrait"/>
          <w:cols w:equalWidth="0" w:num="1">
            <w:col w:w="10219"/>
          </w:cols>
          <w:pgMar w:left="240" w:top="919" w:right="1440" w:bottom="1440" w:gutter="0" w:footer="0" w:header="0"/>
        </w:sectPr>
      </w:pPr>
    </w:p>
    <w:bookmarkStart w:id="23" w:name="page24"/>
    <w:bookmarkEnd w:id="23"/>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 EUAN BAIRD</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D. Euan Baird</w:t>
      </w:r>
    </w:p>
    <w:p>
      <w:pPr>
        <w:ind w:left="4440"/>
        <w:spacing w:after="0" w:line="237" w:lineRule="auto"/>
        <w:rPr>
          <w:sz w:val="20"/>
          <w:szCs w:val="20"/>
          <w:color w:val="auto"/>
        </w:rPr>
      </w:pPr>
      <w:r>
        <w:rPr>
          <w:rFonts w:ascii="Courier New" w:cs="Courier New" w:eastAsia="Courier New" w:hAnsi="Courier New"/>
          <w:sz w:val="18"/>
          <w:szCs w:val="18"/>
          <w:color w:val="auto"/>
        </w:rPr>
        <w:t>Director, Chairman, President and</w:t>
      </w:r>
    </w:p>
    <w:p>
      <w:pPr>
        <w:ind w:left="444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919" w:right="1440" w:bottom="1440" w:gutter="0" w:footer="0" w:header="0"/>
        </w:sectPr>
      </w:pPr>
    </w:p>
    <w:bookmarkStart w:id="24" w:name="page25"/>
    <w:bookmarkEnd w:id="24"/>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8,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Don E. Ackerman</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Don E. Ackerman</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5" w:name="page26"/>
    <w:bookmarkEnd w:id="25"/>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9,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Yoshihiko Wakumoto</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Yoshihiko Wakumoto</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6" w:name="page27"/>
    <w:bookmarkEnd w:id="26"/>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7,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Deutch</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John Deutch</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7" w:name="page28"/>
    <w:bookmarkEnd w:id="27"/>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9,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Linda Gillespie Stuntz</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Linda Gillespie Stuntz</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919" w:right="1440" w:bottom="1440" w:gutter="0" w:footer="0" w:header="0"/>
        </w:sectPr>
      </w:pPr>
    </w:p>
    <w:bookmarkStart w:id="28" w:name="page29"/>
    <w:bookmarkEnd w:id="28"/>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6" w:lineRule="exact"/>
        <w:rPr>
          <w:sz w:val="20"/>
          <w:szCs w:val="20"/>
          <w:color w:val="auto"/>
        </w:rPr>
      </w:pPr>
    </w:p>
    <w:p>
      <w:pPr>
        <w:ind w:left="1060" w:right="1879" w:hanging="525"/>
        <w:spacing w:after="0" w:line="237" w:lineRule="auto"/>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9,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DIDIER PRIMAT</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rPr>
          <w:sz w:val="20"/>
          <w:szCs w:val="20"/>
          <w:color w:val="auto"/>
        </w:rPr>
      </w:pPr>
      <w:r>
        <w:rPr>
          <w:rFonts w:ascii="Courier New" w:cs="Courier New" w:eastAsia="Courier New" w:hAnsi="Courier New"/>
          <w:sz w:val="18"/>
          <w:szCs w:val="18"/>
          <w:color w:val="auto"/>
        </w:rPr>
        <w:t>Name: Didier Primat</w:t>
      </w:r>
    </w:p>
    <w:p>
      <w:pPr>
        <w:ind w:left="4440"/>
        <w:spacing w:after="0" w:line="237" w:lineRule="auto"/>
        <w:rPr>
          <w:sz w:val="20"/>
          <w:szCs w:val="20"/>
          <w:color w:val="auto"/>
        </w:rPr>
      </w:pPr>
      <w:r>
        <w:rPr>
          <w:rFonts w:ascii="Courier New" w:cs="Courier New" w:eastAsia="Courier New" w:hAnsi="Courier New"/>
          <w:sz w:val="18"/>
          <w:szCs w:val="18"/>
          <w:color w:val="auto"/>
        </w:rPr>
        <w:t>Director</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713"/>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1)"/>
      <w:numFmt w:val="lowerLetter"/>
      <w:start w:val="2"/>
    </w:lvl>
  </w:abstractNum>
  <w:abstractNum w:abstractNumId="27">
    <w:nsid w:val="2463B9EA"/>
    <w:multiLevelType w:val="hybridMultilevel"/>
    <w:lvl w:ilvl="0">
      <w:lvlJc w:val="left"/>
      <w:lvlText w:val="-"/>
      <w:numFmt w:val="bullet"/>
      <w:start w:val="1"/>
    </w:lvl>
    <w:lvl w:ilvl="1">
      <w:lvlJc w:val="left"/>
      <w:lvlText w:val="%2"/>
      <w:numFmt w:val="upperLetter"/>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Roman"/>
      <w:start w:val="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lowerRoman"/>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lowerRoman"/>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2020-02-22T15:25:29Z</dcterms:created>
  <dcterms:modified xsi:type="dcterms:W3CDTF">2020-02-22T15:25:29Z</dcterms:modified>
</cp:coreProperties>
</file>