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5599 San Felipe, Houston, Texas U.S.A. 77056</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62" w:right="439" w:bottom="1440" w:gutter="0" w:footer="0" w:header="0"/>
          <w:type w:val="continuous"/>
        </w:sectPr>
      </w:pP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On September 18, 2020, Schlumberger Finance Canada Ltd. (the “Issuer”) issued $500,000,000 aggregate principal amount of 1.400% Senior Notes due 2025 (the “Notes”) under a registration statement on Form S-3 under the Securities Act of 1933, as amended (the “Securities Act”). The registration statement was filed with the SEC on September 9, 2020 (Registration No. 333-248675) (the “Registration Statement”).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Notes are fully and unconditionally guaranteed by Schlumberger Limited (“Schlumberger”), and were sold pursuant to an underwriting agreement dated as of September 9, 2020 (the “Underwriting Agreement”), by and among (a) the Issuer and Schlumberger and (b) BofA Securities, Inc., Goldman Sachs &amp; Co. LLC, J.P. Morgan Securities LLC and Morgan Stanley &amp; Co. LLC, as representatives of the various underwriters (collectively, the “Underwriters”). The Notes were issued under an Indenture dated as of September 18, 2020 (the “Indenture”), by and among the Issuer, Schlumberger, as guarantor, and The Bank of New York Mellon, as trustee (the “Trustee”), as supplemented by a First Supplemental Indenture dated as of September 18, 2020 by and among the Issuer, Schlumberger, as guarantor, and the Trustee (the “First Supplemental Indenture”).</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relevant terms of the Notes, the Indenture and the First Supplemental Indenture are further described under the caption “Description of the Notes” in the prospectus supplement dated September 9, 2020, filed with the SEC by Schlumberger on September 10, 2020, pursuant to Rule 424(b)(5) under the Securities Act and in the section entitled “Description of Debt Securities” in the base prospectus dated September 9, 2020, included in the Registration Statement. These descriptions are incorporated in this Item 8.01 by reference.</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Underwriting Agreement, the Indenture and the First Supplemental Indenture (including the form of the Notes) are filed as exhibits to this Current Report on Form 8-K and incorporated by reference. The descriptions of the Underwriting Agreement, the Indenture and the First Supplemental Indenture (including the form of the Notes) in this Current Report on Form 8-K are summaries and are qualified in their entirety by the terms of the Underwriting Agreement, the Indenture and the First Supplemental Indenture (including the form of the Notes). Schlumberger is filing this Current Report on Form 8-K so as to file with the SEC certain items that are to be incorporated by reference into the Registration Statement.</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4" w:hanging="444"/>
        <w:spacing w:after="0"/>
        <w:tabs>
          <w:tab w:leader="none" w:pos="4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are filed pursuant to Item 9.01 of this Form 8-K.</w:t>
      </w:r>
    </w:p>
    <w:p>
      <w:pPr>
        <w:spacing w:after="0" w:line="252" w:lineRule="exact"/>
        <w:rPr>
          <w:sz w:val="20"/>
          <w:szCs w:val="20"/>
          <w:color w:val="auto"/>
        </w:rPr>
      </w:pPr>
    </w:p>
    <w:p>
      <w:pPr>
        <w:ind w:left="844" w:hanging="556"/>
        <w:spacing w:after="0"/>
        <w:tabs>
          <w:tab w:leader="none" w:pos="844" w:val="left"/>
        </w:tabs>
        <w:numPr>
          <w:ilvl w:val="0"/>
          <w:numId w:val="3"/>
        </w:numPr>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Underwriting Agreement dated September 9, 2020, by and among (a) Schlumberger Finance Canada Ltd. and Schlumberger Limited and</w:t>
        </w:r>
      </w:hyperlink>
    </w:p>
    <w:p>
      <w:pPr>
        <w:spacing w:after="0" w:line="27" w:lineRule="exact"/>
        <w:rPr>
          <w:rFonts w:ascii="Times New Roman" w:cs="Times New Roman" w:eastAsia="Times New Roman" w:hAnsi="Times New Roman"/>
          <w:sz w:val="18"/>
          <w:szCs w:val="18"/>
          <w:u w:val="single" w:color="auto"/>
          <w:color w:val="0000EE"/>
        </w:rPr>
      </w:pPr>
    </w:p>
    <w:p>
      <w:pPr>
        <w:ind w:left="844"/>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 BofA Securities, Inc., Goldman Sachs &amp; Co. LLC, J.P. Morgan Securities LLC and Morgan Stanley &amp; Co. LLC.</w:t>
        </w:r>
      </w:hyperlink>
    </w:p>
    <w:p>
      <w:pPr>
        <w:spacing w:after="0" w:line="99" w:lineRule="exact"/>
        <w:rPr>
          <w:rFonts w:ascii="Times New Roman" w:cs="Times New Roman" w:eastAsia="Times New Roman" w:hAnsi="Times New Roman"/>
          <w:sz w:val="18"/>
          <w:szCs w:val="18"/>
          <w:color w:val="auto"/>
        </w:rPr>
      </w:pPr>
    </w:p>
    <w:p>
      <w:pPr>
        <w:ind w:left="844" w:hanging="696"/>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w:anchor="page45">
        <w:r>
          <w:rPr>
            <w:rFonts w:ascii="Times New Roman" w:cs="Times New Roman" w:eastAsia="Times New Roman" w:hAnsi="Times New Roman"/>
            <w:sz w:val="18"/>
            <w:szCs w:val="18"/>
            <w:u w:val="single" w:color="auto"/>
            <w:color w:val="0000EE"/>
          </w:rPr>
          <w:t>Indenture dated as of September 18, 2020, among Schlumberger Finance Canada Ltd., Schlumberger Limited and The Bank of New York</w:t>
        </w:r>
      </w:hyperlink>
      <w:r>
        <w:rPr>
          <w:rFonts w:ascii="Times New Roman" w:cs="Times New Roman" w:eastAsia="Times New Roman" w:hAnsi="Times New Roman"/>
          <w:sz w:val="18"/>
          <w:szCs w:val="18"/>
          <w:u w:val="single" w:color="auto"/>
          <w:color w:val="0000EE"/>
        </w:rPr>
        <w:t xml:space="preserve"> </w:t>
      </w:r>
      <w:hyperlink w:anchor="page45">
        <w:r>
          <w:rPr>
            <w:rFonts w:ascii="Times New Roman" w:cs="Times New Roman" w:eastAsia="Times New Roman" w:hAnsi="Times New Roman"/>
            <w:sz w:val="18"/>
            <w:szCs w:val="18"/>
            <w:u w:val="single" w:color="auto"/>
            <w:color w:val="0000EE"/>
          </w:rPr>
          <w:t>Mellon, as trustee.</w:t>
        </w:r>
      </w:hyperlink>
    </w:p>
    <w:p>
      <w:pPr>
        <w:spacing w:after="0" w:line="54" w:lineRule="exact"/>
        <w:rPr>
          <w:sz w:val="20"/>
          <w:szCs w:val="20"/>
          <w:color w:val="auto"/>
        </w:rPr>
      </w:pPr>
    </w:p>
    <w:p>
      <w:pPr>
        <w:ind w:left="844" w:hanging="696"/>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w:anchor="page107">
        <w:r>
          <w:rPr>
            <w:rFonts w:ascii="Times New Roman" w:cs="Times New Roman" w:eastAsia="Times New Roman" w:hAnsi="Times New Roman"/>
            <w:sz w:val="18"/>
            <w:szCs w:val="18"/>
            <w:u w:val="single" w:color="auto"/>
            <w:color w:val="0000EE"/>
          </w:rPr>
          <w:t>First Supplemental Indenture dated as of September 18, 2020, among Schlumberger Finance Canada Ltd., Schlumberger Limited and The</w:t>
        </w:r>
      </w:hyperlink>
      <w:r>
        <w:rPr>
          <w:rFonts w:ascii="Times New Roman" w:cs="Times New Roman" w:eastAsia="Times New Roman" w:hAnsi="Times New Roman"/>
          <w:sz w:val="18"/>
          <w:szCs w:val="18"/>
          <w:u w:val="single" w:color="auto"/>
          <w:color w:val="0000EE"/>
        </w:rPr>
        <w:t xml:space="preserve"> </w:t>
      </w:r>
      <w:hyperlink w:anchor="page107">
        <w:r>
          <w:rPr>
            <w:rFonts w:ascii="Times New Roman" w:cs="Times New Roman" w:eastAsia="Times New Roman" w:hAnsi="Times New Roman"/>
            <w:sz w:val="18"/>
            <w:szCs w:val="18"/>
            <w:u w:val="single" w:color="auto"/>
            <w:color w:val="0000EE"/>
          </w:rPr>
          <w:t>Bank of New York Mellon, as trustee.</w:t>
        </w:r>
      </w:hyperlink>
    </w:p>
    <w:p>
      <w:pPr>
        <w:spacing w:after="0" w:line="54" w:lineRule="exact"/>
        <w:rPr>
          <w:sz w:val="20"/>
          <w:szCs w:val="20"/>
          <w:color w:val="auto"/>
        </w:rPr>
      </w:pPr>
    </w:p>
    <w:p>
      <w:pPr>
        <w:ind w:left="144"/>
        <w:spacing w:after="0"/>
        <w:tabs>
          <w:tab w:leader="none" w:pos="82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w:anchor="page107">
        <w:r>
          <w:rPr>
            <w:rFonts w:ascii="Times New Roman" w:cs="Times New Roman" w:eastAsia="Times New Roman" w:hAnsi="Times New Roman"/>
            <w:sz w:val="17"/>
            <w:szCs w:val="17"/>
            <w:u w:val="single" w:color="auto"/>
            <w:color w:val="0000EE"/>
          </w:rPr>
          <w:t>Form of 1.400% Senior Notes due 2025 (included as Exhibit A to Exhibit 4.2)</w:t>
        </w:r>
      </w:hyperlink>
      <w:r>
        <w:rPr>
          <w:rFonts w:ascii="Times New Roman" w:cs="Times New Roman" w:eastAsia="Times New Roman" w:hAnsi="Times New Roman"/>
          <w:sz w:val="17"/>
          <w:szCs w:val="17"/>
          <w:color w:val="000000"/>
        </w:rPr>
        <w:t>.</w:t>
      </w:r>
    </w:p>
    <w:p>
      <w:pPr>
        <w:spacing w:after="0" w:line="117" w:lineRule="exact"/>
        <w:rPr>
          <w:sz w:val="20"/>
          <w:szCs w:val="20"/>
          <w:color w:val="auto"/>
        </w:rPr>
      </w:pPr>
    </w:p>
    <w:p>
      <w:pPr>
        <w:ind w:left="144"/>
        <w:spacing w:after="0"/>
        <w:tabs>
          <w:tab w:leader="none" w:pos="82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132">
        <w:r>
          <w:rPr>
            <w:rFonts w:ascii="Times New Roman" w:cs="Times New Roman" w:eastAsia="Times New Roman" w:hAnsi="Times New Roman"/>
            <w:sz w:val="17"/>
            <w:szCs w:val="17"/>
            <w:u w:val="single" w:color="auto"/>
            <w:color w:val="0000EE"/>
          </w:rPr>
          <w:t>Opinion of Gibson, Dunn &amp; Crutcher LLP.</w:t>
        </w:r>
      </w:hyperlink>
    </w:p>
    <w:p>
      <w:pPr>
        <w:spacing w:after="0" w:line="117" w:lineRule="exact"/>
        <w:rPr>
          <w:sz w:val="20"/>
          <w:szCs w:val="20"/>
          <w:color w:val="auto"/>
        </w:rPr>
      </w:pPr>
    </w:p>
    <w:p>
      <w:pPr>
        <w:ind w:left="144"/>
        <w:spacing w:after="0"/>
        <w:tabs>
          <w:tab w:leader="none" w:pos="82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5.2</w:t>
      </w:r>
      <w:r>
        <w:rPr>
          <w:sz w:val="20"/>
          <w:szCs w:val="20"/>
          <w:color w:val="auto"/>
        </w:rPr>
        <w:tab/>
      </w:r>
      <w:hyperlink w:anchor="page135">
        <w:r>
          <w:rPr>
            <w:rFonts w:ascii="Times New Roman" w:cs="Times New Roman" w:eastAsia="Times New Roman" w:hAnsi="Times New Roman"/>
            <w:sz w:val="17"/>
            <w:szCs w:val="17"/>
            <w:u w:val="single" w:color="auto"/>
            <w:color w:val="0000EE"/>
          </w:rPr>
          <w:t>Opinion of Bennett Jones LLP.</w:t>
        </w:r>
      </w:hyperlink>
    </w:p>
    <w:p>
      <w:pPr>
        <w:spacing w:after="0" w:line="117" w:lineRule="exact"/>
        <w:rPr>
          <w:sz w:val="20"/>
          <w:szCs w:val="20"/>
          <w:color w:val="auto"/>
        </w:rPr>
      </w:pPr>
    </w:p>
    <w:p>
      <w:pPr>
        <w:ind w:left="144"/>
        <w:spacing w:after="0"/>
        <w:tabs>
          <w:tab w:leader="none" w:pos="82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5.3</w:t>
      </w:r>
      <w:r>
        <w:rPr>
          <w:sz w:val="20"/>
          <w:szCs w:val="20"/>
          <w:color w:val="auto"/>
        </w:rPr>
        <w:tab/>
      </w:r>
      <w:hyperlink w:anchor="page136">
        <w:r>
          <w:rPr>
            <w:rFonts w:ascii="Times New Roman" w:cs="Times New Roman" w:eastAsia="Times New Roman" w:hAnsi="Times New Roman"/>
            <w:sz w:val="17"/>
            <w:szCs w:val="17"/>
            <w:u w:val="single" w:color="auto"/>
            <w:color w:val="0000EE"/>
          </w:rPr>
          <w:t>Opinion of STvB Advocaten (Europe) N.V.</w:t>
        </w:r>
      </w:hyperlink>
    </w:p>
    <w:p>
      <w:pPr>
        <w:spacing w:after="0" w:line="117" w:lineRule="exact"/>
        <w:rPr>
          <w:sz w:val="20"/>
          <w:szCs w:val="20"/>
          <w:color w:val="auto"/>
        </w:rPr>
      </w:pPr>
    </w:p>
    <w:p>
      <w:pPr>
        <w:ind w:left="844" w:hanging="646"/>
        <w:spacing w:after="0"/>
        <w:tabs>
          <w:tab w:leader="none" w:pos="844" w:val="left"/>
        </w:tabs>
        <w:numPr>
          <w:ilvl w:val="0"/>
          <w:numId w:val="4"/>
        </w:numPr>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Issuer of Registered Guaranteed Debt Securities.</w:t>
        </w:r>
      </w:hyperlink>
    </w:p>
    <w:p>
      <w:pPr>
        <w:spacing w:after="0" w:line="117" w:lineRule="exact"/>
        <w:rPr>
          <w:sz w:val="20"/>
          <w:szCs w:val="20"/>
          <w:color w:val="auto"/>
        </w:rPr>
      </w:pPr>
    </w:p>
    <w:p>
      <w:pPr>
        <w:ind w:left="64"/>
        <w:spacing w:after="0"/>
        <w:tabs>
          <w:tab w:leader="none" w:pos="82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132">
        <w:r>
          <w:rPr>
            <w:rFonts w:ascii="Times New Roman" w:cs="Times New Roman" w:eastAsia="Times New Roman" w:hAnsi="Times New Roman"/>
            <w:sz w:val="17"/>
            <w:szCs w:val="17"/>
            <w:u w:val="single" w:color="auto"/>
            <w:color w:val="0000EE"/>
          </w:rPr>
          <w:t>Consent of Gibson, Dunn &amp; Crutcher LLP (included in Exhibit 5.1).</w:t>
        </w:r>
      </w:hyperlink>
    </w:p>
    <w:p>
      <w:pPr>
        <w:spacing w:after="0" w:line="117" w:lineRule="exact"/>
        <w:rPr>
          <w:sz w:val="20"/>
          <w:szCs w:val="20"/>
          <w:color w:val="auto"/>
        </w:rPr>
      </w:pPr>
    </w:p>
    <w:p>
      <w:pPr>
        <w:ind w:left="64"/>
        <w:spacing w:after="0"/>
        <w:tabs>
          <w:tab w:leader="none" w:pos="82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w:anchor="page135">
        <w:r>
          <w:rPr>
            <w:rFonts w:ascii="Times New Roman" w:cs="Times New Roman" w:eastAsia="Times New Roman" w:hAnsi="Times New Roman"/>
            <w:sz w:val="17"/>
            <w:szCs w:val="17"/>
            <w:u w:val="single" w:color="auto"/>
            <w:color w:val="0000EE"/>
          </w:rPr>
          <w:t>Consent of Bennett Jones LLP (included in Exhibit 5.2).</w:t>
        </w:r>
      </w:hyperlink>
    </w:p>
    <w:p>
      <w:pPr>
        <w:spacing w:after="0" w:line="117" w:lineRule="exact"/>
        <w:rPr>
          <w:sz w:val="20"/>
          <w:szCs w:val="20"/>
          <w:color w:val="auto"/>
        </w:rPr>
      </w:pPr>
    </w:p>
    <w:p>
      <w:pPr>
        <w:ind w:left="64"/>
        <w:spacing w:after="0"/>
        <w:tabs>
          <w:tab w:leader="none" w:pos="82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23.3</w:t>
      </w:r>
      <w:r>
        <w:rPr>
          <w:sz w:val="20"/>
          <w:szCs w:val="20"/>
          <w:color w:val="auto"/>
        </w:rPr>
        <w:tab/>
      </w:r>
      <w:hyperlink w:anchor="page136">
        <w:r>
          <w:rPr>
            <w:rFonts w:ascii="Times New Roman" w:cs="Times New Roman" w:eastAsia="Times New Roman" w:hAnsi="Times New Roman"/>
            <w:sz w:val="17"/>
            <w:szCs w:val="17"/>
            <w:u w:val="single" w:color="auto"/>
            <w:color w:val="0000EE"/>
          </w:rPr>
          <w:t>Consent of STvB Advocaten (Europe) N.V. (included in Exhibit 5.3).</w:t>
        </w:r>
      </w:hyperlink>
    </w:p>
    <w:p>
      <w:pPr>
        <w:spacing w:after="0" w:line="117"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764"/>
          </w:cols>
          <w:pgMar w:left="436" w:top="293" w:right="69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R. Laureles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18, 2020</w:t>
      </w:r>
    </w:p>
    <w:p>
      <w:pPr>
        <w:sectPr>
          <w:pgSz w:w="11900" w:h="16838" w:orient="portrait"/>
          <w:cols w:equalWidth="0" w:num="1">
            <w:col w:w="10780"/>
          </w:cols>
          <w:pgMar w:left="440" w:top="293" w:right="679" w:bottom="1440" w:gutter="0" w:footer="0" w:header="0"/>
        </w:sectPr>
      </w:pPr>
    </w:p>
    <w:bookmarkStart w:id="4" w:name="page5"/>
    <w:bookmarkEnd w:id="4"/>
    <w:p>
      <w:pPr>
        <w:ind w:left="1030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$500,000,000 1.400% Senior Notes due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guaranteed 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Finance Canada Ltd., a corporation incorporated under the laws of the Province of Alberta, Canada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issue and sell to the several Underwriters listed in Schedule 1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BofA Securities, Inc.,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 and Morgan Stanley &amp; Co. LLC are acting as representatives (each a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$500,000,000 principal amount of its 1.400% Senior Notes due 2025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will be issued pursuant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to be dated as of the Closing Date (as defined below)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among the Company, Schlumberger Limited, 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under the laws of Curaçao, as guarantor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amended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by a supplemental indenture to be dated as of the Closing Date (the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and, together with the Base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 will be unconditionally guaranteed on an unsecured senior basis by the Guarantor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Guarantor hereby confirm their agreement with the several Underwriters concerning the purchase and sale of the Securities, as follows:</w:t>
      </w:r>
    </w:p>
    <w:p>
      <w:pPr>
        <w:spacing w:after="0" w:line="54"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The Company and the Guarantor have prepared and filed with the Securities and Exchange Commission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and the rules and regulations of the Commission thereunder (collectively, the “</w:t>
      </w:r>
      <w:r>
        <w:rPr>
          <w:rFonts w:ascii="Times New Roman" w:cs="Times New Roman" w:eastAsia="Times New Roman" w:hAnsi="Times New Roman"/>
          <w:sz w:val="18"/>
          <w:szCs w:val="18"/>
          <w:u w:val="single" w:color="auto"/>
          <w:color w:val="auto"/>
        </w:rPr>
        <w:t>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 registration statement on Form S-3 (File No. 333-248675), including a prospectus, relating to the Securities. Such registration statement,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at the time it becomes effective, including the information, if any, deemed pursuant to Rule 430B under the Securities Act to be part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at the time of its effectiveness (“</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as used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means each preliminary prospectus relating to the Securities filed with the Commission pursuant to Rule 424(b)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 and the prospectus included in the Registration Statement at the time of its effectiveness that omits Rule 430 Information,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 the form first used (or made available upon request of purchasers pursuant to Rule 173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in connection with confirmation of sales of the Securities. If the Company and the Guarantor have filed an abbreviated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pursuant to Rule 462(b) under the Securities Act (the “</w:t>
      </w:r>
      <w:r>
        <w:rPr>
          <w:rFonts w:ascii="Times New Roman" w:cs="Times New Roman" w:eastAsia="Times New Roman" w:hAnsi="Times New Roman"/>
          <w:sz w:val="18"/>
          <w:szCs w:val="18"/>
          <w:u w:val="single" w:color="auto"/>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u w:val="single" w:color="auto"/>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shall be deemed to include such Rule 462 Registration Statement. Any reference in this Agreement to the Registration Statement,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or the Prospectus shall be deemed to refer to and include the documents incorporated by reference therein pursuant to Item 12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S-3 under the Securities Act, as of the effective date of the Registration Statement or the date of such Preliminary Prospectus or the Prospectus,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may be, and any reference to “</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with respect to the Registration Statement, any Preliminary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Prospectus shall be deemed to refer to and include any documents filed after such date under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given to such terms in the Registration Statement and the Prospectus.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or prior to the Time of Sale (as defined below), the Company and the Guarantor had prepared the following information (collectively,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a Preliminary Prospectus dated September 9, 2020, and each “</w:t>
      </w:r>
      <w:r>
        <w:rPr>
          <w:rFonts w:ascii="Times New Roman" w:cs="Times New Roman" w:eastAsia="Times New Roman" w:hAnsi="Times New Roman"/>
          <w:sz w:val="18"/>
          <w:szCs w:val="18"/>
          <w:u w:val="single" w:color="auto"/>
          <w:color w:val="auto"/>
        </w:rPr>
        <w:t>free-writing prospectus</w:t>
      </w:r>
      <w:r>
        <w:rPr>
          <w:rFonts w:ascii="Times New Roman" w:cs="Times New Roman" w:eastAsia="Times New Roman" w:hAnsi="Times New Roman"/>
          <w:sz w:val="18"/>
          <w:szCs w:val="18"/>
          <w:color w:val="auto"/>
        </w:rPr>
        <w:t>” (as defined pursuant to Rule 405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Act) listed on Annex A 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means 2:40 p.m., New York City time, on September 9, 2020.</w:t>
      </w:r>
    </w:p>
    <w:p>
      <w:pPr>
        <w:spacing w:after="0" w:line="333" w:lineRule="exact"/>
        <w:rPr>
          <w:sz w:val="20"/>
          <w:szCs w:val="20"/>
          <w:color w:val="auto"/>
        </w:rPr>
      </w:pPr>
    </w:p>
    <w:p>
      <w:pPr>
        <w:ind w:left="760" w:hanging="324"/>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8" w:lineRule="auto"/>
        <w:tabs>
          <w:tab w:leader="none" w:pos="8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99.530% of the principal amount thereof plus accrued interest, if any, from September 18, 2020 to the Closing Date. The Company will not be obligated to deliver any of the Securities except upon payment for all the Securities to be purchased as provided herein.</w:t>
      </w:r>
    </w:p>
    <w:p>
      <w:pPr>
        <w:spacing w:after="0" w:line="183" w:lineRule="exact"/>
        <w:rPr>
          <w:rFonts w:ascii="Times New Roman" w:cs="Times New Roman" w:eastAsia="Times New Roman" w:hAnsi="Times New Roman"/>
          <w:sz w:val="18"/>
          <w:szCs w:val="18"/>
          <w:color w:val="auto"/>
        </w:rPr>
      </w:pPr>
    </w:p>
    <w:p>
      <w:pPr>
        <w:ind w:right="20" w:firstLine="436"/>
        <w:spacing w:after="0" w:line="261" w:lineRule="auto"/>
        <w:tabs>
          <w:tab w:leader="none" w:pos="8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and the Guarantor acknowledge and agree that the Underwriters may offer and sell Securities to or through any affiliate of an Underwriter and that any such affiliate may offer and sell Securities purchased by it to or through any Underwriter.</w:t>
      </w:r>
    </w:p>
    <w:p>
      <w:pPr>
        <w:spacing w:after="0" w:line="179" w:lineRule="exact"/>
        <w:rPr>
          <w:rFonts w:ascii="Times New Roman" w:cs="Times New Roman" w:eastAsia="Times New Roman" w:hAnsi="Times New Roman"/>
          <w:sz w:val="18"/>
          <w:szCs w:val="18"/>
          <w:color w:val="auto"/>
        </w:rPr>
      </w:pPr>
    </w:p>
    <w:p>
      <w:pPr>
        <w:ind w:firstLine="436"/>
        <w:spacing w:after="0" w:line="289" w:lineRule="auto"/>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for and delivery of the Securities will be made at the offices of Davis Polk &amp; Wardwell LLP at 10:00 A.M., New York City time, on September 18, 2020,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right="40" w:firstLine="436"/>
        <w:spacing w:after="0" w:line="258" w:lineRule="auto"/>
        <w:tabs>
          <w:tab w:leader="none" w:pos="8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Representatives against delivery to the nominee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account of the Underwriters, of one or more global notes representing the Securities (collectively, the “</w:t>
      </w:r>
      <w:r>
        <w:rPr>
          <w:rFonts w:ascii="Times New Roman" w:cs="Times New Roman" w:eastAsia="Times New Roman" w:hAnsi="Times New Roman"/>
          <w:sz w:val="18"/>
          <w:szCs w:val="18"/>
          <w:u w:val="single" w:color="auto"/>
          <w:color w:val="auto"/>
        </w:rPr>
        <w:t>Global Note</w:t>
      </w:r>
      <w:r>
        <w:rPr>
          <w:rFonts w:ascii="Times New Roman" w:cs="Times New Roman" w:eastAsia="Times New Roman" w:hAnsi="Times New Roman"/>
          <w:sz w:val="18"/>
          <w:szCs w:val="18"/>
          <w:color w:val="auto"/>
        </w:rPr>
        <w:t>”), with any transfer taxes payable in connection with the sale of the Securities duly paid by the Company. The Global Note will be made available for inspection by the Representatives not later than 1:00 P.M., New York City time, on the business day prior to the Closing Date.</w:t>
      </w:r>
    </w:p>
    <w:p>
      <w:pPr>
        <w:spacing w:after="0" w:line="183" w:lineRule="exact"/>
        <w:rPr>
          <w:rFonts w:ascii="Times New Roman" w:cs="Times New Roman" w:eastAsia="Times New Roman" w:hAnsi="Times New Roman"/>
          <w:sz w:val="18"/>
          <w:szCs w:val="18"/>
          <w:color w:val="auto"/>
        </w:rPr>
      </w:pPr>
    </w:p>
    <w:p>
      <w:pPr>
        <w:ind w:right="60" w:firstLine="436"/>
        <w:spacing w:after="0" w:line="266" w:lineRule="auto"/>
        <w:tabs>
          <w:tab w:leader="none" w:pos="8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 acknowledge and agree that each Underwriter is acting solely in the capacity of an arm’s length contractual counterparty to the Company and the Guarantor with respect to the offering of Securities contemplated hereby (including in connection with determining the terms of the offering) and not as 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advisor or a fiduciary to, or an agent of, the Company, the Guarantor or any other person. Additionally, neither the Representatives nor any other Underwriter is advising the Company, the Guarantor or any other person as to any legal, tax, investment, accounting or regulatory matters in any jurisdiction. The Company and the Guarantor shall consult with their own advisors concerning such matters and shall be responsible for making their own independent investigation and appraisal of the transactions contemplated hereby, and neither the Representatives nor any other Underwriter shall have any responsibility or liability to the Company or the Guarantor with respect thereto. Any review by the Representatives or any Underwriter of the Company, the Guarantor, the transactions contemplated hereby or other matters relating to such transactions will be performed solely for the benefit of the Representatives or such Underwriter and shall not be on behalf of the Company or the Guarantor or any other person.</w:t>
      </w:r>
    </w:p>
    <w:p>
      <w:pPr>
        <w:spacing w:after="0" w:line="18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3A. </w:t>
      </w:r>
      <w:r>
        <w:rPr>
          <w:rFonts w:ascii="Times New Roman" w:cs="Times New Roman" w:eastAsia="Times New Roman" w:hAnsi="Times New Roman"/>
          <w:sz w:val="18"/>
          <w:szCs w:val="18"/>
          <w:u w:val="single" w:color="auto"/>
          <w:color w:val="auto"/>
        </w:rPr>
        <w:t>Representations and Warranties of the Company and the Guarantor</w:t>
      </w:r>
      <w:r>
        <w:rPr>
          <w:rFonts w:ascii="Times New Roman" w:cs="Times New Roman" w:eastAsia="Times New Roman" w:hAnsi="Times New Roman"/>
          <w:sz w:val="18"/>
          <w:szCs w:val="18"/>
          <w:color w:val="auto"/>
        </w:rPr>
        <w:t>. The Company and the Guarantor jointly and severally represent and warrant to each Underwriter that:</w:t>
      </w:r>
    </w:p>
    <w:p>
      <w:pPr>
        <w:spacing w:after="0" w:line="52" w:lineRule="exact"/>
        <w:rPr>
          <w:sz w:val="20"/>
          <w:szCs w:val="20"/>
          <w:color w:val="auto"/>
        </w:rPr>
      </w:pPr>
    </w:p>
    <w:p>
      <w:pPr>
        <w:ind w:right="40" w:firstLine="436"/>
        <w:spacing w:after="0" w:line="25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w:t>
      </w:r>
    </w:p>
    <w:p>
      <w:pPr>
        <w:spacing w:after="0" w:line="182" w:lineRule="exact"/>
        <w:rPr>
          <w:rFonts w:ascii="Times New Roman" w:cs="Times New Roman" w:eastAsia="Times New Roman" w:hAnsi="Times New Roman"/>
          <w:sz w:val="18"/>
          <w:szCs w:val="18"/>
          <w:color w:val="auto"/>
        </w:rPr>
      </w:pPr>
    </w:p>
    <w:p>
      <w:pPr>
        <w:ind w:right="20" w:firstLine="436"/>
        <w:spacing w:after="0" w:line="256" w:lineRule="auto"/>
        <w:tabs>
          <w:tab w:leader="none" w:pos="8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The Time of Sale Information, at the Time of Sale did not, and at the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82" w:lineRule="exact"/>
        <w:rPr>
          <w:rFonts w:ascii="Times New Roman" w:cs="Times New Roman" w:eastAsia="Times New Roman" w:hAnsi="Times New Roman"/>
          <w:sz w:val="18"/>
          <w:szCs w:val="18"/>
          <w:color w:val="auto"/>
        </w:rPr>
      </w:pPr>
    </w:p>
    <w:p>
      <w:pPr>
        <w:ind w:firstLine="436"/>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prepared, made, used, authorized, approved or referred to and will not prepare, make, use, authorize, approve or refer to any “</w:t>
      </w:r>
      <w:r>
        <w:rPr>
          <w:rFonts w:ascii="Times New Roman" w:cs="Times New Roman" w:eastAsia="Times New Roman" w:hAnsi="Times New Roman"/>
          <w:sz w:val="18"/>
          <w:szCs w:val="18"/>
          <w:u w:val="single" w:color="auto"/>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(as defined in Rule 405 under the Securities Act) that constitutes an offer to sell or solicitation of an offer to buy the Securities (each such communication by the Company or its agents and representatives (other than a communication referred to in clauses (i), (ii), (iii) and (iv) below) 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w:t>
      </w:r>
    </w:p>
    <w:p>
      <w:pPr>
        <w:spacing w:after="0" w:line="186" w:lineRule="exact"/>
        <w:rPr>
          <w:sz w:val="20"/>
          <w:szCs w:val="20"/>
          <w:color w:val="auto"/>
        </w:rPr>
      </w:pPr>
    </w:p>
    <w:p>
      <w:pPr>
        <w:ind w:firstLine="436"/>
        <w:spacing w:after="0" w:line="252" w:lineRule="auto"/>
        <w:tabs>
          <w:tab w:leader="none" w:pos="8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40" w:firstLine="436"/>
        <w:spacing w:after="0" w:line="257"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Organization and Good Standing of the Company</w:t>
      </w:r>
      <w:r>
        <w:rPr>
          <w:rFonts w:ascii="Times New Roman" w:cs="Times New Roman" w:eastAsia="Times New Roman" w:hAnsi="Times New Roman"/>
          <w:sz w:val="18"/>
          <w:szCs w:val="18"/>
          <w:color w:val="auto"/>
        </w:rPr>
        <w:t>. The Company has been duly incorporated, is validly existing as a corporation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to the extent applicable, under the laws of the jurisdiction of its incorporation, has the corporate power and authority to own its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Guarantor and its subsidiaries, taken as a whole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ind w:left="-40" w:right="80" w:firstLine="436"/>
        <w:spacing w:after="0" w:line="25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The Company has all requisite right, power and authority to execute and deliver the Securities, and the Company has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requisite right, power and authority to execute and deliver this Agreement and the Indenture (this Agreement and the Indenture together,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and to perform its obligations hereunder and thereunder; and all corporate action required to be taken by it for the due and proper authorization, execution and delivery of each of the Transaction Documents and the consummation of the transactions contemplated thereby has been duly and validly taken.</w:t>
      </w:r>
    </w:p>
    <w:p>
      <w:pPr>
        <w:spacing w:after="0" w:line="183" w:lineRule="exact"/>
        <w:rPr>
          <w:rFonts w:ascii="Times New Roman" w:cs="Times New Roman" w:eastAsia="Times New Roman" w:hAnsi="Times New Roman"/>
          <w:sz w:val="18"/>
          <w:szCs w:val="18"/>
          <w:color w:val="auto"/>
        </w:rPr>
      </w:pPr>
    </w:p>
    <w:p>
      <w:pPr>
        <w:ind w:left="-40" w:right="80" w:firstLine="436"/>
        <w:spacing w:after="0" w:line="261" w:lineRule="auto"/>
        <w:tabs>
          <w:tab w:leader="none" w:pos="7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Base Indenture</w:t>
      </w:r>
      <w:r>
        <w:rPr>
          <w:rFonts w:ascii="Times New Roman" w:cs="Times New Roman" w:eastAsia="Times New Roman" w:hAnsi="Times New Roman"/>
          <w:sz w:val="18"/>
          <w:szCs w:val="18"/>
          <w:color w:val="auto"/>
        </w:rPr>
        <w:t>. The Base Indenture has been duly authorized by the Company and, when executed and delivered by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valid and binding agreement of the Company (assuming 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0" w:right="100" w:firstLine="436"/>
        <w:spacing w:after="0" w:line="267" w:lineRule="auto"/>
        <w:tabs>
          <w:tab w:leader="none" w:pos="7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First Supplemental Indenture. </w:t>
      </w:r>
      <w:r>
        <w:rPr>
          <w:rFonts w:ascii="Times New Roman" w:cs="Times New Roman" w:eastAsia="Times New Roman" w:hAnsi="Times New Roman"/>
          <w:sz w:val="18"/>
          <w:szCs w:val="18"/>
          <w:color w:val="auto"/>
        </w:rPr>
        <w:t>The First Supplemental Indenture has been duly authorized by the Company and, when executed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Company, will be a valid and binding agreement of the Company (assuming the due authorization, execution and delivery of the other parties thereto), enforceable in accordance with its terms, subject to the Enforceability Exceptions.</w:t>
      </w:r>
    </w:p>
    <w:p>
      <w:pPr>
        <w:spacing w:after="0" w:line="173" w:lineRule="exact"/>
        <w:rPr>
          <w:rFonts w:ascii="Times New Roman" w:cs="Times New Roman" w:eastAsia="Times New Roman" w:hAnsi="Times New Roman"/>
          <w:sz w:val="18"/>
          <w:szCs w:val="18"/>
          <w:color w:val="auto"/>
        </w:rPr>
      </w:pPr>
    </w:p>
    <w:p>
      <w:pPr>
        <w:ind w:left="-40" w:right="80" w:firstLine="436"/>
        <w:spacing w:after="0" w:line="261" w:lineRule="auto"/>
        <w:tabs>
          <w:tab w:leader="none" w:pos="7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The Securities have been duly authorized by the Company and, when executed and authenticated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w:t>
      </w:r>
    </w:p>
    <w:p>
      <w:pPr>
        <w:spacing w:after="0" w:line="179" w:lineRule="exact"/>
        <w:rPr>
          <w:rFonts w:ascii="Times New Roman" w:cs="Times New Roman" w:eastAsia="Times New Roman" w:hAnsi="Times New Roman"/>
          <w:sz w:val="18"/>
          <w:szCs w:val="18"/>
          <w:color w:val="auto"/>
        </w:rPr>
      </w:pPr>
    </w:p>
    <w:p>
      <w:pPr>
        <w:ind w:left="740" w:hanging="34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40" w:right="640" w:firstLine="436"/>
        <w:spacing w:after="0" w:line="284" w:lineRule="auto"/>
        <w:tabs>
          <w:tab w:leader="none" w:pos="7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the Transaction Documents</w:t>
      </w:r>
      <w:r>
        <w:rPr>
          <w:rFonts w:ascii="Times New Roman" w:cs="Times New Roman" w:eastAsia="Times New Roman" w:hAnsi="Times New Roman"/>
          <w:sz w:val="18"/>
          <w:szCs w:val="18"/>
          <w:color w:val="auto"/>
        </w:rPr>
        <w:t>. Each Transaction Document conforms in all material respects to the description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each of the Registration Statement, the Time of Sale Information and the Prospectus.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80" w:top="268" w:right="499" w:bottom="1440" w:gutter="0" w:footer="0" w:header="0"/>
        </w:sectPr>
      </w:pPr>
    </w:p>
    <w:bookmarkStart w:id="10" w:name="page11"/>
    <w:bookmarkEnd w:id="10"/>
    <w:p>
      <w:pPr>
        <w:ind w:left="-60" w:right="20" w:firstLine="436"/>
        <w:spacing w:after="0" w:line="257" w:lineRule="auto"/>
        <w:tabs>
          <w:tab w:leader="none" w:pos="7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Violation or Default</w:t>
      </w:r>
      <w:r>
        <w:rPr>
          <w:rFonts w:ascii="Times New Roman" w:cs="Times New Roman" w:eastAsia="Times New Roman" w:hAnsi="Times New Roman"/>
          <w:sz w:val="18"/>
          <w:szCs w:val="18"/>
          <w:color w:val="auto"/>
        </w:rPr>
        <w:t>. The Company is not (i) in violation of its charter or by-laws or similar organizational documents; (ii) in default,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82" w:lineRule="exact"/>
        <w:rPr>
          <w:rFonts w:ascii="Times New Roman" w:cs="Times New Roman" w:eastAsia="Times New Roman" w:hAnsi="Times New Roman"/>
          <w:sz w:val="18"/>
          <w:szCs w:val="18"/>
          <w:color w:val="auto"/>
        </w:rPr>
      </w:pPr>
    </w:p>
    <w:p>
      <w:pPr>
        <w:ind w:left="-60" w:right="20" w:firstLine="436"/>
        <w:spacing w:after="0" w:line="254"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No Consents Required</w:t>
      </w:r>
      <w:r>
        <w:rPr>
          <w:rFonts w:ascii="Times New Roman" w:cs="Times New Roman" w:eastAsia="Times New Roman" w:hAnsi="Times New Roman"/>
          <w:sz w:val="18"/>
          <w:szCs w:val="18"/>
          <w:color w:val="auto"/>
        </w:rPr>
        <w:t>. The execution and delivery by the Company of, and the performance by the Company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under, this Agreement, the Indenture and the Securities will not contravene (i) following receipt by the Company of an order dated September 8, 2020 from the Alberta Securities Commission in respect of the qualification of the Trustee under the Indenture under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(Alberta) (the “</w:t>
      </w:r>
      <w:r>
        <w:rPr>
          <w:rFonts w:ascii="Times New Roman" w:cs="Times New Roman" w:eastAsia="Times New Roman" w:hAnsi="Times New Roman"/>
          <w:sz w:val="18"/>
          <w:szCs w:val="18"/>
          <w:u w:val="single" w:color="auto"/>
          <w:color w:val="auto"/>
        </w:rPr>
        <w:t>Trustee Order</w:t>
      </w:r>
      <w:r>
        <w:rPr>
          <w:rFonts w:ascii="Times New Roman" w:cs="Times New Roman" w:eastAsia="Times New Roman" w:hAnsi="Times New Roman"/>
          <w:sz w:val="18"/>
          <w:szCs w:val="18"/>
          <w:color w:val="auto"/>
        </w:rPr>
        <w:t>”), any provision of applicable law; (ii) the articles of incorporation or by-laws of the Company; (iii)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other instrument binding upon the Company; or (iv) any judgment, order or decree of any governmental body, agency or court having jurisdiction over the Company,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of its obligations under the Transaction Documents or the Securities, except for the Trustee Order and such as may be required by the securities or Blue Sky laws of the various states of the United States of America or comparable laws of other jurisdictions in connection with the offer and sale of the Securities.</w:t>
      </w:r>
    </w:p>
    <w:p>
      <w:pPr>
        <w:spacing w:after="0" w:line="185" w:lineRule="exact"/>
        <w:rPr>
          <w:rFonts w:ascii="Times New Roman" w:cs="Times New Roman" w:eastAsia="Times New Roman" w:hAnsi="Times New Roman"/>
          <w:sz w:val="18"/>
          <w:szCs w:val="18"/>
          <w:color w:val="auto"/>
        </w:rPr>
      </w:pPr>
    </w:p>
    <w:p>
      <w:pPr>
        <w:ind w:left="-60" w:firstLine="436"/>
        <w:spacing w:after="0" w:line="258" w:lineRule="auto"/>
        <w:tabs>
          <w:tab w:leader="none" w:pos="7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There are no legal or governmental proceedings pending or, to the knowledge of the Company, threatened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a party or to which any of the properties of the Company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to perform its obligations under this Agreement, the Indenture or the Securities or to consummate the transactions contemplated by the Prospectus.</w:t>
      </w:r>
    </w:p>
    <w:p>
      <w:pPr>
        <w:spacing w:after="0" w:line="183" w:lineRule="exact"/>
        <w:rPr>
          <w:rFonts w:ascii="Times New Roman" w:cs="Times New Roman" w:eastAsia="Times New Roman" w:hAnsi="Times New Roman"/>
          <w:sz w:val="18"/>
          <w:szCs w:val="18"/>
          <w:color w:val="auto"/>
        </w:rPr>
      </w:pPr>
    </w:p>
    <w:p>
      <w:pPr>
        <w:ind w:left="-60" w:right="40" w:firstLine="436"/>
        <w:spacing w:after="0" w:line="267" w:lineRule="auto"/>
        <w:tabs>
          <w:tab w:leader="none" w:pos="7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and, after giving effect to the offering and sale of the Securities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each of the Registration Statement, the Time of Sale Information and the Prospectus, will be exempt from regulation as an “investment company” as such term is defined in the Investment Company Act of 1940, as amended.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68" w:right="499" w:bottom="1440" w:gutter="0" w:footer="0" w:header="0"/>
        </w:sectPr>
      </w:pPr>
    </w:p>
    <w:bookmarkStart w:id="11" w:name="page12"/>
    <w:bookmarkEnd w:id="11"/>
    <w:p>
      <w:pPr>
        <w:ind w:left="-20" w:right="80" w:firstLine="436"/>
        <w:spacing w:after="0" w:line="284" w:lineRule="auto"/>
        <w:tabs>
          <w:tab w:leader="none" w:pos="8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Stabilization</w:t>
      </w:r>
      <w:r>
        <w:rPr>
          <w:rFonts w:ascii="Times New Roman" w:cs="Times New Roman" w:eastAsia="Times New Roman" w:hAnsi="Times New Roman"/>
          <w:sz w:val="18"/>
          <w:szCs w:val="18"/>
          <w:color w:val="auto"/>
        </w:rPr>
        <w:t>. The Company has not taken, directly or indirectly, any action designed to or that would reasonably be expected to cause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any stabilization or manipulation of the price of the Securities.</w:t>
      </w:r>
    </w:p>
    <w:p>
      <w:pPr>
        <w:spacing w:after="0" w:line="160"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8"/>
          <w:szCs w:val="18"/>
          <w:color w:val="auto"/>
        </w:rPr>
        <w:t>3B.</w:t>
      </w:r>
      <w:r>
        <w:rPr>
          <w:sz w:val="20"/>
          <w:szCs w:val="20"/>
          <w:color w:val="auto"/>
        </w:rPr>
        <w:tab/>
      </w:r>
      <w:r>
        <w:rPr>
          <w:rFonts w:ascii="Times New Roman" w:cs="Times New Roman" w:eastAsia="Times New Roman" w:hAnsi="Times New Roman"/>
          <w:sz w:val="17"/>
          <w:szCs w:val="17"/>
          <w:u w:val="single" w:color="auto"/>
          <w:color w:val="auto"/>
        </w:rPr>
        <w:t>Representations and Warranties of the Guarantor</w:t>
      </w:r>
      <w:r>
        <w:rPr>
          <w:rFonts w:ascii="Times New Roman" w:cs="Times New Roman" w:eastAsia="Times New Roman" w:hAnsi="Times New Roman"/>
          <w:sz w:val="17"/>
          <w:szCs w:val="17"/>
          <w:color w:val="auto"/>
        </w:rPr>
        <w:t>. The Guarantor represents and warrants to each Underwriter that:</w:t>
      </w:r>
    </w:p>
    <w:p>
      <w:pPr>
        <w:spacing w:after="0" w:line="115" w:lineRule="exact"/>
        <w:rPr>
          <w:sz w:val="20"/>
          <w:szCs w:val="20"/>
          <w:color w:val="auto"/>
        </w:rPr>
      </w:pPr>
    </w:p>
    <w:p>
      <w:pPr>
        <w:ind w:left="-20" w:right="20" w:firstLine="436"/>
        <w:spacing w:after="0" w:line="257"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w:t>
      </w:r>
    </w:p>
    <w:p>
      <w:pPr>
        <w:spacing w:after="0" w:line="182" w:lineRule="exact"/>
        <w:rPr>
          <w:rFonts w:ascii="Times New Roman" w:cs="Times New Roman" w:eastAsia="Times New Roman" w:hAnsi="Times New Roman"/>
          <w:sz w:val="18"/>
          <w:szCs w:val="18"/>
          <w:color w:val="auto"/>
        </w:rPr>
      </w:pPr>
    </w:p>
    <w:p>
      <w:pPr>
        <w:ind w:left="-20" w:firstLine="436"/>
        <w:spacing w:after="0" w:line="256" w:lineRule="auto"/>
        <w:tabs>
          <w:tab w:leader="none" w:pos="8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Sale Information</w:t>
      </w:r>
      <w:r>
        <w:rPr>
          <w:rFonts w:ascii="Times New Roman" w:cs="Times New Roman" w:eastAsia="Times New Roman" w:hAnsi="Times New Roman"/>
          <w:sz w:val="18"/>
          <w:szCs w:val="18"/>
          <w:color w:val="auto"/>
        </w:rPr>
        <w:t>. The Time of Sale Information, at the Time of Sale did not, and at the Closing Date will not, contain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82" w:lineRule="exact"/>
        <w:rPr>
          <w:rFonts w:ascii="Times New Roman" w:cs="Times New Roman" w:eastAsia="Times New Roman" w:hAnsi="Times New Roman"/>
          <w:sz w:val="18"/>
          <w:szCs w:val="18"/>
          <w:color w:val="auto"/>
        </w:rPr>
      </w:pPr>
    </w:p>
    <w:p>
      <w:pPr>
        <w:ind w:left="-20" w:right="80" w:firstLine="436"/>
        <w:spacing w:after="0" w:line="254" w:lineRule="auto"/>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The Company and the Guarantor (including their agents and representatives, other than the Underwriters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their capacity as such) have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68" w:right="459" w:bottom="1440" w:gutter="0" w:footer="0" w:header="0"/>
        </w:sectPr>
      </w:pPr>
    </w:p>
    <w:bookmarkStart w:id="12" w:name="page13"/>
    <w:bookmarkEnd w:id="12"/>
    <w:p>
      <w:pPr>
        <w:ind w:right="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w:t>
      </w:r>
    </w:p>
    <w:p>
      <w:pPr>
        <w:spacing w:after="0" w:line="138" w:lineRule="exact"/>
        <w:rPr>
          <w:sz w:val="20"/>
          <w:szCs w:val="20"/>
          <w:color w:val="auto"/>
        </w:rPr>
      </w:pPr>
    </w:p>
    <w:p>
      <w:pPr>
        <w:ind w:firstLine="436"/>
        <w:spacing w:after="0" w:line="252" w:lineRule="auto"/>
        <w:tabs>
          <w:tab w:leader="none" w:pos="8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w:t>
      </w:r>
    </w:p>
    <w:p>
      <w:pPr>
        <w:spacing w:after="0" w:line="195" w:lineRule="exact"/>
        <w:rPr>
          <w:rFonts w:ascii="Times New Roman" w:cs="Times New Roman" w:eastAsia="Times New Roman" w:hAnsi="Times New Roman"/>
          <w:sz w:val="18"/>
          <w:szCs w:val="18"/>
          <w:color w:val="auto"/>
        </w:rPr>
      </w:pPr>
    </w:p>
    <w:p>
      <w:pPr>
        <w:ind w:right="20" w:firstLine="436"/>
        <w:spacing w:after="0" w:line="257"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Incorporated Documents. </w:t>
      </w:r>
      <w:r>
        <w:rPr>
          <w:rFonts w:ascii="Times New Roman" w:cs="Times New Roman" w:eastAsia="Times New Roman" w:hAnsi="Times New Roman"/>
          <w:sz w:val="18"/>
          <w:szCs w:val="18"/>
          <w:color w:val="auto"/>
        </w:rPr>
        <w:t>The documents incorporated by reference in each of the Registration Statement, the Prospectus and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Information, when filed with the Commission, conformed or will conform, as the case may be, in all material respects to the requirements of the Securities Act or the Exchange Act, as applicable, and, when read together with the other information in such Registration Statement, Prospectus or Time of Sale Information, as the case may be, at the time the Registration Statement became effective, at the time the Prospectus was issued, at the Time of Sale and at the Closing Time, did not and will not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2" w:lineRule="exact"/>
        <w:rPr>
          <w:rFonts w:ascii="Times New Roman" w:cs="Times New Roman" w:eastAsia="Times New Roman" w:hAnsi="Times New Roman"/>
          <w:sz w:val="18"/>
          <w:szCs w:val="18"/>
          <w:color w:val="auto"/>
        </w:rPr>
      </w:pPr>
    </w:p>
    <w:p>
      <w:pPr>
        <w:ind w:right="300" w:firstLine="436"/>
        <w:spacing w:after="0" w:line="267" w:lineRule="auto"/>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and the related notes thereto of the Guarantor and its consolidated subsidiaries included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each of the Registration Statement, the Time of Sale Information and the Prospectus comply as to form in all material respects with the applicable accounting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requirements of the Securities Act and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applicable, and present fairly in all material respects the financial position of the Guarantor and its consolidated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thereby, except as disclosed therein; and the other Guarantor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each of the Registration Statement, the Prospectus and the Time of Sale Information fairly presents the information called for in all material respects and has been prepared in accordance with the Commission’s rules and guidelines applicable thereto.</w:t>
      </w:r>
    </w:p>
    <w:p>
      <w:pPr>
        <w:spacing w:after="0" w:line="186" w:lineRule="exact"/>
        <w:rPr>
          <w:sz w:val="20"/>
          <w:szCs w:val="20"/>
          <w:color w:val="auto"/>
        </w:rPr>
      </w:pPr>
    </w:p>
    <w:p>
      <w:pPr>
        <w:ind w:right="80" w:firstLine="436"/>
        <w:spacing w:after="0" w:line="261" w:lineRule="auto"/>
        <w:tabs>
          <w:tab w:leader="none" w:pos="8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There has not occurred any material adverse change, in the financial condition, or in the earnings, business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the Guarantor and its consolidated subsidiaries, taken as a whole, from that set forth in the most recent financial statements of the Guarantor and its consolidated subsidiaries contained or incorporated by reference in each of the Registration Statement, the Time of Sale Information and the Prospectus.</w:t>
      </w:r>
    </w:p>
    <w:p>
      <w:pPr>
        <w:spacing w:after="0" w:line="179" w:lineRule="exact"/>
        <w:rPr>
          <w:rFonts w:ascii="Times New Roman" w:cs="Times New Roman" w:eastAsia="Times New Roman" w:hAnsi="Times New Roman"/>
          <w:sz w:val="18"/>
          <w:szCs w:val="18"/>
          <w:color w:val="auto"/>
        </w:rPr>
      </w:pPr>
    </w:p>
    <w:p>
      <w:pPr>
        <w:ind w:firstLine="436"/>
        <w:spacing w:after="0" w:line="257" w:lineRule="auto"/>
        <w:tabs>
          <w:tab w:leader="none" w:pos="8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of the Company and the Guarantor. </w:t>
      </w:r>
      <w:r>
        <w:rPr>
          <w:rFonts w:ascii="Times New Roman" w:cs="Times New Roman" w:eastAsia="Times New Roman" w:hAnsi="Times New Roman"/>
          <w:sz w:val="18"/>
          <w:szCs w:val="18"/>
          <w:color w:val="auto"/>
        </w:rPr>
        <w:t>Each of the Company and the Guarantor has been duly incorporated,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validly existing as a corporation in good standing, to the extent applicable, under the laws of the jurisdiction of its incorporation, has the corporate power and authority to own its respective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w:t>
      </w:r>
    </w:p>
    <w:p>
      <w:pPr>
        <w:spacing w:after="0" w:line="182" w:lineRule="exact"/>
        <w:rPr>
          <w:rFonts w:ascii="Times New Roman" w:cs="Times New Roman" w:eastAsia="Times New Roman" w:hAnsi="Times New Roman"/>
          <w:sz w:val="18"/>
          <w:szCs w:val="18"/>
          <w:color w:val="auto"/>
        </w:rPr>
      </w:pPr>
    </w:p>
    <w:p>
      <w:pPr>
        <w:ind w:right="20" w:firstLine="436"/>
        <w:spacing w:after="0" w:line="254" w:lineRule="auto"/>
        <w:tabs>
          <w:tab w:leader="none" w:pos="7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of the Guarantor’s Significant Subsidiaries; Capitalization. </w:t>
      </w:r>
      <w:r>
        <w:rPr>
          <w:rFonts w:ascii="Times New Roman" w:cs="Times New Roman" w:eastAsia="Times New Roman" w:hAnsi="Times New Roman"/>
          <w:sz w:val="18"/>
          <w:szCs w:val="18"/>
          <w:color w:val="auto"/>
        </w:rPr>
        <w:t>Each significant subsidiary of the Guarantor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duly incorporated or organized, is validly existing as a corporation or other legal entity in good standing (to the extent applicable to the significant subsidiary) under the laws of the jurisdiction of its incorporation or formation, has the corporate, partnership or other entity power and authority to own its property and to conduct its business and is duly qualified to transact business and is in good standing (to the extent applicable to such significant subsidiary)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each of the Registration Statement, the Time of Sale Information and the Prospectus, all of the issued shares of capital stock of each significant subsidiary have been duly and validly authorized and issued, are fully paid and non-assessable and are owned directly or indirectly by the Guarantor, free and clear of all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4" w:name="page15"/>
    <w:bookmarkEnd w:id="14"/>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encumbrances, equities or claims (except for such liens, encumbrances, equities or claims as are not, individually or in the aggregate, material to the ownership, use or value thereof or as disclosed in the Registration Statement, the Time of Sale Information and the Prospectus).</w:t>
      </w:r>
    </w:p>
    <w:p>
      <w:pPr>
        <w:spacing w:after="0" w:line="160" w:lineRule="exact"/>
        <w:rPr>
          <w:sz w:val="20"/>
          <w:szCs w:val="20"/>
          <w:color w:val="auto"/>
        </w:rPr>
      </w:pPr>
    </w:p>
    <w:p>
      <w:pPr>
        <w:ind w:right="100" w:firstLine="436"/>
        <w:spacing w:after="0" w:line="261" w:lineRule="auto"/>
        <w:tabs>
          <w:tab w:leader="none" w:pos="7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requisite right, power and authority to execute and deliver the Securities, and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have all requisite right, power and authority to execute and deliver the Transaction Documents and to perform their respective obligations hereunder and thereunder; and all corporate action required to be taken by them for the due and proper authorization, execution and delivery of each of the Transaction Documents and the consummation of the transactions contemplated thereby has been duly and validly taken.</w:t>
      </w:r>
    </w:p>
    <w:p>
      <w:pPr>
        <w:spacing w:after="0" w:line="179" w:lineRule="exact"/>
        <w:rPr>
          <w:rFonts w:ascii="Times New Roman" w:cs="Times New Roman" w:eastAsia="Times New Roman" w:hAnsi="Times New Roman"/>
          <w:sz w:val="18"/>
          <w:szCs w:val="18"/>
          <w:color w:val="auto"/>
        </w:rPr>
      </w:pPr>
    </w:p>
    <w:p>
      <w:pPr>
        <w:ind w:firstLine="436"/>
        <w:spacing w:after="0" w:line="267" w:lineRule="auto"/>
        <w:tabs>
          <w:tab w:leader="none" w:pos="8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Base Indenture</w:t>
      </w:r>
      <w:r>
        <w:rPr>
          <w:rFonts w:ascii="Times New Roman" w:cs="Times New Roman" w:eastAsia="Times New Roman" w:hAnsi="Times New Roman"/>
          <w:sz w:val="18"/>
          <w:szCs w:val="18"/>
          <w:color w:val="auto"/>
        </w:rPr>
        <w:t>. The Base Indenture has been duly authorized and, when executed and delivered by the Company and the Guarantor,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 valid and binding agreement of the Company and the Guarantor (assuming the due authorization, execution and delivery of the other parties thereto), enforceable in accordance with its terms, subject to the Enforceability Exceptions.</w:t>
      </w:r>
    </w:p>
    <w:p>
      <w:pPr>
        <w:spacing w:after="0" w:line="173" w:lineRule="exact"/>
        <w:rPr>
          <w:rFonts w:ascii="Times New Roman" w:cs="Times New Roman" w:eastAsia="Times New Roman" w:hAnsi="Times New Roman"/>
          <w:sz w:val="18"/>
          <w:szCs w:val="18"/>
          <w:color w:val="auto"/>
        </w:rPr>
      </w:pPr>
    </w:p>
    <w:p>
      <w:pPr>
        <w:ind w:right="160" w:firstLine="436"/>
        <w:spacing w:after="0" w:line="267" w:lineRule="auto"/>
        <w:tabs>
          <w:tab w:leader="none" w:pos="7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First Supplemental Indenture. </w:t>
      </w:r>
      <w:r>
        <w:rPr>
          <w:rFonts w:ascii="Times New Roman" w:cs="Times New Roman" w:eastAsia="Times New Roman" w:hAnsi="Times New Roman"/>
          <w:sz w:val="18"/>
          <w:szCs w:val="18"/>
          <w:color w:val="auto"/>
        </w:rPr>
        <w:t>The First Supplemental Indenture has been duly authorized and, when executed and delivered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 will be a valid and binding agreement of the Company and the Guarantor (assuming the due authorization, execution and delivery of the other parties thereto), enforceable in accordance with its terms, subject to the Enforceability Exceptions.</w:t>
      </w:r>
    </w:p>
    <w:p>
      <w:pPr>
        <w:spacing w:after="0" w:line="173" w:lineRule="exact"/>
        <w:rPr>
          <w:rFonts w:ascii="Times New Roman" w:cs="Times New Roman" w:eastAsia="Times New Roman" w:hAnsi="Times New Roman"/>
          <w:sz w:val="18"/>
          <w:szCs w:val="18"/>
          <w:color w:val="auto"/>
        </w:rPr>
      </w:pPr>
    </w:p>
    <w:p>
      <w:pPr>
        <w:ind w:right="80" w:firstLine="436"/>
        <w:spacing w:after="0" w:line="25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 and the Guarantee</w:t>
      </w:r>
      <w:r>
        <w:rPr>
          <w:rFonts w:ascii="Times New Roman" w:cs="Times New Roman" w:eastAsia="Times New Roman" w:hAnsi="Times New Roman"/>
          <w:sz w:val="18"/>
          <w:szCs w:val="18"/>
          <w:color w:val="auto"/>
        </w:rPr>
        <w:t>. The Securities have been duly authorized by the Company and, when executed and authenticated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and the Guarantee has been duly authorized by the Guarantor and, when the Securities have been duly executed and authenticated in accordance with the provisions of the Indenture and delivered to and paid for by the Underwriters in accordance with the terms of this Agreement, will be a valid and legally binding obligation of the Guarantor, enforceable against the Guarantor in accordance with its terms, subject to the Enforceability Exceptions, and will be entitled to the benefits of the Indenture.</w:t>
      </w:r>
    </w:p>
    <w:p>
      <w:pPr>
        <w:spacing w:after="0" w:line="182"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This Agreement has been duly authorized, executed and delivered by the Company and the Guarantor.</w:t>
      </w:r>
    </w:p>
    <w:p>
      <w:pPr>
        <w:spacing w:after="0" w:line="225" w:lineRule="exact"/>
        <w:rPr>
          <w:rFonts w:ascii="Times New Roman" w:cs="Times New Roman" w:eastAsia="Times New Roman" w:hAnsi="Times New Roman"/>
          <w:sz w:val="18"/>
          <w:szCs w:val="18"/>
          <w:color w:val="auto"/>
        </w:rPr>
      </w:pPr>
    </w:p>
    <w:p>
      <w:pPr>
        <w:ind w:right="680" w:firstLine="436"/>
        <w:spacing w:after="0" w:line="284" w:lineRule="auto"/>
        <w:tabs>
          <w:tab w:leader="none" w:pos="8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the Transaction Documents</w:t>
      </w:r>
      <w:r>
        <w:rPr>
          <w:rFonts w:ascii="Times New Roman" w:cs="Times New Roman" w:eastAsia="Times New Roman" w:hAnsi="Times New Roman"/>
          <w:sz w:val="18"/>
          <w:szCs w:val="18"/>
          <w:color w:val="auto"/>
        </w:rPr>
        <w:t>. Each Transaction Document conforms in all material respects to the description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in each of the Registration Statement, the Time of Sale Information and the Prospectus.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ind w:right="60" w:firstLine="436"/>
        <w:spacing w:after="0" w:line="255" w:lineRule="auto"/>
        <w:tabs>
          <w:tab w:leader="none" w:pos="8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Violation or Default. </w:t>
      </w:r>
      <w:r>
        <w:rPr>
          <w:rFonts w:ascii="Times New Roman" w:cs="Times New Roman" w:eastAsia="Times New Roman" w:hAnsi="Times New Roman"/>
          <w:sz w:val="18"/>
          <w:szCs w:val="18"/>
          <w:color w:val="auto"/>
        </w:rPr>
        <w:t>None of the Company, the Guarantor, nor any of the Guarantor’s significant subsidiaries is (i) in violation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Guarantor or any of the Guarantor’s significant subsidiaries is a party or by which the Company, the Guarantor or any of the Guarantor’s significant subsidiaries is bound or to which any of the property or assets of the Company, the Guarantor or any of the Guarantor’s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w:t>
      </w:r>
    </w:p>
    <w:p>
      <w:pPr>
        <w:spacing w:after="0" w:line="184" w:lineRule="exact"/>
        <w:rPr>
          <w:rFonts w:ascii="Times New Roman" w:cs="Times New Roman" w:eastAsia="Times New Roman" w:hAnsi="Times New Roman"/>
          <w:sz w:val="18"/>
          <w:szCs w:val="18"/>
          <w:color w:val="auto"/>
        </w:rPr>
      </w:pPr>
    </w:p>
    <w:p>
      <w:pPr>
        <w:ind w:right="120" w:firstLine="436"/>
        <w:spacing w:after="0" w:line="253" w:lineRule="auto"/>
        <w:tabs>
          <w:tab w:leader="none" w:pos="8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No Consents Required. </w:t>
      </w:r>
      <w:r>
        <w:rPr>
          <w:rFonts w:ascii="Times New Roman" w:cs="Times New Roman" w:eastAsia="Times New Roman" w:hAnsi="Times New Roman"/>
          <w:sz w:val="18"/>
          <w:szCs w:val="18"/>
          <w:color w:val="auto"/>
        </w:rPr>
        <w:t>The execution and delivery by the Company and by the Guarantor of, and the performance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by the Guarantor of their obligations under, this Agreement, the Indenture (including the Guarantee set forth therein) and the Securities will not contravene (i) subject to receipt of the Trustee Order any provision of applicable law; (ii) the articles of incorporation or by-laws of the Company and of the Guarantor; (iii) any agreement or other instrument binding upon the Company, the Guarantor or any of the Guarantor’s significant subsidiaries; or (iv) any judgment, order or decree of any governmental body, agency or court having jurisdiction over the Company, the Guarantor or any of the Guarantor’s significant subsidiaries,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and by the Guarantor of their obligations under this Agreement, the Indenture (including the Guarantee set forth therein) or the Securities, except for the Trustee Order and such as may be required by the securities or Blue Sky laws of the various states of the United States of America or comparable laws of other jurisdictions in connection with the offer and sale of the Securities.</w:t>
      </w:r>
    </w:p>
    <w:p>
      <w:pPr>
        <w:spacing w:after="0" w:line="191" w:lineRule="exact"/>
        <w:rPr>
          <w:rFonts w:ascii="Times New Roman" w:cs="Times New Roman" w:eastAsia="Times New Roman" w:hAnsi="Times New Roman"/>
          <w:sz w:val="18"/>
          <w:szCs w:val="18"/>
          <w:color w:val="auto"/>
        </w:rPr>
      </w:pPr>
    </w:p>
    <w:p>
      <w:pPr>
        <w:ind w:right="20" w:firstLine="436"/>
        <w:spacing w:after="0" w:line="257" w:lineRule="auto"/>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There are no legal or governmental proceedings pending or, to the knowledge of the Company or the Guarantor,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to which the Company, the Guarantor or any of the Guarantor’s significant subsidiaries is a party or to which any of the properties of the Company, the Guarantor or any of the Guarantor’s significant subsidiaries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and the Guarantor to perform their obligations under this Agreement, the Indenture (including the Guarantee set forth therein) or the Securities or to consummate the transactions contemplated by the Prospectus.</w:t>
      </w:r>
    </w:p>
    <w:p>
      <w:pPr>
        <w:spacing w:after="0" w:line="182" w:lineRule="exact"/>
        <w:rPr>
          <w:rFonts w:ascii="Times New Roman" w:cs="Times New Roman" w:eastAsia="Times New Roman" w:hAnsi="Times New Roman"/>
          <w:sz w:val="18"/>
          <w:szCs w:val="18"/>
          <w:color w:val="auto"/>
        </w:rPr>
      </w:pPr>
    </w:p>
    <w:p>
      <w:pPr>
        <w:ind w:firstLine="436"/>
        <w:spacing w:after="0" w:line="267" w:lineRule="auto"/>
        <w:tabs>
          <w:tab w:leader="none" w:pos="8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PricewaterhouseCoopers LLP, who have certified certain financial statements of the Guarantor and its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are independent public accountants with respect to the Guarantor and its consolidated subsidiaries within the applicable rules and regulations adopted by the Commission and the Public Company Accounting Oversight Board (United States) and as required by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8" w:right="459" w:bottom="1440" w:gutter="0" w:footer="0" w:header="0"/>
        </w:sectPr>
      </w:pPr>
    </w:p>
    <w:bookmarkStart w:id="16" w:name="page17"/>
    <w:bookmarkEnd w:id="16"/>
    <w:p>
      <w:pPr>
        <w:ind w:firstLine="436"/>
        <w:spacing w:after="0" w:line="261" w:lineRule="auto"/>
        <w:tabs>
          <w:tab w:leader="none" w:pos="7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Undisclosed Relationships. </w:t>
      </w:r>
      <w:r>
        <w:rPr>
          <w:rFonts w:ascii="Times New Roman" w:cs="Times New Roman" w:eastAsia="Times New Roman" w:hAnsi="Times New Roman"/>
          <w:sz w:val="18"/>
          <w:szCs w:val="18"/>
          <w:color w:val="auto"/>
        </w:rPr>
        <w:t>No relationship, direct or indirect, exists between the Guarantor or any of its subsidiaries, on the one 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directors, officers, stockholders or other affiliates of the Guarantor or any of its subsidiaries, on the other, that would be required by the Securities Act to be described in each of the Registration Statement and the Prospectus and that is not so described in such documents and in the Time of Sale Information.</w:t>
      </w:r>
    </w:p>
    <w:p>
      <w:pPr>
        <w:spacing w:after="0" w:line="179" w:lineRule="exact"/>
        <w:rPr>
          <w:rFonts w:ascii="Times New Roman" w:cs="Times New Roman" w:eastAsia="Times New Roman" w:hAnsi="Times New Roman"/>
          <w:sz w:val="18"/>
          <w:szCs w:val="18"/>
          <w:color w:val="auto"/>
        </w:rPr>
      </w:pPr>
    </w:p>
    <w:p>
      <w:pPr>
        <w:ind w:right="80" w:firstLine="436"/>
        <w:spacing w:after="0" w:line="267" w:lineRule="auto"/>
        <w:tabs>
          <w:tab w:leader="none" w:pos="8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The Guarantor is and, after giving effect to the offering and sale of the Securities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as described in each of the Registration Statement, the Time of Sale Information and the Prospectus, will be exempt from regulation as an “investment company” as such term is defined in the Investment Company Act of 1940, as amended.</w:t>
      </w:r>
    </w:p>
    <w:p>
      <w:pPr>
        <w:spacing w:after="0" w:line="173" w:lineRule="exact"/>
        <w:rPr>
          <w:rFonts w:ascii="Times New Roman" w:cs="Times New Roman" w:eastAsia="Times New Roman" w:hAnsi="Times New Roman"/>
          <w:sz w:val="18"/>
          <w:szCs w:val="18"/>
          <w:color w:val="auto"/>
        </w:rPr>
      </w:pPr>
    </w:p>
    <w:p>
      <w:pPr>
        <w:ind w:firstLine="436"/>
        <w:spacing w:after="0" w:line="256" w:lineRule="auto"/>
        <w:tabs>
          <w:tab w:leader="none" w:pos="8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Environmental Laws. </w:t>
      </w:r>
      <w:r>
        <w:rPr>
          <w:rFonts w:ascii="Times New Roman" w:cs="Times New Roman" w:eastAsia="Times New Roman" w:hAnsi="Times New Roman"/>
          <w:sz w:val="18"/>
          <w:szCs w:val="18"/>
          <w:color w:val="auto"/>
        </w:rPr>
        <w:t>The Guarantor and its significant subsidiaries (i) are in compliance with any and all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as described in each of the Registration Statement, the Time of Sale Information and the Prospectus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8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Liabilities Associated with Environmental Laws</w:t>
      </w:r>
      <w:r>
        <w:rPr>
          <w:rFonts w:ascii="Times New Roman" w:cs="Times New Roman" w:eastAsia="Times New Roman" w:hAnsi="Times New Roman"/>
          <w:sz w:val="18"/>
          <w:szCs w:val="18"/>
          <w:color w:val="auto"/>
        </w:rPr>
        <w:t>. There are no costs or liabilities associated with Environmental Laws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Registration Statement, the Time of Sale Information and the Prospectus or which would not, singly or in the aggregate, be reasonably expected to have a Material Adverse Effect.</w:t>
      </w:r>
    </w:p>
    <w:p>
      <w:pPr>
        <w:spacing w:after="0" w:line="183" w:lineRule="exact"/>
        <w:rPr>
          <w:rFonts w:ascii="Times New Roman" w:cs="Times New Roman" w:eastAsia="Times New Roman" w:hAnsi="Times New Roman"/>
          <w:sz w:val="18"/>
          <w:szCs w:val="18"/>
          <w:color w:val="auto"/>
        </w:rPr>
      </w:pPr>
    </w:p>
    <w:p>
      <w:pPr>
        <w:ind w:right="180" w:firstLine="436"/>
        <w:spacing w:after="0" w:line="257" w:lineRule="auto"/>
        <w:tabs>
          <w:tab w:leader="none" w:pos="8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Guarantor maintains an effective system of “disclosure controls and procedures” (as defined in Rule 13a-15(e)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that is designed to ensure that information required to be disclosed by the Guarantor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Guarantor’s management as appropriate to allow timely decisions regarding required disclosure. The Guarantor has carried out evaluations of the effectiveness of its disclosure controls and procedures as required by Rule 13a-15 of the Exchange Act.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7" w:name="page18"/>
    <w:bookmarkEnd w:id="17"/>
    <w:p>
      <w:pPr>
        <w:ind w:left="-20" w:right="20" w:firstLine="436"/>
        <w:spacing w:after="0" w:line="254" w:lineRule="auto"/>
        <w:tabs>
          <w:tab w:leader="none" w:pos="8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Accounting Controls. </w:t>
      </w:r>
      <w:r>
        <w:rPr>
          <w:rFonts w:ascii="Times New Roman" w:cs="Times New Roman" w:eastAsia="Times New Roman" w:hAnsi="Times New Roman"/>
          <w:sz w:val="18"/>
          <w:szCs w:val="18"/>
          <w:color w:val="auto"/>
        </w:rPr>
        <w:t>The Guarantor maintains systems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Guarantor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or incorporated by reference in each of the Registration Statement, the Time of Sale Information and the Prospectus, there are no material weaknesses or significant deficiencies in the Guarantor’s internal controls.</w:t>
      </w:r>
    </w:p>
    <w:p>
      <w:pPr>
        <w:spacing w:after="0" w:line="185" w:lineRule="exact"/>
        <w:rPr>
          <w:rFonts w:ascii="Times New Roman" w:cs="Times New Roman" w:eastAsia="Times New Roman" w:hAnsi="Times New Roman"/>
          <w:sz w:val="18"/>
          <w:szCs w:val="18"/>
          <w:color w:val="auto"/>
        </w:rPr>
      </w:pPr>
    </w:p>
    <w:p>
      <w:pPr>
        <w:ind w:left="-20" w:right="100" w:firstLine="436"/>
        <w:spacing w:after="0" w:line="267"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OFAC. </w:t>
      </w:r>
      <w:r>
        <w:rPr>
          <w:rFonts w:ascii="Times New Roman" w:cs="Times New Roman" w:eastAsia="Times New Roman" w:hAnsi="Times New Roman"/>
          <w:sz w:val="18"/>
          <w:szCs w:val="18"/>
          <w:color w:val="auto"/>
        </w:rPr>
        <w:t>The Guarantor will not directly or indirectly use the proceeds of the offering, or lend, contribute or otherwise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such proceeds to any subsidiary, joint venture partner or other person or entity, for the purpose of financing the activities of any person currently subject to any U.S. sanctions administered by the Office of Foreign Assets Control of the U.S. Treasury Department.</w:t>
      </w:r>
    </w:p>
    <w:p>
      <w:pPr>
        <w:spacing w:after="0" w:line="173" w:lineRule="exact"/>
        <w:rPr>
          <w:sz w:val="20"/>
          <w:szCs w:val="20"/>
          <w:color w:val="auto"/>
        </w:rPr>
      </w:pPr>
    </w:p>
    <w:p>
      <w:pPr>
        <w:ind w:left="-20" w:right="180" w:firstLine="436"/>
        <w:spacing w:after="0" w:line="267"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Guarantor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any Underwriter for a brokerage commission, finder’s fee or like payment in connection with the offering and sale of the Securities.</w:t>
      </w:r>
    </w:p>
    <w:p>
      <w:pPr>
        <w:spacing w:after="0" w:line="173" w:lineRule="exact"/>
        <w:rPr>
          <w:rFonts w:ascii="Times New Roman" w:cs="Times New Roman" w:eastAsia="Times New Roman" w:hAnsi="Times New Roman"/>
          <w:sz w:val="18"/>
          <w:szCs w:val="18"/>
          <w:color w:val="auto"/>
        </w:rPr>
      </w:pPr>
    </w:p>
    <w:p>
      <w:pPr>
        <w:ind w:left="-20" w:right="140" w:firstLine="436"/>
        <w:spacing w:after="0" w:line="284"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the Guarantor has taken, directly or indirectly, any action designed to or that would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expected to cause or result in any stabilization or manipulation of the price of the Securities.</w:t>
      </w:r>
    </w:p>
    <w:p>
      <w:pPr>
        <w:spacing w:after="0" w:line="158" w:lineRule="exact"/>
        <w:rPr>
          <w:rFonts w:ascii="Times New Roman" w:cs="Times New Roman" w:eastAsia="Times New Roman" w:hAnsi="Times New Roman"/>
          <w:sz w:val="18"/>
          <w:szCs w:val="18"/>
          <w:color w:val="auto"/>
        </w:rPr>
      </w:pPr>
    </w:p>
    <w:p>
      <w:pPr>
        <w:ind w:left="-20" w:right="280" w:firstLine="436"/>
        <w:spacing w:after="0" w:line="284"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Guarantor is in compliance in all material respects with the applicable provisions of the Sarbanes-Oxley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20" w:firstLine="436"/>
        <w:spacing w:after="0" w:line="267"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Data Protection</w:t>
      </w:r>
      <w:r>
        <w:rPr>
          <w:rFonts w:ascii="Times New Roman" w:cs="Times New Roman" w:eastAsia="Times New Roman" w:hAnsi="Times New Roman"/>
          <w:sz w:val="18"/>
          <w:szCs w:val="18"/>
          <w:color w:val="auto"/>
        </w:rPr>
        <w:t>. Except as described in each of the Registration Statement, the Time of Sale Information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 would not, singly or in the aggregate, be reasonably expected to have a Material Adverse Effect, the Company and its significant subsidiaries are in compliance with all applicable laws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68" w:right="459" w:bottom="1440" w:gutter="0" w:footer="0" w:header="0"/>
        </w:sectPr>
      </w:pPr>
    </w:p>
    <w:bookmarkStart w:id="18" w:name="page19"/>
    <w:bookmarkEnd w:id="18"/>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statutes, all applicable judgments, orders, rules and regulations of any court or arbitrator or governmental or regulatory authority, and applicable internal policies and contractual obligations, in each case relating to (i) the privacy and security of the Company’s and its significant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4" w:right="160" w:hanging="4"/>
        <w:spacing w:after="0" w:line="260"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personally identifiable, sensitive, confidential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used in their businesses, and (iii) the protection of such IT Systems and Personal Data from unauthorized use, access, misappropriation or modification.</w:t>
      </w:r>
    </w:p>
    <w:p>
      <w:pPr>
        <w:spacing w:after="0" w:line="18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7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 and the Guarantor</w:t>
      </w:r>
      <w:r>
        <w:rPr>
          <w:rFonts w:ascii="Times New Roman" w:cs="Times New Roman" w:eastAsia="Times New Roman" w:hAnsi="Times New Roman"/>
          <w:sz w:val="18"/>
          <w:szCs w:val="18"/>
          <w:color w:val="auto"/>
        </w:rPr>
        <w:t>. The Company and the Guarantor jointly and severally covenant and agree with each Underwriter that:</w:t>
      </w:r>
    </w:p>
    <w:p>
      <w:pPr>
        <w:spacing w:after="0" w:line="52" w:lineRule="exact"/>
        <w:rPr>
          <w:sz w:val="20"/>
          <w:szCs w:val="20"/>
          <w:color w:val="auto"/>
        </w:rPr>
      </w:pPr>
    </w:p>
    <w:p>
      <w:pPr>
        <w:ind w:left="4" w:firstLine="436"/>
        <w:spacing w:after="0" w:line="254" w:lineRule="auto"/>
        <w:tabs>
          <w:tab w:leader="none" w:pos="8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and the Guarantor will file the final Prospectus with the Commission within the time periods specified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424(b) and Rule 430B under the Securities Act, will file any Issuer Free Writing Prospectus (including the Pricing Term Sheet referred to in Annex A hereto) to the extent required by Rule 433 under the Securities Act; and the Company and the Guarantor will file promptly all reports and any definitive proxy or information statements required to be filed by the Company and the Guarantor with the Commission pursuant to Section 13(a), 13(c), 14 or 15(d) of the Exchange Act subsequent to the date of the Prospectus and for so long as the delivery of a prospectus is required in connection with the offering or sale of the Securities; and the Company and the Guarantor will furnish, or cause to be furnished,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spacing w:after="0" w:line="185"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8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and the Guarantor will deliver upon request, without charge, (i) to the Representatives, a conformed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9" w:name="page20"/>
    <w:bookmarkEnd w:id="19"/>
    <w:p>
      <w:pPr>
        <w:ind w:left="-60" w:right="120" w:firstLine="436"/>
        <w:spacing w:after="0" w:line="25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Amendments or Supplements; Issuer Free Writing Prospectuses. </w:t>
      </w:r>
      <w:r>
        <w:rPr>
          <w:rFonts w:ascii="Times New Roman" w:cs="Times New Roman" w:eastAsia="Times New Roman" w:hAnsi="Times New Roman"/>
          <w:sz w:val="18"/>
          <w:szCs w:val="18"/>
          <w:color w:val="auto"/>
        </w:rPr>
        <w:t>Before using, authorizing, approving, referring to or filing any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and before filing any amendment or supplement to the Registration Statement or the Prospectus, whether before or after the time that the Registration Statement becomes effective, the Company and the Guarantor will furnish, or cause to be furnished,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w:t>
      </w:r>
    </w:p>
    <w:p>
      <w:pPr>
        <w:spacing w:after="0" w:line="182" w:lineRule="exact"/>
        <w:rPr>
          <w:rFonts w:ascii="Times New Roman" w:cs="Times New Roman" w:eastAsia="Times New Roman" w:hAnsi="Times New Roman"/>
          <w:sz w:val="18"/>
          <w:szCs w:val="18"/>
          <w:color w:val="auto"/>
        </w:rPr>
      </w:pPr>
    </w:p>
    <w:p>
      <w:pPr>
        <w:ind w:left="-60" w:firstLine="436"/>
        <w:spacing w:after="0" w:line="252" w:lineRule="auto"/>
        <w:tabs>
          <w:tab w:leader="none" w:pos="7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From the date hereof until the end of the Prospectus Delivery Period, the Company and the Guarantor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 the Representatives promptly, and confirm such advice in writing (which advice may be delivered via e-mail),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in writing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under which they were made, not misleading; (vi) of the receipt by the Company and the Guarantor of any notice of objection of the Commission to the use of the Registration Statement or any post-effective amendment thereto pursuant to Rule 401(g)(2) under the Securities Act; and (vii) of the receipt by the Company and the Guarantor of any notice with respect to any suspension of the qualification of the Securities for offer and sale in any jurisdiction or the initiation or threatening of any proceeding for such purpose; and the Company and the Guarantor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their reasonable best efforts to obtain as soon as possible the withdrawal thereof.</w:t>
      </w:r>
    </w:p>
    <w:p>
      <w:pPr>
        <w:spacing w:after="0" w:line="193" w:lineRule="exact"/>
        <w:rPr>
          <w:rFonts w:ascii="Times New Roman" w:cs="Times New Roman" w:eastAsia="Times New Roman" w:hAnsi="Times New Roman"/>
          <w:sz w:val="18"/>
          <w:szCs w:val="18"/>
          <w:color w:val="auto"/>
        </w:rPr>
      </w:pPr>
    </w:p>
    <w:p>
      <w:pPr>
        <w:ind w:left="-60" w:firstLine="436"/>
        <w:spacing w:after="0" w:line="26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Guarantor or counsel to the Underwriters, to amend or supplement any of the Time of Sale Information to comply with</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500" w:top="268" w:right="519" w:bottom="1440" w:gutter="0" w:footer="0" w:header="0"/>
        </w:sectPr>
      </w:pPr>
    </w:p>
    <w:bookmarkStart w:id="20" w:name="page21"/>
    <w:bookmarkEnd w:id="20"/>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 the Company and the Guarantor will immediately notify the Underwriters thereof and forthwith prepare and, subject to paragraph (c) above, file with the Commission (to the extent required) and furnish to the Underwriters, such amendments or supplements to any of the Time of Sale Information (or any document to be filed with the Commission and incorporated by reference therein) as may be necessary so that the statements in any of the Time of Sale Information as so amended or supplemented will not include any untrue statement of a material fact or omit to state any material fact required to be stated therein or necessary in order to make the statements therein, in light of the circumstances under which they were made, not misleading or so that any of the Time of Sale Information will comply with law.</w:t>
      </w:r>
    </w:p>
    <w:p>
      <w:pPr>
        <w:spacing w:after="0" w:line="185" w:lineRule="exact"/>
        <w:rPr>
          <w:sz w:val="20"/>
          <w:szCs w:val="20"/>
          <w:color w:val="auto"/>
        </w:rPr>
      </w:pPr>
    </w:p>
    <w:p>
      <w:pPr>
        <w:jc w:val="both"/>
        <w:ind w:left="4" w:right="400" w:firstLine="436"/>
        <w:spacing w:after="0" w:line="273" w:lineRule="auto"/>
        <w:tabs>
          <w:tab w:leader="none" w:pos="80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Ongoing Compliance</w:t>
      </w:r>
      <w:r>
        <w:rPr>
          <w:rFonts w:ascii="Times New Roman" w:cs="Times New Roman" w:eastAsia="Times New Roman" w:hAnsi="Times New Roman"/>
          <w:sz w:val="17"/>
          <w:szCs w:val="17"/>
          <w:color w:val="auto"/>
        </w:rPr>
        <w:t>. If during the Prospectus Delivery Period (i) any event shall occur or condition shall exist as a result of which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necessary, in the opinion of counsel to the Guarantor or counsel to the Underwriters, to amend or supplement the Prospectus to comply with law, the Company the Guarantor will immediately notify the Underwriters thereof and forthwith prepare and, subject to paragraph (c) above, file with the Commission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under which they were made, be misleading or so that the Prospectus will comply with law</w:t>
      </w:r>
      <w:r>
        <w:rPr>
          <w:rFonts w:ascii="Times New Roman" w:cs="Times New Roman" w:eastAsia="Times New Roman" w:hAnsi="Times New Roman"/>
          <w:sz w:val="18"/>
          <w:szCs w:val="18"/>
          <w:i w:val="1"/>
          <w:iCs w:val="1"/>
          <w:color w:val="auto"/>
        </w:rPr>
        <w:t>.</w:t>
      </w:r>
    </w:p>
    <w:p>
      <w:pPr>
        <w:spacing w:after="0" w:line="187" w:lineRule="exact"/>
        <w:rPr>
          <w:rFonts w:ascii="Times New Roman" w:cs="Times New Roman" w:eastAsia="Times New Roman" w:hAnsi="Times New Roman"/>
          <w:sz w:val="18"/>
          <w:szCs w:val="18"/>
          <w:color w:val="auto"/>
        </w:rPr>
      </w:pPr>
    </w:p>
    <w:p>
      <w:pPr>
        <w:ind w:left="4" w:firstLine="436"/>
        <w:spacing w:after="0" w:line="258" w:lineRule="auto"/>
        <w:tabs>
          <w:tab w:leader="none" w:pos="83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and the Guarantor will cooperate with the Underwriters to qualify the Securities for offer and sale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securities or Blue Sky laws of such jurisdictions as the Representatives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Company nor the Guarantor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jc w:val="both"/>
        <w:ind w:left="4" w:right="60" w:firstLine="436"/>
        <w:spacing w:after="0" w:line="261" w:lineRule="auto"/>
        <w:tabs>
          <w:tab w:leader="none" w:pos="83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Guarantor will make generally available to its security holders and the Representatives as soon as practicable, but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event not later than 16 months after the effective date (as defined in Rule 158(c) under the Securities Act), an earning statement (which need not be audited) that satisfies the provisions of Section 11(a) of the Securities Act and the rules and regulations of the Commission thereunder (including, at the option of the Guarantor, Rule 158).</w:t>
      </w:r>
    </w:p>
    <w:p>
      <w:pPr>
        <w:spacing w:after="0" w:line="179" w:lineRule="exact"/>
        <w:rPr>
          <w:rFonts w:ascii="Times New Roman" w:cs="Times New Roman" w:eastAsia="Times New Roman" w:hAnsi="Times New Roman"/>
          <w:sz w:val="18"/>
          <w:szCs w:val="18"/>
          <w:color w:val="auto"/>
        </w:rPr>
      </w:pPr>
    </w:p>
    <w:p>
      <w:pPr>
        <w:ind w:left="4" w:right="240" w:firstLine="436"/>
        <w:spacing w:after="0" w:line="267" w:lineRule="auto"/>
        <w:tabs>
          <w:tab w:leader="none" w:pos="7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During the period from the date hereof through and including the Closing Date, the Company and the Guarantor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prior written consent of the Representatives, offer, sell, contract to sell or otherwise dispose of any debt securities issued or guaranteed by the Company or the Guarantor and having a tenor of more than one year.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1" w:name="page22"/>
    <w:bookmarkEnd w:id="21"/>
    <w:p>
      <w:pPr>
        <w:ind w:left="-80" w:firstLine="436"/>
        <w:spacing w:after="0" w:line="284" w:lineRule="auto"/>
        <w:tabs>
          <w:tab w:leader="none" w:pos="7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Use of Proceeds. </w:t>
      </w:r>
      <w:r>
        <w:rPr>
          <w:rFonts w:ascii="Times New Roman" w:cs="Times New Roman" w:eastAsia="Times New Roman" w:hAnsi="Times New Roman"/>
          <w:sz w:val="18"/>
          <w:szCs w:val="18"/>
          <w:color w:val="auto"/>
        </w:rPr>
        <w:t>The Company will apply the net proceeds from the sale of the Securities as described in each of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and the Prospectus under the heading “Use of Proceeds”.</w:t>
      </w:r>
    </w:p>
    <w:p>
      <w:pPr>
        <w:spacing w:after="0" w:line="158" w:lineRule="exact"/>
        <w:rPr>
          <w:rFonts w:ascii="Times New Roman" w:cs="Times New Roman" w:eastAsia="Times New Roman" w:hAnsi="Times New Roman"/>
          <w:sz w:val="18"/>
          <w:szCs w:val="18"/>
          <w:color w:val="auto"/>
        </w:rPr>
      </w:pPr>
    </w:p>
    <w:p>
      <w:pPr>
        <w:ind w:left="740" w:hanging="384"/>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Company will assist the Underwriters in arranging for the Securities to be eligible for clearance and settlement through DTC.</w:t>
      </w:r>
    </w:p>
    <w:p>
      <w:pPr>
        <w:spacing w:after="0" w:line="225" w:lineRule="exact"/>
        <w:rPr>
          <w:rFonts w:ascii="Times New Roman" w:cs="Times New Roman" w:eastAsia="Times New Roman" w:hAnsi="Times New Roman"/>
          <w:sz w:val="18"/>
          <w:szCs w:val="18"/>
          <w:color w:val="auto"/>
        </w:rPr>
      </w:pPr>
    </w:p>
    <w:p>
      <w:pPr>
        <w:ind w:left="-80" w:right="60" w:firstLine="436"/>
        <w:spacing w:after="0" w:line="284" w:lineRule="auto"/>
        <w:tabs>
          <w:tab w:leader="none" w:pos="7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the Guarantor will take, directly or indirectly, any action designed to or that would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cause or result in any stabilization or manipulation of the price of the Securities.</w:t>
      </w:r>
    </w:p>
    <w:p>
      <w:pPr>
        <w:spacing w:after="0" w:line="158" w:lineRule="exact"/>
        <w:rPr>
          <w:rFonts w:ascii="Times New Roman" w:cs="Times New Roman" w:eastAsia="Times New Roman" w:hAnsi="Times New Roman"/>
          <w:sz w:val="18"/>
          <w:szCs w:val="18"/>
          <w:color w:val="auto"/>
        </w:rPr>
      </w:pPr>
    </w:p>
    <w:p>
      <w:pPr>
        <w:ind w:left="-80" w:right="80" w:firstLine="436"/>
        <w:spacing w:after="0" w:line="284" w:lineRule="auto"/>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60"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u w:val="single" w:color="auto"/>
          <w:color w:val="auto"/>
        </w:rPr>
        <w:t>Certain Agreements of the Underwriters</w:t>
      </w:r>
      <w:r>
        <w:rPr>
          <w:rFonts w:ascii="Times New Roman" w:cs="Times New Roman" w:eastAsia="Times New Roman" w:hAnsi="Times New Roman"/>
          <w:sz w:val="17"/>
          <w:szCs w:val="17"/>
          <w:color w:val="auto"/>
        </w:rPr>
        <w:t>. Each Underwriter hereby represents to the Company and the Guarantor and agrees that:</w:t>
      </w:r>
    </w:p>
    <w:p>
      <w:pPr>
        <w:spacing w:after="0" w:line="117" w:lineRule="exact"/>
        <w:rPr>
          <w:sz w:val="20"/>
          <w:szCs w:val="20"/>
          <w:color w:val="auto"/>
        </w:rPr>
      </w:pPr>
    </w:p>
    <w:p>
      <w:pPr>
        <w:ind w:left="-80" w:firstLine="436"/>
        <w:spacing w:after="0" w:line="254"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use, authorize use of, refer to, or participate in the planning for use of, any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under the Securities Act (which term includes use of any written information furnished to the Commission by the Company and the Guarantor and not incorporated by reference into the Registration Statement and any press release issued by the Company and the Guarantor)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3A(c) or 3B(c) or Section 4(c) above (including any electronic road show), or (iii) any free writing prospectus prepared by such Underwriter and approved by the Guarantor in advance in writing (each such free writing prospectus referred to in clauses (i) or (iii), an “</w:t>
      </w:r>
      <w:r>
        <w:rPr>
          <w:rFonts w:ascii="Times New Roman" w:cs="Times New Roman" w:eastAsia="Times New Roman" w:hAnsi="Times New Roman"/>
          <w:sz w:val="18"/>
          <w:szCs w:val="18"/>
          <w:u w:val="single" w:color="auto"/>
          <w:color w:val="auto"/>
        </w:rPr>
        <w:t>Underwriter Free Writing Prospectus</w:t>
      </w:r>
      <w:r>
        <w:rPr>
          <w:rFonts w:ascii="Times New Roman" w:cs="Times New Roman" w:eastAsia="Times New Roman" w:hAnsi="Times New Roman"/>
          <w:sz w:val="18"/>
          <w:szCs w:val="18"/>
          <w:color w:val="auto"/>
        </w:rPr>
        <w:t>”). Notwithstanding the foregoing, the Underwriters may use the Pricing Term Sheet referred to in Annex A hereto without the consent of the Guarantor.</w:t>
      </w:r>
    </w:p>
    <w:p>
      <w:pPr>
        <w:spacing w:after="0" w:line="191" w:lineRule="exact"/>
        <w:rPr>
          <w:rFonts w:ascii="Times New Roman" w:cs="Times New Roman" w:eastAsia="Times New Roman" w:hAnsi="Times New Roman"/>
          <w:sz w:val="18"/>
          <w:szCs w:val="18"/>
          <w:color w:val="auto"/>
        </w:rPr>
      </w:pPr>
    </w:p>
    <w:p>
      <w:pPr>
        <w:ind w:left="-80" w:right="100" w:firstLine="436"/>
        <w:spacing w:after="0" w:line="282" w:lineRule="auto"/>
        <w:tabs>
          <w:tab w:leader="none" w:pos="7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and the Guarantor if any such proceeding against it is initiated during the Prospectus Delivery Period).</w:t>
      </w:r>
    </w:p>
    <w:p>
      <w:pPr>
        <w:spacing w:after="0" w:line="161" w:lineRule="exact"/>
        <w:rPr>
          <w:rFonts w:ascii="Times New Roman" w:cs="Times New Roman" w:eastAsia="Times New Roman" w:hAnsi="Times New Roman"/>
          <w:sz w:val="18"/>
          <w:szCs w:val="18"/>
          <w:color w:val="auto"/>
        </w:rPr>
      </w:pPr>
    </w:p>
    <w:p>
      <w:pPr>
        <w:ind w:left="-80" w:firstLine="436"/>
        <w:spacing w:after="0" w:line="261"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that, with respect to sales of the Securities to purchasers located or resident in any province of Canada, the Securities will be offered for sale directly by such Underwriter, or through a Canadian affiliate of such Underwriter, or through an unaffiliated Canadian registered securities dealer and such offers will be made: (i) by a dealer registered in the appropriate registration category under applicable securities laws in the Province of Canada in which the Canadian purchaser is located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520" w:top="268" w:right="519" w:bottom="1440" w:gutter="0" w:footer="0" w:header="0"/>
        </w:sectPr>
      </w:pPr>
    </w:p>
    <w:bookmarkStart w:id="22" w:name="page23"/>
    <w:bookmarkEnd w:id="22"/>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resident and in accordance with any terms, conditions, restrictions or requirements applied to such registration, or by an unregistered “international dealer” to persons who are “permitted clients” as defined in Section 1.1 of National Instrument 31-103 of the Canadian Securities Administrators (“NI 31-103”) and otherwise in compliance with the “international dealer” exemption afforded by Section 8.18 of NI 31-103; and (ii) in reliance upon the deemed representations and warranties in the Time of Sale Information and the Final Prospectus that each such purchaser in Canada is an “accredited investor”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of the Canadian Securities Administrators or, if such purchaser is located or resident in Ontario,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is purchasing the Securities as principal for its own account or deemed to be purchasing the Securities as principal by applicable securities laws in Canada and all in accordance with applicable law.</w:t>
      </w:r>
    </w:p>
    <w:p>
      <w:pPr>
        <w:spacing w:after="0" w:line="189" w:lineRule="exact"/>
        <w:rPr>
          <w:sz w:val="20"/>
          <w:szCs w:val="20"/>
          <w:color w:val="auto"/>
        </w:rPr>
      </w:pPr>
    </w:p>
    <w:p>
      <w:pPr>
        <w:ind w:right="40" w:firstLine="436"/>
        <w:spacing w:after="0" w:line="266" w:lineRule="auto"/>
        <w:tabs>
          <w:tab w:leader="none" w:pos="7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Securities on the Closing Date as provided herein is subject to the performance by the Company and the Guarantor of their respective covenants and other obligations hereunder and to the following additional conditions:</w:t>
      </w:r>
    </w:p>
    <w:p>
      <w:pPr>
        <w:spacing w:after="0" w:line="174" w:lineRule="exact"/>
        <w:rPr>
          <w:sz w:val="20"/>
          <w:szCs w:val="20"/>
          <w:color w:val="auto"/>
        </w:rPr>
      </w:pPr>
    </w:p>
    <w:p>
      <w:pPr>
        <w:ind w:right="20" w:firstLine="436"/>
        <w:spacing w:after="0" w:line="258"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83" w:lineRule="exact"/>
        <w:rPr>
          <w:rFonts w:ascii="Times New Roman" w:cs="Times New Roman" w:eastAsia="Times New Roman" w:hAnsi="Times New Roman"/>
          <w:sz w:val="18"/>
          <w:szCs w:val="18"/>
          <w:color w:val="auto"/>
        </w:rPr>
      </w:pPr>
    </w:p>
    <w:p>
      <w:pPr>
        <w:ind w:right="240" w:firstLine="436"/>
        <w:spacing w:after="0" w:line="261" w:lineRule="auto"/>
        <w:tabs>
          <w:tab w:leader="none" w:pos="8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Guarantor contained herein shall be true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 on the date hereof and on and as of the Closing Date; and the statements of the Company, the Guarantor and their respective officers or authorized signatories, as the case may be, made in any certificates delivered pursuant to this Agreement shall be true and correct on and as of the Closing Date.</w:t>
      </w:r>
    </w:p>
    <w:p>
      <w:pPr>
        <w:spacing w:after="0" w:line="179" w:lineRule="exact"/>
        <w:rPr>
          <w:rFonts w:ascii="Times New Roman" w:cs="Times New Roman" w:eastAsia="Times New Roman" w:hAnsi="Times New Roman"/>
          <w:sz w:val="18"/>
          <w:szCs w:val="18"/>
          <w:color w:val="auto"/>
        </w:rPr>
      </w:pPr>
    </w:p>
    <w:p>
      <w:pPr>
        <w:ind w:firstLine="436"/>
        <w:spacing w:after="0" w:line="257"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the Securities or any other debt securities or preferred stock issued or guaranteed by the Guarantor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Guarantor or any of its significant subsidiaries (other than an announcement with positive implications of a possible upgrading).</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right="40" w:firstLine="436"/>
        <w:spacing w:after="0" w:line="258" w:lineRule="auto"/>
        <w:tabs>
          <w:tab w:leader="none" w:pos="8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Material Adverse Change. </w:t>
      </w:r>
      <w:r>
        <w:rPr>
          <w:rFonts w:ascii="Times New Roman" w:cs="Times New Roman" w:eastAsia="Times New Roman" w:hAnsi="Times New Roman"/>
          <w:sz w:val="18"/>
          <w:szCs w:val="18"/>
          <w:color w:val="auto"/>
        </w:rPr>
        <w:t>No event or condition of a type described in Section 3B(g)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each of the Time of Sale Information (excluding any amendment or supplement thereto after the Time of Sale)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spacing w:after="0" w:line="183" w:lineRule="exact"/>
        <w:rPr>
          <w:rFonts w:ascii="Times New Roman" w:cs="Times New Roman" w:eastAsia="Times New Roman" w:hAnsi="Times New Roman"/>
          <w:sz w:val="18"/>
          <w:szCs w:val="18"/>
          <w:color w:val="auto"/>
        </w:rPr>
      </w:pPr>
    </w:p>
    <w:p>
      <w:pPr>
        <w:ind w:right="20" w:firstLine="436"/>
        <w:spacing w:after="0" w:line="270" w:lineRule="auto"/>
        <w:tabs>
          <w:tab w:leader="none" w:pos="8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Officer’s Certificate. </w:t>
      </w:r>
      <w:r>
        <w:rPr>
          <w:rFonts w:ascii="Times New Roman" w:cs="Times New Roman" w:eastAsia="Times New Roman" w:hAnsi="Times New Roman"/>
          <w:sz w:val="17"/>
          <w:szCs w:val="17"/>
          <w:color w:val="auto"/>
        </w:rPr>
        <w:t>The Representatives shall have received on and as of the Closing Date a certificate of an officer or authorized signatory,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case may be, of the Company and an executive officer or authorized signatory, as the case may be, of the Guarantor reasonably satisfactory to the Representatives (i) confirming that each such officer or authorized signatory, as the case may be, has carefully reviewed the Registration Statement, the Time of Sale Information and the Prospectus and, to the best knowledge of each such officer or authorized signatory, as the case may be, the representations made by the Company or the Guarantor, as applicable, set forth in Sections 3A(b) and 3A(d) with respect to the Company and Sections 3B(b) and 3B(d) with respect to the Guarantor hereof are true and correct, (ii) confirming that, to the best knowledge of each such officer or authorized signatory, as the case may be, the other representations and warranties made by the Company or the Guarantor, as applicable, in this Agreement are true and correct and that the Company or the Guarantor, as applicable, has complied with all agreements and satisfied all conditions on its part to be performed or satisfied hereunder at or prior to the Closing Date and (iii) to the effect set forth in paragraph (b) above with respect to the Company or the Guarantor, as applicable, and to the effect that no event or condition of a type described in Section 3B(g) hereof shall have occurred or shall exist.</w:t>
      </w:r>
    </w:p>
    <w:p>
      <w:pPr>
        <w:spacing w:after="0" w:line="176" w:lineRule="exact"/>
        <w:rPr>
          <w:rFonts w:ascii="Times New Roman" w:cs="Times New Roman" w:eastAsia="Times New Roman" w:hAnsi="Times New Roman"/>
          <w:sz w:val="17"/>
          <w:szCs w:val="17"/>
          <w:color w:val="auto"/>
        </w:rPr>
      </w:pPr>
    </w:p>
    <w:p>
      <w:pPr>
        <w:ind w:right="40" w:firstLine="436"/>
        <w:spacing w:after="0" w:line="257"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PricewaterhouseCoopers LLP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and the Guarantor,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Offering Memorandum; provided that the letter delivered on the Closing Date shall use a “cut-off” date no more than three business days prior to the Closing Date.</w:t>
      </w:r>
    </w:p>
    <w:p>
      <w:pPr>
        <w:spacing w:after="0" w:line="182"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(i) Gibson Dunn &amp; Crutcher LLP, U.S. counsel for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shall have furnished to the Representatives, at the request of the Company and the Guarantor, their written opinion and 10b-5 statement, dated the Closing Date and addressed to the Underwriters, covering the matters reasonably requested by the Representatives substantially to the effect set forth in Annex C hereto; (ii) Bennett Jones LLP, Canadian counsel for the Company, shall have furnished to the Representatives as well as to Bank of New York Mellon, at the request of the Company, their written opinion, dated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24" w:name="page25"/>
    <w:bookmarkEnd w:id="2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Closing Date and addressed to the Underwriters, covering the matters reasonably requested by the Representatives substantively to the effect set forth in Annex D hereto; and (iii) STvB Advocaten (Europe) N.V., Curaçao counsel for the Guarantor, shall have furnished to the Representatives, at the request of the Guarantor, their written opinion, dated the Closing Date and addressed to the Underwriters, covering the matters reasonably requested by to the Representatives substantively to the effect set forth in Annex E hereto.</w:t>
      </w:r>
    </w:p>
    <w:p>
      <w:pPr>
        <w:spacing w:after="0" w:line="178" w:lineRule="exact"/>
        <w:rPr>
          <w:sz w:val="20"/>
          <w:szCs w:val="20"/>
          <w:color w:val="auto"/>
        </w:rPr>
      </w:pPr>
    </w:p>
    <w:p>
      <w:pPr>
        <w:ind w:right="140" w:firstLine="436"/>
        <w:spacing w:after="0" w:line="261" w:lineRule="auto"/>
        <w:tabs>
          <w:tab w:leader="none" w:pos="8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ind w:right="120" w:firstLine="436"/>
        <w:spacing w:after="0" w:line="261" w:lineRule="auto"/>
        <w:tabs>
          <w:tab w:leader="none" w:pos="7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issued by any federal, state or foreign governmental or regulatory authority that would, as of the Closing Date, prevent the issuance or sale of the Securities or the issuance of the Guarantee; and no injunction or order of any federal, state or foreign court shall have been issued that would, as of the Closing Date, prevent the issuance or sale of the Securities or the issuance of the Guarantee.</w:t>
      </w:r>
    </w:p>
    <w:p>
      <w:pPr>
        <w:spacing w:after="0" w:line="179" w:lineRule="exact"/>
        <w:rPr>
          <w:rFonts w:ascii="Times New Roman" w:cs="Times New Roman" w:eastAsia="Times New Roman" w:hAnsi="Times New Roman"/>
          <w:sz w:val="18"/>
          <w:szCs w:val="18"/>
          <w:color w:val="auto"/>
        </w:rPr>
      </w:pPr>
    </w:p>
    <w:p>
      <w:pPr>
        <w:ind w:right="300" w:firstLine="436"/>
        <w:spacing w:after="0" w:line="267" w:lineRule="auto"/>
        <w:tabs>
          <w:tab w:leader="none" w:pos="7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 in their respective jurisdictions of organization (as of the closest practical date prior to the Closing Date as possible), in each case in writing or any standard form of telecommunication, from the appropriate governmental authorities of such jurisdictions.</w:t>
      </w:r>
    </w:p>
    <w:p>
      <w:pPr>
        <w:spacing w:after="0" w:line="173"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Securities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ind w:right="320" w:firstLine="436"/>
        <w:spacing w:after="0" w:line="284" w:lineRule="auto"/>
        <w:tabs>
          <w:tab w:leader="none" w:pos="7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and the Guarantor shall have furnished to the Representatives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certificates and documents as the Representatives may reasonably request.</w:t>
      </w:r>
    </w:p>
    <w:p>
      <w:pPr>
        <w:spacing w:after="0" w:line="16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270" w:lineRule="exact"/>
        <w:rPr>
          <w:sz w:val="20"/>
          <w:szCs w:val="20"/>
          <w:color w:val="auto"/>
        </w:rPr>
      </w:pPr>
    </w:p>
    <w:p>
      <w:pPr>
        <w:ind w:left="760" w:hanging="32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80" w:firstLine="436"/>
        <w:spacing w:after="0" w:line="261"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and the Guarantor jointly and severally agree to indemnify and hold harmless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the Time of Sale Information, or caused by any omission or alleged omission to state therein a material fact necessary in order to make the statements therein, in the light of the circumstances under which they were made, not misleading, in each case except (x) insofar as such losses, claims, damages or liabilities arise out of, or are based upon, any untrue statement or omission or alleged untrue statement or omission made in reliance upon and in conformity with any information relating to any Underwriter furnished to the Company and the Guarantor in writing by such Underwriter through the Representatives expressly for use therein and (y) insofar as such losses, claims, damages or liabilities arise out of, or are based upon, any untrue statement or omission or alleged untrue statement or omission which pertains exclusively to the Company, only the Company and the Guarantor shall be obligated to indemnify and hold harmless as set forth in this Section 7(a).</w:t>
      </w:r>
    </w:p>
    <w:p>
      <w:pPr>
        <w:spacing w:after="0" w:line="190" w:lineRule="exact"/>
        <w:rPr>
          <w:sz w:val="20"/>
          <w:szCs w:val="20"/>
          <w:color w:val="auto"/>
        </w:rPr>
      </w:pPr>
    </w:p>
    <w:p>
      <w:pPr>
        <w:ind w:firstLine="436"/>
        <w:spacing w:after="0" w:line="254"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Guarantor. </w:t>
      </w:r>
      <w:r>
        <w:rPr>
          <w:rFonts w:ascii="Times New Roman" w:cs="Times New Roman" w:eastAsia="Times New Roman" w:hAnsi="Times New Roman"/>
          <w:sz w:val="18"/>
          <w:szCs w:val="18"/>
          <w:color w:val="auto"/>
        </w:rPr>
        <w:t>Each Underwriter agrees, severally and not jointly,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Guarantor, each of their respective affiliates, agents, directors, authorized signatories and officers who signed the Registration Statement and each person, if any, who controls the Company or the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and the Guarantor by such Underwriter in writing through the Representatives expressly for use in the Registration Statement, the Prospectus (or any amendment or supplement thereto), any Issuer Free Writing Prospectus or the Time of Sale Information, it being understood and agreed that the only such information consists of the following information set forth in the Preliminary Prospectus and the Prospectus under the caption “Underwriting”: the names of the Underwriters provided in paragraph 1 and the table immediately following paragraph 1, paragraph 3, sentences 3 and 4 in paragraph 7 and paragraph 8.</w:t>
      </w:r>
    </w:p>
    <w:p>
      <w:pPr>
        <w:spacing w:after="0" w:line="185" w:lineRule="exact"/>
        <w:rPr>
          <w:rFonts w:ascii="Times New Roman" w:cs="Times New Roman" w:eastAsia="Times New Roman" w:hAnsi="Times New Roman"/>
          <w:sz w:val="18"/>
          <w:szCs w:val="18"/>
          <w:color w:val="auto"/>
        </w:rPr>
      </w:pPr>
    </w:p>
    <w:p>
      <w:pPr>
        <w:ind w:firstLine="436"/>
        <w:spacing w:after="0" w:line="257"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shall promptly notify the person against whom such indemnification may be sought (the “</w:t>
      </w:r>
      <w:r>
        <w:rPr>
          <w:rFonts w:ascii="Times New Roman" w:cs="Times New Roman" w:eastAsia="Times New Roman" w:hAnsi="Times New Roman"/>
          <w:sz w:val="18"/>
          <w:szCs w:val="18"/>
          <w:u w:val="single" w:color="auto"/>
          <w:color w:val="auto"/>
        </w:rPr>
        <w:t>Indemnifying Person</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26" w:name="page27"/>
    <w:bookmarkEnd w:id="26"/>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reasonably incurred shall be reimbursed as they are incurred. Any such separate firm for any Underwriter, its affiliates, directors and officers and any control persons of such Underwriter shall be designated in writing by the Representatives and any such separate firm for the Company, the Guarantor, their respective directors, authorized signatories and officers who signed the Registration Statement and any control persons of the Company and the Guarantor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spacing w:after="0" w:line="196" w:lineRule="exact"/>
        <w:rPr>
          <w:sz w:val="20"/>
          <w:szCs w:val="20"/>
          <w:color w:val="auto"/>
        </w:rPr>
      </w:pPr>
    </w:p>
    <w:p>
      <w:pPr>
        <w:ind w:left="5424" w:right="1040" w:hanging="5424"/>
        <w:spacing w:after="0" w:line="433" w:lineRule="auto"/>
        <w:tabs>
          <w:tab w:leader="none" w:pos="2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statement as to or any admission of fault, culpability or a failure to act by or on behalf of any Indemnified Person. 23</w:t>
      </w:r>
    </w:p>
    <w:p>
      <w:pPr>
        <w:sectPr>
          <w:pgSz w:w="11900" w:h="16838" w:orient="portrait"/>
          <w:cols w:equalWidth="0" w:num="1">
            <w:col w:w="11004"/>
          </w:cols>
          <w:pgMar w:left="436" w:top="270" w:right="459" w:bottom="1440" w:gutter="0" w:footer="0" w:header="0"/>
        </w:sectPr>
      </w:pPr>
    </w:p>
    <w:bookmarkStart w:id="27" w:name="page28"/>
    <w:bookmarkEnd w:id="27"/>
    <w:p>
      <w:pPr>
        <w:ind w:left="-40" w:firstLine="436"/>
        <w:spacing w:after="0" w:line="252" w:lineRule="auto"/>
        <w:tabs>
          <w:tab w:leader="none" w:pos="7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 on the one hand and the Underwriters on the other in connection with the statements or omissions that resulted in such losses, claims, damages or liabilities, as well as any other relevant equitable considerations. The relative benefits received by the Company and the Guarantor on the one hand and the Underwriters on the other shall be deemed to be in the same respective proportions as the net proceeds (after deducting discounts and commissions to the Underwriters but before deducting expenses) received by the Company and the Guarantor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Guarantor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w:t>
      </w:r>
    </w:p>
    <w:p>
      <w:pPr>
        <w:spacing w:after="0" w:line="195" w:lineRule="exact"/>
        <w:rPr>
          <w:rFonts w:ascii="Times New Roman" w:cs="Times New Roman" w:eastAsia="Times New Roman" w:hAnsi="Times New Roman"/>
          <w:sz w:val="18"/>
          <w:szCs w:val="18"/>
          <w:color w:val="auto"/>
        </w:rPr>
      </w:pPr>
    </w:p>
    <w:p>
      <w:pPr>
        <w:ind w:left="-40" w:right="60" w:firstLine="436"/>
        <w:spacing w:after="0" w:line="253" w:lineRule="auto"/>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Guarantor and the Underwriters agree that it would not be just and equitable if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this Section 7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80" w:top="268" w:right="499" w:bottom="1440" w:gutter="0" w:footer="0" w:header="0"/>
        </w:sectPr>
      </w:pPr>
    </w:p>
    <w:bookmarkStart w:id="28" w:name="page29"/>
    <w:bookmarkEnd w:id="28"/>
    <w:p>
      <w:pPr>
        <w:ind w:right="300" w:firstLine="436"/>
        <w:spacing w:after="0" w:line="284"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Non-Exclusive Remedies. </w:t>
      </w:r>
      <w:r>
        <w:rPr>
          <w:rFonts w:ascii="Times New Roman" w:cs="Times New Roman" w:eastAsia="Times New Roman" w:hAnsi="Times New Roman"/>
          <w:sz w:val="18"/>
          <w:szCs w:val="18"/>
          <w:color w:val="auto"/>
        </w:rPr>
        <w:t>The remedies provided for in this Section 7 are not exclusive and shall not limit any rights or remedies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be available to any Indemnified Person at law or in equity.</w:t>
      </w:r>
    </w:p>
    <w:p>
      <w:pPr>
        <w:spacing w:after="0" w:line="160" w:lineRule="exact"/>
        <w:rPr>
          <w:sz w:val="20"/>
          <w:szCs w:val="20"/>
          <w:color w:val="auto"/>
        </w:rPr>
      </w:pPr>
    </w:p>
    <w:p>
      <w:pPr>
        <w:ind w:firstLine="436"/>
        <w:spacing w:after="0" w:line="254" w:lineRule="auto"/>
        <w:tabs>
          <w:tab w:leader="none" w:pos="7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(except as provided in clause (iv) below), by prior notice to the Guarantor, if after the execution and delivery of this Agreement and on or prior to the Closing Date (i) trading generally shall have been suspended or materially limited on the New York Stock Exchange; (ii) trading of any securities issued or guaranteed by the Company or the Guarantor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spacing w:after="0" w:line="29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3"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one or more Underwriters defaults on its obligation to purchase the Securities that it has agreed to purchase hereunder and the default exceeds one-eleventh of the aggregate amount of the Securities to be purchased hereunder, the non-defaulting Underwriters may in their discretion arrange for the purchase of such Securities by other persons reasonably satisfactory to the Guarantor on the terms contained in this Agreement. If, within 36 hours after any such default by any one or more Underwriters, the non-defaulting Underwriters do not arrange for the purchase of such Securities, then the Guarantor shall be entitled to a further period of 36 hours within which to procure other persons reasonably satisfactory to the non-defaulting Underwriters to purchase such Securities on such terms. If other persons become obligated or agree to purchase the Securities of any one or more defaulting Underwriters, either the non-defaulting Underwriters or the Guarantor may postpone the Closing Date for up to five full business days in order to effect any changes that in the opinion of U.S. counsel for the Company and the Guarantor or counsel for the Underwriters may be necessary in the Registration Statement, the Time of Sale Information and the Prospectus or in any other document or arrangement, and the Guarantor agrees to promptly prepare any amendment or supplement to the Registration Statement, the Time of Sale Information and the Prospectus that effects any such changes. As used in this Agreement, the term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includes, for all purposes of this Agreement unless the context otherwise requires, any person not listed in Schedule 1 hereto that, pursuant to this Section 9, purchases Securities that one or more defaulting Underwriter agreed but failed to purchase.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8" w:right="439" w:bottom="1440" w:gutter="0" w:footer="0" w:header="0"/>
        </w:sectPr>
      </w:pPr>
    </w:p>
    <w:bookmarkStart w:id="29" w:name="page30"/>
    <w:bookmarkEnd w:id="29"/>
    <w:p>
      <w:pPr>
        <w:ind w:right="80" w:firstLine="436"/>
        <w:spacing w:after="0" w:line="258" w:lineRule="auto"/>
        <w:tabs>
          <w:tab w:leader="none" w:pos="8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aggregate principal amount of such Securities that remains unpurchased does not exceed one-eleventh of the aggregate principal amount of all the Securities, then the Guarantor shall have the right to require each non-defaulting Underwriter to purchase the principal amount of Securities that such Underwriter agreed to purchase hereunder plus such Underwriter’s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Underwriter agreed to purchase hereunder) of the Securities of such defaulting Underwriter or Underwriters for which such arrangements have not been made.</w:t>
      </w:r>
    </w:p>
    <w:p>
      <w:pPr>
        <w:spacing w:after="0" w:line="183"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non-defaulting Underwriters and the Guarantor as provided in paragraph (a) above, the aggregate principal amount of such Securities that remains unpurchased exceeds one-eleventh of the aggregate principal amount of all the Securities, or if the Guarantor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Guarantor, except that the Company and the Guarantor will continue to be liable for the payment of expenses as set forth in Section 10 hereof and except that the provisions of Section 7 hereof shall not terminate and shall remain in effect.</w:t>
      </w:r>
    </w:p>
    <w:p>
      <w:pPr>
        <w:spacing w:after="0" w:line="190" w:lineRule="exact"/>
        <w:rPr>
          <w:sz w:val="20"/>
          <w:szCs w:val="20"/>
          <w:color w:val="auto"/>
        </w:rPr>
      </w:pPr>
    </w:p>
    <w:p>
      <w:pPr>
        <w:ind w:right="840" w:firstLine="436"/>
        <w:spacing w:after="0" w:line="282" w:lineRule="auto"/>
        <w:tabs>
          <w:tab w:leader="none" w:pos="8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the Guarantor or any non-defaulting Underwriter for damages caused by its default.</w:t>
      </w:r>
    </w:p>
    <w:p>
      <w:pPr>
        <w:spacing w:after="0" w:line="161" w:lineRule="exact"/>
        <w:rPr>
          <w:rFonts w:ascii="Times New Roman" w:cs="Times New Roman" w:eastAsia="Times New Roman" w:hAnsi="Times New Roman"/>
          <w:sz w:val="18"/>
          <w:szCs w:val="18"/>
          <w:color w:val="auto"/>
        </w:rPr>
      </w:pPr>
    </w:p>
    <w:p>
      <w:pPr>
        <w:ind w:right="200" w:firstLine="436"/>
        <w:spacing w:after="0" w:line="256"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to the extent an Underwriter’s obligation to purchase Securities hereunder constitutes a BRRD Liability (as defined below) and such Underwriter does not, at the Closing Date, purchase the full amount of the Securities that it has agreed to purchase hereunder due to the exercise by the Relevant Resolution Authority (as defined below) of its powers under the relevant Bail-in Legislation as set forth in Section 12 below with respect to such BRRD Liability, such Underwriter shall be deemed, for all purposes of this Section 9, to have defaulted on its obligation to purchase such Securities that it has agreed to purchase hereunder but has not purchased, and this Section 9 shall remain in full force and effect with respect to the obligations of the other Underwriters.</w:t>
      </w:r>
    </w:p>
    <w:p>
      <w:pPr>
        <w:spacing w:after="0" w:line="293" w:lineRule="exact"/>
        <w:rPr>
          <w:sz w:val="20"/>
          <w:szCs w:val="20"/>
          <w:color w:val="auto"/>
        </w:rPr>
      </w:pPr>
    </w:p>
    <w:p>
      <w:pPr>
        <w:ind w:left="840" w:hanging="40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firstLine="436"/>
        <w:spacing w:after="0" w:line="254" w:lineRule="auto"/>
        <w:tabs>
          <w:tab w:leader="none" w:pos="8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and the Guarantor jointly and severally agree to pay or cause to be paid all out-of-pocket costs and expenses incident to the performance of their respective obligations hereunder, including without limitation, (i) the out-of-pocket costs incident to the authorization, issuance, initial sale, preparation and delivery of the Securities and any taxes payable in that connection; (ii) the out-of-pocket costs incident to the preparation, printing and filing under the Securities Act of the Registration Statement, the Preliminary Prospectus, any Issuer Free Writing Prospectus, the Time of Sale Information and the Prospectus (including all exhibits, amendments and supplements thereto) and the distribution thereof; (iii) the out-of-pocket costs of reproducing and distributing each of the Transaction Documents; (iv) the fees and out-of-pocket expenses of the Company’s and the Guarantor’s counsel and independent accountants; (v) the fees and out-of-pocket expenses incurred in connection with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 connection with any filing with, and clearance of the offering by, the Financial Industry Regulatory Authority, and the approval of the Securities for book-entry transfer by DTC; and (ix) all out-of-pocket expenses incurred by the Company and the Guarantor in connection with any “road show” presentation to potential investors.</w:t>
      </w:r>
    </w:p>
    <w:p>
      <w:pPr>
        <w:spacing w:after="0" w:line="189" w:lineRule="exact"/>
        <w:rPr>
          <w:sz w:val="20"/>
          <w:szCs w:val="20"/>
          <w:color w:val="auto"/>
        </w:rPr>
      </w:pPr>
    </w:p>
    <w:p>
      <w:pPr>
        <w:ind w:right="20" w:firstLine="436"/>
        <w:spacing w:after="0" w:line="256" w:lineRule="auto"/>
        <w:tabs>
          <w:tab w:leader="none" w:pos="8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8, (ii) the Company for any reason fails to tender the Securities for delivery to the Underwriters or (iii) the Underwriters decline to purchase the Securities for any reason permitted under this Agreement, the Company and the Guarantor jointly and severally agree to reimburse the Underwriters for all out-of-pocket costs and expenses (including the fees and expenses reasonably incurred of their counsel) reasonably incurred by the Underwriters in connection with this Agreement and the offering contemplated hereby; provided, however, that in the case of clauses (ii) and (iii) above, the Company and the Guarantor shall not be required to pay such costs and expenses where such failure to consummate the Agreement or termination is by reason of a default by any of the Underwriters.</w:t>
      </w:r>
    </w:p>
    <w:p>
      <w:pPr>
        <w:spacing w:after="0" w:line="295" w:lineRule="exact"/>
        <w:rPr>
          <w:sz w:val="20"/>
          <w:szCs w:val="20"/>
          <w:color w:val="auto"/>
        </w:rPr>
      </w:pPr>
    </w:p>
    <w:p>
      <w:pPr>
        <w:ind w:left="840" w:hanging="404"/>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36"/>
        <w:spacing w:after="0" w:line="261" w:lineRule="auto"/>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180" w:firstLine="436"/>
        <w:spacing w:after="0" w:line="261" w:lineRule="auto"/>
        <w:tabs>
          <w:tab w:leader="none" w:pos="8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any BHC Act Affiliate of such Underwriter becomes subject to a proceeding under a U.S. Special Resolution Regime, the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88" w:lineRule="exact"/>
        <w:rPr>
          <w:sz w:val="20"/>
          <w:szCs w:val="20"/>
          <w:color w:val="auto"/>
        </w:rPr>
      </w:pPr>
    </w:p>
    <w:p>
      <w:pPr>
        <w:ind w:left="840" w:hanging="404"/>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Recognition of Bail-In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1" w:lineRule="auto"/>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accepts and agrees that a BRRD Liability arising under this Agreement may be subject to the exercise of Bail-in Powers by the Relevant Resolution Authority, and acknowledges, accepts and agrees to be bound by: (i) the effect of the exercise of Bail-in Powers by the Relevant Resolution Authority in relation to any BRRD Liability of the Underwriters to the Company or the Guarantor under this Agreement, which (without limitation) may include and result in 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left="4"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following or some combination thereof: (w) the reduction of all, or a portion, of the BRRD Liability or outstanding amounts due thereon; (x) the conversion of all, or a portion, of the BRRD Liability into shares, other securities or other obligations of the Underwriters or another person, and the issue to or conferral on each of the Company and the Guarantor of such shares, securities or obligations; (y) the cancellation of the BRRD Liability; and</w:t>
      </w:r>
    </w:p>
    <w:p>
      <w:pPr>
        <w:spacing w:after="0" w:line="2" w:lineRule="exact"/>
        <w:rPr>
          <w:sz w:val="20"/>
          <w:szCs w:val="20"/>
          <w:color w:val="auto"/>
        </w:rPr>
      </w:pPr>
    </w:p>
    <w:p>
      <w:pPr>
        <w:jc w:val="both"/>
        <w:ind w:left="4" w:hanging="4"/>
        <w:spacing w:after="0" w:line="255" w:lineRule="auto"/>
        <w:tabs>
          <w:tab w:leader="none" w:pos="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or alteration of any interest, if applicable, thereon, the maturity or the dates on which any payments are due, including by suspending payment for a temporary period; and (ii) the variation of the terms of this Agreement, as deemed necessary by the Relevant Resolution Authority, to give effect to the exercise of Bail-in Powers by the Relevant Resolution Authority.</w:t>
      </w:r>
    </w:p>
    <w:p>
      <w:pPr>
        <w:spacing w:after="0" w:line="185" w:lineRule="exact"/>
        <w:rPr>
          <w:rFonts w:ascii="Times New Roman" w:cs="Times New Roman" w:eastAsia="Times New Roman" w:hAnsi="Times New Roman"/>
          <w:sz w:val="18"/>
          <w:szCs w:val="18"/>
          <w:color w:val="auto"/>
        </w:rPr>
      </w:pPr>
    </w:p>
    <w:p>
      <w:pPr>
        <w:jc w:val="both"/>
        <w:ind w:left="4" w:right="460" w:firstLine="436"/>
        <w:spacing w:after="0" w:line="266" w:lineRule="auto"/>
        <w:tabs>
          <w:tab w:leader="none" w:pos="8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and accepts that this provision is exhaustive on the matters described herein to the exclusion of any other term of this Agreement or any other agreements, arrangements, or understandings between the parties hereto, relating to the subject matter of this Agreement.</w:t>
      </w:r>
    </w:p>
    <w:p>
      <w:pPr>
        <w:spacing w:after="0" w:line="175"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12:</w:t>
      </w:r>
    </w:p>
    <w:p>
      <w:pPr>
        <w:spacing w:after="0" w:line="117"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in relation to the UK and a member state of the European Economic Area which has implemented, or which at any time implements, the BRRD, the relevant implementing law, regulation, rule or requirement as described in the EU Bail-in Legislation Schedule from time to time.</w:t>
      </w:r>
    </w:p>
    <w:p>
      <w:pPr>
        <w:spacing w:after="0" w:line="176"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BRRD Liability</w:t>
      </w:r>
      <w:r>
        <w:rPr>
          <w:rFonts w:ascii="Times New Roman" w:cs="Times New Roman" w:eastAsia="Times New Roman" w:hAnsi="Times New Roman"/>
          <w:sz w:val="18"/>
          <w:szCs w:val="18"/>
          <w:color w:val="auto"/>
        </w:rPr>
        <w:t>” has the same meaning as in such laws, regulations, rules or requirements implementing the BRRD under the applicable Bail-in Legislation.</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document described as such, then in effect, and published by the Loan Market Association (or any successor person) from time to time at http://www.lma.eu.com/pages.aspx?p=499.</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Resolution Authority</w:t>
      </w:r>
      <w:r>
        <w:rPr>
          <w:rFonts w:ascii="Times New Roman" w:cs="Times New Roman" w:eastAsia="Times New Roman" w:hAnsi="Times New Roman"/>
          <w:sz w:val="18"/>
          <w:szCs w:val="18"/>
          <w:color w:val="auto"/>
        </w:rPr>
        <w:t>” means the resolution authority with the ability to exercise any Bail-in Powers in relation to the Underwriters.</w:t>
      </w:r>
    </w:p>
    <w:p>
      <w:pPr>
        <w:spacing w:after="0" w:line="225" w:lineRule="exact"/>
        <w:rPr>
          <w:sz w:val="20"/>
          <w:szCs w:val="20"/>
          <w:color w:val="auto"/>
        </w:rPr>
      </w:pPr>
    </w:p>
    <w:p>
      <w:pPr>
        <w:ind w:left="4" w:right="40" w:firstLine="436"/>
        <w:spacing w:after="0" w:line="258" w:lineRule="auto"/>
        <w:tabs>
          <w:tab w:leader="none" w:pos="8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2" w:name="page33"/>
    <w:bookmarkEnd w:id="32"/>
    <w:p>
      <w:pPr>
        <w:ind w:left="-20" w:firstLine="436"/>
        <w:spacing w:after="0" w:line="261" w:lineRule="auto"/>
        <w:tabs>
          <w:tab w:leader="none" w:pos="82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 or the Underwriters.</w:t>
      </w:r>
    </w:p>
    <w:p>
      <w:pPr>
        <w:spacing w:after="0" w:line="179"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except where otherwise expressly provided:</w:t>
      </w:r>
    </w:p>
    <w:p>
      <w:pPr>
        <w:spacing w:after="0" w:line="117" w:lineRule="exact"/>
        <w:rPr>
          <w:sz w:val="20"/>
          <w:szCs w:val="20"/>
          <w:color w:val="auto"/>
        </w:rPr>
      </w:pPr>
    </w:p>
    <w:p>
      <w:pPr>
        <w:ind w:left="800" w:hanging="384"/>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Rule 405 under the Securities Act;</w:t>
      </w:r>
    </w:p>
    <w:p>
      <w:pPr>
        <w:spacing w:after="0" w:line="225" w:lineRule="exact"/>
        <w:rPr>
          <w:rFonts w:ascii="Times New Roman" w:cs="Times New Roman" w:eastAsia="Times New Roman" w:hAnsi="Times New Roman"/>
          <w:sz w:val="18"/>
          <w:szCs w:val="18"/>
          <w:color w:val="auto"/>
        </w:rPr>
      </w:pPr>
    </w:p>
    <w:p>
      <w:pPr>
        <w:ind w:left="-20" w:right="240" w:firstLine="436"/>
        <w:spacing w:after="0" w:line="282" w:lineRule="auto"/>
        <w:tabs>
          <w:tab w:leader="none" w:pos="8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1" w:lineRule="exact"/>
        <w:rPr>
          <w:rFonts w:ascii="Times New Roman" w:cs="Times New Roman" w:eastAsia="Times New Roman" w:hAnsi="Times New Roman"/>
          <w:sz w:val="18"/>
          <w:szCs w:val="18"/>
          <w:color w:val="auto"/>
        </w:rPr>
      </w:pPr>
    </w:p>
    <w:p>
      <w:pPr>
        <w:ind w:left="800" w:hanging="384"/>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day on which banks are permitted or required to be closed in New York City;</w:t>
      </w:r>
    </w:p>
    <w:p>
      <w:pPr>
        <w:spacing w:after="0" w:line="225" w:lineRule="exact"/>
        <w:rPr>
          <w:rFonts w:ascii="Times New Roman" w:cs="Times New Roman" w:eastAsia="Times New Roman" w:hAnsi="Times New Roman"/>
          <w:sz w:val="18"/>
          <w:szCs w:val="18"/>
          <w:color w:val="auto"/>
        </w:rPr>
      </w:pPr>
    </w:p>
    <w:p>
      <w:pPr>
        <w:ind w:left="800" w:hanging="384"/>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bank</w:t>
      </w:r>
      <w:r>
        <w:rPr>
          <w:rFonts w:ascii="Times New Roman" w:cs="Times New Roman" w:eastAsia="Times New Roman" w:hAnsi="Times New Roman"/>
          <w:sz w:val="18"/>
          <w:szCs w:val="18"/>
          <w:color w:val="auto"/>
        </w:rPr>
        <w:t>”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420" w:hanging="453"/>
        <w:spacing w:after="0"/>
        <w:tabs>
          <w:tab w:leader="none" w:pos="14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FSI</w:t>
      </w:r>
      <w:r>
        <w:rPr>
          <w:rFonts w:ascii="Times New Roman" w:cs="Times New Roman" w:eastAsia="Times New Roman" w:hAnsi="Times New Roman"/>
          <w:sz w:val="18"/>
          <w:szCs w:val="18"/>
          <w:color w:val="auto"/>
        </w:rPr>
        <w:t>” as that term is defined in, and interpreted in accordance with, 12 C.F.R. § 382.2(b);</w:t>
      </w:r>
    </w:p>
    <w:p>
      <w:pPr>
        <w:spacing w:after="0" w:line="225"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1" w:lineRule="exact"/>
        <w:rPr>
          <w:rFonts w:ascii="Times New Roman" w:cs="Times New Roman" w:eastAsia="Times New Roman" w:hAnsi="Times New Roman"/>
          <w:sz w:val="18"/>
          <w:szCs w:val="18"/>
          <w:color w:val="auto"/>
        </w:rPr>
      </w:pPr>
    </w:p>
    <w:p>
      <w:pPr>
        <w:ind w:left="780" w:hanging="364"/>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20" w:right="140" w:firstLine="436"/>
        <w:spacing w:after="0" w:line="266" w:lineRule="auto"/>
        <w:tabs>
          <w:tab w:leader="none" w:pos="8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has the meaning set forth in Rule 1-02 of Regulation S-X under the Exchange Act and refers only to those significant subsidiaries listed on Exhibit 21 to the Guarantor’s Annual Report on Form 10-K for the year ended December 31, 2019 as filed with the Commission on January 22, 2020;</w:t>
      </w:r>
    </w:p>
    <w:p>
      <w:pPr>
        <w:spacing w:after="0" w:line="175" w:lineRule="exact"/>
        <w:rPr>
          <w:rFonts w:ascii="Times New Roman" w:cs="Times New Roman" w:eastAsia="Times New Roman" w:hAnsi="Times New Roman"/>
          <w:sz w:val="18"/>
          <w:szCs w:val="18"/>
          <w:color w:val="auto"/>
        </w:rPr>
      </w:pPr>
    </w:p>
    <w:p>
      <w:pPr>
        <w:ind w:left="800" w:hanging="384"/>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the meaning set forth in Rule 405 under the Securities Act; and</w:t>
      </w:r>
    </w:p>
    <w:p>
      <w:pPr>
        <w:spacing w:after="0" w:line="225"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77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60" w:top="270" w:right="479" w:bottom="1440" w:gutter="0" w:footer="0" w:header="0"/>
        </w:sectPr>
      </w:pPr>
    </w:p>
    <w:bookmarkStart w:id="33" w:name="page34"/>
    <w:bookmarkEnd w:id="33"/>
    <w:p>
      <w:pPr>
        <w:ind w:left="840" w:hanging="404"/>
        <w:spacing w:after="0"/>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880" w:firstLine="436"/>
        <w:spacing w:after="0" w:line="284"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Representatives. </w:t>
      </w:r>
      <w:r>
        <w:rPr>
          <w:rFonts w:ascii="Times New Roman" w:cs="Times New Roman" w:eastAsia="Times New Roman" w:hAnsi="Times New Roman"/>
          <w:sz w:val="18"/>
          <w:szCs w:val="18"/>
          <w:color w:val="auto"/>
        </w:rPr>
        <w:t>Any action by the Underwriters hereunder may be taken by the Representatives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and any such action taken by the Representatives shall be binding upon the Underwriters.</w:t>
      </w:r>
    </w:p>
    <w:p>
      <w:pPr>
        <w:spacing w:after="0" w:line="158" w:lineRule="exact"/>
        <w:rPr>
          <w:rFonts w:ascii="Times New Roman" w:cs="Times New Roman" w:eastAsia="Times New Roman" w:hAnsi="Times New Roman"/>
          <w:sz w:val="18"/>
          <w:szCs w:val="18"/>
          <w:color w:val="auto"/>
        </w:rPr>
      </w:pPr>
    </w:p>
    <w:p>
      <w:pPr>
        <w:ind w:right="40" w:firstLine="436"/>
        <w:spacing w:after="0" w:line="255" w:lineRule="auto"/>
        <w:tabs>
          <w:tab w:leader="none" w:pos="8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c/o BofA Securities, Inc., 1540 Broadway, NY8-540-26-02, New York, New York 10036 (fax: (212) 901-7881; email: dg.hg_ua_notices@bofa.com), Attention: High Grade Transaction Management/Legal; Goldman Sachs &amp; Co. LLC, 200 West Street, New York, New York 10282, Attention: Registration Department; J.P. Morgan Securities LLC, 383 Madison Avenue, New York, New York 10179 (fax: (212) 834-6081), Attention: Investment Grade Syndicate Desk; Morgan Stanley &amp; Co. LLC, 1585 Broadway,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10036 (fax: (212) 507-8999), Attention: Investment Banking Division. Notices to the Company and the Guarantor, respectively, shall be given to them at 200, 125 – 9th Avenue S.E., Calgary, Alberta, T2G OP6, Canada, Attention: Treasurer, and 5599 San Felipe, Houston, TX 77056, Fax: (713) 513-2006, Attention: Vice President &amp; Treasurer.</w:t>
      </w:r>
    </w:p>
    <w:p>
      <w:pPr>
        <w:spacing w:after="0" w:line="184"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right="140" w:firstLine="436"/>
        <w:spacing w:after="0" w:line="284" w:lineRule="auto"/>
        <w:tabs>
          <w:tab w:leader="none" w:pos="8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ind w:firstLine="436"/>
        <w:spacing w:after="0" w:line="255"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4" w:lineRule="exact"/>
        <w:rPr>
          <w:rFonts w:ascii="Times New Roman" w:cs="Times New Roman" w:eastAsia="Times New Roman" w:hAnsi="Times New Roman"/>
          <w:sz w:val="18"/>
          <w:szCs w:val="18"/>
          <w:color w:val="auto"/>
        </w:rPr>
      </w:pPr>
    </w:p>
    <w:p>
      <w:pPr>
        <w:ind w:right="660" w:firstLine="436"/>
        <w:spacing w:after="0" w:line="284" w:lineRule="auto"/>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 w:name="page35"/>
    <w:bookmarkEnd w:id="34"/>
    <w:p>
      <w:pPr>
        <w:ind w:left="-120" w:firstLine="436"/>
        <w:spacing w:after="0" w:line="284" w:lineRule="auto"/>
        <w:tabs>
          <w:tab w:leader="none" w:pos="7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80"/>
          </w:cols>
          <w:pgMar w:left="560" w:top="268" w:right="559" w:bottom="1440" w:gutter="0" w:footer="0" w:header="0"/>
        </w:sectPr>
      </w:pPr>
    </w:p>
    <w:bookmarkStart w:id="35" w:name="page36"/>
    <w:bookmarkEnd w:id="35"/>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Tatyana A. Lambert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Tatyana A. Lambert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SCHLUMBERGER LIMITED</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Claudia Jaramillo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Claudia Jaramillo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Accepted: </w:t>
      </w:r>
      <w:r>
        <w:rPr>
          <w:rFonts w:ascii="Times New Roman" w:cs="Times New Roman" w:eastAsia="Times New Roman" w:hAnsi="Times New Roman"/>
          <w:sz w:val="18"/>
          <w:szCs w:val="18"/>
          <w:u w:val="single" w:color="auto"/>
          <w:color w:val="auto"/>
        </w:rPr>
        <w:t>September 9,</w:t>
      </w:r>
      <w:r>
        <w:rPr>
          <w:rFonts w:ascii="Times New Roman" w:cs="Times New Roman" w:eastAsia="Times New Roman" w:hAnsi="Times New Roman"/>
          <w:sz w:val="18"/>
          <w:szCs w:val="18"/>
          <w:color w:val="auto"/>
        </w:rPr>
        <w:t xml:space="preserve">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 Keith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R. Keith Harman</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Accepted: </w:t>
      </w:r>
      <w:r>
        <w:rPr>
          <w:rFonts w:ascii="Times New Roman" w:cs="Times New Roman" w:eastAsia="Times New Roman" w:hAnsi="Times New Roman"/>
          <w:sz w:val="18"/>
          <w:szCs w:val="18"/>
          <w:u w:val="single" w:color="auto"/>
          <w:color w:val="auto"/>
        </w:rPr>
        <w:t>September 9,</w:t>
      </w:r>
      <w:r>
        <w:rPr>
          <w:rFonts w:ascii="Times New Roman" w:cs="Times New Roman" w:eastAsia="Times New Roman" w:hAnsi="Times New Roman"/>
          <w:sz w:val="18"/>
          <w:szCs w:val="18"/>
          <w:color w:val="auto"/>
        </w:rPr>
        <w:t xml:space="preserve">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Adam T. Greene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Accepted: </w:t>
      </w:r>
      <w:r>
        <w:rPr>
          <w:rFonts w:ascii="Times New Roman" w:cs="Times New Roman" w:eastAsia="Times New Roman" w:hAnsi="Times New Roman"/>
          <w:sz w:val="18"/>
          <w:szCs w:val="18"/>
          <w:u w:val="single" w:color="auto"/>
          <w:color w:val="auto"/>
        </w:rPr>
        <w:t>September 9,</w:t>
      </w:r>
      <w:r>
        <w:rPr>
          <w:rFonts w:ascii="Times New Roman" w:cs="Times New Roman" w:eastAsia="Times New Roman" w:hAnsi="Times New Roman"/>
          <w:sz w:val="18"/>
          <w:szCs w:val="18"/>
          <w:color w:val="auto"/>
        </w:rPr>
        <w:t xml:space="preserve">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Som Bhattacharyya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Som Bhattacharyya</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Accepted: </w:t>
      </w:r>
      <w:r>
        <w:rPr>
          <w:rFonts w:ascii="Times New Roman" w:cs="Times New Roman" w:eastAsia="Times New Roman" w:hAnsi="Times New Roman"/>
          <w:sz w:val="18"/>
          <w:szCs w:val="18"/>
          <w:u w:val="single" w:color="auto"/>
          <w:color w:val="auto"/>
        </w:rPr>
        <w:t>September 9,</w:t>
      </w:r>
      <w:r>
        <w:rPr>
          <w:rFonts w:ascii="Times New Roman" w:cs="Times New Roman" w:eastAsia="Times New Roman" w:hAnsi="Times New Roman"/>
          <w:sz w:val="18"/>
          <w:szCs w:val="18"/>
          <w:color w:val="auto"/>
        </w:rPr>
        <w:t xml:space="preserv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Ian Drewe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Ian Drewe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459"/>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0"/>
        </w:trPr>
        <w:tc>
          <w:tcPr>
            <w:tcW w:w="960" w:type="dxa"/>
            <w:vAlign w:val="bottom"/>
            <w:tcBorders>
              <w:bottom w:val="single" w:sz="8" w:color="CCEEFF"/>
            </w:tcBorders>
            <w:shd w:val="clear" w:color="auto" w:fill="000000"/>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95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87,500,000</w:t>
            </w:r>
          </w:p>
        </w:tc>
        <w:tc>
          <w:tcPr>
            <w:tcW w:w="60" w:type="dxa"/>
            <w:vAlign w:val="bottom"/>
            <w:shd w:val="clear" w:color="auto" w:fill="CCEEFF"/>
          </w:tcPr>
          <w:p>
            <w:pPr>
              <w:spacing w:after="0"/>
              <w:rPr>
                <w:sz w:val="17"/>
                <w:szCs w:val="17"/>
                <w:color w:val="auto"/>
              </w:rPr>
            </w:pP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87,500,000</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Skandinaviska Enskilda Banken AB</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9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r>
      <w:tr>
        <w:trPr>
          <w:trHeight w:val="228"/>
        </w:trPr>
        <w:tc>
          <w:tcPr>
            <w:tcW w:w="9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6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Sale Information</w:t>
      </w:r>
    </w:p>
    <w:p>
      <w:pPr>
        <w:spacing w:after="0" w:line="135" w:lineRule="exact"/>
        <w:rPr>
          <w:sz w:val="20"/>
          <w:szCs w:val="20"/>
          <w:color w:val="auto"/>
        </w:rPr>
      </w:pPr>
    </w:p>
    <w:p>
      <w:pPr>
        <w:ind w:left="960" w:hanging="532"/>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September 9, 2020, substantially in the form of Annex B.</w:t>
      </w:r>
    </w:p>
    <w:p>
      <w:pPr>
        <w:sectPr>
          <w:pgSz w:w="11900" w:h="16838" w:orient="portrait"/>
          <w:cols w:equalWidth="0" w:num="1">
            <w:col w:w="11020"/>
          </w:cols>
          <w:pgMar w:left="440" w:top="266" w:right="439" w:bottom="1440" w:gutter="0" w:footer="0" w:header="0"/>
        </w:sectPr>
      </w:pPr>
    </w:p>
    <w:bookmarkStart w:id="42" w:name="page43"/>
    <w:bookmarkEnd w:id="42"/>
    <w:tbl>
      <w:tblPr>
        <w:tblLayout w:type="fixed"/>
        <w:tblInd w:w="4"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7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B</w:t>
            </w:r>
          </w:p>
        </w:tc>
        <w:tc>
          <w:tcPr>
            <w:tcW w:w="0" w:type="dxa"/>
            <w:vAlign w:val="bottom"/>
          </w:tcPr>
          <w:p>
            <w:pPr>
              <w:spacing w:after="0"/>
              <w:rPr>
                <w:sz w:val="1"/>
                <w:szCs w:val="1"/>
                <w:color w:val="auto"/>
              </w:rPr>
            </w:pPr>
          </w:p>
        </w:tc>
      </w:tr>
      <w:tr>
        <w:trPr>
          <w:trHeight w:val="410"/>
        </w:trPr>
        <w:tc>
          <w:tcPr>
            <w:tcW w:w="3060" w:type="dxa"/>
            <w:vAlign w:val="bottom"/>
          </w:tcPr>
          <w:p>
            <w:pPr>
              <w:spacing w:after="0"/>
              <w:rPr>
                <w:sz w:val="24"/>
                <w:szCs w:val="24"/>
                <w:color w:val="auto"/>
              </w:rPr>
            </w:pPr>
          </w:p>
        </w:tc>
        <w:tc>
          <w:tcPr>
            <w:tcW w:w="7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tc>
        <w:tc>
          <w:tcPr>
            <w:tcW w:w="0" w:type="dxa"/>
            <w:vAlign w:val="bottom"/>
          </w:tcPr>
          <w:p>
            <w:pPr>
              <w:spacing w:after="0"/>
              <w:rPr>
                <w:sz w:val="1"/>
                <w:szCs w:val="1"/>
                <w:color w:val="auto"/>
              </w:rPr>
            </w:pPr>
          </w:p>
        </w:tc>
      </w:tr>
      <w:tr>
        <w:trPr>
          <w:trHeight w:val="238"/>
        </w:trPr>
        <w:tc>
          <w:tcPr>
            <w:tcW w:w="3060" w:type="dxa"/>
            <w:vAlign w:val="bottom"/>
          </w:tcPr>
          <w:p>
            <w:pPr>
              <w:spacing w:after="0"/>
              <w:rPr>
                <w:sz w:val="20"/>
                <w:szCs w:val="20"/>
                <w:color w:val="auto"/>
              </w:rPr>
            </w:pPr>
          </w:p>
        </w:tc>
        <w:tc>
          <w:tcPr>
            <w:tcW w:w="7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 No. 333-248675</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798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Schlumberger Finance Canada Ltd.</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798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$500,000,000 1.400% Senior Notes due 2025</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798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798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September 9, 2020</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7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Issuer:</w:t>
            </w:r>
          </w:p>
        </w:tc>
        <w:tc>
          <w:tcPr>
            <w:tcW w:w="7960" w:type="dxa"/>
            <w:vAlign w:val="bottom"/>
            <w:tcBorders>
              <w:top w:val="single" w:sz="8" w:color="auto"/>
            </w:tcBorders>
          </w:tcPr>
          <w:p>
            <w:pPr>
              <w:ind w:left="2680"/>
              <w:spacing w:after="0"/>
              <w:rPr>
                <w:sz w:val="20"/>
                <w:szCs w:val="20"/>
                <w:color w:val="auto"/>
              </w:rPr>
            </w:pPr>
            <w:r>
              <w:rPr>
                <w:rFonts w:ascii="Times New Roman" w:cs="Times New Roman" w:eastAsia="Times New Roman" w:hAnsi="Times New Roman"/>
                <w:sz w:val="18"/>
                <w:szCs w:val="18"/>
                <w:color w:val="auto"/>
              </w:rPr>
              <w:t>Schlumberger Finance Canada Ltd.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3060" w:type="dxa"/>
            <w:vAlign w:val="bottom"/>
            <w:tcBorders>
              <w:bottom w:val="single" w:sz="8" w:color="auto"/>
            </w:tcBorders>
          </w:tcPr>
          <w:p>
            <w:pPr>
              <w:spacing w:after="0"/>
              <w:rPr>
                <w:sz w:val="6"/>
                <w:szCs w:val="6"/>
                <w:color w:val="auto"/>
              </w:rPr>
            </w:pPr>
          </w:p>
        </w:tc>
        <w:tc>
          <w:tcPr>
            <w:tcW w:w="796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Schlumberger Limited</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1.400% Senior Notes due 2025 (the “Notes”)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Issue Format:</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SEC registered</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$500,000,000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99.880%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March 17 and September 17, beginning March 17, 2021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September 9, 2020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September 18, 2020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September 17, 2025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T + 20 basis points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3060" w:type="dxa"/>
            <w:vAlign w:val="bottom"/>
            <w:tcBorders>
              <w:bottom w:val="single" w:sz="8" w:color="auto"/>
            </w:tcBorders>
          </w:tcPr>
          <w:p>
            <w:pPr>
              <w:spacing w:after="0"/>
              <w:rPr>
                <w:sz w:val="11"/>
                <w:szCs w:val="11"/>
                <w:color w:val="auto"/>
              </w:rPr>
            </w:pPr>
          </w:p>
        </w:tc>
        <w:tc>
          <w:tcPr>
            <w:tcW w:w="7960" w:type="dxa"/>
            <w:vAlign w:val="bottom"/>
            <w:tcBorders>
              <w:bottom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At any time on or after August 17, 2025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UST 0.25% due August 31, 2025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Treasury Yield:</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0.275%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115 basis points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Reoffer Yield:</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CUSIP:</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80685X AC5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ISIN:</w:t>
            </w:r>
          </w:p>
        </w:tc>
        <w:tc>
          <w:tcPr>
            <w:tcW w:w="79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US80685XAC56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auto"/>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960" w:type="dxa"/>
            <w:vAlign w:val="bottom"/>
          </w:tcPr>
          <w:p>
            <w:pPr>
              <w:ind w:left="2680"/>
              <w:spacing w:after="0" w:line="191" w:lineRule="exact"/>
              <w:rPr>
                <w:sz w:val="20"/>
                <w:szCs w:val="20"/>
                <w:color w:val="auto"/>
              </w:rPr>
            </w:pPr>
            <w:r>
              <w:rPr>
                <w:rFonts w:ascii="Times New Roman" w:cs="Times New Roman" w:eastAsia="Times New Roman" w:hAnsi="Times New Roman"/>
                <w:sz w:val="18"/>
                <w:szCs w:val="18"/>
                <w:color w:val="auto"/>
              </w:rPr>
              <w:t>BofA Securities, Inc.</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060" w:type="dxa"/>
            <w:vAlign w:val="bottom"/>
            <w:vMerge w:val="continue"/>
          </w:tcPr>
          <w:p>
            <w:pPr>
              <w:spacing w:after="0"/>
              <w:rPr>
                <w:sz w:val="12"/>
                <w:szCs w:val="12"/>
                <w:color w:val="auto"/>
              </w:rPr>
            </w:pPr>
          </w:p>
        </w:tc>
        <w:tc>
          <w:tcPr>
            <w:tcW w:w="7980" w:type="dxa"/>
            <w:vAlign w:val="bottom"/>
            <w:gridSpan w:val="2"/>
            <w:vMerge w:val="restart"/>
          </w:tcPr>
          <w:p>
            <w:pPr>
              <w:ind w:left="2680"/>
              <w:spacing w:after="0"/>
              <w:rPr>
                <w:sz w:val="20"/>
                <w:szCs w:val="20"/>
                <w:color w:val="auto"/>
              </w:rPr>
            </w:pPr>
            <w:r>
              <w:rPr>
                <w:rFonts w:ascii="Times New Roman" w:cs="Times New Roman" w:eastAsia="Times New Roman" w:hAnsi="Times New Roman"/>
                <w:sz w:val="18"/>
                <w:szCs w:val="18"/>
                <w:color w:val="auto"/>
              </w:rPr>
              <w:t>Goldman Sachs &amp; Co. LLC</w:t>
            </w:r>
          </w:p>
        </w:tc>
        <w:tc>
          <w:tcPr>
            <w:tcW w:w="0" w:type="dxa"/>
            <w:vAlign w:val="bottom"/>
          </w:tcPr>
          <w:p>
            <w:pPr>
              <w:spacing w:after="0"/>
              <w:rPr>
                <w:sz w:val="1"/>
                <w:szCs w:val="1"/>
                <w:color w:val="auto"/>
              </w:rPr>
            </w:pPr>
          </w:p>
        </w:tc>
      </w:tr>
      <w:tr>
        <w:trPr>
          <w:trHeight w:val="76"/>
        </w:trPr>
        <w:tc>
          <w:tcPr>
            <w:tcW w:w="3060" w:type="dxa"/>
            <w:vAlign w:val="bottom"/>
          </w:tcPr>
          <w:p>
            <w:pPr>
              <w:spacing w:after="0"/>
              <w:rPr>
                <w:sz w:val="6"/>
                <w:szCs w:val="6"/>
                <w:color w:val="auto"/>
              </w:rPr>
            </w:pPr>
          </w:p>
        </w:tc>
        <w:tc>
          <w:tcPr>
            <w:tcW w:w="7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79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J.P. Morgan Securities LLC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79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79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79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0" w:type="dxa"/>
            <w:vAlign w:val="bottom"/>
          </w:tcPr>
          <w:p>
            <w:pPr>
              <w:spacing w:after="0"/>
              <w:rPr>
                <w:sz w:val="1"/>
                <w:szCs w:val="1"/>
                <w:color w:val="auto"/>
              </w:rPr>
            </w:pPr>
          </w:p>
        </w:tc>
      </w:tr>
      <w:tr>
        <w:trPr>
          <w:trHeight w:val="81"/>
        </w:trPr>
        <w:tc>
          <w:tcPr>
            <w:tcW w:w="3060" w:type="dxa"/>
            <w:vAlign w:val="bottom"/>
            <w:tcBorders>
              <w:bottom w:val="single" w:sz="8" w:color="auto"/>
            </w:tcBorders>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Co-Managers:</w:t>
            </w:r>
          </w:p>
        </w:tc>
        <w:tc>
          <w:tcPr>
            <w:tcW w:w="7960" w:type="dxa"/>
            <w:vAlign w:val="bottom"/>
          </w:tcPr>
          <w:p>
            <w:pPr>
              <w:ind w:left="2680"/>
              <w:spacing w:after="0" w:line="191" w:lineRule="exact"/>
              <w:rPr>
                <w:sz w:val="20"/>
                <w:szCs w:val="20"/>
                <w:color w:val="auto"/>
              </w:rPr>
            </w:pPr>
            <w:r>
              <w:rPr>
                <w:rFonts w:ascii="Times New Roman" w:cs="Times New Roman" w:eastAsia="Times New Roman" w:hAnsi="Times New Roman"/>
                <w:sz w:val="18"/>
                <w:szCs w:val="18"/>
                <w:color w:val="auto"/>
              </w:rPr>
              <w:t>HSBC Securities (USA) Inc.</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060" w:type="dxa"/>
            <w:vAlign w:val="bottom"/>
            <w:vMerge w:val="continue"/>
          </w:tcPr>
          <w:p>
            <w:pPr>
              <w:spacing w:after="0"/>
              <w:rPr>
                <w:sz w:val="12"/>
                <w:szCs w:val="12"/>
                <w:color w:val="auto"/>
              </w:rPr>
            </w:pPr>
          </w:p>
        </w:tc>
        <w:tc>
          <w:tcPr>
            <w:tcW w:w="7980" w:type="dxa"/>
            <w:vAlign w:val="bottom"/>
            <w:gridSpan w:val="2"/>
            <w:vMerge w:val="restart"/>
          </w:tcPr>
          <w:p>
            <w:pPr>
              <w:ind w:left="2680"/>
              <w:spacing w:after="0"/>
              <w:rPr>
                <w:sz w:val="20"/>
                <w:szCs w:val="20"/>
                <w:color w:val="auto"/>
              </w:rPr>
            </w:pPr>
            <w:r>
              <w:rPr>
                <w:rFonts w:ascii="Times New Roman" w:cs="Times New Roman" w:eastAsia="Times New Roman" w:hAnsi="Times New Roman"/>
                <w:sz w:val="18"/>
                <w:szCs w:val="18"/>
                <w:color w:val="auto"/>
              </w:rPr>
              <w:t>Natixis Securities Americas LLC</w:t>
            </w:r>
          </w:p>
        </w:tc>
        <w:tc>
          <w:tcPr>
            <w:tcW w:w="0" w:type="dxa"/>
            <w:vAlign w:val="bottom"/>
          </w:tcPr>
          <w:p>
            <w:pPr>
              <w:spacing w:after="0"/>
              <w:rPr>
                <w:sz w:val="1"/>
                <w:szCs w:val="1"/>
                <w:color w:val="auto"/>
              </w:rPr>
            </w:pPr>
          </w:p>
        </w:tc>
      </w:tr>
      <w:tr>
        <w:trPr>
          <w:trHeight w:val="76"/>
        </w:trPr>
        <w:tc>
          <w:tcPr>
            <w:tcW w:w="3060" w:type="dxa"/>
            <w:vAlign w:val="bottom"/>
          </w:tcPr>
          <w:p>
            <w:pPr>
              <w:spacing w:after="0"/>
              <w:rPr>
                <w:sz w:val="6"/>
                <w:szCs w:val="6"/>
                <w:color w:val="auto"/>
              </w:rPr>
            </w:pPr>
          </w:p>
        </w:tc>
        <w:tc>
          <w:tcPr>
            <w:tcW w:w="7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79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Skandinaviska Enskilda Banken AB</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79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Standard Chartered Bank</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79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and Sale of the Notes</w:t>
      </w:r>
    </w:p>
    <w:p>
      <w:pPr>
        <w:sectPr>
          <w:pgSz w:w="11900" w:h="16838" w:orient="portrait"/>
          <w:cols w:equalWidth="0" w:num="1">
            <w:col w:w="11024"/>
          </w:cols>
          <w:pgMar w:left="436" w:top="266" w:right="439" w:bottom="1440" w:gutter="0" w:footer="0" w:header="0"/>
        </w:sectPr>
      </w:pPr>
    </w:p>
    <w:bookmarkStart w:id="43" w:name="page44"/>
    <w:bookmarkEnd w:id="43"/>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Issuer expects to deliver the Notes against payment for the Notes on or about September 18, 2020 which will be the seventh business day following September 9, 2020,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T+7, to specify alternative settlement arrangements to prevent a failed settlement.</w:t>
      </w:r>
    </w:p>
    <w:p>
      <w:pPr>
        <w:spacing w:after="0" w:line="17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BofA Securities, Inc. toll free at 1-800-294-1322 or by email at dg.prospectus_requests@bofa.com; Goldman Sachs &amp; Co. LLC collect at 1-866-471-2526; J.P. Morgan Securities LLC collect at (212)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834-4533; and Morgan Stanley &amp; Co. LLC toll free at 1-866-718-1649.</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1000"/>
          </w:cols>
          <w:pgMar w:left="440" w:top="270" w:right="4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Schlumberger Finance Canada Ltd.</w:t>
      </w:r>
    </w:p>
    <w:p>
      <w:pPr>
        <w:spacing w:after="0" w:line="2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Trustee, Registrar, Paying Agent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8600" w:type="dxa"/>
            <w:vAlign w:val="bottom"/>
            <w:gridSpan w:val="3"/>
          </w:tcPr>
          <w:p>
            <w:pPr>
              <w:jc w:val="center"/>
              <w:ind w:right="2352"/>
              <w:spacing w:after="0"/>
              <w:rPr>
                <w:sz w:val="20"/>
                <w:szCs w:val="20"/>
                <w:color w:val="auto"/>
              </w:rPr>
            </w:pPr>
            <w:r>
              <w:rPr>
                <w:rFonts w:ascii="Times New Roman" w:cs="Times New Roman" w:eastAsia="Times New Roman" w:hAnsi="Times New Roman"/>
                <w:sz w:val="18"/>
                <w:szCs w:val="18"/>
                <w:b w:val="1"/>
                <w:bCs w:val="1"/>
                <w:color w:val="auto"/>
                <w:w w:val="99"/>
              </w:rPr>
              <w:t>SCHLUMBERGER FINANCE CANADA LTD.</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8600" w:type="dxa"/>
            <w:vAlign w:val="bottom"/>
            <w:gridSpan w:val="3"/>
          </w:tcPr>
          <w:p>
            <w:pPr>
              <w:jc w:val="center"/>
              <w:ind w:right="2352"/>
              <w:spacing w:after="0"/>
              <w:rPr>
                <w:sz w:val="20"/>
                <w:szCs w:val="20"/>
                <w:color w:val="auto"/>
              </w:rPr>
            </w:pPr>
            <w:r>
              <w:rPr>
                <w:rFonts w:ascii="Times New Roman" w:cs="Times New Roman" w:eastAsia="Times New Roman" w:hAnsi="Times New Roman"/>
                <w:sz w:val="18"/>
                <w:szCs w:val="18"/>
                <w:b w:val="1"/>
                <w:bCs w:val="1"/>
                <w:color w:val="auto"/>
              </w:rPr>
              <w:t>SCHLUMBERGER LIMITED</w:t>
            </w:r>
          </w:p>
        </w:tc>
        <w:tc>
          <w:tcPr>
            <w:tcW w:w="0" w:type="dxa"/>
            <w:vAlign w:val="bottom"/>
          </w:tcPr>
          <w:p>
            <w:pPr>
              <w:spacing w:after="0"/>
              <w:rPr>
                <w:sz w:val="1"/>
                <w:szCs w:val="1"/>
                <w:color w:val="auto"/>
              </w:rPr>
            </w:pPr>
          </w:p>
        </w:tc>
      </w:tr>
      <w:tr>
        <w:trPr>
          <w:trHeight w:val="410"/>
        </w:trPr>
        <w:tc>
          <w:tcPr>
            <w:tcW w:w="2420" w:type="dxa"/>
            <w:vAlign w:val="bottom"/>
          </w:tcPr>
          <w:p>
            <w:pPr>
              <w:spacing w:after="0"/>
              <w:rPr>
                <w:sz w:val="24"/>
                <w:szCs w:val="24"/>
                <w:color w:val="auto"/>
              </w:rPr>
            </w:pPr>
          </w:p>
        </w:tc>
        <w:tc>
          <w:tcPr>
            <w:tcW w:w="8600" w:type="dxa"/>
            <w:vAlign w:val="bottom"/>
            <w:gridSpan w:val="3"/>
          </w:tcPr>
          <w:p>
            <w:pPr>
              <w:jc w:val="center"/>
              <w:ind w:right="2352"/>
              <w:spacing w:after="0"/>
              <w:rPr>
                <w:sz w:val="20"/>
                <w:szCs w:val="20"/>
                <w:color w:val="auto"/>
              </w:rPr>
            </w:pPr>
            <w:r>
              <w:rPr>
                <w:rFonts w:ascii="Times New Roman" w:cs="Times New Roman" w:eastAsia="Times New Roman" w:hAnsi="Times New Roman"/>
                <w:sz w:val="18"/>
                <w:szCs w:val="18"/>
                <w:b w:val="1"/>
                <w:bCs w:val="1"/>
                <w:color w:val="auto"/>
                <w:w w:val="99"/>
              </w:rPr>
              <w:t>Reconciliation and tie between Trust Indenture Act of 1939</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8600" w:type="dxa"/>
            <w:vAlign w:val="bottom"/>
            <w:gridSpan w:val="3"/>
          </w:tcPr>
          <w:p>
            <w:pPr>
              <w:jc w:val="center"/>
              <w:ind w:right="2352"/>
              <w:spacing w:after="0"/>
              <w:rPr>
                <w:sz w:val="20"/>
                <w:szCs w:val="20"/>
                <w:color w:val="auto"/>
              </w:rPr>
            </w:pPr>
            <w:r>
              <w:rPr>
                <w:rFonts w:ascii="Times New Roman" w:cs="Times New Roman" w:eastAsia="Times New Roman" w:hAnsi="Times New Roman"/>
                <w:sz w:val="18"/>
                <w:szCs w:val="18"/>
                <w:b w:val="1"/>
                <w:bCs w:val="1"/>
                <w:color w:val="auto"/>
                <w:w w:val="99"/>
              </w:rPr>
              <w:t>and Indenture, dated as of September 18, 2020</w:t>
            </w:r>
          </w:p>
        </w:tc>
        <w:tc>
          <w:tcPr>
            <w:tcW w:w="0" w:type="dxa"/>
            <w:vAlign w:val="bottom"/>
          </w:tcPr>
          <w:p>
            <w:pPr>
              <w:spacing w:after="0"/>
              <w:rPr>
                <w:sz w:val="1"/>
                <w:szCs w:val="1"/>
                <w:color w:val="auto"/>
              </w:rPr>
            </w:pPr>
          </w:p>
        </w:tc>
      </w:tr>
      <w:tr>
        <w:trPr>
          <w:trHeight w:val="36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Section of</w:t>
            </w:r>
          </w:p>
        </w:tc>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Section(s) of</w:t>
            </w:r>
          </w:p>
        </w:tc>
        <w:tc>
          <w:tcPr>
            <w:tcW w:w="0" w:type="dxa"/>
            <w:vAlign w:val="bottom"/>
          </w:tcPr>
          <w:p>
            <w:pPr>
              <w:spacing w:after="0"/>
              <w:rPr>
                <w:sz w:val="1"/>
                <w:szCs w:val="1"/>
                <w:color w:val="auto"/>
              </w:rPr>
            </w:pPr>
          </w:p>
        </w:tc>
      </w:tr>
      <w:tr>
        <w:trPr>
          <w:trHeight w:val="148"/>
        </w:trPr>
        <w:tc>
          <w:tcPr>
            <w:tcW w:w="2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 Indenture</w:t>
            </w: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Act of 1939</w:t>
            </w:r>
          </w:p>
        </w:tc>
        <w:tc>
          <w:tcPr>
            <w:tcW w:w="6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Indenture</w:t>
            </w:r>
          </w:p>
        </w:tc>
        <w:tc>
          <w:tcPr>
            <w:tcW w:w="0" w:type="dxa"/>
            <w:vAlign w:val="bottom"/>
          </w:tcPr>
          <w:p>
            <w:pPr>
              <w:spacing w:after="0"/>
              <w:rPr>
                <w:sz w:val="1"/>
                <w:szCs w:val="1"/>
                <w:color w:val="auto"/>
              </w:rPr>
            </w:pPr>
          </w:p>
        </w:tc>
      </w:tr>
      <w:tr>
        <w:trPr>
          <w:trHeight w:val="191"/>
        </w:trPr>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§310 (a)(1)</w:t>
            </w:r>
          </w:p>
        </w:tc>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7.8, 7.10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§311 (a)</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§312 (a)</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§313 (a)</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§314 (a)</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4.2, 4.7</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(c)(1)</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(c)(2)</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(c)(3)</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§315 (a)</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7.1(b)</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7.1(a)</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(d)(1)</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7.1(c)(1)</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(d)(2)</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7.1(c)(2)</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(d)(3)</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7.1(c)(3)</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§316 (a)(1)(A)</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w:t>
            </w: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(a)(last sentence)</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§317 (a)(1)</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§318 (a)</w:t>
            </w:r>
          </w:p>
        </w:tc>
        <w:tc>
          <w:tcPr>
            <w:tcW w:w="8600" w:type="dxa"/>
            <w:vAlign w:val="bottom"/>
            <w:gridSpan w:val="3"/>
          </w:tcPr>
          <w:p>
            <w:pPr>
              <w:ind w:left="684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ectPr>
          <w:pgSz w:w="11900" w:h="16838" w:orient="portrait"/>
          <w:cols w:equalWidth="0" w:num="1">
            <w:col w:w="11020"/>
          </w:cols>
          <w:pgMar w:left="440" w:top="266" w:right="4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 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 Issuable in Series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 Establishment of Terms of Series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 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 Paying Agent, Registrar and Transfer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 Paying Agent to Hold Money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 Securityholder Lists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 Mutilated, Destroyed, Lost and Stolen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 Outstanding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 Treasury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 Temporary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 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 Defaulted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 Global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 CUSIP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 Notice to Trustee; No Liability for Calculations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 Selection of Securities to be Redeemed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 Effect of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 Deposit of Redemption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 Securities Redeemed in Part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 Sinking Fund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 Satisfaction of Sinking Fund Payments with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 Redemption of Securities for Sinking Fund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 Redemption Upon Changes in Tax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 Payment of Principal, Premium and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 Compliance Certificate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 Stay, Extension and Usury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 Corporate Existence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 Limitation on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 Additional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 Reports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 Consolidation, Amalgamation, Merger and Sale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 Assumption by a Subsidiary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 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 Acceleration of Maturity; Rescission and Annulment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 Collection of Indebtedness and Suits for Enforcement by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 Trustee May File Proofs of Claim</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 Trustee May Enforce Claims Without Possession of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 Application of Money Collected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 Limitation on Suits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 Unconditional Right of Holders to Receive Principal and Interest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 Restoration of Rights and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 Rights and Remedies Cumulative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 Delay or Omission Not Waiver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 Control by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 Waiver of Past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 Undertaking for Costs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 Duties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 Rights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 May Hold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 Trustee’s Disclaimer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 Notice of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 Reports by Trustee to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 Compensation and Indemnity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 Replacement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 Successor Trustee by Merger, etc.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 Eligibility; Disqualification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 Preferential Collection of Claims Against Company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DISCHARGE OF INDENTURE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 Termination of Company’s Obligations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 Application of Trust Money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 Repayment to Company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 Reinstatement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 Without Consent of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 With Consent of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 Limitations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 Form of Amendments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 Revocation and Effect of Consents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 Notation on or Exchange of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 Trustee Protected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 Communication by Holders with Other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 Certificate and Opinion as to Conditions Precedent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 Statements Required in Certificate or Opinion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 Rules by Trustee and Agents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10.6. Legal Holidays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10.7. No Personal Liability of Directors, Officers, Employees and Certain Others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10.8. FATCA.</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10.9. Counterparts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10.10. Governing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10.11. No Adverse Interpretation of Other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10.12. Successors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10.13. 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10.14. Table of Contents, Headings,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10.15. Judgment Currency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10.16. English Language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10.17. Submission to Jurisdiction; Appointment of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10.18. Waiver of Immunity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10.19. Interest Act (Canada)</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10.20. Waiver of Jury 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10.21. Trust Indenture Act Controls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00"/>
          </w:cols>
          <w:pgMar w:left="800" w:top="270" w:right="499" w:bottom="1440" w:gutter="0" w:footer="0" w:header="0"/>
        </w:sectPr>
      </w:pPr>
    </w:p>
    <w:bookmarkStart w:id="49" w:name="page50"/>
    <w:bookmarkEnd w:id="49"/>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September 18, 2020 by and among Schlumberger Finance Canada Ltd., a corporation incorporated under the laws of the Province of Alberta, Canada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Schlumberger Limited, a company organized under the laws of Curaçao (the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registrar, paying agent and transfer agent.</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Transfer Agent or any other agent appointed pursuant to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the Guarantor, or any duly authorized committee thereof.</w:t>
      </w:r>
    </w:p>
    <w:p>
      <w:pPr>
        <w:spacing w:after="0" w:line="225" w:lineRule="exact"/>
        <w:rPr>
          <w:sz w:val="20"/>
          <w:szCs w:val="20"/>
          <w:color w:val="auto"/>
        </w:rPr>
      </w:pPr>
    </w:p>
    <w:p>
      <w:pPr>
        <w:jc w:val="both"/>
        <w:ind w:right="1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or the Guarantor, as applicable, to have been adopted by its Board of Directors or pursuant to authorization by its Board of Directors and to be in full force and effect on the date of the certification and delivered to the Trustee.</w:t>
      </w:r>
    </w:p>
    <w:p>
      <w:pPr>
        <w:spacing w:after="0" w:line="173" w:lineRule="exact"/>
        <w:rPr>
          <w:sz w:val="20"/>
          <w:szCs w:val="20"/>
          <w:color w:val="auto"/>
        </w:rPr>
      </w:pPr>
    </w:p>
    <w:p>
      <w:pPr>
        <w:ind w:right="4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unless otherwise provided by Board Resolution and Officer’s Certificate or by supplemental indenture for a particular Series, any day except a Saturday, a Sunday or a day on which banking institutions in any of The City of New York, New York, Toronto, Ontario or a place of payment are authorized or obligated by law, regulation or executive order to remain closed.</w:t>
      </w:r>
    </w:p>
    <w:p>
      <w:pPr>
        <w:spacing w:after="0" w:line="17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(1) in the case of a corporation, corporate stock or shares in the capital of the corporation;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ectPr>
          <w:pgSz w:w="11900" w:h="16838" w:orient="portrait"/>
          <w:cols w:equalWidth="0" w:num="1">
            <w:col w:w="11020"/>
          </w:cols>
          <w:pgMar w:left="440" w:top="270" w:right="439"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Certificated Securities</w:t>
      </w:r>
      <w:r>
        <w:rPr>
          <w:rFonts w:ascii="Times New Roman" w:cs="Times New Roman" w:eastAsia="Times New Roman" w:hAnsi="Times New Roman"/>
          <w:sz w:val="18"/>
          <w:szCs w:val="18"/>
          <w:color w:val="auto"/>
        </w:rPr>
        <w:t>” means definitive Securities in registered non-global certificated form.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Schlumberger Finance Canada Ltd.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order signed in the name of the Company by one of the Company’s Officers.</w:t>
      </w:r>
    </w:p>
    <w:p>
      <w:pPr>
        <w:spacing w:after="0" w:line="225"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Worth</w:t>
      </w:r>
      <w:r>
        <w:rPr>
          <w:rFonts w:ascii="Times New Roman" w:cs="Times New Roman" w:eastAsia="Times New Roman" w:hAnsi="Times New Roman"/>
          <w:sz w:val="18"/>
          <w:szCs w:val="18"/>
          <w:color w:val="auto"/>
        </w:rPr>
        <w:t>” means the amount of total stockholders’ equity shown in the Guarantor’s most recent quarterly consolidated statement of financial position.</w:t>
      </w:r>
    </w:p>
    <w:p>
      <w:pPr>
        <w:spacing w:after="0" w:line="158"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as used with respect to the Securities of any Series shall mean the Depositary with respect to the Securities of such Series.</w:t>
      </w:r>
    </w:p>
    <w:p>
      <w:pPr>
        <w:spacing w:after="0" w:line="180"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 set forth in the opinions and pronouncements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0" w:lineRule="exact"/>
        <w:rPr>
          <w:sz w:val="20"/>
          <w:szCs w:val="20"/>
          <w:color w:val="auto"/>
        </w:rPr>
      </w:pPr>
    </w:p>
    <w:p>
      <w:pPr>
        <w:ind w:right="2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8" w:right="519" w:bottom="1440" w:gutter="0" w:footer="0" w:header="0"/>
        </w:sectPr>
      </w:pPr>
    </w:p>
    <w:bookmarkStart w:id="51" w:name="page52"/>
    <w:bookmarkEnd w:id="51"/>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Government Obligations</w:t>
      </w:r>
      <w:r>
        <w:rPr>
          <w:rFonts w:ascii="Times New Roman" w:cs="Times New Roman" w:eastAsia="Times New Roman" w:hAnsi="Times New Roman"/>
          <w:sz w:val="18"/>
          <w:szCs w:val="18"/>
          <w:color w:val="auto"/>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8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by the Guarantor of the Company’s obligations under this Indenture and any Securities and as provided in the applicable Board Resolution and Officer’s Certificate or the applicable supplemental indenture establishing the terms of such Series of Securities.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 in the register maintained by the Registrar.</w:t>
      </w:r>
    </w:p>
    <w:p>
      <w:pPr>
        <w:spacing w:after="0" w:line="225"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with respect to any Security, the date of original issuance of such Security.</w:t>
      </w:r>
    </w:p>
    <w:p>
      <w:pPr>
        <w:spacing w:after="0" w:line="225"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and includes any mortgage, pledge, lien, security interest, conditional sale or other title retention agreement or other similar encumbrance.</w:t>
      </w:r>
    </w:p>
    <w:p>
      <w:pPr>
        <w:spacing w:after="0" w:line="158" w:lineRule="exact"/>
        <w:rPr>
          <w:sz w:val="20"/>
          <w:szCs w:val="20"/>
          <w:color w:val="auto"/>
        </w:rPr>
      </w:pPr>
    </w:p>
    <w:p>
      <w:pPr>
        <w:jc w:val="both"/>
        <w:ind w:right="3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73"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issuing the Securities and any successor to such obligor upon the Securities, and the Guarantor, and its successor.</w:t>
      </w:r>
    </w:p>
    <w:p>
      <w:pPr>
        <w:spacing w:after="0" w:line="158" w:lineRule="exact"/>
        <w:rPr>
          <w:sz w:val="20"/>
          <w:szCs w:val="20"/>
          <w:color w:val="auto"/>
        </w:rPr>
      </w:pPr>
    </w:p>
    <w:p>
      <w:pPr>
        <w:ind w:right="18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Officer</w:t>
      </w:r>
      <w:r>
        <w:rPr>
          <w:rFonts w:ascii="Times New Roman" w:cs="Times New Roman" w:eastAsia="Times New Roman" w:hAnsi="Times New Roman"/>
          <w:sz w:val="17"/>
          <w:szCs w:val="17"/>
          <w:color w:val="auto"/>
        </w:rPr>
        <w:t>” means the Chief Executive Officer, Chief Operating Officer, Chief Financial Officer, President, any Vice-President, the Treasurer, a Director, the Chairman, the Secretary, any Assistant Treasurer or any Assistant Secretary of the Company or the Guarantor, as applicable.</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8" w:right="499" w:bottom="1440" w:gutter="0" w:footer="0" w:header="0"/>
        </w:sectPr>
      </w:pPr>
    </w:p>
    <w:bookmarkStart w:id="52" w:name="page53"/>
    <w:bookmarkEnd w:id="5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 Officer of the Company or the Guarantor, as applicable.</w:t>
      </w:r>
    </w:p>
    <w:p>
      <w:pPr>
        <w:spacing w:after="0" w:line="225"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 direct or indirect employee of or counsel to the Company or the Guarantor.</w:t>
      </w:r>
    </w:p>
    <w:p>
      <w:pPr>
        <w:spacing w:after="0" w:line="158"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Property</w:t>
      </w:r>
      <w:r>
        <w:rPr>
          <w:rFonts w:ascii="Times New Roman" w:cs="Times New Roman" w:eastAsia="Times New Roman" w:hAnsi="Times New Roman"/>
          <w:sz w:val="18"/>
          <w:szCs w:val="18"/>
          <w:color w:val="auto"/>
        </w:rPr>
        <w:t>”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of the Securities of any Series, unless, in the opinion of the Board of Directors of the Guarantor, such plant or facility or other asset is not of material importance to the total business conducted by the Guarantor and its Restricted Subsidiaries taken as a whole.</w:t>
      </w:r>
    </w:p>
    <w:p>
      <w:pPr>
        <w:spacing w:after="0" w:line="180"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Security</w:t>
      </w:r>
      <w:r>
        <w:rPr>
          <w:rFonts w:ascii="Times New Roman" w:cs="Times New Roman" w:eastAsia="Times New Roman" w:hAnsi="Times New Roman"/>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the Guarantor which owns a Restricted Property.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any debentures, notes or other debt instruments of the Company of any Series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center"/>
        <w:ind w:left="740" w:right="680"/>
        <w:spacing w:after="0" w:line="4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Securities of the Company created pursuant to Sections 2.1 and 2.2 hereof. 4</w:t>
      </w:r>
    </w:p>
    <w:p>
      <w:pPr>
        <w:sectPr>
          <w:pgSz w:w="11900" w:h="16838" w:orient="portrait"/>
          <w:cols w:equalWidth="0" w:num="1">
            <w:col w:w="11000"/>
          </w:cols>
          <w:pgMar w:left="440" w:top="268" w:right="459" w:bottom="1440" w:gutter="0" w:footer="0" w:header="0"/>
        </w:sectPr>
      </w:pPr>
    </w:p>
    <w:bookmarkStart w:id="53" w:name="page54"/>
    <w:bookmarkEnd w:id="53"/>
    <w:p>
      <w:pPr>
        <w:ind w:right="6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as amended, as in effect on the date hereof.</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in the first paragraph of this instrument until a successor Trustee shall have become such pursuant to the applicable provisions of this Indenture, and thereafter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shall mean or include each Person who is then a Trustee hereunder, and if at any time there is more than one such Person,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used with respect to the Securities of any Series shall mean the Trustee with respect to Securities of that Series.</w:t>
      </w:r>
    </w:p>
    <w:p>
      <w:pPr>
        <w:spacing w:after="0" w:line="180" w:lineRule="exact"/>
        <w:rPr>
          <w:sz w:val="20"/>
          <w:szCs w:val="20"/>
          <w:color w:val="auto"/>
        </w:rPr>
      </w:pPr>
    </w:p>
    <w:p>
      <w:pPr>
        <w:ind w:right="1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Securities</w:t>
      </w:r>
      <w:r>
        <w:rPr>
          <w:rFonts w:ascii="Times New Roman" w:cs="Times New Roman" w:eastAsia="Times New Roman" w:hAnsi="Times New Roman"/>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85"/>
        </w:trPr>
        <w:tc>
          <w:tcPr>
            <w:tcW w:w="2780" w:type="dxa"/>
            <w:vAlign w:val="bottom"/>
            <w:gridSpan w:val="2"/>
            <w:vMerge w:val="continue"/>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w:t>
            </w:r>
          </w:p>
        </w:tc>
        <w:tc>
          <w:tcPr>
            <w:tcW w:w="3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4.6(a)</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Canadian Taxes</w:t>
            </w:r>
            <w:r>
              <w:rPr>
                <w:rFonts w:ascii="Times New Roman" w:cs="Times New Roman" w:eastAsia="Times New Roman" w:hAnsi="Times New Roman"/>
                <w:sz w:val="18"/>
                <w:szCs w:val="18"/>
                <w:color w:val="auto"/>
              </w:rPr>
              <w:t>”</w:t>
            </w:r>
          </w:p>
        </w:tc>
        <w:tc>
          <w:tcPr>
            <w:tcW w:w="37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4.6(b)</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tc>
        <w:tc>
          <w:tcPr>
            <w:tcW w:w="37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8.1(b)</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p>
        </w:tc>
        <w:tc>
          <w:tcPr>
            <w:tcW w:w="37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8.1(c)</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74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8" w:right="45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Process Agent</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Proceeding</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Tax Jurisdiction</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4"/>
              </w:rPr>
              <w:t>4.6(a)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4"/>
              </w:rPr>
              <w:t>4.6(a)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4"/>
              </w:rPr>
              <w:t>4.6(a)</w:t>
            </w:r>
          </w:p>
        </w:tc>
      </w:tr>
      <w:tr>
        <w:trPr>
          <w:trHeight w:val="23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1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08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8" w:right="439" w:bottom="1440" w:gutter="0" w:footer="0" w:header="0"/>
        </w:sectPr>
      </w:pPr>
    </w:p>
    <w:bookmarkStart w:id="55" w:name="page56"/>
    <w:bookmarkEnd w:id="55"/>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Securities of a Series shall be identical except as may be set forth in, or pursuant to a Board Resolution and Officer’s Certificate or as may be set forth in, or pursuant to a supplemental indenture establishing the terms of such Series of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2.2.29) by or pursuant to a Board Resolution and Officer’s Certificate or by or pursuant to a supplemental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 the title of the Series (which shall distinguish the Securities of that particular Series from the Securities of any other Series);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aggregate principal amount of the Securities of the Series to be issued;</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the date or dates on which the principal and premium, if any, of the Securities of the Series is payable;</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2.2.5.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180"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2.2.7. 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2.2.8. the right, if any, to extend the interest payment periods or defer the payment of interest and the duration of such extension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2.2.9. if applicable, the period or periods within which, the price or prices at which and the terms and conditions upon which the Securities of the Series may be redeemed, in whole or in part, at the option of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56" w:name="page57"/>
    <w:bookmarkEnd w:id="56"/>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2.2.10.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2.2.11. the terms of any repurchase or remarketing rights;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2.2.12. if other than denominations of $2,000 or integral multiples of $1,000 in excess thereof, the denominations in which the Securities of the Series shall be issuable;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2.2.13. the forms of the Securities of the Series including the form of the Trustee’s certificate of authentication for such Series;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2.2.14. any trustees, authenticating agents or Agents with respect to the Securities of the Series, if different from those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2.2.15.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2.14.3;</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2.2.16. any provisions granting special rights to Holders when a specified event occurs;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2.2.17. if the amount of principal or any premium or interest on Securities of any Series may be determined with reference to an index or pursuant to a formula, the manner in which such amounts will be determined;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2.2.18. any special tax implications of the Securities, including provisions for original issue discount securities, if offered;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2.2.19. whether and upon what terms Securities of the Series may be defeased if different from the provisions set forth in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2.2.20. with regard to the Securities of any Series that do not bear interest, the dates for certain required reports to the Trustee;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2.2.21.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2.2.22. any guarantees on the Securities of the Series, if different from, or in addition to, the Guarantee provided pursuant to this Indenture;</w:t>
      </w:r>
    </w:p>
    <w:p>
      <w:pPr>
        <w:spacing w:after="0" w:line="1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7" w:name="page58"/>
    <w:bookmarkEnd w:id="5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2.2.23. the currency or currencies in which payment of the principal of, premium, if any, and interest on, the Securities of the Series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payable;</w:t>
      </w:r>
    </w:p>
    <w:p>
      <w:pPr>
        <w:spacing w:after="0" w:line="20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2.2.24.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2.2.25. the provisions, if any, relating to any security provided for the Securities of the Series;</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2.2.26. any additional covenants or Events of Default that will apply to the Securities of the Series, or any changes to the covenants set forth in Article IV or the Events of Default set forth in Section 6.1 that will apply to the Securities of the Series, which may consist of establishing different terms or provisions from those set forth in Article IV or Section 6.1 or eliminating any such covenant or Event of Default with respect to the Securities of the Series;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2.2.27.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2.2.28.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183"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and Officer’s Certificate or by or pursuant to the supplemental indenture referred to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Officer of the Company shall sign the Securities for the Company by manual, facsimile or electronic signature.</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Security shall not be valid until authenticated by the manual, facsimile or electronic signature of the Trustee or an authenticating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signature shall be conclusive evidence that the Security has been authenticated under this Indenture.</w:t>
      </w:r>
    </w:p>
    <w:p>
      <w:pPr>
        <w:spacing w:after="0" w:line="20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and Officer’s Certificate or in the supplemental indenture, upon receipt by the Trustee of a Company Order. Each Security shall be dated the date of its authentication unless otherwise provided by the relevant Board Resolution and Officer’s Certificate or the relevant supplemental indenture.</w:t>
      </w:r>
    </w:p>
    <w:p>
      <w:pPr>
        <w:spacing w:after="0" w:line="180"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The aggregate principal amount of Securities of any Series outstanding at any time may not exceed any limit upon the maximum principal amount for such Series set forth in the Board Resolution and Officer’s Certificate or in the supplemental indenture delivered pursuant to Section 2.2.</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and Officer’s Certificate or the supplemental indenture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10.4, and (c) an Opinion of Counsel complying with Section 10.4.</w:t>
      </w:r>
    </w:p>
    <w:p>
      <w:pPr>
        <w:spacing w:after="0" w:line="20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Paying Agent, Registrar and Transfer Agent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The Company will maintain one or more paying agents (each, a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for the Securities in the Borough of Manhattan, City of New York. The initial Paying Agent will be The Bank of New York Mellon and thereafter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shall mean or include each Person who is then a Paying Agent hereunder, and if at any time there is more than one such Person,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as used with respect to the Securities of any Series shall mean the Paying Agent with respect to Securities of that Series.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Company will also maintain one or more registrars (each, a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with an office in the Borough of Manhattan, City of New York. The Company will also maintain a transfer agent (each a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in the Borough of Manhattan, City of New York. The initial Registrar will be The Bank of New York Mellon and thereafter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shall mean or include each Person who is then a Registrar hereunder, and if at any time there is more than one</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59" w:name="page60"/>
    <w:bookmarkEnd w:id="5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Person,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as used with respect to the Securities of any Series shall mean the Registrar with respect to Securities of that Series. The initial Transfer Agent will be The Bank of New York Mellon and thereafter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shall mean or include each Person who is then a Transfer Agent hereunder, and if at any time there is more than one such Person,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as used with respect to the Securities of any Series shall mean the Transfer Agent with respect to Securities of that Series. The Registrar will maintain a register reflecting ownership of Securities outstanding from time to time and the Paying Agent will make payments on, and the Transfer Agents will facilitate transfer of Securities, on the behalf of the Company. The Company shall maintain an up-to-date copy of such register of its Securities at its registered office, and the Registrar shall provide upon written request by the Company an up-to-date copy thereof. Each Transfer Agent shall perform the functions of a transfer agent.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change any Paying Agent, Registrar or Transfer Agent for its Securities without prior notice to the 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and the Company shall otherwise comply with TIA § 312(a).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60" w:name="page61"/>
    <w:bookmarkEnd w:id="60"/>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upon receipt of a Company Order, the Trustee shall authenticate and deliver in exchange therefor a new Security of the same Series and of like tenor and principal amount and bearing a number not contemporaneously outstanding.</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protected purchaser.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2" w:name="page63"/>
    <w:bookmarkEnd w:id="6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Trustee in writing. The Company may not issue new Securities to replace Securities that it has paid or delivered to the Trustee for cancellation.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Either (i) a Board Resolution and an Officer’s Certificate or (ii) a supplemental indenture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2.14.2. </w:t>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 Notwithstanding any provisions to the contrary contained in Section 2.7 of this Indenture and in addition thereto, any Global Security shall be exchangeable pursuant to Section 2.7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w:t>
      </w:r>
    </w:p>
    <w:p>
      <w:pPr>
        <w:spacing w:after="0" w:line="3" w:lineRule="exact"/>
        <w:rPr>
          <w:sz w:val="20"/>
          <w:szCs w:val="20"/>
          <w:color w:val="auto"/>
        </w:rPr>
      </w:pPr>
    </w:p>
    <w:p>
      <w:pPr>
        <w:ind w:left="4" w:right="20" w:hanging="4"/>
        <w:spacing w:after="0" w:line="255"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to the effect that such Global Security shall be so exchangeable. 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18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63" w:name="page64"/>
    <w:bookmarkEnd w:id="63"/>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76"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2.14.7.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64" w:name="page65"/>
    <w:bookmarkEnd w:id="6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 No Liability for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3.7, 3.8, 3.9 and 3.10 hereof and, as applicable, in the Board Resolution and Officer’s Certificate or in the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five days before the date that notice of redemption is to be given to the Holders of the Securities (or such shorter notice as may be acceptable to the Trustee). The Trustee shall have no liability with respect to or obligation to calculate the redemption price of any Securities to be redeemed pursuant to this Indenture.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by a Board Resolution and Officer’s Certificate or by a supplemental indenture, if fewer than all of the Securities of a Series are to be redeemed at any time, the Trustee will select the Securities of such Series to be redeemed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in the case of Securities issued in global form, such Securities of such Series to be redeemed shall be selected in accordance with the procedures of the Depositary therefor) unless otherwise required by law or applicable stock exchange. The Trustee will not be liable for selections made as contemplated in this section.</w:t>
      </w:r>
    </w:p>
    <w:p>
      <w:pPr>
        <w:spacing w:after="0" w:line="1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No Securities of a Series in principal amount of less than the minimum authorized denomination can be redeemed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 of purchase or redemption will be given to each Holder pursuant to Section 3.3 and Section 10.1.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and Officer’s Certificate or by supplemental indenture, at least 10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Securities to be redeemed and corresponding CUSIP, ISIN or Common Code numbers, as applicable, and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99" w:lineRule="exact"/>
        <w:rPr>
          <w:sz w:val="20"/>
          <w:szCs w:val="20"/>
          <w:color w:val="auto"/>
        </w:rPr>
      </w:pPr>
    </w:p>
    <w:p>
      <w:pPr>
        <w:ind w:left="1100" w:hanging="24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accrued interest, if any, and Additional Amounts, if any, to be paid;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Agent(s) to which the Securities are to be surrendered for redemption;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called for redemption must be surrendered to the relevant Paying Agent to collect the redemption price, plus accrued and unpaid interest, if any, and Additional Amounts, if any;</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redemption payment, interest and Additional Amounts, if any, on Securities called for redemption cease to accrue on and after the redemption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0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Securities and/or Section of this Indenture pursuant to which the Securities called for redemption are being redeemed; and</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0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ISIN or Common Code numbers, if any, listed in such notice or printed on the Securities.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66" w:name="page67"/>
    <w:bookmarkEnd w:id="66"/>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At the Company’s written request, the Trustee shall give the notice of redemption in the Company’s name and at its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has delivered to the Trustee, at least five days prior to the date that notice of redemption is to be given to the Holders of the Securities (or such shorter notice as may be acceptable to the Trustee), an Officer’s Certificate requesting that the Trustee give such notice and setting forth the information to be stated in such notice as provided in the preceding paragraph.</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Once notice of redemption is given as provided in Section 3.3, Securities of a Series called for redemption become due and payable on the redemption date and at the redemption price. Unless otherwise indicated for a particular Series by Board Resolution and Officer’s Certificate or by supplemental indenture,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On or after any purchase or redemption date, unless the Company or the Guarantor defaults in payment of the purchase or redemption price, interest shall cease to accrue on Securities or portions thereof tendered for purchase or called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312" w:lineRule="auto"/>
        <w:rPr>
          <w:sz w:val="20"/>
          <w:szCs w:val="20"/>
          <w:color w:val="auto"/>
        </w:rPr>
      </w:pPr>
      <w:r>
        <w:rPr>
          <w:rFonts w:ascii="Times New Roman" w:cs="Times New Roman" w:eastAsia="Times New Roman" w:hAnsi="Times New Roman"/>
          <w:sz w:val="17"/>
          <w:szCs w:val="17"/>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Upon surrender of a Certificated Security that is redeemed in part, upon receipt of a Company Order, the Trustee shall authenticate for the Holder a new Certificated Security of the same Series and the same Maturity equal in principal amount to the unredeemed portion of the Security surrendered.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and Officer’s Certificate or by supplemental indenture, the provisions of Sections 3.8 and 3.9 shall be applicable to any sinking fund for the retirement of Securities of a Series.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Not less than 40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Redemption Upon Changes in Tax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Company may redeem the Securities of any Series (and the Guarantor may redeem the Securities of any Series for which it has provided a Guarantee), in whole but not in part, at its discretion at any time upon giving notice to the Holders of such Securities in accordance with Section 3.3 (which notice will be irrevocable), at a redemption price equal to 100% of the aggregate principal amount thereof, together with accrued and unpaid interest, if any, to (but not including) the date fixed by the Company or the Guarantor, as applicable, for redemption (a “</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 and all Additional Amounts (if any) then due and which will become due on the Tax Redemption Date as a result of the redemption or otherwise (subject to the right of Holders of such Securities on the relevant record date to receive interest due on the relevant interest payment date and Additional Amounts (if any) in respect thereof), if on the next date on which any amount would be payable in respect of such Securities,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86" w:lineRule="exact"/>
        <w:rPr>
          <w:sz w:val="20"/>
          <w:szCs w:val="20"/>
          <w:color w:val="auto"/>
        </w:rPr>
      </w:pPr>
    </w:p>
    <w:p>
      <w:pPr>
        <w:jc w:val="both"/>
        <w:ind w:left="440" w:right="180" w:firstLine="419"/>
        <w:spacing w:after="0" w:line="289" w:lineRule="auto"/>
        <w:tabs>
          <w:tab w:leader="none" w:pos="110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or change in, or change in the enforcement or interpretation of, the laws (or any regulations or rulings promulgated thereunder) of a Relevant Tax Jurisdiction which change or amendment becomes effective on or after the Issue Date of such Securities (or, if the applicable Relevant Tax Jurisdiction became a Relevant Tax Jurisdiction on a date after the Issue Date of such Securities, such later date),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68" w:name="page69"/>
    <w:bookmarkEnd w:id="68"/>
    <w:p>
      <w:pPr>
        <w:ind w:left="440" w:right="160" w:firstLine="419"/>
        <w:spacing w:after="0" w:line="261" w:lineRule="auto"/>
        <w:tabs>
          <w:tab w:leader="none" w:pos="11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Securities was then due, and the obligation to pay Additional Amounts must be in effect at the time such notice is given. Prior to the giving of any notice of redemption of the Securities pursuant to the foregoing, the Company or the Guarantor, as applicable, will deliver to the Trustee an opinion of independent tax counsel to the effect that there has been such amendment or change which would entitle the Company or the Guarantor to redeem such Securities hereunder. In addition, before the Company or the Guarantor, as applicable, gives notice of redemption of such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174" w:lineRule="exact"/>
        <w:rPr>
          <w:sz w:val="20"/>
          <w:szCs w:val="20"/>
          <w:color w:val="auto"/>
        </w:rPr>
      </w:pPr>
    </w:p>
    <w:p>
      <w:pPr>
        <w:ind w:right="80" w:firstLine="991"/>
        <w:spacing w:after="0" w:line="26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such Securities or Guarantee, and any political subdivision thereof or therein.</w:t>
      </w:r>
    </w:p>
    <w:p>
      <w:pPr>
        <w:spacing w:after="0" w:line="39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and Officer’s Certificate or by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100" w:firstLine="419"/>
        <w:spacing w:after="0" w:line="254" w:lineRule="auto"/>
        <w:tabs>
          <w:tab w:leader="none" w:pos="11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complying with TIA § 314(a)(4) and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w:t>
      </w:r>
    </w:p>
    <w:p>
      <w:pPr>
        <w:spacing w:after="0" w:line="80" w:lineRule="exact"/>
        <w:rPr>
          <w:rFonts w:ascii="Times New Roman" w:cs="Times New Roman" w:eastAsia="Times New Roman" w:hAnsi="Times New Roman"/>
          <w:sz w:val="18"/>
          <w:szCs w:val="18"/>
          <w:color w:val="auto"/>
        </w:rPr>
      </w:pPr>
    </w:p>
    <w:p>
      <w:pPr>
        <w:jc w:val="both"/>
        <w:ind w:left="440" w:right="560" w:firstLine="419"/>
        <w:spacing w:after="0" w:line="266"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Subject to Article V, the Company will do or cause to be done all things necessary to preserve and keep in full force and effect its corporate existence and rights (charter and statutory);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Guarantor will not, and will not permit any of its respective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or the Guarantor shall so determine, any of its other indebtedness or the indebtedness of any such Restricted Subsidiary then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existing or thereafter created ranking on a parity with the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(a) through (j) below) would not exceed 20% of Consolidated Net Worth as shown on the Guarantor’s most recent consolidated quarterly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these provisions shall not apply to:</w:t>
      </w:r>
    </w:p>
    <w:p>
      <w:pPr>
        <w:spacing w:after="0" w:line="75" w:lineRule="exact"/>
        <w:rPr>
          <w:sz w:val="20"/>
          <w:szCs w:val="20"/>
          <w:color w:val="auto"/>
        </w:rPr>
      </w:pPr>
    </w:p>
    <w:p>
      <w:pPr>
        <w:ind w:left="1100" w:hanging="241"/>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the Securities;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Canada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60"/>
          </w:cols>
          <w:pgMar w:left="440" w:top="270" w:right="599" w:bottom="1440" w:gutter="0" w:footer="0" w:header="0"/>
        </w:sectPr>
      </w:pPr>
    </w:p>
    <w:bookmarkStart w:id="71" w:name="page72"/>
    <w:bookmarkEnd w:id="71"/>
    <w:p>
      <w:pPr>
        <w:ind w:left="640" w:hanging="221"/>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Mortgages created in connection with the acquisition of property or assets, or a project financed with, Non-recourse Debt; and</w:t>
      </w:r>
    </w:p>
    <w:p>
      <w:pPr>
        <w:spacing w:after="0" w:line="117" w:lineRule="exact"/>
        <w:rPr>
          <w:rFonts w:ascii="Times New Roman" w:cs="Times New Roman" w:eastAsia="Times New Roman" w:hAnsi="Times New Roman"/>
          <w:sz w:val="18"/>
          <w:szCs w:val="18"/>
          <w:color w:val="auto"/>
        </w:rPr>
      </w:pPr>
    </w:p>
    <w:p>
      <w:pPr>
        <w:ind w:right="140" w:firstLine="419"/>
        <w:spacing w:after="0" w:line="266" w:lineRule="auto"/>
        <w:tabs>
          <w:tab w:leader="none" w:pos="6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19"/>
        <w:spacing w:after="0" w:line="252" w:lineRule="auto"/>
        <w:tabs>
          <w:tab w:leader="none" w:pos="6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the Company under or with respect to the Securities, or by the Guarantor with respect to its Guarantee, will be made free and clear of and without withholding or deduction for, or on account of, any present or future tax, duty, levy, assessment or other governmental charge, including any related interest, penalties or additions to tax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w:t>
      </w:r>
      <w:r>
        <w:rPr>
          <w:rFonts w:ascii="Times New Roman" w:cs="Times New Roman" w:eastAsia="Times New Roman" w:hAnsi="Times New Roman"/>
          <w:sz w:val="18"/>
          <w:szCs w:val="18"/>
          <w:i w:val="1"/>
          <w:iCs w:val="1"/>
          <w:color w:val="auto"/>
        </w:rPr>
        <w:t>Relevant Tax Jurisdiction</w:t>
      </w:r>
      <w:r>
        <w:rPr>
          <w:rFonts w:ascii="Times New Roman" w:cs="Times New Roman" w:eastAsia="Times New Roman" w:hAnsi="Times New Roman"/>
          <w:sz w:val="18"/>
          <w:szCs w:val="18"/>
          <w:color w:val="auto"/>
        </w:rPr>
        <w:t>”) or (2) any jurisdiction from or through which payment is made or deemed made by or on behalf of the Company, or the Guarantor (including the jurisdiction of any Paying Agent for the applicable Securities) or any political subdivision thereof or therein (each, together with each Relevant Tax Jurisdiction, a “</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 will at any time be required to be made from any payments made or deemed made by or on behalf of the Company under or with respect to the Securities, or the Guarantor under or with respect to the applicable Guarantee, including payments of principal, redemption price, interest or premium, the Company or the Guarantor, as applicable, will pay such additional amounts (the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as may be necessary in order that the net amounts received in respect of such payments by each beneficial owner of the applicable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Additional Amounts will be payable with respect to:</w:t>
      </w:r>
    </w:p>
    <w:p>
      <w:pPr>
        <w:spacing w:after="0" w:line="87" w:lineRule="exact"/>
        <w:rPr>
          <w:rFonts w:ascii="Times New Roman" w:cs="Times New Roman" w:eastAsia="Times New Roman" w:hAnsi="Times New Roman"/>
          <w:sz w:val="18"/>
          <w:szCs w:val="18"/>
          <w:color w:val="auto"/>
        </w:rPr>
      </w:pPr>
    </w:p>
    <w:p>
      <w:pPr>
        <w:ind w:left="540" w:firstLine="408"/>
        <w:spacing w:after="0" w:line="256" w:lineRule="auto"/>
        <w:tabs>
          <w:tab w:leader="none" w:pos="11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Securities or Guarantees, as applicable,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under the Guarantee or the receipt of any payments in respect of such Securities or Guarantee;</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20"/>
          </w:cols>
          <w:pgMar w:left="880" w:top="270" w:right="499" w:bottom="1440" w:gutter="0" w:footer="0" w:header="0"/>
        </w:sectPr>
      </w:pPr>
    </w:p>
    <w:bookmarkStart w:id="72" w:name="page73"/>
    <w:bookmarkEnd w:id="72"/>
    <w:p>
      <w:pPr>
        <w:ind w:left="-20" w:right="20" w:firstLine="408"/>
        <w:spacing w:after="0" w:line="289" w:lineRule="auto"/>
        <w:tabs>
          <w:tab w:leader="none" w:pos="63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such Security been presented on the last day of such 30-day period);</w:t>
      </w:r>
    </w:p>
    <w:p>
      <w:pPr>
        <w:spacing w:after="0" w:line="49" w:lineRule="exact"/>
        <w:rPr>
          <w:rFonts w:ascii="Times New Roman" w:cs="Times New Roman" w:eastAsia="Times New Roman" w:hAnsi="Times New Roman"/>
          <w:sz w:val="17"/>
          <w:szCs w:val="17"/>
          <w:color w:val="auto"/>
        </w:rPr>
      </w:pPr>
    </w:p>
    <w:p>
      <w:pPr>
        <w:ind w:left="640" w:hanging="25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117" w:lineRule="exact"/>
        <w:rPr>
          <w:rFonts w:ascii="Times New Roman" w:cs="Times New Roman" w:eastAsia="Times New Roman" w:hAnsi="Times New Roman"/>
          <w:sz w:val="18"/>
          <w:szCs w:val="18"/>
          <w:color w:val="auto"/>
        </w:rPr>
      </w:pPr>
    </w:p>
    <w:p>
      <w:pPr>
        <w:ind w:left="-20" w:right="100" w:firstLine="408"/>
        <w:spacing w:after="0" w:line="266" w:lineRule="auto"/>
        <w:tabs>
          <w:tab w:leader="none" w:pos="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67" w:lineRule="exact"/>
        <w:rPr>
          <w:rFonts w:ascii="Times New Roman" w:cs="Times New Roman" w:eastAsia="Times New Roman" w:hAnsi="Times New Roman"/>
          <w:sz w:val="18"/>
          <w:szCs w:val="18"/>
          <w:color w:val="auto"/>
        </w:rPr>
      </w:pPr>
    </w:p>
    <w:p>
      <w:pPr>
        <w:ind w:left="-20" w:right="500" w:firstLine="408"/>
        <w:spacing w:after="0" w:line="282" w:lineRule="auto"/>
        <w:tabs>
          <w:tab w:leader="none" w:pos="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Security who would have been able to avoid such withholding or deduction by presenting such Security (where presentation is required) to another Paying Agent;</w:t>
      </w:r>
    </w:p>
    <w:p>
      <w:pPr>
        <w:spacing w:after="0" w:line="53" w:lineRule="exact"/>
        <w:rPr>
          <w:rFonts w:ascii="Times New Roman" w:cs="Times New Roman" w:eastAsia="Times New Roman" w:hAnsi="Times New Roman"/>
          <w:sz w:val="18"/>
          <w:szCs w:val="18"/>
          <w:color w:val="auto"/>
        </w:rPr>
      </w:pPr>
    </w:p>
    <w:p>
      <w:pPr>
        <w:ind w:left="-20" w:right="620" w:firstLine="408"/>
        <w:spacing w:after="0" w:line="282" w:lineRule="auto"/>
        <w:tabs>
          <w:tab w:leader="none" w:pos="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Securities or the Guarantee;</w:t>
      </w:r>
    </w:p>
    <w:p>
      <w:pPr>
        <w:spacing w:after="0" w:line="53" w:lineRule="exact"/>
        <w:rPr>
          <w:rFonts w:ascii="Times New Roman" w:cs="Times New Roman" w:eastAsia="Times New Roman" w:hAnsi="Times New Roman"/>
          <w:sz w:val="18"/>
          <w:szCs w:val="18"/>
          <w:color w:val="auto"/>
        </w:rPr>
      </w:pPr>
    </w:p>
    <w:p>
      <w:pPr>
        <w:ind w:left="-20" w:firstLine="408"/>
        <w:spacing w:after="0" w:line="255" w:lineRule="auto"/>
        <w:tabs>
          <w:tab w:leader="none" w:pos="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Security,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80" w:lineRule="exact"/>
        <w:rPr>
          <w:rFonts w:ascii="Times New Roman" w:cs="Times New Roman" w:eastAsia="Times New Roman" w:hAnsi="Times New Roman"/>
          <w:sz w:val="18"/>
          <w:szCs w:val="18"/>
          <w:color w:val="auto"/>
        </w:rPr>
      </w:pPr>
    </w:p>
    <w:p>
      <w:pPr>
        <w:ind w:left="-20" w:firstLine="408"/>
        <w:spacing w:after="0" w:line="266" w:lineRule="auto"/>
        <w:tabs>
          <w:tab w:leader="none" w:pos="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applicable to a payment made to any Holder or beneficial owner of the Securities with which the Company, the Guarantor or a transferee of the Securities do not deal at arm’s length (within the meaning of the Income Tax Act (Canada)) at the time of making such payment;</w:t>
      </w:r>
    </w:p>
    <w:p>
      <w:pPr>
        <w:spacing w:after="0" w:line="67" w:lineRule="exact"/>
        <w:rPr>
          <w:rFonts w:ascii="Times New Roman" w:cs="Times New Roman" w:eastAsia="Times New Roman" w:hAnsi="Times New Roman"/>
          <w:sz w:val="18"/>
          <w:szCs w:val="18"/>
          <w:color w:val="auto"/>
        </w:rPr>
      </w:pPr>
    </w:p>
    <w:p>
      <w:pPr>
        <w:ind w:left="-20" w:right="220" w:firstLine="408"/>
        <w:spacing w:after="0" w:line="282" w:lineRule="auto"/>
        <w:tabs>
          <w:tab w:leader="none" w:pos="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under or with respect to the Securities or the Guarantee that is deemed under subsection 214(6) of the Income Tax Act (Canada) to be a dividend; or</w:t>
      </w:r>
    </w:p>
    <w:p>
      <w:pPr>
        <w:spacing w:after="0" w:line="53"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(9) of this Section 4.6(a).</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00"/>
          </w:cols>
          <w:pgMar w:left="1440" w:top="270" w:right="459" w:bottom="1440" w:gutter="0" w:footer="0" w:header="0"/>
        </w:sectPr>
      </w:pPr>
    </w:p>
    <w:bookmarkStart w:id="73" w:name="page74"/>
    <w:bookmarkEnd w:id="73"/>
    <w:p>
      <w:pPr>
        <w:ind w:left="4" w:firstLine="419"/>
        <w:spacing w:after="0" w:line="252" w:lineRule="auto"/>
        <w:tabs>
          <w:tab w:leader="none" w:pos="68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the Guarantor, jointly and severally, will indemnify and hold harmless the Holders and beneficial owners of the Securities, and, upon written request of any Holder or beneficial owner, reimburse such Holder or beneficial owner for the amount of (i) any Taxes levied or imposed under the laws of Canada or any political subdivision thereof (“Canadian Taxes”) and payable by such Holder or beneficial owner in connection with payments made under or with respect to the Securities held by such Holder or beneficial owner or under the Guarantee (including, for greater certainty, any Taxes payable under Section 803 of the regulations under the Income Tax Act (Canada)); and (ii) any Canadian Taxes levied or imposed with respect to any reimbursement under the foregoing clause (i) or this clause (ii), so that the net amount received by such Holder or beneficial owner after such reimbursement will not be less than the net amount such Holder or beneficial owner would have received if the Canadian Taxes giving rise to the reimbursement described in clauses (i) and/or (ii) had not been imposed; provided, however, that the indemnification or reimbursement obligations provided for in this paragraph shall not extend to Canadian Taxes (a) for which the applicable Holder or beneficial owner would not have been eligible to receive payment of Additional Amounts hereunder by virtue of clauses</w:t>
      </w:r>
    </w:p>
    <w:p>
      <w:pPr>
        <w:spacing w:after="0" w:line="5" w:lineRule="exact"/>
        <w:rPr>
          <w:rFonts w:ascii="Times New Roman" w:cs="Times New Roman" w:eastAsia="Times New Roman" w:hAnsi="Times New Roman"/>
          <w:sz w:val="18"/>
          <w:szCs w:val="18"/>
          <w:color w:val="auto"/>
        </w:rPr>
      </w:pPr>
    </w:p>
    <w:p>
      <w:pPr>
        <w:ind w:left="4" w:right="120" w:hanging="4"/>
        <w:spacing w:after="0" w:line="255" w:lineRule="auto"/>
        <w:tabs>
          <w:tab w:leader="none" w:pos="2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(5) and (7) through (9) above (or any combination thereof) if the Company or the Guarantor had been required to withhold from such payments, (b) to the extent such Holder or beneficial owner received Additional Amounts with respect to such payments or (c) to the extent any such Canadian Taxes are computed by reference to such Holder or beneficial owner’s net income, revenue, profits or capital.</w:t>
      </w:r>
    </w:p>
    <w:p>
      <w:pPr>
        <w:spacing w:after="0" w:line="7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7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the Company and the Guarantor, as the case may be,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Securities, or this Indenture or the related supplement, Guarantee or any other document or instrument referred to herein or therein.</w:t>
      </w:r>
    </w:p>
    <w:p>
      <w:pPr>
        <w:spacing w:after="0" w:line="75"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the Guarantor, as the case may be, becomes aware that it will be obligated to pay Additional Amounts with respect to any payment under or with respect to the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83"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Guarantor, as the case may be, will make all withholdings and deductions required by law in respect of the</w:t>
      </w:r>
    </w:p>
    <w:p>
      <w:pPr>
        <w:spacing w:after="0" w:line="27" w:lineRule="exact"/>
        <w:rPr>
          <w:rFonts w:ascii="Times New Roman" w:cs="Times New Roman" w:eastAsia="Times New Roman" w:hAnsi="Times New Roman"/>
          <w:sz w:val="18"/>
          <w:szCs w:val="18"/>
          <w:color w:val="auto"/>
        </w:rPr>
      </w:pPr>
    </w:p>
    <w:p>
      <w:pPr>
        <w:ind w:left="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4"/>
          </w:cols>
          <w:pgMar w:left="876" w:top="270" w:right="459" w:bottom="1440" w:gutter="0" w:footer="0" w:header="0"/>
        </w:sectPr>
      </w:pPr>
    </w:p>
    <w:bookmarkStart w:id="74" w:name="page75"/>
    <w:bookmarkEnd w:id="74"/>
    <w:p>
      <w:pPr>
        <w:ind w:left="44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72" w:lineRule="exact"/>
        <w:rPr>
          <w:sz w:val="20"/>
          <w:szCs w:val="20"/>
          <w:color w:val="auto"/>
        </w:rPr>
      </w:pPr>
    </w:p>
    <w:p>
      <w:pPr>
        <w:ind w:left="440" w:right="40" w:firstLine="419"/>
        <w:spacing w:after="0" w:line="261" w:lineRule="auto"/>
        <w:tabs>
          <w:tab w:leader="none" w:pos="108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this Indenture there is mentioned, in any context, the payment of amounts based upon the principal amount of the Securities or of principal, interest or of any other amount payable under, or with respect to, any of the Securities or any Guarantee, such mention shall be deemed to include mention of the payment of Additional Amounts to the extent that, in such context, Additional Amounts are, were or would be payable in respect thereof.</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obligations in this Section 4.6 will survive any termination, defeasance or discharge of this Indenture, any transfer by a Holder or beneficial owner of the Securities, and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jurisdiction in which any successor Person to the Company or the Guarantor is incorporated, organized or resident for tax purposes or any jurisdiction from or through which payment is made by or on behalf of such Person on the applicable Securities (or any Guarantee) and any political subdivision thereof or therein.</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Notwithstanding any provision herein or in the Securities or the Guarantee to the contrary, none of the Trustee or any Agent shall be required to determine the identity of a beneficial owner or be liable for any determination thereof by the Company or the Guarantor.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6"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Company shall also comply with the provisions of TIA § 314(a).</w:t>
      </w:r>
    </w:p>
    <w:p>
      <w:pPr>
        <w:spacing w:after="0" w:line="79"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any obligation to determine if and when the Guarantor’s information is available on the SEC’s (EDGAR) website. The Guarantor shall either (i) provide the Trustee with prompt written notification of such time as the Guarantor becomes or ceases to be a reporting company or (ii) continue to provide the Trustee with the foregoing information.</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or the Guarantor’s compliance with any of their respective covenants hereunder (as to which the Trustee is entitled to rely exclusively on Officer’s Certificates).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Consolidation, Amalgamation, Merger and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Neither the Company nor the Guarantor may consolidate, amalgamate or merge with or into any other Person or transfer or lease all or substantially all of its assets to any Person unless any successor or purchaser (if the Company or the Guarantor, as applicable, is not the surviving entity) expressly assumes its obligations under this Indenture and the Securities or its Guarantees, as applicable, by an indenture supplemental to this Indenture to which the Company or the Guarantor is a party,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Assumption by a Subsidiary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this Indenture and the Securities, provided that:</w:t>
      </w:r>
    </w:p>
    <w:p>
      <w:pPr>
        <w:spacing w:after="0" w:line="54" w:lineRule="exact"/>
        <w:rPr>
          <w:sz w:val="20"/>
          <w:szCs w:val="20"/>
          <w:color w:val="auto"/>
        </w:rPr>
      </w:pPr>
    </w:p>
    <w:p>
      <w:pPr>
        <w:ind w:left="440" w:right="80" w:firstLine="419"/>
        <w:spacing w:after="0" w:line="282" w:lineRule="auto"/>
        <w:tabs>
          <w:tab w:leader="none" w:pos="11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expressly assumes such obligations in an assumption agreement or supplemental indenture duly executed and delivered to the Trustee,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Default or Event of Default, shall have occurred and be continuing.</w:t>
      </w:r>
    </w:p>
    <w:p>
      <w:pPr>
        <w:spacing w:after="0" w:line="225" w:lineRule="exact"/>
        <w:rPr>
          <w:sz w:val="20"/>
          <w:szCs w:val="20"/>
          <w:color w:val="auto"/>
        </w:rPr>
      </w:pPr>
    </w:p>
    <w:p>
      <w:pPr>
        <w:jc w:val="both"/>
        <w:ind w:right="240" w:firstLine="991"/>
        <w:spacing w:after="0" w:line="270" w:lineRule="auto"/>
        <w:rPr>
          <w:sz w:val="20"/>
          <w:szCs w:val="20"/>
          <w:color w:val="auto"/>
        </w:rPr>
      </w:pPr>
      <w:r>
        <w:rPr>
          <w:rFonts w:ascii="Times New Roman" w:cs="Times New Roman" w:eastAsia="Times New Roman" w:hAnsi="Times New Roman"/>
          <w:sz w:val="17"/>
          <w:szCs w:val="17"/>
          <w:color w:val="auto"/>
        </w:rPr>
        <w:t>Upon any such assumption, the Person so assuming the Company’s obligations under this Indenture and the Securities shall succeed to, and be substituted for, and may exercise any right and power of, the Company under the Securities and this Indenture with the same effect as if such Person had been the issuer thereof and party hereto, and the Company shall be released from its liability as obligor under the Securities. An Officer’s Certificate and an Opinion of Counsel will be delivered to the Trustee, which will serve as conclusive evidence of compliance with this Section 5.2.</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Upon any such assumption, such Person so assuming the Company’s obligations under this Indenture and the Securities (or upon the written request of such Person, the Trustee), shall give notice to the Holders of such assumption.</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0" w:firstLine="991"/>
        <w:spacing w:after="0" w:line="315" w:lineRule="auto"/>
        <w:rPr>
          <w:sz w:val="20"/>
          <w:szCs w:val="20"/>
          <w:color w:val="auto"/>
        </w:rPr>
      </w:pPr>
      <w:r>
        <w:rPr>
          <w:rFonts w:ascii="Times New Roman" w:cs="Times New Roman" w:eastAsia="Times New Roman" w:hAnsi="Times New Roman"/>
          <w:sz w:val="17"/>
          <w:szCs w:val="17"/>
          <w:color w:val="auto"/>
        </w:rPr>
        <w:t>The following are “</w:t>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 with respect to the Company’s Securities of any Series, unless in the establishing Board Resolution and Officer’s Certificate or the establishing supplemental indenture, it is provided that such Series shall not have the benefit of said Event of Default:</w:t>
      </w:r>
    </w:p>
    <w:p>
      <w:pPr>
        <w:spacing w:after="0" w:line="29" w:lineRule="exact"/>
        <w:rPr>
          <w:sz w:val="20"/>
          <w:szCs w:val="20"/>
          <w:color w:val="auto"/>
        </w:rPr>
      </w:pPr>
    </w:p>
    <w:p>
      <w:pPr>
        <w:jc w:val="center"/>
        <w:ind w:left="5420" w:right="1280" w:hanging="4561"/>
        <w:spacing w:after="0" w:line="454" w:lineRule="auto"/>
        <w:tabs>
          <w:tab w:leader="none" w:pos="11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the Securities within 30 days after such interest becomes due and payable; 27</w:t>
      </w:r>
    </w:p>
    <w:p>
      <w:pPr>
        <w:sectPr>
          <w:pgSz w:w="11900" w:h="16838" w:orient="portrait"/>
          <w:cols w:equalWidth="0" w:num="1">
            <w:col w:w="10960"/>
          </w:cols>
          <w:pgMar w:left="440" w:top="270" w:right="499" w:bottom="1440" w:gutter="0" w:footer="0" w:header="0"/>
        </w:sectPr>
      </w:pPr>
    </w:p>
    <w:bookmarkStart w:id="76" w:name="page77"/>
    <w:bookmarkEnd w:id="76"/>
    <w:p>
      <w:pPr>
        <w:ind w:right="220" w:firstLine="419"/>
        <w:spacing w:after="0" w:line="282" w:lineRule="auto"/>
        <w:tabs>
          <w:tab w:leader="none" w:pos="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Company’s failure to pay principal of the Securities at Maturity, or if applicable, the redemption price, when the same become due and payable;</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sinking fund installment as and when the same becomes due and payable by the terms of the Securities, and continuance of such default for a period of 30 days;</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the covenants or agreements in the Securities or this Indenture (other than an agreement or covenant that the Company has included in this Indenture solely for the benefit of another Series of Securities that does not constitute part of the Company’s Securities of such Series) for 90 days after written notice by the Trustee or by the Holders of at least 25% in principal amount of all outstanding Securities of such Series affected by that failure;</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6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the Guarantee of the Company’s Securities is held in any judicial proceeding to be unenforceable or invalid or ceases for any reason to be in full force and effect, or the Guarantor, or any authorized Person acting on behalf of the Guarantor, denies or disaffirms the Guarantor’s obligations under the Guarantee;</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Guarantor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the Guarantor, as applicable, in an involuntary case,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the Guarantor, as applicable, or for all or substantially all of its property, or</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0"/>
          </w:cols>
          <w:pgMar w:left="880" w:top="270" w:right="479" w:bottom="1440" w:gutter="0" w:footer="0" w:header="0"/>
        </w:sectPr>
      </w:pPr>
    </w:p>
    <w:bookmarkStart w:id="77" w:name="page78"/>
    <w:bookmarkEnd w:id="77"/>
    <w:p>
      <w:pPr>
        <w:ind w:left="980" w:right="120" w:firstLine="408"/>
        <w:spacing w:after="0" w:line="282" w:lineRule="auto"/>
        <w:tabs>
          <w:tab w:leader="none" w:pos="163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orders the liquidation of the Company or the Guarantor, as applicable, and the order or decree remains unstayed and in effect for 60 days;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Officer’s Certificate, supplemental indenture or Board Resolution under which such Series of Securities is issued.</w:t>
      </w:r>
    </w:p>
    <w:p>
      <w:pPr>
        <w:spacing w:after="0" w:line="16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xml:space="preserve">” means title 11, U.S. Code,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Companies’ Creditors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Winding-Up and Restructuring Act </w:t>
      </w:r>
      <w:r>
        <w:rPr>
          <w:rFonts w:ascii="Times New Roman" w:cs="Times New Roman" w:eastAsia="Times New Roman" w:hAnsi="Times New Roman"/>
          <w:sz w:val="18"/>
          <w:szCs w:val="18"/>
          <w:color w:val="auto"/>
        </w:rPr>
        <w:t>(Canada), the Curaçao Bankruptcy Decree 1931 (</w:t>
      </w:r>
      <w:r>
        <w:rPr>
          <w:rFonts w:ascii="Times New Roman" w:cs="Times New Roman" w:eastAsia="Times New Roman" w:hAnsi="Times New Roman"/>
          <w:sz w:val="18"/>
          <w:szCs w:val="18"/>
          <w:i w:val="1"/>
          <w:iCs w:val="1"/>
          <w:u w:val="single" w:color="auto"/>
          <w:color w:val="auto"/>
        </w:rPr>
        <w:t>Faillissementsbesluit</w:t>
      </w:r>
      <w:r>
        <w:rPr>
          <w:rFonts w:ascii="Times New Roman" w:cs="Times New Roman" w:eastAsia="Times New Roman" w:hAnsi="Times New Roman"/>
          <w:sz w:val="18"/>
          <w:szCs w:val="18"/>
          <w:color w:val="auto"/>
        </w:rPr>
        <w:t>), in each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amended, or any similar Federal or State law for the relief of debtors or similar law in Canada or Curaçao.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8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A Default under one Series of Securities issued under this Indenture will not necessarily be a default under another Series of Securities under this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If an Event of Default for a Series of Securities occurs and is continuing (other than an Event of Default referred to in Section 6.1(f) or (g)), the Trustee or the Holders of at least 25% in principal amount of such Series of outstanding Securities may require the Company to pay immediately the principal amount plus accrued and unpaid interest on such Securities. If an Event of Default relating to certain events of bankruptcy, insolvency or reorganization referred to in Section 6.1(f) or (g) occurs with respect to the Company (or with respect to the Guarantor), the principal amount plus accrued and unpaid interest on the Company’s Securities of that Series (or in the case of the Guarantor, all Securities) will become immediately due and payable without any action on the part of the Trustee or any Holder.</w:t>
      </w:r>
    </w:p>
    <w:p>
      <w:pPr>
        <w:spacing w:after="0" w:line="18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left="440" w:right="200" w:firstLine="419"/>
        <w:spacing w:after="0" w:line="282" w:lineRule="auto"/>
        <w:tabs>
          <w:tab w:leader="none" w:pos="11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78" w:name="page79"/>
    <w:bookmarkEnd w:id="78"/>
    <w:p>
      <w:pPr>
        <w:ind w:left="1120" w:hanging="261"/>
        <w:spacing w:after="0"/>
        <w:tabs>
          <w:tab w:leader="none" w:pos="11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 is made in the payment of principal of any Security at the Maturity thereof, or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when and as due by the terms of a Security,</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premium, if any,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75" w:lineRule="exact"/>
        <w:rPr>
          <w:sz w:val="20"/>
          <w:szCs w:val="20"/>
          <w:color w:val="auto"/>
        </w:rPr>
      </w:pPr>
    </w:p>
    <w:p>
      <w:pPr>
        <w:jc w:val="both"/>
        <w:ind w:left="440" w:right="360" w:firstLine="419"/>
        <w:spacing w:after="0" w:line="261" w:lineRule="auto"/>
        <w:tabs>
          <w:tab w:leader="none" w:pos="11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79" w:name="page80"/>
    <w:bookmarkEnd w:id="79"/>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80"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Holder of Securities of any Series may pursue any remedy under this Indenture applicable to such Securities only if:</w:t>
      </w:r>
    </w:p>
    <w:p>
      <w:pPr>
        <w:spacing w:after="0" w:line="117" w:lineRule="exact"/>
        <w:rPr>
          <w:sz w:val="20"/>
          <w:szCs w:val="20"/>
          <w:color w:val="auto"/>
        </w:rPr>
      </w:pPr>
    </w:p>
    <w:p>
      <w:pPr>
        <w:ind w:left="1100" w:hanging="241"/>
        <w:spacing w:after="0"/>
        <w:tabs>
          <w:tab w:leader="none" w:pos="11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Series of Securities;</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such outstanding Series of Securities make a written request to the Trustee to pursue the remedy;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80" w:name="page81"/>
    <w:bookmarkEnd w:id="80"/>
    <w:p>
      <w:pPr>
        <w:ind w:left="440" w:right="180" w:firstLine="419"/>
        <w:spacing w:after="0" w:line="282" w:lineRule="auto"/>
        <w:tabs>
          <w:tab w:leader="none" w:pos="11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Holders furnish to the Trustee indemnity or security reasonably satisfactory to the Trustee against the costs, expenses and liabilities which might be incurred by it in compliance with such request;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or security; and</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outstanding Securities of such Series do not give the Trustee a direction inconsistent with the request.</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Securities to sue for enforcement of any overdue payment with respect to such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1100" w:hanging="241"/>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(i) a Default in the payment of the principal of or interest on any Security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of a majority in principal amount of the outstanding Securities of any Series may rescind an acceleration and its consequences, including any related payment default that resulted from such acceleration), or (ii) a Default in respect of a provision contained in this Indenture that cannot be modified or amended without the consent of the Holder of each outstanding Security affected thereby.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82" w:name="page83"/>
    <w:bookmarkEnd w:id="8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00" w:firstLine="419"/>
        <w:spacing w:after="0" w:line="266" w:lineRule="auto"/>
        <w:tabs>
          <w:tab w:leader="none" w:pos="11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his or her own affairs.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with respect to the Securities of any Series:</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71" w:lineRule="exact"/>
        <w:rPr>
          <w:rFonts w:ascii="Times New Roman" w:cs="Times New Roman" w:eastAsia="Times New Roman" w:hAnsi="Times New Roman"/>
          <w:sz w:val="18"/>
          <w:szCs w:val="18"/>
          <w:color w:val="auto"/>
        </w:rPr>
      </w:pPr>
    </w:p>
    <w:p>
      <w:pPr>
        <w:ind w:left="440" w:right="840" w:firstLine="419"/>
        <w:spacing w:after="0" w:line="282" w:lineRule="auto"/>
        <w:tabs>
          <w:tab w:leader="none" w:pos="11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7.1;</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left="980" w:right="420" w:firstLine="408"/>
        <w:spacing w:after="0" w:line="282" w:lineRule="auto"/>
        <w:tabs>
          <w:tab w:leader="none" w:pos="16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 6.12.</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the provisions of this Article VII.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83" w:name="page84"/>
    <w:bookmarkEnd w:id="83"/>
    <w:p>
      <w:pPr>
        <w:ind w:right="160" w:firstLine="419"/>
        <w:spacing w:after="0" w:line="312" w:lineRule="auto"/>
        <w:tabs>
          <w:tab w:leader="none" w:pos="66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31" w:lineRule="exact"/>
        <w:rPr>
          <w:rFonts w:ascii="Times New Roman" w:cs="Times New Roman" w:eastAsia="Times New Roman" w:hAnsi="Times New Roman"/>
          <w:sz w:val="17"/>
          <w:szCs w:val="17"/>
          <w:color w:val="auto"/>
        </w:rPr>
      </w:pPr>
    </w:p>
    <w:p>
      <w:pPr>
        <w:ind w:firstLine="419"/>
        <w:spacing w:after="0" w:line="261" w:lineRule="auto"/>
        <w:tabs>
          <w:tab w:leader="none" w:pos="6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419"/>
        <w:spacing w:after="0" w:line="281" w:lineRule="auto"/>
        <w:tabs>
          <w:tab w:leader="none" w:pos="66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56" w:lineRule="exact"/>
        <w:rPr>
          <w:rFonts w:ascii="Times New Roman" w:cs="Times New Roman" w:eastAsia="Times New Roman" w:hAnsi="Times New Roman"/>
          <w:sz w:val="17"/>
          <w:szCs w:val="17"/>
          <w:color w:val="auto"/>
        </w:rPr>
      </w:pPr>
    </w:p>
    <w:p>
      <w:pPr>
        <w:ind w:right="40" w:firstLine="419"/>
        <w:spacing w:after="0" w:line="281" w:lineRule="auto"/>
        <w:tabs>
          <w:tab w:leader="none" w:pos="67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56" w:lineRule="exact"/>
        <w:rPr>
          <w:rFonts w:ascii="Times New Roman" w:cs="Times New Roman" w:eastAsia="Times New Roman" w:hAnsi="Times New Roman"/>
          <w:sz w:val="17"/>
          <w:szCs w:val="17"/>
          <w:color w:val="auto"/>
        </w:rPr>
      </w:pPr>
    </w:p>
    <w:p>
      <w:pPr>
        <w:ind w:right="120" w:firstLine="419"/>
        <w:spacing w:after="0" w:line="282" w:lineRule="auto"/>
        <w:tabs>
          <w:tab w:leader="none" w:pos="6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 outstanding.</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or the Guarantor, as applicable, shall be sufficient if signed by an Officer of the Company or the Guarantor, as applicable.</w:t>
      </w:r>
    </w:p>
    <w:p>
      <w:pPr>
        <w:spacing w:after="0" w:line="53" w:lineRule="exact"/>
        <w:rPr>
          <w:rFonts w:ascii="Times New Roman" w:cs="Times New Roman" w:eastAsia="Times New Roman" w:hAnsi="Times New Roman"/>
          <w:sz w:val="18"/>
          <w:szCs w:val="18"/>
          <w:color w:val="auto"/>
        </w:rPr>
      </w:pPr>
    </w:p>
    <w:p>
      <w:pPr>
        <w:ind w:right="280" w:firstLine="419"/>
        <w:spacing w:after="0" w:line="261" w:lineRule="auto"/>
        <w:tabs>
          <w:tab w:leader="none" w:pos="6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40"/>
          </w:cols>
          <w:pgMar w:left="880" w:top="270" w:right="479" w:bottom="1440" w:gutter="0" w:footer="0" w:header="0"/>
        </w:sectPr>
      </w:pPr>
    </w:p>
    <w:bookmarkStart w:id="84" w:name="page85"/>
    <w:bookmarkEnd w:id="84"/>
    <w:p>
      <w:pPr>
        <w:ind w:left="440" w:firstLine="419"/>
        <w:spacing w:after="0" w:line="261"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0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request, and the Company and the Guarantor shall each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in no event shall the Trustee be liable for any failure or delay in the performance of its obligations under this Indenture because of circumstances beyond its control, including, but not limited to, pandemic,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79"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each Agent, and each other agent, custodian and other Person employed to act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50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85" w:name="page86"/>
    <w:bookmarkEnd w:id="8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The Trustee makes no representation as to the validity, sufficiency or adequacy of any offering materials, this Indenture, the Securities or the Guarantees,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Section 7.2(h).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Within 60 days after May 15 of each year after the execution of this Indenture, the Trustee shall give to Holders of each Series of Securities and the Company a brief report dated as of such reporting date that complies with TIA § 313(a);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event described in TIA § 313(a) has occurred within the twelve months preceding the reporting date with respect to any Series of Securities, no report need be transmitted to Holders of such Series or the Company. The Trustee also shall comply with TIA § 313(b). The Trustee shall also transmit by mail all reports if and as required by TIA §§ 313(c) and 313(d).</w:t>
      </w:r>
    </w:p>
    <w:p>
      <w:pPr>
        <w:spacing w:after="0" w:line="183"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Company and the Guarantor, jointly and severally, agree to pay to the Trustee for its acceptance of this Indenture and services hereunder such compensation as the Company or the Guarantor and the Trustee shall from time to time agree in writing. The Trustee’s compensation shall not be limited by any law on compensation of a trustee of an express trust. The Company and the Guarantor agrees to reimburse the Trustee upon request for all reasonable disbursements, advances and expenses incurred by it. Such expenses shall include the reasonable compensation, disbursements and expenses of the Trustee’s agents and counsel.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86" w:name="page87"/>
    <w:bookmarkEnd w:id="86"/>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the Guarantor, jointly and severally, hereby indemnify the Trustee from, and agree to hold it harmless for, from and against any damage, cost, claim, loss, liability or expense (including, without limitation,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without limitation, the reasonable costs and expenses of defending itself against any claim, except as set forth in the next following paragraph. The Trustee shall notify the Company promptly of any claim for which it may seek indemnity. The Company and the Guarantor, as applicable,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Guarantor, as applicable, and the Company and the Guarantor shall pay the reasonable fees and expenses of such counsel. The Company need not pay for any settlement made without its consent.</w:t>
      </w:r>
    </w:p>
    <w:p>
      <w:pPr>
        <w:spacing w:after="0" w:line="18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be obligated to reimburse any expense or indemnify against any loss or liability incurred by the Trustee through the Trustee’s own negligence or bad faith.</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To secure the payment obligations of the Company and the Guarantor in this Section 7.7,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and the Guarantor under this Section 7.7 shall survive the satisfaction and discharge of this Indenture, the payment of the Securities and/or the resignation or removal of the Trustee.</w:t>
      </w:r>
    </w:p>
    <w:p>
      <w:pPr>
        <w:spacing w:after="0" w:line="180"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bankruptcy, insolvency or other similar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 7.8.</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68" w:lineRule="exact"/>
        <w:rPr>
          <w:sz w:val="20"/>
          <w:szCs w:val="20"/>
          <w:color w:val="auto"/>
        </w:rPr>
      </w:pPr>
    </w:p>
    <w:p>
      <w:pPr>
        <w:ind w:left="1100" w:hanging="241"/>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87" w:name="page88"/>
    <w:bookmarkEnd w:id="87"/>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 the Trustee becomes incapable of acting.</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7.7.</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88" w:name="page89"/>
    <w:bookmarkEnd w:id="88"/>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80"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Notwithstanding replacement of the Trustee or Trustees pursuant to this Section 7.8, the obligations of the Company or the Guarantor under Section 7.7 shall continue for the benefit of the retiring Trustee or Trustees.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p>
    <w:p>
      <w:pPr>
        <w:spacing w:after="0" w:line="225"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Subject to Section 7.10, if the Trustee consolidates, amalgamates, merges or converts into, or transfers all or substantially all of its corporate trust business (including this transaction) to, another corporation, the successor corporation without any further act shall be the successor Trustee.</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any Securities shall have been authenticated, but not delivered, by the Trustee then in office, any successor by merger, amalgamation,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80" w:lineRule="exact"/>
        <w:rPr>
          <w:sz w:val="20"/>
          <w:szCs w:val="20"/>
          <w:color w:val="auto"/>
        </w:rPr>
      </w:pPr>
    </w:p>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The Trustee is subject to and shall comply with the provisions of TIA § 311(a), as if such section applied hereto, excluding any creditor relationship listed in TIA § 311(b). A Trustee who has resigned or been removed shall be subject to TIA § 311(a), as if such section applied hereto, to the extent indicated therein.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89" w:name="page90"/>
    <w:bookmarkEnd w:id="89"/>
    <w:p>
      <w:pPr>
        <w:jc w:val="center"/>
        <w:ind w:righ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DISCHARGE OF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of Company’s Obligations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19"/>
        <w:spacing w:after="0" w:line="261" w:lineRule="auto"/>
        <w:tabs>
          <w:tab w:leader="none" w:pos="6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shall cease to be of further effect with respect to the Securities of a Series (except that all obligations of the Company and the Guarantor under Section 7.7,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1540" w:right="580" w:hanging="1"/>
        <w:spacing w:after="0" w:line="282" w:lineRule="auto"/>
        <w:tabs>
          <w:tab w:leader="none" w:pos="1835"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1820" w:hanging="281"/>
        <w:spacing w:after="0"/>
        <w:tabs>
          <w:tab w:leader="none" w:pos="182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Securities of such Series not theretofore delivered to the Trustee for cancellation:</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3"/>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3"/>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1980" w:right="260" w:hanging="1"/>
        <w:spacing w:after="0" w:line="282" w:lineRule="auto"/>
        <w:tabs>
          <w:tab w:leader="none" w:pos="2295" w:val="left"/>
        </w:tabs>
        <w:numPr>
          <w:ilvl w:val="3"/>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54" w:lineRule="exact"/>
        <w:rPr>
          <w:sz w:val="20"/>
          <w:szCs w:val="20"/>
          <w:color w:val="auto"/>
        </w:rPr>
      </w:pPr>
    </w:p>
    <w:p>
      <w:pPr>
        <w:ind w:left="1540" w:right="160"/>
        <w:spacing w:after="0" w:line="270" w:lineRule="auto"/>
        <w:rPr>
          <w:sz w:val="20"/>
          <w:szCs w:val="20"/>
          <w:color w:val="auto"/>
        </w:rPr>
      </w:pPr>
      <w:r>
        <w:rPr>
          <w:rFonts w:ascii="Times New Roman" w:cs="Times New Roman" w:eastAsia="Times New Roman" w:hAnsi="Times New Roman"/>
          <w:sz w:val="17"/>
          <w:szCs w:val="17"/>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case of</w:t>
      </w:r>
    </w:p>
    <w:p>
      <w:pPr>
        <w:spacing w:after="0" w:line="3" w:lineRule="exact"/>
        <w:rPr>
          <w:sz w:val="20"/>
          <w:szCs w:val="20"/>
          <w:color w:val="auto"/>
        </w:rPr>
      </w:pPr>
    </w:p>
    <w:p>
      <w:pPr>
        <w:ind w:left="1540" w:right="40" w:hanging="1"/>
        <w:spacing w:after="0" w:line="253" w:lineRule="auto"/>
        <w:tabs>
          <w:tab w:leader="none" w:pos="17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20"/>
          </w:cols>
          <w:pgMar w:left="880" w:top="270" w:right="499" w:bottom="1440" w:gutter="0" w:footer="0" w:header="0"/>
        </w:sectPr>
      </w:pPr>
    </w:p>
    <w:bookmarkStart w:id="90" w:name="page91"/>
    <w:bookmarkEnd w:id="90"/>
    <w:p>
      <w:pPr>
        <w:ind w:left="1540" w:right="80" w:hanging="1"/>
        <w:spacing w:after="0" w:line="282" w:lineRule="auto"/>
        <w:tabs>
          <w:tab w:leader="none" w:pos="182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properly fulfilled such other means of satisfaction and discharge, as contemplated by Section 2.2 to be applicable to the Securities of such Series,</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by it hereunder with respect to the Securities of such Series;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540" w:right="160" w:firstLine="408"/>
        <w:spacing w:after="0" w:line="266" w:lineRule="auto"/>
        <w:tabs>
          <w:tab w:leader="none" w:pos="119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Section 8.1(b) is specified as not being applicable to Securities of a Series as contemplated by Section 2.2, the Company may be discharged from its obligations under Sections 4.2(a), 4.4, 4.5 and 4.7 of this Indenture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 respect to the Securities of such Series and such Securities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Securities of such Series and the applicable Guarantee, the Company and the Guarantor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and the related Guarantee, will be unaffected thereby if:</w:t>
      </w:r>
    </w:p>
    <w:p>
      <w:pPr>
        <w:spacing w:after="0" w:line="86"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19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70" w:right="459" w:bottom="1440" w:gutter="0" w:footer="0" w:header="0"/>
        </w:sectPr>
      </w:pPr>
    </w:p>
    <w:bookmarkStart w:id="91" w:name="page92"/>
    <w:bookmarkEnd w:id="91"/>
    <w:p>
      <w:pPr>
        <w:ind w:left="980" w:right="320" w:firstLine="408"/>
        <w:spacing w:after="0" w:line="282" w:lineRule="auto"/>
        <w:tabs>
          <w:tab w:leader="none" w:pos="16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delivered to the Trustee an Officer’s Certificate stating that all conditions precedent to covenant defeasance with respect to the Securities of such Series have been complied with, and an Opinion of Counsel to the same effect;</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w:t>
      </w:r>
    </w:p>
    <w:p>
      <w:pPr>
        <w:spacing w:after="0" w:line="53" w:lineRule="exact"/>
        <w:rPr>
          <w:rFonts w:ascii="Times New Roman" w:cs="Times New Roman" w:eastAsia="Times New Roman" w:hAnsi="Times New Roman"/>
          <w:sz w:val="18"/>
          <w:szCs w:val="18"/>
          <w:color w:val="auto"/>
        </w:rPr>
      </w:pPr>
    </w:p>
    <w:p>
      <w:pPr>
        <w:ind w:left="980" w:firstLine="408"/>
        <w:spacing w:after="0" w:line="254" w:lineRule="auto"/>
        <w:tabs>
          <w:tab w:leader="none" w:pos="16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both (i) an Opinion of Counsel from a nationally recognized counsel acceptable to the Trustee or a tax ruling to the effect that the beneficial owners of the Securities of such Series will not recognize income, gain or loss for U.S. federal income tax purposes as a result of the Company’s exercise of its option under this Section 8.1(b) and will be subject to U.S. federal income tax on the same amount and in the same manner and at the same times as would have been the case if such option had not been exercised and (ii) an Opinion of Counsel or an advance tax ruling from the Canada Revenue Agency (or successor agency) to the effect that the beneficial owners of the Securities of such Series will not recognize income, gain, or loss for Canadian federal, provincial or territorial income tax purposes as a result of the Company’s exercise of its option under this Section 8.1(b) and will be subject to Canadian federal, provincial or territorial income or other Canadian tax on the same amounts, in the same manner, and at the same times as would have been the case if the Company had not exercised its option under this Section 8.1(b);</w:t>
      </w:r>
    </w:p>
    <w:p>
      <w:pPr>
        <w:spacing w:after="0" w:line="80" w:lineRule="exact"/>
        <w:rPr>
          <w:rFonts w:ascii="Times New Roman" w:cs="Times New Roman" w:eastAsia="Times New Roman" w:hAnsi="Times New Roman"/>
          <w:sz w:val="18"/>
          <w:szCs w:val="18"/>
          <w:color w:val="auto"/>
        </w:rPr>
      </w:pPr>
    </w:p>
    <w:p>
      <w:pPr>
        <w:ind w:left="980" w:right="680" w:firstLine="408"/>
        <w:spacing w:after="0" w:line="282" w:lineRule="auto"/>
        <w:tabs>
          <w:tab w:leader="none" w:pos="16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any additional conditions specified pursuant to Section 2.2 to be applicable to covenant defeasance in respect of the Securities of such Series pursuant to this Section 8.1;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and covenant defeasance shall not cause the Trustee to have a conflicting interest as defined in TIA § 310(b).</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68" w:lineRule="exact"/>
        <w:rPr>
          <w:sz w:val="20"/>
          <w:szCs w:val="20"/>
          <w:color w:val="auto"/>
        </w:rPr>
      </w:pPr>
    </w:p>
    <w:p>
      <w:pPr>
        <w:ind w:left="440" w:right="20" w:firstLine="419"/>
        <w:spacing w:after="0" w:line="254" w:lineRule="auto"/>
        <w:tabs>
          <w:tab w:leader="none" w:pos="11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Section 8.1(c) is specified as not being applicable to Securities of a Series as contemplated by Section 2.2, upon the Company’s exercise under this clause (c) of the option applicable to this Section 8.1(c) with respect to any Series of Securities, the Company and the Guarantor will be deemed to have been released from their obligations with respect to all outstanding Securities (including the related Guarantee)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Company and the Guarantor will be deemed to have paid and discharged the entire indebtedness represented by the outstanding Securities of such Series (including the related Guarantee), which will thereafter be deemed to be “outstanding” only for the purposes of Section 8.2 hereof and the other Sections of this Indenture referred to below, and to have satisfied all their other obligations under such Securities, the related Guarantee and this Indenture with respect to such Securities, if: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92" w:name="page93"/>
    <w:bookmarkEnd w:id="92"/>
    <w:p>
      <w:pPr>
        <w:ind w:left="-7" w:right="20" w:firstLine="408"/>
        <w:spacing w:after="0" w:line="253" w:lineRule="auto"/>
        <w:tabs>
          <w:tab w:leader="none" w:pos="64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3" w:lineRule="exact"/>
        <w:rPr>
          <w:rFonts w:ascii="Times New Roman" w:cs="Times New Roman" w:eastAsia="Times New Roman" w:hAnsi="Times New Roman"/>
          <w:sz w:val="18"/>
          <w:szCs w:val="18"/>
          <w:color w:val="auto"/>
        </w:rPr>
      </w:pPr>
    </w:p>
    <w:p>
      <w:pPr>
        <w:ind w:left="-7" w:right="200" w:firstLine="408"/>
        <w:spacing w:after="0" w:line="266" w:lineRule="auto"/>
        <w:tabs>
          <w:tab w:leader="none" w:pos="64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under clauses (f) and (g) of Section 6.1 hereof shall have occurred at any time during the period ending on the 91st day after the date of deposit contemplated by Section 8.1(c)(1) (it being understood that this condition shall not be deemed satisfied until the expiration of such period);</w:t>
      </w:r>
    </w:p>
    <w:p>
      <w:pPr>
        <w:spacing w:after="0" w:line="67" w:lineRule="exact"/>
        <w:rPr>
          <w:rFonts w:ascii="Times New Roman" w:cs="Times New Roman" w:eastAsia="Times New Roman" w:hAnsi="Times New Roman"/>
          <w:sz w:val="18"/>
          <w:szCs w:val="18"/>
          <w:color w:val="auto"/>
        </w:rPr>
      </w:pPr>
    </w:p>
    <w:p>
      <w:pPr>
        <w:jc w:val="both"/>
        <w:ind w:left="-7" w:firstLine="408"/>
        <w:spacing w:after="0" w:line="261" w:lineRule="auto"/>
        <w:tabs>
          <w:tab w:leader="none" w:pos="64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 respect to Securities of such Series as contemplated by Section 2.2, the Company has delivered to the Trustee the Opinions of Counsel from nationally recognized counsel acceptable to the Trustee to the effect referred to in Section 8.1(b)</w:t>
      </w:r>
    </w:p>
    <w:p>
      <w:pPr>
        <w:ind w:left="-7" w:right="120" w:firstLine="7"/>
        <w:spacing w:after="0" w:line="252" w:lineRule="auto"/>
        <w:tabs>
          <w:tab w:leader="none" w:pos="24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legal defeasance, which opinions are based on (i) a private ruling of the Internal Revenue Service or an advance tax ruling from the Canada Revenue Agency (or successor agency), as applicable, addressed to the Company or the Trustee, (ii) a published ruling of the Internal Revenue Service or the Canada Revenue Agency (or successor agency), as applicable, or (iii) a change in the applicable U.S. federal income tax law (including regulations) or Canadian federal, provincial or territorial income or other Canadian tax law after the date of this Indenture; the Company has complied with any other conditions specified pursuant to Section 2.2 to be applicable to the legal defeasance of Securities of such Series pursuant to this Section 8.1(c); and</w:t>
      </w:r>
    </w:p>
    <w:p>
      <w:pPr>
        <w:spacing w:after="0" w:line="81" w:lineRule="exact"/>
        <w:rPr>
          <w:rFonts w:ascii="Times New Roman" w:cs="Times New Roman" w:eastAsia="Times New Roman" w:hAnsi="Times New Roman"/>
          <w:sz w:val="18"/>
          <w:szCs w:val="18"/>
          <w:color w:val="auto"/>
        </w:rPr>
      </w:pPr>
    </w:p>
    <w:p>
      <w:pPr>
        <w:ind w:left="-7" w:right="60" w:firstLine="408"/>
        <w:spacing w:after="0" w:line="266" w:lineRule="auto"/>
        <w:tabs>
          <w:tab w:leader="none" w:pos="64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993"/>
          </w:cols>
          <w:pgMar w:left="1427" w:top="270" w:right="479" w:bottom="1440" w:gutter="0" w:footer="0" w:header="0"/>
        </w:sectPr>
      </w:pPr>
    </w:p>
    <w:bookmarkStart w:id="93" w:name="page94"/>
    <w:bookmarkEnd w:id="93"/>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such event, this Indenture shall cease to be of further effect except that the Company’s and the Guarantor’s obligations in Sections 2.4, 2.5, 2.6, 2.7, 2.8, 4.1, 4.6, 5.1, 7.7 and 7.8, the Trustee’s and Paying Agent’s obligations in Section 8.3 and the rights, powers, protections and privileges accorded the Trustee under Article VII shall survive until all Securities of such Series are no longer outstanding. Thereafter, only the obligations of the Company and the Guarantor in Section 7.7 and the Trustee’s and Paying Agent’s obligations in Section 8.3 shall survive with respect to Securities of such Series.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180" w:lineRule="exact"/>
        <w:rPr>
          <w:sz w:val="20"/>
          <w:szCs w:val="20"/>
          <w:color w:val="auto"/>
        </w:rPr>
      </w:pPr>
    </w:p>
    <w:p>
      <w:pPr>
        <w:ind w:left="440" w:right="20" w:firstLine="419"/>
        <w:spacing w:after="0" w:line="261"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of any Series subject to subsections (a), (b) or (c)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8.4.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any Holder of Securities of a Series, the Company, the Guarantor and the Trustee may amend or supplement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such Series of Securities or the Guarantee in the following circumstances:</w:t>
      </w:r>
    </w:p>
    <w:p>
      <w:pPr>
        <w:spacing w:after="0" w:line="99" w:lineRule="exact"/>
        <w:rPr>
          <w:sz w:val="20"/>
          <w:szCs w:val="20"/>
          <w:color w:val="auto"/>
        </w:rPr>
      </w:pPr>
    </w:p>
    <w:p>
      <w:pPr>
        <w:ind w:left="1640" w:hanging="252"/>
        <w:spacing w:after="0"/>
        <w:tabs>
          <w:tab w:leader="none" w:pos="1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obligations under this Indenture or the Securities or the Guarantor’s obligations under the Guarantee by a successor upon any merger, amalgamation, consolidation or asset transfer in accordance with Section 5.1 or to provide for the assumption of the Company’s obligations under this Indenture by a subsidiary of the Guarantor in accordance with Section 5.2;</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980" w:right="740" w:firstLine="408"/>
        <w:spacing w:after="0" w:line="282" w:lineRule="auto"/>
        <w:tabs>
          <w:tab w:leader="none" w:pos="16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Company’s Securities or for the addition of an additional obligor on the Company’s Securities;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this Indenture under the TIA, if applicable;</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the outstanding Securities or to surrender any rights the Company has under this Indenture;</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95" w:name="page96"/>
    <w:bookmarkEnd w:id="95"/>
    <w:p>
      <w:pPr>
        <w:ind w:left="1640" w:hanging="252"/>
        <w:spacing w:after="0"/>
        <w:tabs>
          <w:tab w:leader="none" w:pos="1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provide for the issuance of and establish forms and terms and conditions of a new series of Securities;</w:t>
      </w:r>
    </w:p>
    <w:p>
      <w:pPr>
        <w:spacing w:after="0" w:line="117" w:lineRule="exact"/>
        <w:rPr>
          <w:rFonts w:ascii="Times New Roman" w:cs="Times New Roman" w:eastAsia="Times New Roman" w:hAnsi="Times New Roman"/>
          <w:sz w:val="18"/>
          <w:szCs w:val="18"/>
          <w:color w:val="auto"/>
        </w:rPr>
      </w:pPr>
    </w:p>
    <w:p>
      <w:pPr>
        <w:jc w:val="both"/>
        <w:ind w:left="980" w:right="360" w:firstLine="408"/>
        <w:spacing w:after="0" w:line="266" w:lineRule="auto"/>
        <w:tabs>
          <w:tab w:leader="none" w:pos="16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Securities of any Series, provided that such additional Securities have the same terms (other than the issue date, date from which interest accrues, first interest payment date and restrictions on transfer) as, and will be deemed part of the same Series as, the applicable Series of Securities to the extent required under this Indenture;</w:t>
      </w:r>
    </w:p>
    <w:p>
      <w:pPr>
        <w:spacing w:after="0" w:line="6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72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67" w:lineRule="exact"/>
        <w:rPr>
          <w:rFonts w:ascii="Times New Roman" w:cs="Times New Roman" w:eastAsia="Times New Roman" w:hAnsi="Times New Roman"/>
          <w:sz w:val="18"/>
          <w:szCs w:val="18"/>
          <w:color w:val="auto"/>
        </w:rPr>
      </w:pPr>
    </w:p>
    <w:p>
      <w:pPr>
        <w:ind w:left="1720" w:hanging="332"/>
        <w:spacing w:after="0"/>
        <w:tabs>
          <w:tab w:leader="none" w:pos="1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the Company’s Securities;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its outstanding Securities in any material respect.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7"/>
          <w:szCs w:val="17"/>
          <w:color w:val="auto"/>
        </w:rPr>
        <w:t>This Indenture or the Securities of a Series or the Guarantee may be amended or supplemented, and waivers may be obtained, with the consent of the Holders of at least a majority in aggregate principal amount of the then outstanding Securities of such Series voting as a single class (including, without limitation,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or applicable Guarantee may be waived with the consent of the Holders of a majority in aggregate principal amount of the then outstanding Securities of such Series voting as a single class (including, without limitation, consents obtained in connection with a purchase of, or tender offer or exchange offer for, such Securities of a Series) (other than in respect of a provision contained in this Indenture that cannot be modified or amended without the consent of the Holder of each outstanding Security affected thereby).</w:t>
      </w:r>
    </w:p>
    <w:p>
      <w:pPr>
        <w:spacing w:after="0" w:line="173"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 Series issued by the Company may waive any existing or past Default or Event of Default with respect to those Securities. Notwithstanding the foregoing, those Holders may not, however, waive any Default or Event of Default in any payment on any Security.</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outstanding Securities of a Series, an amendment, supplement or waiver may not (with respect to any Securities of such Series held by a non-consenting Holder):</w:t>
      </w:r>
    </w:p>
    <w:p>
      <w:pPr>
        <w:spacing w:after="0" w:line="54" w:lineRule="exact"/>
        <w:rPr>
          <w:sz w:val="20"/>
          <w:szCs w:val="20"/>
          <w:color w:val="auto"/>
        </w:rPr>
      </w:pPr>
    </w:p>
    <w:p>
      <w:pPr>
        <w:ind w:left="1640" w:hanging="252"/>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Securities of such Series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Securities of such Series;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Securities of such Series or change the Stated Maturity of the Securities of such Series;</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Securities of such Series or change the time at which the Securities of such Series may or must be redeemed;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Securities of such Series;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Securities of such Series payable in currency other than as originally stated in such Securities;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the Securities of such Series;</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aggregate principal amount of the Securities of such Series necessary to waive compliance with Sections 6.8 and 6.13 of this Indenture or to make any change in this Section 9.3(8);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Securities of such Series.</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Form of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9.5. </w:t>
      </w:r>
      <w:r>
        <w:rPr>
          <w:rFonts w:ascii="Times New Roman" w:cs="Times New Roman" w:eastAsia="Times New Roman" w:hAnsi="Times New Roman"/>
          <w:sz w:val="18"/>
          <w:szCs w:val="18"/>
          <w:u w:val="single" w:color="auto"/>
          <w:color w:val="auto"/>
        </w:rPr>
        <w:t>Revocation and Effect of Consents.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It will not be necessary for the consent of the Holders to approve the particular form of any proposed supplement, amendment or waiver, but it will be sufficient if such consent approves the substance of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amendment or waiver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Any request, direction, instruction, demand, document, notice or communication by the Company, the Guarantor or the Trustee to the other, or by a Holder to the Company or the Trustee, shall be in English and in writing and delivered in person, mailed by first-class mail or delivered by overnight courier as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125 – 9th Avenue S.E.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Calgary, Alberta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T2G OP6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also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Vice President &amp;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Guarantor: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Vice President &amp;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601 Travis Street, 16th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Corporate Trust-Conventional Debt</w:t>
      </w:r>
    </w:p>
    <w:p>
      <w:pPr>
        <w:spacing w:after="0" w:line="20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Notices shall be effective upon the recipient’s actual receipt thereof. Any party by notice to the other parties may designate additional or different addresses for subsequent notices or communications.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to any Securityholder is given in the manner provided above, within the time prescribed, it is duly given, whether or not the Securityholder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Company mails a notice or communication to Securityholders, it shall mail a copy to the Trustee and each Agent at the same time.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80"/>
          </w:cols>
          <w:pgMar w:left="440" w:top="270" w:right="579" w:bottom="1440" w:gutter="0" w:footer="0" w:header="0"/>
        </w:sectPr>
      </w:pPr>
    </w:p>
    <w:bookmarkStart w:id="99" w:name="page100"/>
    <w:bookmarkEnd w:id="99"/>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Securityholders of a Series may communicate pursuant to TIA § 312(b), as if such section applied hereto, with other Securityholders of such Series with respect to their rights under this Indenture or the Securities. The Company, the Trustee, the Agents and anyone else shall have the protection of TIA § 312(c).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Upon any request or application by the Company or the Guarantor to the Trustee to take any action under this Indenture, the Company or the Guarantor, as applicable, shall furnish to the Trustee:</w:t>
      </w:r>
    </w:p>
    <w:p>
      <w:pPr>
        <w:spacing w:after="0" w:line="67" w:lineRule="exact"/>
        <w:rPr>
          <w:sz w:val="20"/>
          <w:szCs w:val="20"/>
          <w:color w:val="auto"/>
        </w:rPr>
      </w:pPr>
    </w:p>
    <w:p>
      <w:pPr>
        <w:ind w:left="1960" w:right="60" w:hanging="533"/>
        <w:spacing w:after="0" w:line="312" w:lineRule="auto"/>
        <w:tabs>
          <w:tab w:leader="none" w:pos="19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Officer’s Certificate (which shall include the statements set forth in Section 10.4) stating that, in the opinion of the signer, all conditions precedent, if any, provided for in this Indenture relating to the proposed action have been complied with; and</w:t>
      </w:r>
    </w:p>
    <w:p>
      <w:pPr>
        <w:spacing w:after="0" w:line="45" w:lineRule="exact"/>
        <w:rPr>
          <w:rFonts w:ascii="Times New Roman" w:cs="Times New Roman" w:eastAsia="Times New Roman" w:hAnsi="Times New Roman"/>
          <w:sz w:val="17"/>
          <w:szCs w:val="17"/>
          <w:color w:val="auto"/>
        </w:rPr>
      </w:pPr>
    </w:p>
    <w:p>
      <w:pPr>
        <w:ind w:left="1960" w:hanging="533"/>
        <w:spacing w:after="0" w:line="282" w:lineRule="auto"/>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10.4 hereof) stating that, in the opinion of such counsel, all such conditions precedent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312" w:lineRule="auto"/>
        <w:rPr>
          <w:sz w:val="20"/>
          <w:szCs w:val="20"/>
          <w:color w:val="auto"/>
        </w:rPr>
      </w:pPr>
      <w:r>
        <w:rPr>
          <w:rFonts w:ascii="Times New Roman" w:cs="Times New Roman" w:eastAsia="Times New Roman" w:hAnsi="Times New Roman"/>
          <w:sz w:val="17"/>
          <w:szCs w:val="17"/>
          <w:color w:val="auto"/>
        </w:rPr>
        <w:t>Each certificate or opinion with respect to compliance with a condition or covenant provided for in this Indenture (other than a certificate provided pursuant to Section 4.2 in accordance with TIA § 314(a)(4)) shall comply with the provisions of TIA § 314(e) and shall include substantially:</w:t>
      </w:r>
    </w:p>
    <w:p>
      <w:pPr>
        <w:spacing w:after="0" w:line="45" w:lineRule="exact"/>
        <w:rPr>
          <w:sz w:val="20"/>
          <w:szCs w:val="20"/>
          <w:color w:val="auto"/>
        </w:rPr>
      </w:pPr>
    </w:p>
    <w:p>
      <w:pPr>
        <w:ind w:left="1960" w:hanging="533"/>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30" w:lineRule="exact"/>
        <w:rPr>
          <w:rFonts w:ascii="Times New Roman" w:cs="Times New Roman" w:eastAsia="Times New Roman" w:hAnsi="Times New Roman"/>
          <w:sz w:val="18"/>
          <w:szCs w:val="18"/>
          <w:color w:val="auto"/>
        </w:rPr>
      </w:pPr>
    </w:p>
    <w:p>
      <w:pPr>
        <w:ind w:left="1960" w:right="560" w:hanging="533"/>
        <w:spacing w:after="0" w:line="282" w:lineRule="auto"/>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00" w:name="page101"/>
    <w:bookmarkEnd w:id="100"/>
    <w:p>
      <w:pPr>
        <w:ind w:left="1960" w:right="120" w:hanging="533"/>
        <w:spacing w:after="0" w:line="282" w:lineRule="auto"/>
        <w:tabs>
          <w:tab w:leader="none" w:pos="1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statement that, in the opinion of such Person, he has made such examination or investigation as is necessary to enable him to express an informed opinion as to whether or not such covenant or condition has been complied with; and</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If a payment date is not a Business Day, payment may be made at that place on the next succeeding day that is a Business Day, and no interest shall accrue for the intervening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Personal Liability of Directors, Officers, Employees and Certain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or any obligations of the Company or the Guarantor under this Indenture or the Securities, or Guarantee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FATCA.</w:t>
      </w:r>
    </w:p>
    <w:p>
      <w:pPr>
        <w:spacing w:after="0" w:line="22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agrees that if reasonably requested in writing by the Trustee or any Agent (for purposes of this Section 10.8,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xml:space="preserve">”), the Company shall provide such information as is reasonably necessary for the Trustee to comply with the requirements of Sections 1471 to 1474 of the Internal Revenue Code of 1986, as amended, and any current or future regulations or official interpretations thereof (collectively, “FATCA”), in relation to a payment made under the Indenture, the Securities or any Guarantee;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provide any information that it is prohibited from disclosing. The Trustee shall be entitled to make any withholding or deduction from payments under the Indenture, the Securities or any Guarantee to the extent necessary to comply with FATCA. The Trustee shall have no liability for, and the Company shall indemnify and hold harmless the Trustee against any liability for, any withholding or deduction made by the Trustee, or any failure by the Trustee to make any withholding or deduction, in each case to the extent such action or failure to act was taken in reliance on the information provided by the Company pursuant to the first sentence of this Section 10.8 or as a result of the Company’s failure to provide information reasonably requested in writing by the Trustee pursuant to the first sentence of this Section 10.8.</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one and the same instrument. Delivery of an executed counterpart of a signature page of this Indenture by facsimile or in electronic format shall be effective as delivery of a manually executed counterpart of this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THIS INDENTURE, THE SECURITIES AND THE GUARANTEE, INCLUDING ANY CLAIM OR CONTROVERSY ARISING OUT OF OR RELATING TO THIS INDENTURE, THE SECURITIES OR THE GUARANTEE, SHALL BE GOVERNED BY THE LAWS OF THE STATE OF NEW YORK WITHOUT REGARD TO CONFLICT OF LAW PRINCIPLES THAT WOULD RESULT IN THE APPLICATION OF ANY LAW OTHER THAN THE LAW OF THE STATE OF NEW YORK.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any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Company and the Guarantor in this Indenture and the Securities shall bind their respective successors. All agreements of the Trustee in this Indenture shall bind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p>
    <w:p>
      <w:pPr>
        <w:spacing w:after="0" w:line="225" w:lineRule="exact"/>
        <w:rPr>
          <w:sz w:val="20"/>
          <w:szCs w:val="20"/>
          <w:color w:val="auto"/>
        </w:rPr>
      </w:pPr>
    </w:p>
    <w:p>
      <w:pPr>
        <w:ind w:right="500" w:firstLine="991"/>
        <w:spacing w:after="0" w:line="312"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t>Each of the Company and the Guarantor agrees, to the fullest extent that it may effectively do so under applicable law, that (a) if for the purpose of obtaining judgment in any court it is necessary to convert the sum due in respect of this Indenture or the principal of or interest or other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102" w:name="page103"/>
    <w:bookmarkEnd w:id="10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Business Day.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Submission to Jurisdiction; Appointment of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suit, action or proceeding against the Company or the Guarantor or its respective properties, assets or revenues with respect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the Securities or the Guarantee (a “</w:t>
      </w:r>
      <w:r>
        <w:rPr>
          <w:rFonts w:ascii="Times New Roman" w:cs="Times New Roman" w:eastAsia="Times New Roman" w:hAnsi="Times New Roman"/>
          <w:sz w:val="18"/>
          <w:szCs w:val="18"/>
          <w:i w:val="1"/>
          <w:iCs w:val="1"/>
          <w:color w:val="auto"/>
        </w:rPr>
        <w:t>Related Proceeding</w:t>
      </w:r>
      <w:r>
        <w:rPr>
          <w:rFonts w:ascii="Times New Roman" w:cs="Times New Roman" w:eastAsia="Times New Roman" w:hAnsi="Times New Roman"/>
          <w:sz w:val="18"/>
          <w:szCs w:val="18"/>
          <w:color w:val="auto"/>
        </w:rPr>
        <w:t>”) may be brought in any state or Federal court in the Borough of Manhattan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of New York, New York, as the Person bringing such Related Proceeding may elect in its sole discretion. The Company and the Guarantor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to the non-exclusive jurisdiction of each such court for the purpose of any Related Proceeding and have irrevocably waived any objection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laying of venue of any Related Proceeding brought in any such court and to the fullest extent they may effectively do so and the defense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inconvenient forum to the maintenance of any Related Proceeding or any such suit, action or proceeding in any such court.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hereby agree that service of all writs, claims, process and summonses in any Related Proceeding brought against them in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may be made upon Schlumberger Limited, 5599 San Felipe Street,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Houston, Texas 77057 Attention: Vice President Treasurer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Process Agent</w:t>
      </w:r>
      <w:r>
        <w:rPr>
          <w:rFonts w:ascii="Times New Roman" w:cs="Times New Roman" w:eastAsia="Times New Roman" w:hAnsi="Times New Roman"/>
          <w:sz w:val="18"/>
          <w:szCs w:val="18"/>
          <w:color w:val="auto"/>
        </w:rPr>
        <w:t>”). Each of the Company and the Guarantor has irrevocably appointed the Process Agent as its agent and true and lawful attorney in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name, place and stead to accept such service of any and all such writs, claims, process and summonses, and hereby agrees that the failure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Agent to give any notice to it of any such service of process shall not impair or affect the validity of such service or of any judgment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8" w:right="459" w:bottom="1440" w:gutter="0" w:footer="0" w:header="0"/>
        </w:sectPr>
      </w:pPr>
    </w:p>
    <w:bookmarkStart w:id="103" w:name="page104"/>
    <w:bookmarkEnd w:id="103"/>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thereon. The Company and the Guarantor hereby agree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To the extent that the Company or the Guarantor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Securities and/or the Guarantees.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Interest Act (Canada)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Solely for the purposes of disclosure pursuant to the Interest Act (Canada) and without affecting any calculation of interest required by this Indenture or the Securities, whenever any interest payable under this Indenture, any supplement or the Securities within or of a Series is calculated on the basis of a 360-day or 365-day year, the yearly rate of interest to which the rate used in such calculation is equivalent is the rate so used multiplied by the actual number of days in the calendar year in which the same is to be ascertained and divided by 360 or 365, as applicable. The rates of interest under this Indenture and the Securities are nominal rates, and not effective rates or yields. The principle of deemed reinvestment of interest does not apply to any interest calculation under this Indenture or the Securities.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EACH OF THE PARTIES HERETO HEREBY IRREVOCABLY WAIVES ALL RIGHTS TO TRIAL BY JURY IN ANY ACTION, PROCEEDING OR COUNTERCLAIM (WHETHER BASED ON CONTRACT, TORT OR OTHERWISE) ARISING OUT OF OR RELATING TO THIS INDENTURE, THE SECURITIES, THE GUARANTEES OR THE TRANSACTIONS CONTEMPLATED HEREBY OR THEREBY.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provision of this Indenture limits, qualifies or conflicts with the duties imposed by operation of TIA § 318(c), the imposed duties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control.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Indenture to be duly executed as of the day and year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Schlumberger Finance Canada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Tatyana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Tatyana A. Lambert</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 Treasurer</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Claudia Jaramillo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Claudia Jaramillo</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 Vice President and Treasurer</w:t>
      </w:r>
    </w:p>
    <w:p>
      <w:pPr>
        <w:spacing w:after="0" w:line="1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to Base Indenture</w:t>
      </w:r>
    </w:p>
    <w:p>
      <w:pPr>
        <w:sectPr>
          <w:pgSz w:w="11900" w:h="16838" w:orient="portrait"/>
          <w:cols w:equalWidth="0" w:num="1">
            <w:col w:w="9680"/>
          </w:cols>
          <w:pgMar w:left="1420" w:top="270" w:right="799" w:bottom="1440" w:gutter="0" w:footer="0" w:header="0"/>
        </w:sectPr>
      </w:pPr>
    </w:p>
    <w:bookmarkStart w:id="105" w:name="page106"/>
    <w:bookmarkEnd w:id="10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Trustee, Registrar, Paying Agent and Transfer Agent</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Laurence J. O’Brien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Signature Page to Base Indenture</w:t>
      </w:r>
    </w:p>
    <w:p>
      <w:pPr>
        <w:sectPr>
          <w:pgSz w:w="11900" w:h="16838" w:orient="portrait"/>
          <w:cols w:equalWidth="0" w:num="1">
            <w:col w:w="9600"/>
          </w:cols>
          <w:pgMar w:left="1440" w:top="266" w:right="8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345440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Schlumberger Finance Canada Ltd.</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1.400% Senior Notes due 2025</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Irrevocably and Unconditionally Guaranteed by</w:t>
      </w:r>
    </w:p>
    <w:p>
      <w:pPr>
        <w:spacing w:after="0" w:line="2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 Registrar, Paying Agent</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331470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07" w:name="page108"/>
    <w:bookmarkEnd w:id="107"/>
    <w:p>
      <w:pPr>
        <w:jc w:val="both"/>
        <w:ind w:right="6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Supplemental Indenture (this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dated as of September 18, 2020 by and among Schlumberger Finance Canada Ltd., a corporation incorporated under the laws of the Province of Alberta, Canada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Schlumberger Limited (the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registrar, paying agent, and transfer agent.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223" w:lineRule="exact"/>
        <w:rPr>
          <w:sz w:val="20"/>
          <w:szCs w:val="20"/>
          <w:color w:val="auto"/>
        </w:rPr>
      </w:pPr>
    </w:p>
    <w:p>
      <w:pPr>
        <w:ind w:right="200" w:firstLine="987"/>
        <w:spacing w:after="0" w:line="267" w:lineRule="auto"/>
        <w:tabs>
          <w:tab w:leader="none" w:pos="134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Guarantor, and the Trustee, executed and delivered an Indenture, dated as of September 18, 2020 (the “</w:t>
      </w:r>
      <w:r>
        <w:rPr>
          <w:rFonts w:ascii="Times New Roman" w:cs="Times New Roman" w:eastAsia="Times New Roman" w:hAnsi="Times New Roman"/>
          <w:sz w:val="18"/>
          <w:szCs w:val="18"/>
          <w:i w:val="1"/>
          <w:i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to provide for the issuance by the Company from time to time of debentures, notes or other debt instruments evidencing its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Indenture, as supplemented and amended by this First Supplemental Indenture, is herein referred to as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authorized the issuance of $500,000,000 principal amount of 1.400%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33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 desire to enter into this First Supplemental Indenture pursuant to Section 9.1 of the Base Indenture to (i) establish the terms of the Notes and in accordance with Section 2.2 of the Base Indenture, (ii) establish the form of the Notes in accordance with Sections 2.2.13 and 2.3 of the Base Indenture and (iii) change certain provisions of the Base Indenture with respect to the Notes.</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things necessary to make this First Supplemental Indenture a valid and legally binding agreement according to its terms have been</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done.</w:t>
      </w:r>
    </w:p>
    <w:p>
      <w:pPr>
        <w:spacing w:after="0" w:line="20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foregoing premises, the Company, the Guarantor and the Trustee mutually covenant and agree for the equal and proportionate benefit of the Holders from time to time of the Notes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Additional Defined Terms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herein, the following defined terms shall have the following meanings with respect to the Notes only:</w:t>
      </w:r>
    </w:p>
    <w:p>
      <w:pPr>
        <w:spacing w:after="0" w:line="115"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 means, with respect to any transfer or exchange of or for beneficial interests in any Global Note, the rules and procedures of the Depositary that apply to such transfer or exchange at the relevant time.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Certificated Note</w:t>
      </w:r>
      <w:r>
        <w:rPr>
          <w:rFonts w:ascii="Times New Roman" w:cs="Times New Roman" w:eastAsia="Times New Roman" w:hAnsi="Times New Roman"/>
          <w:sz w:val="18"/>
          <w:szCs w:val="18"/>
          <w:color w:val="auto"/>
        </w:rPr>
        <w:t>” means a definitive note in registered non-global certificated form.</w:t>
      </w:r>
    </w:p>
    <w:p>
      <w:pPr>
        <w:spacing w:after="0" w:line="225"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means the legend set forth in Section 1.4.1 hereof, which is required to be placed on all Global Notes issued under the Indenture.</w:t>
      </w:r>
    </w:p>
    <w:p>
      <w:pPr>
        <w:sectPr>
          <w:pgSz w:w="11900" w:h="16838" w:orient="portrait"/>
          <w:cols w:equalWidth="0" w:num="1">
            <w:col w:w="10980"/>
          </w:cols>
          <w:pgMar w:left="440" w:top="268" w:right="479" w:bottom="1440" w:gutter="0" w:footer="0" w:header="0"/>
        </w:sectPr>
      </w:pPr>
    </w:p>
    <w:bookmarkStart w:id="108" w:name="page109"/>
    <w:bookmarkEnd w:id="108"/>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means, individually and collectively, each of the global notes, substantially in the form of Exhibit A hereto and that bears the Global Note Legend, issued in accordance with Sections 2.1 of the Base Indenture and 1.3 hereof.</w:t>
      </w:r>
    </w:p>
    <w:p>
      <w:pPr>
        <w:spacing w:after="0" w:line="158" w:lineRule="exact"/>
        <w:rPr>
          <w:sz w:val="20"/>
          <w:szCs w:val="20"/>
          <w:color w:val="auto"/>
        </w:rPr>
      </w:pPr>
    </w:p>
    <w:p>
      <w:pPr>
        <w:ind w:right="4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Indirect Participant</w:t>
      </w:r>
      <w:r>
        <w:rPr>
          <w:rFonts w:ascii="Times New Roman" w:cs="Times New Roman" w:eastAsia="Times New Roman" w:hAnsi="Times New Roman"/>
          <w:sz w:val="18"/>
          <w:szCs w:val="18"/>
          <w:color w:val="auto"/>
        </w:rPr>
        <w:t>” means any entity that, with respect to the Depositary, clears through or maintains a direct or indirect custodial relationship with a Participant.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means the stated due date of an installment of interest on the Notes set forth in the Notes.</w:t>
      </w:r>
    </w:p>
    <w:p>
      <w:pPr>
        <w:spacing w:after="0" w:line="225"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the Guarantee by the Guarantor of the Company’s obligations under the Indenture and the Notes, pursuant to the provisions of the Indenture.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with respect to the Depositary, a Person who has an account with the Depositary.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means, when used with respect to any Note to be redeemed, the date fixed for such redemption by or pursuant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315"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Terms of the Notes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terms relate to the Notes:</w:t>
      </w:r>
    </w:p>
    <w:p>
      <w:pPr>
        <w:spacing w:after="0" w:line="225" w:lineRule="exact"/>
        <w:rPr>
          <w:sz w:val="20"/>
          <w:szCs w:val="20"/>
          <w:color w:val="auto"/>
        </w:rPr>
      </w:pPr>
    </w:p>
    <w:p>
      <w:pPr>
        <w:ind w:left="1380" w:hanging="393"/>
        <w:spacing w:after="0"/>
        <w:tabs>
          <w:tab w:leader="none" w:pos="1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separate Series of Securities under the Base Indenture having the title “1.400% Senior Notes due 2025.”</w:t>
      </w:r>
    </w:p>
    <w:p>
      <w:pPr>
        <w:spacing w:after="0" w:line="223" w:lineRule="exact"/>
        <w:rPr>
          <w:rFonts w:ascii="Times New Roman" w:cs="Times New Roman" w:eastAsia="Times New Roman" w:hAnsi="Times New Roman"/>
          <w:sz w:val="18"/>
          <w:szCs w:val="18"/>
          <w:color w:val="auto"/>
        </w:rPr>
      </w:pPr>
    </w:p>
    <w:p>
      <w:pPr>
        <w:ind w:right="60" w:firstLine="987"/>
        <w:spacing w:after="0" w:line="254" w:lineRule="auto"/>
        <w:tabs>
          <w:tab w:leader="none" w:pos="13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(the “</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that may be initially authenticated and delivered under the Indenture shall be $500,000,000 of Notes. The Company may from time to time, without the consent of the Holders of Notes, issue additional Notes (in any such case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having the same forms and terms (other than the date of issuance and, under certain circumstances, the date from which interest thereon will begin to accrue), and will carry the same right to receive accrued and unpaid interest, as the Notes previously outstanding. Any Additional Notes and the Initial Notes shall constitute a single Series of Securities under the Indenture, including for purposes of voting and redemptions, and all references to the “Notes” shall include the Initial Notes and any Additional Notes, unless the context otherwise requires, provided, however, that a separate CUSIP or ISIN shall be issued for the Additional Notes, unless the Initial Notes and the Additional Notes are fungible for U.S. federal income tax purposes. Such Additional Notes will also be guaranteed by the Guarantor (with the same ranking as the Note Guarantee for the Initial Notes). The aggregate principal amount of the Additional Notes that may be issued shall be unlimited.</w:t>
      </w:r>
    </w:p>
    <w:p>
      <w:pPr>
        <w:spacing w:after="0" w:line="190"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of the Notes shall be payable on September 17, 2025.</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3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Notes shall bear interest shall be 1.400% per year. The date from which interest shall accrue on the Notes shall be September 18, 2020, or the most recent Interest Payment Date to which interest has been paid or provided for. The Interest Payment Dates for each of the Notes shall be March 17 and September 17 of each year,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8" w:right="479" w:bottom="1440" w:gutter="0" w:footer="0" w:header="0"/>
        </w:sectPr>
      </w:pPr>
    </w:p>
    <w:bookmarkStart w:id="109" w:name="page110"/>
    <w:bookmarkEnd w:id="109"/>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beginning March 17, 2021. Interest shall be payable on each Interest Payment Date to the Holders of record at the close of business on the March 2 and September 2 prior to each Interest Payment Date (whether or not a Business Day). The basis upon which interest shall be calculated shall be that of a 360-day year consisting of twelve 30-day months.</w:t>
      </w:r>
    </w:p>
    <w:p>
      <w:pPr>
        <w:spacing w:after="0" w:line="176" w:lineRule="exact"/>
        <w:rPr>
          <w:sz w:val="20"/>
          <w:szCs w:val="20"/>
          <w:color w:val="auto"/>
        </w:rPr>
      </w:pPr>
    </w:p>
    <w:p>
      <w:pPr>
        <w:jc w:val="both"/>
        <w:ind w:right="180" w:firstLine="987"/>
        <w:spacing w:after="0" w:line="261" w:lineRule="auto"/>
        <w:tabs>
          <w:tab w:leader="none" w:pos="13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whole in the form of one or more registered Global Notes, and the Depositary for such Global Notes shall be The Depository Trust Company, New York, New York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Notes shall be substantially in the form attached hereto as Exhibit A, the terms of which are herein incorporated by reference. The Notes shall be denominated and payable in Dollars and shall be issuable in minimum denominations of $2,000 and any integral multiple of $1,000 in excess thereof.</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3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may be redeemed at the option of the Company or the Guarantor prior to the Maturity date, as provided in Article III of the Base Indenture and under the caption “Optional Redemption” in the Notes.</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not have the benefit of any sinking fund.</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38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1.3 and 1.5 hereof, the Holders of the Notes shall have no special rights in addition to those provided in the Base Indenture upon the occurrence of any particular events.</w:t>
      </w:r>
    </w:p>
    <w:p>
      <w:pPr>
        <w:spacing w:after="0" w:line="161" w:lineRule="exact"/>
        <w:rPr>
          <w:rFonts w:ascii="Times New Roman" w:cs="Times New Roman" w:eastAsia="Times New Roman" w:hAnsi="Times New Roman"/>
          <w:sz w:val="18"/>
          <w:szCs w:val="18"/>
          <w:color w:val="auto"/>
        </w:rPr>
      </w:pPr>
    </w:p>
    <w:p>
      <w:pPr>
        <w:ind w:right="320" w:firstLine="987"/>
        <w:spacing w:after="0" w:line="282" w:lineRule="auto"/>
        <w:tabs>
          <w:tab w:leader="none" w:pos="13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senior unsecured obligations of the Company and will rank equally and ratably in right of payment to all of the Company’s other unsecured indebtedness.</w:t>
      </w:r>
    </w:p>
    <w:p>
      <w:pPr>
        <w:spacing w:after="0" w:line="161" w:lineRule="exact"/>
        <w:rPr>
          <w:rFonts w:ascii="Times New Roman" w:cs="Times New Roman" w:eastAsia="Times New Roman" w:hAnsi="Times New Roman"/>
          <w:sz w:val="18"/>
          <w:szCs w:val="18"/>
          <w:color w:val="auto"/>
        </w:rPr>
      </w:pPr>
    </w:p>
    <w:p>
      <w:pPr>
        <w:ind w:left="1460" w:hanging="473"/>
        <w:spacing w:after="0"/>
        <w:tabs>
          <w:tab w:leader="none" w:pos="1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not convertible into shares of common stock or other securities of the Company.</w:t>
      </w:r>
    </w:p>
    <w:p>
      <w:pPr>
        <w:spacing w:after="0" w:line="225" w:lineRule="exact"/>
        <w:rPr>
          <w:rFonts w:ascii="Times New Roman" w:cs="Times New Roman" w:eastAsia="Times New Roman" w:hAnsi="Times New Roman"/>
          <w:sz w:val="18"/>
          <w:szCs w:val="18"/>
          <w:color w:val="auto"/>
        </w:rPr>
      </w:pPr>
    </w:p>
    <w:p>
      <w:pPr>
        <w:ind w:left="1460" w:hanging="473"/>
        <w:spacing w:after="0"/>
        <w:tabs>
          <w:tab w:leader="none" w:pos="1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covenants set forth in Article IV of the Base Indenture shall be applicable to the Notes.</w:t>
      </w:r>
    </w:p>
    <w:p>
      <w:pPr>
        <w:spacing w:after="0" w:line="225" w:lineRule="exact"/>
        <w:rPr>
          <w:rFonts w:ascii="Times New Roman" w:cs="Times New Roman" w:eastAsia="Times New Roman" w:hAnsi="Times New Roman"/>
          <w:sz w:val="18"/>
          <w:szCs w:val="18"/>
          <w:color w:val="auto"/>
        </w:rPr>
      </w:pPr>
    </w:p>
    <w:p>
      <w:pPr>
        <w:ind w:left="1460" w:hanging="473"/>
        <w:spacing w:after="0"/>
        <w:tabs>
          <w:tab w:leader="none" w:pos="1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issued as Unrestricted Securities.</w:t>
      </w:r>
    </w:p>
    <w:p>
      <w:pPr>
        <w:spacing w:after="0" w:line="333"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This Section 1.3.1 replaces the second paragraph of Section 2.14.2 of the Base Indenture with respect to the Notes only.</w:t>
      </w:r>
    </w:p>
    <w:p>
      <w:pPr>
        <w:spacing w:after="0" w:line="162" w:lineRule="exact"/>
        <w:rPr>
          <w:sz w:val="20"/>
          <w:szCs w:val="20"/>
          <w:color w:val="auto"/>
        </w:rPr>
      </w:pPr>
    </w:p>
    <w:p>
      <w:pPr>
        <w:ind w:right="140" w:firstLine="1432"/>
        <w:spacing w:after="0" w:line="281" w:lineRule="auto"/>
        <w:rPr>
          <w:sz w:val="20"/>
          <w:szCs w:val="20"/>
          <w:color w:val="auto"/>
        </w:rPr>
      </w:pPr>
      <w:r>
        <w:rPr>
          <w:rFonts w:ascii="Times New Roman" w:cs="Times New Roman" w:eastAsia="Times New Roman" w:hAnsi="Times New Roman"/>
          <w:sz w:val="17"/>
          <w:szCs w:val="17"/>
          <w:color w:val="auto"/>
        </w:rPr>
        <w:t>Except as provided in Section 2.14.2 of the Base Indenture, a Global Note may not be transferred except as a whole by the Depositary with respect to such Global Note to a nominee of such Depositary, by a nominee of such Depositary to such Depositary or another nominee of such Depositary or by the Depositary or any such nominee to a successor Depositary or a nominee of such a successor Depositary; however, beneficial interests in a Global Note may be transferred and exchanged as provided in Section 2.7 of the Base Indenture, as amended by Section 1.3.5.</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0" w:name="page111"/>
    <w:bookmarkEnd w:id="110"/>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w:t>
      </w:r>
      <w:r>
        <w:rPr>
          <w:sz w:val="20"/>
          <w:szCs w:val="20"/>
          <w:color w:val="auto"/>
        </w:rPr>
        <w:tab/>
      </w:r>
      <w:r>
        <w:rPr>
          <w:rFonts w:ascii="Times New Roman" w:cs="Times New Roman" w:eastAsia="Times New Roman" w:hAnsi="Times New Roman"/>
          <w:sz w:val="17"/>
          <w:szCs w:val="17"/>
          <w:u w:val="single" w:color="auto"/>
          <w:color w:val="auto"/>
        </w:rPr>
        <w:t>Transfer and Exchange of Beneficial Interests in the Global Notes</w:t>
      </w:r>
      <w:r>
        <w:rPr>
          <w:rFonts w:ascii="Times New Roman" w:cs="Times New Roman" w:eastAsia="Times New Roman" w:hAnsi="Times New Roman"/>
          <w:sz w:val="17"/>
          <w:szCs w:val="17"/>
          <w:color w:val="auto"/>
        </w:rPr>
        <w:t>. This Section 1.3.2 shall apply with respect to the Notes only.</w:t>
      </w:r>
    </w:p>
    <w:p>
      <w:pPr>
        <w:spacing w:after="0" w:line="117" w:lineRule="exact"/>
        <w:rPr>
          <w:sz w:val="20"/>
          <w:szCs w:val="20"/>
          <w:color w:val="auto"/>
        </w:rPr>
      </w:pPr>
    </w:p>
    <w:p>
      <w:pPr>
        <w:jc w:val="both"/>
        <w:ind w:right="60" w:firstLine="1432"/>
        <w:spacing w:after="0" w:line="266" w:lineRule="auto"/>
        <w:rPr>
          <w:sz w:val="20"/>
          <w:szCs w:val="20"/>
          <w:color w:val="auto"/>
        </w:rPr>
      </w:pPr>
      <w:r>
        <w:rPr>
          <w:rFonts w:ascii="Times New Roman" w:cs="Times New Roman" w:eastAsia="Times New Roman" w:hAnsi="Times New Roman"/>
          <w:sz w:val="18"/>
          <w:szCs w:val="18"/>
          <w:color w:val="auto"/>
        </w:rPr>
        <w:t>The transfer and exchange of beneficial interests in the Global Notes will be effected through the Depositary, in accordance with the provisions of the Indenture and the Applicable Procedures. Transfers of beneficial interests in the Global Notes also will require compliance with either subparagraph (a) or (b) below, as applicable, as well as one or more of the other following subparagraphs, as applicable.</w:t>
      </w:r>
    </w:p>
    <w:p>
      <w:pPr>
        <w:spacing w:after="0" w:line="68" w:lineRule="exact"/>
        <w:rPr>
          <w:sz w:val="20"/>
          <w:szCs w:val="20"/>
          <w:color w:val="auto"/>
        </w:rPr>
      </w:pPr>
    </w:p>
    <w:p>
      <w:pPr>
        <w:ind w:left="440" w:firstLine="419"/>
        <w:spacing w:after="0" w:line="266" w:lineRule="auto"/>
        <w:tabs>
          <w:tab w:leader="none" w:pos="124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in the Same Global Note</w:t>
      </w:r>
      <w:r>
        <w:rPr>
          <w:rFonts w:ascii="Times New Roman" w:cs="Times New Roman" w:eastAsia="Times New Roman" w:hAnsi="Times New Roman"/>
          <w:sz w:val="18"/>
          <w:szCs w:val="18"/>
          <w:color w:val="auto"/>
        </w:rPr>
        <w:t>.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25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 interests that are not subject to Section 1.3.2(a) above, the transferor of such beneficial interest must deliver to the Registrar either:</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7" w:lineRule="exact"/>
        <w:rPr>
          <w:rFonts w:ascii="Times New Roman" w:cs="Times New Roman" w:eastAsia="Times New Roman" w:hAnsi="Times New Roman"/>
          <w:sz w:val="18"/>
          <w:szCs w:val="18"/>
          <w:color w:val="auto"/>
        </w:rPr>
      </w:pPr>
    </w:p>
    <w:p>
      <w:pPr>
        <w:ind w:left="1420" w:right="120" w:firstLine="391"/>
        <w:spacing w:after="0" w:line="266" w:lineRule="auto"/>
        <w:tabs>
          <w:tab w:leader="none" w:pos="2193"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1420" w:right="140" w:firstLine="391"/>
        <w:spacing w:after="0" w:line="282" w:lineRule="auto"/>
        <w:tabs>
          <w:tab w:leader="none" w:pos="2193"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in accordance with the Applicable Procedures containing information regarding the Participant account to be credited with such increase; or</w:t>
      </w:r>
    </w:p>
    <w:p>
      <w:pPr>
        <w:spacing w:after="0" w:line="54" w:lineRule="exact"/>
        <w:rPr>
          <w:sz w:val="20"/>
          <w:szCs w:val="20"/>
          <w:color w:val="auto"/>
        </w:rPr>
      </w:pPr>
    </w:p>
    <w:p>
      <w:pPr>
        <w:ind w:left="1820"/>
        <w:spacing w:after="0"/>
        <w:tabs>
          <w:tab w:leader="none" w:pos="220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both:</w:t>
      </w:r>
    </w:p>
    <w:p>
      <w:pPr>
        <w:spacing w:after="0" w:line="117" w:lineRule="exact"/>
        <w:rPr>
          <w:sz w:val="20"/>
          <w:szCs w:val="20"/>
          <w:color w:val="auto"/>
        </w:rPr>
      </w:pPr>
    </w:p>
    <w:p>
      <w:pPr>
        <w:ind w:left="1420" w:right="320" w:firstLine="391"/>
        <w:spacing w:after="0" w:line="266" w:lineRule="auto"/>
        <w:tabs>
          <w:tab w:leader="none" w:pos="219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cause to be issued a Certificated Note in an amount equal to the beneficial interest to be transferred or exchanged; and</w:t>
      </w:r>
    </w:p>
    <w:p>
      <w:pPr>
        <w:spacing w:after="0" w:line="67" w:lineRule="exact"/>
        <w:rPr>
          <w:rFonts w:ascii="Times New Roman" w:cs="Times New Roman" w:eastAsia="Times New Roman" w:hAnsi="Times New Roman"/>
          <w:sz w:val="18"/>
          <w:szCs w:val="18"/>
          <w:color w:val="auto"/>
        </w:rPr>
      </w:pPr>
    </w:p>
    <w:p>
      <w:pPr>
        <w:ind w:left="1420" w:right="300" w:firstLine="391"/>
        <w:spacing w:after="0" w:line="282" w:lineRule="auto"/>
        <w:tabs>
          <w:tab w:leader="none" w:pos="219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Certificated Note shall be registered.</w:t>
      </w:r>
    </w:p>
    <w:p>
      <w:pPr>
        <w:spacing w:after="0" w:line="162" w:lineRule="exact"/>
        <w:rPr>
          <w:sz w:val="20"/>
          <w:szCs w:val="20"/>
          <w:color w:val="auto"/>
        </w:rPr>
      </w:pPr>
    </w:p>
    <w:p>
      <w:pPr>
        <w:ind w:left="440" w:right="140"/>
        <w:spacing w:after="0" w:line="312" w:lineRule="auto"/>
        <w:rPr>
          <w:sz w:val="20"/>
          <w:szCs w:val="20"/>
          <w:color w:val="auto"/>
        </w:rPr>
      </w:pPr>
      <w:r>
        <w:rPr>
          <w:rFonts w:ascii="Times New Roman" w:cs="Times New Roman" w:eastAsia="Times New Roman" w:hAnsi="Times New Roman"/>
          <w:sz w:val="17"/>
          <w:szCs w:val="17"/>
          <w:color w:val="auto"/>
        </w:rPr>
        <w:t>Upon satisfaction of all of the requirements for transfer or exchange of beneficial interests in Global Notes contained in the Indenture and the Notes, the Trustee shall adjust the principal amount of the relevant Global Note(s) pursuant to Section 1.3.4 of this First Supplemental Indenture.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11" w:name="page112"/>
    <w:bookmarkEnd w:id="111"/>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1.3.3</w:t>
      </w:r>
      <w:r>
        <w:rPr>
          <w:sz w:val="20"/>
          <w:szCs w:val="20"/>
          <w:color w:val="auto"/>
        </w:rPr>
        <w:tab/>
      </w:r>
      <w:r>
        <w:rPr>
          <w:rFonts w:ascii="Times New Roman" w:cs="Times New Roman" w:eastAsia="Times New Roman" w:hAnsi="Times New Roman"/>
          <w:sz w:val="17"/>
          <w:szCs w:val="17"/>
          <w:u w:val="single" w:color="auto"/>
          <w:color w:val="auto"/>
        </w:rPr>
        <w:t>Transfer and Exchange of Certificated Notes for Certificated Notes</w:t>
      </w:r>
      <w:r>
        <w:rPr>
          <w:rFonts w:ascii="Times New Roman" w:cs="Times New Roman" w:eastAsia="Times New Roman" w:hAnsi="Times New Roman"/>
          <w:sz w:val="17"/>
          <w:szCs w:val="17"/>
          <w:color w:val="auto"/>
        </w:rPr>
        <w:t>. This Section 1.3.3 shall apply with respect to the Notes only.</w:t>
      </w:r>
    </w:p>
    <w:p>
      <w:pPr>
        <w:spacing w:after="0" w:line="117"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Upon request by a Holder of Certificated Notes and such Holder’s compliance with the provisions of this Section 1.3.3, the Registrar will register the transfer or exchange of Certificated Notes. Prior to such registration of transfer or exchange, the requesting Holder must present or surrender to the Registrar the Certificated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reasonably required by the Registrar.</w:t>
      </w:r>
    </w:p>
    <w:p>
      <w:pPr>
        <w:spacing w:after="0" w:line="183"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u w:val="single" w:color="auto"/>
          <w:color w:val="auto"/>
        </w:rPr>
        <w:t>Cancellation and/or Adjustment of Global Notes</w:t>
      </w:r>
      <w:r>
        <w:rPr>
          <w:rFonts w:ascii="Times New Roman" w:cs="Times New Roman" w:eastAsia="Times New Roman" w:hAnsi="Times New Roman"/>
          <w:sz w:val="17"/>
          <w:szCs w:val="17"/>
          <w:color w:val="auto"/>
        </w:rPr>
        <w:t>. This Section 1.3.4 shall apply with respect to the Notes only.</w:t>
      </w:r>
    </w:p>
    <w:p>
      <w:pPr>
        <w:spacing w:after="0" w:line="117" w:lineRule="exact"/>
        <w:rPr>
          <w:sz w:val="20"/>
          <w:szCs w:val="20"/>
          <w:color w:val="auto"/>
        </w:rPr>
      </w:pPr>
    </w:p>
    <w:p>
      <w:pPr>
        <w:ind w:firstLine="1432"/>
        <w:spacing w:after="0" w:line="254" w:lineRule="auto"/>
        <w:rPr>
          <w:sz w:val="20"/>
          <w:szCs w:val="20"/>
          <w:color w:val="auto"/>
        </w:rPr>
      </w:pPr>
      <w:r>
        <w:rPr>
          <w:rFonts w:ascii="Times New Roman" w:cs="Times New Roman" w:eastAsia="Times New Roman" w:hAnsi="Times New Roman"/>
          <w:sz w:val="18"/>
          <w:szCs w:val="18"/>
          <w:color w:val="auto"/>
        </w:rPr>
        <w:t>At such time as all beneficial interests in a particular Global Note have been exchanged for Certificated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General Provisions Relating to Transfers and Exchanges</w:t>
      </w:r>
      <w:r>
        <w:rPr>
          <w:rFonts w:ascii="Times New Roman" w:cs="Times New Roman" w:eastAsia="Times New Roman" w:hAnsi="Times New Roman"/>
          <w:sz w:val="18"/>
          <w:szCs w:val="18"/>
          <w:color w:val="auto"/>
        </w:rPr>
        <w:t>. This Section 1.3.5 shall replace Section 2.7 of the Base Indenture with respect to the Notes only.</w:t>
      </w:r>
    </w:p>
    <w:p>
      <w:pPr>
        <w:spacing w:after="0" w:line="54" w:lineRule="exact"/>
        <w:rPr>
          <w:sz w:val="20"/>
          <w:szCs w:val="20"/>
          <w:color w:val="auto"/>
        </w:rPr>
      </w:pPr>
    </w:p>
    <w:p>
      <w:pPr>
        <w:ind w:left="440" w:right="500" w:firstLine="419"/>
        <w:spacing w:after="0" w:line="282" w:lineRule="auto"/>
        <w:tabs>
          <w:tab w:leader="none" w:pos="12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Company will execute and the Trustee will authenticate Global Notes and Certificated Notes upon receipt of a Company Order in accordance with Section 2.3 of the Base Indenture.</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2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a Holder of a Global Note or to a Holder of a Certificated Note for any registration of transfer or exchange, but the Company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3.6 or 9.6 of the Base Indenture).</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2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2" w:name="page113"/>
    <w:bookmarkEnd w:id="112"/>
    <w:p>
      <w:pPr>
        <w:ind w:left="440" w:right="20" w:firstLine="419"/>
        <w:spacing w:after="0" w:line="266" w:lineRule="auto"/>
        <w:tabs>
          <w:tab w:leader="none" w:pos="124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Company will be required:</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7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during a period beginning at the opening of business 15 days before the day of any selection of Notes for redemption under Section 3.2 of the Base Indenture, as amended by this First Supplemental Indenture, and ending at the close of business on the day of selection;</w:t>
      </w:r>
    </w:p>
    <w:p>
      <w:pPr>
        <w:spacing w:after="0" w:line="67" w:lineRule="exact"/>
        <w:rPr>
          <w:rFonts w:ascii="Times New Roman" w:cs="Times New Roman" w:eastAsia="Times New Roman" w:hAnsi="Times New Roman"/>
          <w:sz w:val="18"/>
          <w:szCs w:val="18"/>
          <w:color w:val="auto"/>
        </w:rPr>
      </w:pPr>
    </w:p>
    <w:p>
      <w:pPr>
        <w:ind w:left="980" w:firstLine="408"/>
        <w:spacing w:after="0" w:line="282" w:lineRule="auto"/>
        <w:tabs>
          <w:tab w:leader="none" w:pos="178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selected for redemption in whole or in part, except the unredeemed portion of any Note being redeemed in part; or</w:t>
      </w:r>
    </w:p>
    <w:p>
      <w:pPr>
        <w:spacing w:after="0" w:line="53" w:lineRule="exact"/>
        <w:rPr>
          <w:rFonts w:ascii="Times New Roman" w:cs="Times New Roman" w:eastAsia="Times New Roman" w:hAnsi="Times New Roman"/>
          <w:sz w:val="18"/>
          <w:szCs w:val="18"/>
          <w:color w:val="auto"/>
        </w:rPr>
      </w:pPr>
    </w:p>
    <w:p>
      <w:pPr>
        <w:ind w:left="1840" w:hanging="452"/>
        <w:spacing w:after="0"/>
        <w:tabs>
          <w:tab w:leader="none" w:pos="18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between a record date and the next succeeding Interest Payment Date.</w:t>
      </w:r>
    </w:p>
    <w:p>
      <w:pPr>
        <w:spacing w:after="0" w:line="225"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This Section 1.3.6 shall replace Section 2.14.6 of the Base Indenture with respect to the Notes only.</w:t>
      </w:r>
    </w:p>
    <w:p>
      <w:pPr>
        <w:spacing w:after="0" w:line="117" w:lineRule="exact"/>
        <w:rPr>
          <w:sz w:val="20"/>
          <w:szCs w:val="20"/>
          <w:color w:val="auto"/>
        </w:rPr>
      </w:pPr>
    </w:p>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and Additional Amounts, if any, on such Notes and for all other purposes, and none of the Trustee, any Agent or the Company shall be affected by notice to the contrary.</w:t>
      </w:r>
    </w:p>
    <w:p>
      <w:pPr>
        <w:spacing w:after="0" w:line="180"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Legend</w:t>
      </w:r>
      <w:r>
        <w:rPr>
          <w:rFonts w:ascii="Times New Roman" w:cs="Times New Roman" w:eastAsia="Times New Roman" w:hAnsi="Times New Roman"/>
          <w:sz w:val="17"/>
          <w:szCs w:val="17"/>
          <w:color w:val="auto"/>
        </w:rPr>
        <w:t>. This Section 1.4 shall replace Section 2.14.3 of the Base Indenture with respect to the Notes only.</w:t>
      </w:r>
    </w:p>
    <w:p>
      <w:pPr>
        <w:spacing w:after="0" w:line="117" w:lineRule="exact"/>
        <w:rPr>
          <w:sz w:val="20"/>
          <w:szCs w:val="20"/>
          <w:color w:val="auto"/>
        </w:rPr>
      </w:pPr>
    </w:p>
    <w:p>
      <w:pPr>
        <w:ind w:right="340" w:firstLine="1432"/>
        <w:spacing w:after="0" w:line="282" w:lineRule="auto"/>
        <w:rPr>
          <w:sz w:val="20"/>
          <w:szCs w:val="20"/>
          <w:color w:val="auto"/>
        </w:rPr>
      </w:pPr>
      <w:r>
        <w:rPr>
          <w:rFonts w:ascii="Times New Roman" w:cs="Times New Roman" w:eastAsia="Times New Roman" w:hAnsi="Times New Roman"/>
          <w:sz w:val="18"/>
          <w:szCs w:val="18"/>
          <w:color w:val="auto"/>
        </w:rPr>
        <w:t>The following legend will appear in substantially the following form on the face of each Global Note issued under the Indenture unless specifically stated otherwise in the applicable provisions of the Indenture.</w:t>
      </w:r>
    </w:p>
    <w:p>
      <w:pPr>
        <w:spacing w:after="0" w:line="162"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1.3 OF THE FIRST SUPPLEMENTAL INDENTURE, (2) THIS GLOBAL NOTE MAY BE EXCHANGED IN WHOLE BUT NOT IN PART PURSUANT TO SECTION 1.3 OF THE FIRST SUPPLEMENTAL INDENTURE, (3) THIS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3" w:name="page114"/>
    <w:bookmarkEnd w:id="113"/>
    <w:p>
      <w:pPr>
        <w:ind w:left="5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GLOBAL NOTE MAY BE DELIVERED TO THE TRUSTEE FOR CANCELLATION PURSUANT TO SECTION 2.12 OF THE BASE INDENTURE AND (4) THIS GLOBAL NOTE MAY BE TRANSFERRED TO A SUCCESSOR DEPOSITARY WITH THE PRIOR WRITTEN CONSENT OF THE COMPANY.</w:t>
      </w:r>
    </w:p>
    <w:p>
      <w:pPr>
        <w:spacing w:after="0" w:line="176"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 THEREOF. ACCORDINGLY,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9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u w:val="single" w:color="auto"/>
          <w:color w:val="auto"/>
        </w:rPr>
        <w:t>Note Guarantee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66" w:lineRule="auto"/>
        <w:tabs>
          <w:tab w:leader="none" w:pos="8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Section 1.5.1, the Guarantor hereby unconditionally guarantees to each Holder of a Note authenticated and delivered by the Trustee and to the Trustee and its successors and assigns, irrespective of the validity and enforceability of the Indenture, the Notes or the obligations of the Company hereunder or thereunder, that:</w:t>
      </w:r>
    </w:p>
    <w:p>
      <w:pPr>
        <w:spacing w:after="0" w:line="67" w:lineRule="exact"/>
        <w:rPr>
          <w:rFonts w:ascii="Times New Roman" w:cs="Times New Roman" w:eastAsia="Times New Roman" w:hAnsi="Times New Roman"/>
          <w:sz w:val="18"/>
          <w:szCs w:val="18"/>
          <w:color w:val="auto"/>
        </w:rPr>
      </w:pPr>
    </w:p>
    <w:p>
      <w:pPr>
        <w:ind w:left="540" w:right="60" w:firstLine="408"/>
        <w:spacing w:after="0" w:line="258" w:lineRule="auto"/>
        <w:tabs>
          <w:tab w:leader="none" w:pos="129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on, if any, and interest, if any, on, the Notes and all other amounts payable by the Company under the Indenture will be promptly paid in full when due, whether at maturity, by acceleration, redemption or otherwise, and interest on the overdue principal of, premium on, if any, and interest, if any, on, the Notes, if lawful, and all other obligations of the Company to the Holders or the Trustee hereunder or thereunder will be promptly paid in full or performed, all in accordance with the terms hereof and thereof; and</w:t>
      </w:r>
    </w:p>
    <w:p>
      <w:pPr>
        <w:spacing w:after="0" w:line="75" w:lineRule="exact"/>
        <w:rPr>
          <w:rFonts w:ascii="Times New Roman" w:cs="Times New Roman" w:eastAsia="Times New Roman" w:hAnsi="Times New Roman"/>
          <w:sz w:val="18"/>
          <w:szCs w:val="18"/>
          <w:color w:val="auto"/>
        </w:rPr>
      </w:pPr>
    </w:p>
    <w:p>
      <w:pPr>
        <w:ind w:left="540" w:right="380" w:firstLine="408"/>
        <w:spacing w:after="0" w:line="266" w:lineRule="auto"/>
        <w:tabs>
          <w:tab w:leader="none" w:pos="134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880" w:top="270" w:right="479" w:bottom="1440" w:gutter="0" w:footer="0" w:header="0"/>
        </w:sectPr>
      </w:pPr>
    </w:p>
    <w:bookmarkStart w:id="114" w:name="page115"/>
    <w:bookmarkEnd w:id="114"/>
    <w:p>
      <w:pPr>
        <w:ind w:left="44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Failing payment when due of any amount so guaranteed or any performance so guaranteed for whatever reason, the Guarantor will be obligated to pay the same immediately. The Guarantor agrees that its Note Guarantee is a guarantee of payment and not a guarantee of collection.</w:t>
      </w:r>
    </w:p>
    <w:p>
      <w:pPr>
        <w:spacing w:after="0" w:line="54" w:lineRule="exact"/>
        <w:rPr>
          <w:sz w:val="20"/>
          <w:szCs w:val="20"/>
          <w:color w:val="auto"/>
        </w:rPr>
      </w:pPr>
    </w:p>
    <w:p>
      <w:pPr>
        <w:ind w:left="440" w:right="40" w:firstLine="419"/>
        <w:spacing w:after="0" w:line="255" w:lineRule="auto"/>
        <w:tabs>
          <w:tab w:leader="none" w:pos="124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agrees that its obligations under its Note Guarantee are unconditional, irrespective of the validity, regularity or enforceability of the Notes or the Indenture, the absence of any action to enforce the same, any waiver or consent by any Holder of the Notes or the Trustee with respect to any provisions hereof or thereof, the recovery of any judgment against the Company, any action to enforce the same or any other circumstance which might otherwise constitute a legal or equitable discharge or defense of the Guarantor. The Guarantor hereby waives diligence, presentment, demand of payment, filing of claims with a court in the event of insolvency or bankruptcy of the Company, any right to require a proceeding first against the Company, protest, notice and all demands whatsoever and covenants that its Note Guarantee will not be discharged with respect to the Notes except by complete performance of the obligations contained in the Notes and the Indenture.</w:t>
      </w:r>
    </w:p>
    <w:p>
      <w:pPr>
        <w:spacing w:after="0" w:line="80"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24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Company, the Guarantor or any custodian, trustee, liquidator or other similar official acting in relation to either the Company or the Guarantor, any amount paid either to the Trustee or such Holder, the Guarantor’s Note Guarantee, to the extent theretofore discharged, will be reinstated in full force and effect.</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73" w:lineRule="auto"/>
        <w:tabs>
          <w:tab w:leader="none" w:pos="124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agrees that it will not be entitled to any right of subrogation in relation to the Holders with respect to the Notes in respect of any obligations guaranteed hereby until payment in full of all obligations guaranteed hereby with respect to the Notes. The Guarantor further agrees that, as between the Guarantor, on the one hand, and the Holders and the Trustee, on the other hand, (1) the maturity of the obligations guaranteed hereby may be accelerated as provided in Article VI of the Base Indenture for the purposes of the Guarantor’s Note Guarantee, notwithstanding any stay, injunction or other prohibition preventing such acceleration in respect of the obligations guaranteed hereby, and (2) in the event of any declaration of acceleration of such obligations as provided in Article VI of the Base Indenture, such obligations (whether or not due and payable) will forthwith become due and payable by the Guarantor for the purpose of the Guarantor’s Note Guarantee.</w:t>
      </w:r>
    </w:p>
    <w:p>
      <w:pPr>
        <w:spacing w:after="0" w:line="171"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Limitation on Guarantor Liability</w:t>
      </w:r>
      <w:r>
        <w:rPr>
          <w:rFonts w:ascii="Times New Roman" w:cs="Times New Roman" w:eastAsia="Times New Roman" w:hAnsi="Times New Roman"/>
          <w:sz w:val="18"/>
          <w:szCs w:val="18"/>
          <w:color w:val="auto"/>
        </w:rPr>
        <w:t>. The Guarantor, and by its acceptance of Notes, each Holder, hereby confirms that it is the intention of all such parties that the Note Guarantee of the Guarantor not constitute a fraudulent transfer or conveyance for purposes of Bankruptcy Law, the Uniform Fraudulent Conveyance Act, the Uniform Fraudulent Transfer Act or any similar federal or state law to the extent applicable to its Note Guarantee. To effectuate the foregoing intention, the Trustee, the Holders and the Guarantor hereby irrevocably agree that the obligations of the Guarantor will be limited to the maximum amount that will, after giving effect to such maximum amount and all other contingent and fixed liabilities of the Guarantor that are relevant under such laws, result in the obligations of the Guarantor under its Note Guarantee not constituting a fraudulent transfer or conveyance.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15" w:name="page116"/>
    <w:bookmarkEnd w:id="115"/>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1.5.3 </w:t>
      </w:r>
      <w:r>
        <w:rPr>
          <w:rFonts w:ascii="Times New Roman" w:cs="Times New Roman" w:eastAsia="Times New Roman" w:hAnsi="Times New Roman"/>
          <w:sz w:val="18"/>
          <w:szCs w:val="18"/>
          <w:u w:val="single" w:color="auto"/>
          <w:color w:val="auto"/>
        </w:rPr>
        <w:t>Execution and Delivery of Note Guarantee</w:t>
      </w:r>
      <w:r>
        <w:rPr>
          <w:rFonts w:ascii="Times New Roman" w:cs="Times New Roman" w:eastAsia="Times New Roman" w:hAnsi="Times New Roman"/>
          <w:sz w:val="18"/>
          <w:szCs w:val="18"/>
          <w:color w:val="auto"/>
        </w:rPr>
        <w:t>. The terms of the Note Guarantee set forth in Section 1.5.1 do not require the Guarantor to evidence its Note Guarantee through any notation of such Note Guarantee endorsed by an Officer of the Guarantor on each Note authenticated and delivered by the Trustee. This First Supplemental Indenture will be executed on behalf of the Guarantor by one of its Officers.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Note Guarantee set forth in Section 1.5.1 hereof will remain in full force and effect without any requirement to endorse on each Note a notation of such Note Guarantee.</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If an Officer of the Guarantor whose signature is on this First Supplemental Indenture no longer holds that office at the time the Trustee authenticates any Note, the Note Guarantee will be valid nevertheless.</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will constitute due delivery of the Note Guarantee set forth in this First Supplemental Indenture on behalf of the Guarantor.</w:t>
      </w:r>
    </w:p>
    <w:p>
      <w:pPr>
        <w:spacing w:after="0" w:line="270" w:lineRule="exact"/>
        <w:rPr>
          <w:sz w:val="20"/>
          <w:szCs w:val="20"/>
          <w:color w:val="auto"/>
        </w:rPr>
      </w:pPr>
    </w:p>
    <w:p>
      <w:pPr>
        <w:ind w:left="980"/>
        <w:spacing w:after="0"/>
        <w:tabs>
          <w:tab w:leader="none" w:pos="150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Upon legal defeasance or covenant defeasance with respect to the Notes in accordance with Article VIII of the Base Indenture or satisfaction and discharge of the Indenture, the Guarantor will be released and relieved of any obligations with respect to the Notes under its Note Guarantee to the extent set forth in the Indenture.</w:t>
      </w:r>
    </w:p>
    <w:p>
      <w:pPr>
        <w:spacing w:after="0" w:line="176"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If the Guarantor is not released from its obligations under its Note Guarantee as provided in this Section 1.5.4 the Guarantor will remain liable for the full amount of principal of, premium on, if any, and interest, if any, on, the Notes and for the other obligations of the Guarantor under the Indenture as provided in this Section 1.5.</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Capitalized terms used but not defined in this First Supplemental Indenture shall have the meanings ascribed thereto in the Base Indenture.</w:t>
      </w:r>
    </w:p>
    <w:p>
      <w:pPr>
        <w:spacing w:after="0" w:line="333"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Confirmation of Indenture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Base Indenture, as supplemented and amended by this First Supplemental Indenture, is in all respects ratified and confirmed, and the Base Indenture, this First Supplemental Indenture and any applicable indentures supplemental thereto shall be read, taken and construed as one and the same instrument with respect to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16" w:name="page117"/>
    <w:bookmarkEnd w:id="116"/>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2.3.</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THIS FIRST SUPPLEMENTAL INDENTURE, THE NOTES AND THE NOTE GUARANTEE, INCLUDING ANY CLAIM OR CONTROVERSY ARISING OUT OF OR RELATING TO THIS FIRST SUPPLEMENTAL INDENTURE, THE NOTES OR THE NOTE GUARANTEE, SHALL BE GOVERNED BY THE LAWS OF THE STATE OF NEW YORK WITHOUT REGARD TO CONFLICT OF LAW PRINCIPLES THAT WOULD RESULT IN THE APPLICATION OF ANY LAW OTHER THAN THE LAW OF THE STATE OF NEW YORK.</w:t>
      </w:r>
    </w:p>
    <w:p>
      <w:pPr>
        <w:spacing w:after="0" w:line="291"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First Supplemental Indenture or in the Notes shall be invalid, illegal or unenforceable, the validity, legality and enforceability of the remaining provisions shall not in any way be affected or impaired thereby.</w:t>
      </w:r>
    </w:p>
    <w:p>
      <w:pPr>
        <w:spacing w:after="0" w:line="270"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This First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270"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u w:val="single" w:color="auto"/>
          <w:color w:val="auto"/>
        </w:rPr>
        <w:t>No Benefit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Nothing in this First Supplemental Indenture, express or implied, shall give to any Person other than the parties hereto and their successors or assigns, and the Holders of the Notes, any benefit or legal or equitable rights, remedy or claim under this First Supplemental Indenture or the Base Indenture.</w:t>
      </w:r>
    </w:p>
    <w:p>
      <w:pPr>
        <w:spacing w:after="0" w:line="284" w:lineRule="exact"/>
        <w:rPr>
          <w:sz w:val="20"/>
          <w:szCs w:val="20"/>
          <w:color w:val="auto"/>
        </w:rPr>
      </w:pPr>
    </w:p>
    <w:p>
      <w:pPr>
        <w:ind w:left="980"/>
        <w:spacing w:after="0"/>
        <w:tabs>
          <w:tab w:leader="none" w:pos="200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No Responsibility of the Trustee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not be responsible in any manner whatsoever for or in respect of the validity or sufficiency of the Notes, the Note Guarantee or this First Supplemental Indenture. The recitals contained herein shall be taken as the statements solely of the Company or the Guarantor, and the Trustee assumes no responsibility for correctness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17" w:name="page118"/>
    <w:bookmarkEnd w:id="11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First Supplemental Indenture to be duly executed all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FINANCE CANADA LTD.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Tatyana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Tatyana A. Lambert</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Claudia Jaramillo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Claudia Jaramillo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First Supplemental Indenture</w:t>
      </w:r>
    </w:p>
    <w:p>
      <w:pPr>
        <w:sectPr>
          <w:pgSz w:w="11900" w:h="16838" w:orient="portrait"/>
          <w:cols w:equalWidth="0" w:num="1">
            <w:col w:w="10900"/>
          </w:cols>
          <w:pgMar w:left="440" w:top="270" w:right="55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Trustee, Registrar, Paying Agent and Transfer Agent</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Laurence J. O’Brien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First Supplemental Indenture</w:t>
      </w:r>
    </w:p>
    <w:p>
      <w:pPr>
        <w:sectPr>
          <w:pgSz w:w="11900" w:h="16838" w:orient="portrait"/>
          <w:cols w:equalWidth="0" w:num="1">
            <w:col w:w="9600"/>
          </w:cols>
          <w:pgMar w:left="1440" w:top="270" w:right="85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1.400% SENIOR NOTES DUE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Note Legend]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1.400% SENIOR NOTES DUE 2025</w:t>
      </w:r>
    </w:p>
    <w:p>
      <w:pPr>
        <w:sectPr>
          <w:pgSz w:w="11900" w:h="16838" w:orient="portrait"/>
          <w:cols w:equalWidth="0" w:num="1">
            <w:col w:w="11000"/>
          </w:cols>
          <w:pgMar w:left="440" w:top="266" w:right="459" w:bottom="1440" w:gutter="0" w:footer="0" w:header="0"/>
        </w:sectPr>
      </w:pPr>
    </w:p>
    <w:p>
      <w:pPr>
        <w:spacing w:after="0" w:line="2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No. [</w:t>
        <w:tab/>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3">
            <w:col w:w="9360" w:space="720"/>
            <w:col w:w="160" w:space="180"/>
            <w:col w:w="58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CUSIP: 80685X AC5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US80685XAC6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SCHLUMBERGER FINANCE CANADA LTD.</w:t>
      </w:r>
    </w:p>
    <w:p>
      <w:pPr>
        <w:sectPr>
          <w:pgSz w:w="11900" w:h="16838" w:orient="portrait"/>
          <w:cols w:equalWidth="0" w:num="1">
            <w:col w:w="11000"/>
          </w:cols>
          <w:pgMar w:left="440" w:top="266" w:right="45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promises to pay to Cede &amp; Co., or registered assigns, the principal sum of [</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Dollars on September 17, 2025 (as modified by the Schedule of Increases</w:t>
      </w:r>
    </w:p>
    <w:p>
      <w:pPr>
        <w:spacing w:after="0" w:line="39" w:lineRule="exact"/>
        <w:rPr>
          <w:sz w:val="20"/>
          <w:szCs w:val="20"/>
          <w:color w:val="auto"/>
        </w:rPr>
      </w:pPr>
    </w:p>
    <w:p>
      <w:pPr>
        <w:sectPr>
          <w:pgSz w:w="11900" w:h="16838" w:orient="portrait"/>
          <w:cols w:equalWidth="0" w:num="2">
            <w:col w:w="5420" w:space="180"/>
            <w:col w:w="54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and Decreases in the Global Note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March 17 and September 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March 2 and September 2 (whether or not a Business Day)</w:t>
      </w:r>
    </w:p>
    <w:p>
      <w:pPr>
        <w:spacing w:after="0" w:line="225"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color w:val="auto"/>
        </w:rPr>
        <w:t>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type w:val="continuous"/>
        </w:sectPr>
      </w:pPr>
    </w:p>
    <w:bookmarkStart w:id="120" w:name="page121"/>
    <w:bookmarkEnd w:id="120"/>
    <w:p>
      <w:pPr>
        <w:jc w:val="center"/>
        <w:ind w:right="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signed in accordance with the Indenture.</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 [</w:t>
        <w:tab/>
        <w:t>]</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SCHLUMBERGER FINANCE CANADA LTD.</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300"/>
          </w:cols>
          <w:pgMar w:left="440" w:top="270" w:right="1159" w:bottom="1440" w:gutter="0" w:footer="0" w:header="0"/>
        </w:sectPr>
      </w:pPr>
    </w:p>
    <w:bookmarkStart w:id="121" w:name="page122"/>
    <w:bookmarkEnd w:id="1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AUTHENTICATION</w:t>
      </w:r>
    </w:p>
    <w:p>
      <w:pPr>
        <w:spacing w:after="0" w:line="12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This is one of the 1.400% Senior Notes due 2025 issued by Schlumberger Finance Canada Ltd. of the Series designated therein referred to in the within-mentioned Indenture.</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Date: [</w:t>
        <w:tab/>
        <w:t>]</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40"/>
          </w:cols>
          <w:pgMar w:left="440" w:top="266" w:right="51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Schlumberger Finance Canada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1.400% Senior Notes due 2025</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is one of a duly authorized Series of debt securities of Schlumberger Finance Canada Ltd., a corporation incorporated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Province of Alberta, Canada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or to be issued in one or more Series under and pursuant to an Indenture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debentures, notes or other debt instruments evidencing its indebtedness, dated as of September 18, 2020 (the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duly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by and among the Company, Schlumberger Limited, a corporation with limited liability governed by the laws of Curaçao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Guarantor</w:t>
      </w:r>
      <w:r>
        <w:rPr>
          <w:rFonts w:ascii="Times New Roman" w:cs="Times New Roman" w:eastAsia="Times New Roman" w:hAnsi="Times New Roman"/>
          <w:sz w:val="17"/>
          <w:szCs w:val="17"/>
          <w:color w:val="auto"/>
        </w:rPr>
        <w:t>”) and The Bank of New York Mellon as trustee (the “</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 registrar, paying agent and transfer agent, as supplemented and amended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Supplemental Indenture, dated as of September 18, 2020 (the “</w:t>
      </w:r>
      <w:r>
        <w:rPr>
          <w:rFonts w:ascii="Times New Roman" w:cs="Times New Roman" w:eastAsia="Times New Roman" w:hAnsi="Times New Roman"/>
          <w:sz w:val="18"/>
          <w:szCs w:val="18"/>
          <w:i w:val="1"/>
          <w:iCs w:val="1"/>
          <w:color w:val="auto"/>
        </w:rPr>
        <w:t>First Supplemental Indenture</w:t>
      </w:r>
      <w:r>
        <w:rPr>
          <w:rFonts w:ascii="Times New Roman" w:cs="Times New Roman" w:eastAsia="Times New Roman" w:hAnsi="Times New Roman"/>
          <w:sz w:val="18"/>
          <w:szCs w:val="18"/>
          <w:color w:val="auto"/>
        </w:rPr>
        <w:t>”), by and among the Company, the Guarantor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Trustee. The Base Indenture as supplemented and amended by the First Supplemental Indenture is referred to herein as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By the terms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Base Indenture, the debt securities issuable thereunder are issuable in Series that may vary as to amount, date of maturity, rate of interest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respects as provided in the Base Indenture. This note is one of the Series designated on the face hereof (individually, a “</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 and collectively,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reference is hereby made to the Indenture for a description of the rights, limitations of rights, obligations, duties and immunities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Company and the Holders of the Notes (the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Capitalized terms used herein and not otherwise defined shall have the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them in the Indenture.</w:t>
      </w:r>
    </w:p>
    <w:p>
      <w:pPr>
        <w:spacing w:after="0" w:line="207" w:lineRule="exact"/>
        <w:rPr>
          <w:sz w:val="20"/>
          <w:szCs w:val="20"/>
          <w:color w:val="auto"/>
        </w:rPr>
      </w:pPr>
    </w:p>
    <w:p>
      <w:pPr>
        <w:ind w:right="80" w:firstLine="436"/>
        <w:spacing w:after="0" w:line="258" w:lineRule="auto"/>
        <w:tabs>
          <w:tab w:leader="none" w:pos="7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rate at which the Notes shall bear interest shall be 1.400% per year. The date from which interest shall accrue on the Notes shall be September 18, 2020, or the most recent Interest Payment Date to which interest has been paid or provided for. The Interest Payment Dates for the Notes shall be March 17 and September 17 of each year, beginning March 17, 2021. Interest shall be payable on each Interest Payment Date to the Holders of record at the close of business on the March 2 and September 2 prior to each Interest Payment Date (whether or not a Business Day). The basis upon which interest shall be calculated shall be that of a 360-day year consisting of twelve 30-day months.</w:t>
      </w:r>
    </w:p>
    <w:p>
      <w:pPr>
        <w:spacing w:after="0" w:line="183" w:lineRule="exact"/>
        <w:rPr>
          <w:rFonts w:ascii="Times New Roman" w:cs="Times New Roman" w:eastAsia="Times New Roman" w:hAnsi="Times New Roman"/>
          <w:sz w:val="18"/>
          <w:szCs w:val="18"/>
          <w:color w:val="auto"/>
        </w:rPr>
      </w:pPr>
    </w:p>
    <w:p>
      <w:pPr>
        <w:ind w:right="40" w:firstLine="436"/>
        <w:spacing w:after="0" w:line="254" w:lineRule="auto"/>
        <w:tabs>
          <w:tab w:leader="none" w:pos="7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440" w:top="266" w:right="479" w:bottom="1440" w:gutter="0" w:footer="0" w:header="0"/>
        </w:sectPr>
      </w:pPr>
    </w:p>
    <w:bookmarkStart w:id="123" w:name="page124"/>
    <w:bookmarkEnd w:id="123"/>
    <w:p>
      <w:pPr>
        <w:ind w:right="200" w:firstLine="436"/>
        <w:spacing w:after="0" w:line="266" w:lineRule="auto"/>
        <w:tabs>
          <w:tab w:leader="none" w:pos="7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Registrar, Paying Agent, and Transfer Agent</w:t>
      </w:r>
      <w:r>
        <w:rPr>
          <w:rFonts w:ascii="Times New Roman" w:cs="Times New Roman" w:eastAsia="Times New Roman" w:hAnsi="Times New Roman"/>
          <w:sz w:val="18"/>
          <w:szCs w:val="18"/>
          <w:color w:val="auto"/>
        </w:rPr>
        <w:t>.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w:t>
      </w:r>
    </w:p>
    <w:p>
      <w:pPr>
        <w:spacing w:after="0" w:line="173"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Notes are senior unsecured obligations of the Company and constitute the Series designated on the face hereof as the “</w:t>
      </w:r>
      <w:r>
        <w:rPr>
          <w:rFonts w:ascii="Times New Roman" w:cs="Times New Roman" w:eastAsia="Times New Roman" w:hAnsi="Times New Roman"/>
          <w:sz w:val="18"/>
          <w:szCs w:val="18"/>
          <w:i w:val="1"/>
          <w:iCs w:val="1"/>
          <w:color w:val="auto"/>
        </w:rPr>
        <w:t>1.400%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Senior Notes due 2025</w:t>
      </w:r>
      <w:r>
        <w:rPr>
          <w:rFonts w:ascii="Times New Roman" w:cs="Times New Roman" w:eastAsia="Times New Roman" w:hAnsi="Times New Roman"/>
          <w:sz w:val="18"/>
          <w:szCs w:val="18"/>
          <w:color w:val="auto"/>
        </w:rPr>
        <w:t>”, initially limited to $500,000,000 in aggregate principal amount. The Company will furnish to any Holders upon written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without charge a copy of the Base Indenture and the First Supplemental Indenture. Requests may be made to: Schlumberger Limited, 5599 San Felipe Street,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Houston, Texas 77056, Attention: Vice President and Treasurer.</w:t>
      </w:r>
    </w:p>
    <w:p>
      <w:pPr>
        <w:spacing w:after="0" w:line="181" w:lineRule="exact"/>
        <w:rPr>
          <w:rFonts w:ascii="Times New Roman" w:cs="Times New Roman" w:eastAsia="Times New Roman" w:hAnsi="Times New Roman"/>
          <w:sz w:val="18"/>
          <w:szCs w:val="18"/>
          <w:color w:val="auto"/>
        </w:rPr>
      </w:pPr>
    </w:p>
    <w:p>
      <w:pPr>
        <w:ind w:right="300" w:firstLine="436"/>
        <w:spacing w:after="0" w:line="266" w:lineRule="auto"/>
        <w:tabs>
          <w:tab w:leader="none" w:pos="7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At the Company’s option, the Notes may be redeemed or purchased, in each case, in whole or in part at any time or from time to time prior to the Stated Maturity of the Notes, as provided in Article III of the Base Indenture, Section 1.2 of the First Supplemental Indenture and in this Section 5.</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Prior to August 17, 2025 (one month prior to their Maturity date), the Notes may be redeemed in whole at any time or in part from time to time, at the Company’s option, at a redemption price equal to the greater of:</w:t>
      </w:r>
    </w:p>
    <w:p>
      <w:pPr>
        <w:spacing w:after="0" w:line="54" w:lineRule="exact"/>
        <w:rPr>
          <w:sz w:val="20"/>
          <w:szCs w:val="20"/>
          <w:color w:val="auto"/>
        </w:rPr>
      </w:pPr>
    </w:p>
    <w:p>
      <w:pPr>
        <w:ind w:left="1240" w:hanging="381"/>
        <w:spacing w:after="0"/>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Notes then outstanding, and</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25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on such Notes to be redeemed that would have been payable in respect of such Notes calculated as if the Maturity date of such Notes was August 17, 2025 (one month prior to their Maturity date) (not including any portion of such payments of interest accrued to the date of redemption) discounted to the date of redemption on a semiannual basis (assuming a 360-day year consisting of twelve 30-day months) at the applicable treasury rate plus 20 basis points, plus accrued and unpaid interest on the principal amount being redeemed to (but not including) the Redemption Date.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w:t>
      </w:r>
    </w:p>
    <w:p>
      <w:pPr>
        <w:spacing w:after="0" w:line="119" w:lineRule="exact"/>
        <w:rPr>
          <w:sz w:val="20"/>
          <w:szCs w:val="20"/>
          <w:color w:val="auto"/>
        </w:rPr>
      </w:pPr>
    </w:p>
    <w:p>
      <w:pPr>
        <w:ind w:left="440" w:right="200" w:firstLine="419"/>
        <w:spacing w:after="0" w:line="289" w:lineRule="auto"/>
        <w:tabs>
          <w:tab w:leader="none" w:pos="124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yield, under the heading which represents the average for the immediately preceding week, appearing in the most recently published statistical release designed “</w:t>
      </w:r>
      <w:r>
        <w:rPr>
          <w:rFonts w:ascii="Times New Roman" w:cs="Times New Roman" w:eastAsia="Times New Roman" w:hAnsi="Times New Roman"/>
          <w:sz w:val="17"/>
          <w:szCs w:val="17"/>
          <w:i w:val="1"/>
          <w:iCs w:val="1"/>
          <w:color w:val="auto"/>
        </w:rPr>
        <w:t>H.15(519)</w:t>
      </w:r>
      <w:r>
        <w:rPr>
          <w:rFonts w:ascii="Times New Roman" w:cs="Times New Roman" w:eastAsia="Times New Roman" w:hAnsi="Times New Roman"/>
          <w:sz w:val="17"/>
          <w:szCs w:val="17"/>
          <w:color w:val="auto"/>
        </w:rPr>
        <w:t>” or any successor publication which is published weekly by the Board of Governors of the Federal Reserve System and which establishes yields on actively traded U.S. Treasury securities adjusted to constant maturity under the caption</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0"/>
          </w:cols>
          <w:pgMar w:left="440" w:top="270" w:right="479" w:bottom="1440" w:gutter="0" w:footer="0" w:header="0"/>
        </w:sectPr>
      </w:pPr>
    </w:p>
    <w:bookmarkStart w:id="124" w:name="page125"/>
    <w:bookmarkEnd w:id="12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Treasury Constant Maturities,</w:t>
      </w:r>
      <w:r>
        <w:rPr>
          <w:rFonts w:ascii="Times New Roman" w:cs="Times New Roman" w:eastAsia="Times New Roman" w:hAnsi="Times New Roman"/>
          <w:sz w:val="18"/>
          <w:szCs w:val="18"/>
          <w:color w:val="auto"/>
        </w:rPr>
        <w:t>”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74" w:lineRule="exact"/>
        <w:rPr>
          <w:sz w:val="20"/>
          <w:szCs w:val="20"/>
          <w:color w:val="auto"/>
        </w:rPr>
      </w:pPr>
    </w:p>
    <w:p>
      <w:pPr>
        <w:ind w:right="140" w:firstLine="419"/>
        <w:spacing w:after="0" w:line="289" w:lineRule="auto"/>
        <w:tabs>
          <w:tab w:leader="none" w:pos="81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treasury rate will be calculated on the third Business Day preceding the Redemption Date.</w:t>
      </w:r>
    </w:p>
    <w:p>
      <w:pPr>
        <w:spacing w:after="0" w:line="117" w:lineRule="exact"/>
        <w:rPr>
          <w:sz w:val="20"/>
          <w:szCs w:val="20"/>
          <w:color w:val="auto"/>
        </w:rPr>
      </w:pPr>
    </w:p>
    <w:p>
      <w:pPr>
        <w:ind w:right="40" w:firstLine="423"/>
        <w:spacing w:after="0" w:line="289" w:lineRule="auto"/>
        <w:rPr>
          <w:sz w:val="20"/>
          <w:szCs w:val="20"/>
          <w:color w:val="auto"/>
        </w:rPr>
      </w:pPr>
      <w:r>
        <w:rPr>
          <w:rFonts w:ascii="Times New Roman" w:cs="Times New Roman" w:eastAsia="Times New Roman" w:hAnsi="Times New Roman"/>
          <w:sz w:val="17"/>
          <w:szCs w:val="17"/>
          <w:color w:val="auto"/>
        </w:rPr>
        <w:t>Notwithstanding the foregoing, beginning on August 17, 2025 (one month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pacing w:after="0" w:line="50"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“comparable treasury issue” means the U.S. Treasury security selected by an independent investment banker as having an actual or interpolated maturity comparable to the remaining term (“remaining life”) of the Notes to be redeemed (assuming that such Notes to be redeemed matured on August 17, 2025) that would be utilized, at the time of selection and in accordance with customary financial practice, in pricing new issues of corporate debt securities of comparable maturity to the remaining term of such Notes (assuming that such Notes matured on August 17, 2025).</w:t>
      </w:r>
    </w:p>
    <w:p>
      <w:pPr>
        <w:spacing w:after="0" w:line="75" w:lineRule="exact"/>
        <w:rPr>
          <w:sz w:val="20"/>
          <w:szCs w:val="20"/>
          <w:color w:val="auto"/>
        </w:rPr>
      </w:pPr>
    </w:p>
    <w:p>
      <w:pPr>
        <w:ind w:right="140" w:firstLine="423"/>
        <w:spacing w:after="0" w:line="266" w:lineRule="auto"/>
        <w:rPr>
          <w:sz w:val="20"/>
          <w:szCs w:val="20"/>
          <w:color w:val="auto"/>
        </w:rPr>
      </w:pPr>
      <w:r>
        <w:rPr>
          <w:rFonts w:ascii="Times New Roman" w:cs="Times New Roman" w:eastAsia="Times New Roman" w:hAnsi="Times New Roman"/>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68" w:lineRule="exact"/>
        <w:rPr>
          <w:sz w:val="20"/>
          <w:szCs w:val="20"/>
          <w:color w:val="auto"/>
        </w:rPr>
      </w:pPr>
    </w:p>
    <w:p>
      <w:pPr>
        <w:jc w:val="both"/>
        <w:ind w:right="600" w:firstLine="423"/>
        <w:spacing w:after="0" w:line="266" w:lineRule="auto"/>
        <w:rPr>
          <w:sz w:val="20"/>
          <w:szCs w:val="20"/>
          <w:color w:val="auto"/>
        </w:rPr>
      </w:pPr>
      <w:r>
        <w:rPr>
          <w:rFonts w:ascii="Times New Roman" w:cs="Times New Roman" w:eastAsia="Times New Roman" w:hAnsi="Times New Roman"/>
          <w:sz w:val="18"/>
          <w:szCs w:val="18"/>
          <w:color w:val="auto"/>
        </w:rPr>
        <w:t>“independent investment banker” means BofA Securities, Inc., Goldman Sachs &amp; Co. LLC, J.P. Morgan Securities LLC or Morgan Stanley &amp; Co. LLC, or, if these firms are unwilling or unable to select the comparable treasury issue, an independent investment banking institution of national standing appointed by the Company.</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“reference treasury dealer” means (1) BofA Securities, Inc., Goldman Sachs &amp; Co. LLC, J.P. Morgan Securities LLC or Morgan Stanley &amp; Co. LLC and their respective successors, provided, however, that if any of the foregoing shall cease to be a primary U.S. government securities dealer in New York City (a “primary treasury</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480"/>
          </w:cols>
          <w:pgMar w:left="880" w:top="268" w:right="539" w:bottom="1440" w:gutter="0" w:footer="0" w:header="0"/>
        </w:sectPr>
      </w:pPr>
    </w:p>
    <w:bookmarkStart w:id="125" w:name="page126"/>
    <w:bookmarkEnd w:id="125"/>
    <w:p>
      <w:pPr>
        <w:ind w:left="440" w:right="8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dealer”), the Company will substitute therefor another primary treasury dealer, and (2) any other primary treasury dealer selected by the independent investment banker after consultation with the Company.</w:t>
      </w:r>
    </w:p>
    <w:p>
      <w:pPr>
        <w:spacing w:after="0" w:line="54" w:lineRule="exact"/>
        <w:rPr>
          <w:sz w:val="20"/>
          <w:szCs w:val="20"/>
          <w:color w:val="auto"/>
        </w:rPr>
      </w:pPr>
    </w:p>
    <w:p>
      <w:pPr>
        <w:ind w:left="440" w:right="480" w:firstLine="423"/>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 in each case as a percentage of its principal amount) quoted in writing to the independent investment banker at 5:00 p.m., New York City time, on the third Business Day preceding such Redemption Date.</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the Trustee shall have no obligation to determine or calculate any rate, price or amount in respect of any optional redemption under the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will not have the benefit of any sinking fund.</w:t>
      </w:r>
    </w:p>
    <w:p>
      <w:pPr>
        <w:spacing w:after="0" w:line="225" w:lineRule="exact"/>
        <w:rPr>
          <w:sz w:val="20"/>
          <w:szCs w:val="20"/>
          <w:color w:val="auto"/>
        </w:rPr>
      </w:pPr>
    </w:p>
    <w:p>
      <w:pPr>
        <w:ind w:firstLine="436"/>
        <w:spacing w:after="0" w:line="255" w:lineRule="auto"/>
        <w:tabs>
          <w:tab w:leader="none" w:pos="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88" w:lineRule="exact"/>
        <w:rPr>
          <w:rFonts w:ascii="Times New Roman" w:cs="Times New Roman" w:eastAsia="Times New Roman" w:hAnsi="Times New Roman"/>
          <w:sz w:val="18"/>
          <w:szCs w:val="18"/>
          <w:color w:val="auto"/>
        </w:rPr>
      </w:pPr>
    </w:p>
    <w:p>
      <w:pPr>
        <w:ind w:right="300" w:firstLine="436"/>
        <w:spacing w:after="0" w:line="282" w:lineRule="auto"/>
        <w:tabs>
          <w:tab w:leader="none" w:pos="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a Note may be treated as the owner of it for all purposes. Only registered Holders have rights under the Indenture.</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7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to the Company</w:t>
      </w:r>
      <w:r>
        <w:rPr>
          <w:rFonts w:ascii="Times New Roman" w:cs="Times New Roman" w:eastAsia="Times New Roman" w:hAnsi="Times New Roman"/>
          <w:sz w:val="18"/>
          <w:szCs w:val="18"/>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0"/>
          </w:cols>
          <w:pgMar w:left="440" w:top="270" w:right="459" w:bottom="1440" w:gutter="0" w:footer="0" w:header="0"/>
        </w:sectPr>
      </w:pPr>
    </w:p>
    <w:bookmarkStart w:id="126" w:name="page127"/>
    <w:bookmarkEnd w:id="126"/>
    <w:p>
      <w:pPr>
        <w:ind w:firstLine="436"/>
        <w:spacing w:after="0" w:line="252" w:lineRule="auto"/>
        <w:tabs>
          <w:tab w:leader="none" w:pos="7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Supplements and Waivers</w:t>
      </w:r>
      <w:r>
        <w:rPr>
          <w:rFonts w:ascii="Times New Roman" w:cs="Times New Roman" w:eastAsia="Times New Roman" w:hAnsi="Times New Roman"/>
          <w:sz w:val="18"/>
          <w:szCs w:val="18"/>
          <w:color w:val="auto"/>
        </w:rPr>
        <w:t>.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provided that any such change or elimination will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provided that such additional Notes have the same terms as, and will be deemed part of the same series as, the Notes to the extent required under the Indenture; (j) to evidence and provide for the acceptance and appointment of a successor trustee with respect to the Notes and to add to or change any of the provisions of the Indenture as are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It will not be necessary for the consent of the Holders to approve the particular form of any proposed supplement, amendment or waiver, but it will be sufficient if such consent approves the substance of it.</w:t>
      </w:r>
    </w:p>
    <w:p>
      <w:pPr>
        <w:spacing w:after="0" w:line="191"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 (other than in respect of a provision contained in the Indenture that cannot be modified or amended without the consent of the Holder of each outstanding Note affected thereby).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127" w:name="page128"/>
    <w:bookmarkEnd w:id="127"/>
    <w:p>
      <w:pPr>
        <w:ind w:left="4" w:right="60" w:firstLine="436"/>
        <w:spacing w:after="0" w:line="272" w:lineRule="auto"/>
        <w:tabs>
          <w:tab w:leader="none" w:pos="849"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Defaults and Remedies</w:t>
      </w:r>
      <w:r>
        <w:rPr>
          <w:rFonts w:ascii="Times New Roman" w:cs="Times New Roman" w:eastAsia="Times New Roman" w:hAnsi="Times New Roman"/>
          <w:sz w:val="17"/>
          <w:szCs w:val="17"/>
          <w:color w:val="auto"/>
        </w:rPr>
        <w:t>.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w:t>
      </w:r>
    </w:p>
    <w:p>
      <w:pPr>
        <w:spacing w:after="0" w:line="1" w:lineRule="exact"/>
        <w:rPr>
          <w:rFonts w:ascii="Times New Roman" w:cs="Times New Roman" w:eastAsia="Times New Roman" w:hAnsi="Times New Roman"/>
          <w:sz w:val="17"/>
          <w:szCs w:val="17"/>
          <w:color w:val="auto"/>
        </w:rPr>
      </w:pPr>
    </w:p>
    <w:p>
      <w:pPr>
        <w:ind w:left="4" w:right="180" w:hanging="4"/>
        <w:spacing w:after="0" w:line="260" w:lineRule="auto"/>
        <w:tabs>
          <w:tab w:leader="none" w:pos="25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Base Indenture occurs with respect to the Company (or with respect to the Guarantor), the principal amount plus accrued and unpaid interest on the Company’s Notes will become immediately due and payable without any action on the part of the Trustee or any Holder.</w:t>
      </w:r>
    </w:p>
    <w:p>
      <w:pPr>
        <w:spacing w:after="0" w:line="181"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84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May Hold Notes</w:t>
      </w:r>
      <w:r>
        <w:rPr>
          <w:rFonts w:ascii="Times New Roman" w:cs="Times New Roman" w:eastAsia="Times New Roman" w:hAnsi="Times New Roman"/>
          <w:sz w:val="18"/>
          <w:szCs w:val="18"/>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84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Personal Liability of Directors, Officers, Employees and Certain Others</w:t>
      </w:r>
      <w:r>
        <w:rPr>
          <w:rFonts w:ascii="Times New Roman" w:cs="Times New Roman" w:eastAsia="Times New Roman" w:hAnsi="Times New Roman"/>
          <w:sz w:val="18"/>
          <w:szCs w:val="18"/>
          <w:color w:val="auto"/>
        </w:rPr>
        <w:t>.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3"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84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 of Indenture</w:t>
      </w:r>
      <w:r>
        <w:rPr>
          <w:rFonts w:ascii="Times New Roman" w:cs="Times New Roman" w:eastAsia="Times New Roman" w:hAnsi="Times New Roman"/>
          <w:sz w:val="18"/>
          <w:szCs w:val="18"/>
          <w:color w:val="auto"/>
        </w:rPr>
        <w:t>. The Indenture contains certain provisions pertaining to discharge and defeasance, which provisions shall for all purposes have the same effect as if set forth herein.</w:t>
      </w:r>
    </w:p>
    <w:p>
      <w:pPr>
        <w:spacing w:after="0" w:line="161" w:lineRule="exact"/>
        <w:rPr>
          <w:rFonts w:ascii="Times New Roman" w:cs="Times New Roman" w:eastAsia="Times New Roman" w:hAnsi="Times New Roman"/>
          <w:sz w:val="18"/>
          <w:szCs w:val="18"/>
          <w:color w:val="auto"/>
        </w:rPr>
      </w:pPr>
    </w:p>
    <w:p>
      <w:pPr>
        <w:ind w:left="4" w:right="860" w:firstLine="436"/>
        <w:spacing w:after="0" w:line="282" w:lineRule="auto"/>
        <w:tabs>
          <w:tab w:leader="none" w:pos="84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This Note shall not be valid until the Trustee signs, by manual, facsimile or electronic signature, the certificate of authentication attached to the other side of this Note.</w:t>
      </w:r>
    </w:p>
    <w:p>
      <w:pPr>
        <w:spacing w:after="0" w:line="161"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The Company is obligated to pay Additional Amounts on this Note to the extent provided in the Indenture.</w:t>
      </w:r>
    </w:p>
    <w:p>
      <w:pPr>
        <w:spacing w:after="0" w:line="225" w:lineRule="exact"/>
        <w:rPr>
          <w:rFonts w:ascii="Times New Roman" w:cs="Times New Roman" w:eastAsia="Times New Roman" w:hAnsi="Times New Roman"/>
          <w:sz w:val="18"/>
          <w:szCs w:val="18"/>
          <w:color w:val="auto"/>
        </w:rPr>
      </w:pPr>
    </w:p>
    <w:p>
      <w:pPr>
        <w:ind w:left="4" w:right="300" w:firstLine="436"/>
        <w:spacing w:after="0" w:line="266" w:lineRule="auto"/>
        <w:tabs>
          <w:tab w:leader="none" w:pos="84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w:t>
      </w:r>
      <w:r>
        <w:rPr>
          <w:rFonts w:ascii="Times New Roman" w:cs="Times New Roman" w:eastAsia="Times New Roman" w:hAnsi="Times New Roman"/>
          <w:sz w:val="18"/>
          <w:szCs w:val="18"/>
          <w:color w:val="auto"/>
        </w:rPr>
        <w:t>. Customary abbreviations may be used in the name of a Holder or an assignee, such as: TEN COM(= tenants in common), TEN ENT(= tenants by the entireties), JT TEN (= joint tenants with right of survivorship and not as tenants in common), CUST (= custodian), and U/G/M/A (= Uniform Gifts to Minors Act).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4"/>
          </w:cols>
          <w:pgMar w:left="436" w:top="270" w:right="459" w:bottom="1440" w:gutter="0" w:footer="0" w:header="0"/>
        </w:sectPr>
      </w:pPr>
    </w:p>
    <w:bookmarkStart w:id="128" w:name="page129"/>
    <w:bookmarkEnd w:id="128"/>
    <w:p>
      <w:pPr>
        <w:ind w:firstLine="991"/>
        <w:spacing w:after="0" w:line="26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INDENTURE, THIS NOTE AND THE NOTE GUARANTEE, INCLUDING ANY CLAIM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p>
    <w:p>
      <w:pPr>
        <w:spacing w:after="0" w:line="1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700"/>
          </w:cols>
          <w:pgMar w:left="440" w:top="266" w:right="759" w:bottom="1440" w:gutter="0" w:footer="0" w:header="0"/>
        </w:sectPr>
      </w:pPr>
    </w:p>
    <w:bookmarkStart w:id="129" w:name="page130"/>
    <w:bookmarkEnd w:id="1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00" w:lineRule="exact"/>
        <w:rPr>
          <w:sz w:val="20"/>
          <w:szCs w:val="20"/>
          <w:color w:val="auto"/>
        </w:rPr>
      </w:pPr>
    </w:p>
    <w:p>
      <w:pPr>
        <w:spacing w:after="0" w:line="3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420370</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643255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866140</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1080135</wp:posOffset>
            </wp:positionV>
            <wp:extent cx="6995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____________________________________________________ agent to transfer this Note on the books of the Company.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17145</wp:posOffset>
            </wp:positionV>
            <wp:extent cx="19545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17145</wp:posOffset>
            </wp:positionV>
            <wp:extent cx="16198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(Signature must be guaranteed by</w:t>
      </w:r>
    </w:p>
    <w:p>
      <w:pPr>
        <w:spacing w:after="0" w:line="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a participant in a recognized</w:t>
      </w:r>
    </w:p>
    <w:p>
      <w:pPr>
        <w:spacing w:after="0" w:line="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Signature Guarantee Medallion</w:t>
      </w:r>
    </w:p>
    <w:p>
      <w:pPr>
        <w:spacing w:after="0" w:line="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Program (or other signature</w:t>
      </w:r>
    </w:p>
    <w:p>
      <w:pPr>
        <w:spacing w:after="0" w:line="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guarantor acceptable to the</w:t>
      </w:r>
    </w:p>
    <w:p>
      <w:pPr>
        <w:spacing w:after="0" w:line="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Trustee))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60"/>
          </w:cols>
          <w:pgMar w:left="440" w:top="266"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INCREASES AND DECREASES IN THE GLOBAL NOTE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increases and decreases in this Global Note have been made:</w:t>
      </w:r>
    </w:p>
    <w:p>
      <w:pPr>
        <w:sectPr>
          <w:pgSz w:w="11900" w:h="16838" w:orient="portrait"/>
          <w:cols w:equalWidth="0" w:num="1">
            <w:col w:w="11020"/>
          </w:cols>
          <w:pgMar w:left="440" w:top="270" w:right="439" w:bottom="1440" w:gutter="0" w:footer="0" w:header="0"/>
        </w:sect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30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Amount of decrease in</w:t>
            </w:r>
          </w:p>
        </w:tc>
        <w:tc>
          <w:tcPr>
            <w:tcW w:w="0" w:type="dxa"/>
            <w:vAlign w:val="bottom"/>
          </w:tcPr>
          <w:p>
            <w:pPr>
              <w:spacing w:after="0"/>
              <w:rPr>
                <w:sz w:val="1"/>
                <w:szCs w:val="1"/>
                <w:color w:val="auto"/>
              </w:rPr>
            </w:pPr>
          </w:p>
        </w:tc>
      </w:tr>
      <w:tr>
        <w:trPr>
          <w:trHeight w:val="148"/>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Increase or Decrease</w:t>
            </w:r>
          </w:p>
        </w:tc>
        <w:tc>
          <w:tcPr>
            <w:tcW w:w="3060" w:type="dxa"/>
            <w:vAlign w:val="bottom"/>
            <w:gridSpan w:val="2"/>
          </w:tcPr>
          <w:p>
            <w:pPr>
              <w:ind w:left="960"/>
              <w:spacing w:after="0" w:line="149" w:lineRule="exact"/>
              <w:rPr>
                <w:sz w:val="20"/>
                <w:szCs w:val="20"/>
                <w:color w:val="auto"/>
              </w:rPr>
            </w:pPr>
            <w:r>
              <w:rPr>
                <w:rFonts w:ascii="Times New Roman" w:cs="Times New Roman" w:eastAsia="Times New Roman" w:hAnsi="Times New Roman"/>
                <w:sz w:val="14"/>
                <w:szCs w:val="14"/>
                <w:color w:val="auto"/>
              </w:rPr>
              <w:t>Principal Amount of this</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960" w:type="dxa"/>
            <w:vAlign w:val="bottom"/>
          </w:tcPr>
          <w:p>
            <w:pPr>
              <w:spacing w:after="0"/>
              <w:rPr>
                <w:sz w:val="15"/>
                <w:szCs w:val="15"/>
                <w:color w:val="auto"/>
              </w:rPr>
            </w:pP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4"/>
          <w:szCs w:val="14"/>
          <w:color w:val="auto"/>
        </w:rPr>
        <w:t>Amount of increase in Principal Amount 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13284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Amount of this</w:t>
            </w:r>
          </w:p>
        </w:tc>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Signature of</w:t>
            </w:r>
          </w:p>
        </w:tc>
      </w:tr>
      <w:tr>
        <w:trPr>
          <w:trHeight w:val="148"/>
        </w:trPr>
        <w:tc>
          <w:tcPr>
            <w:tcW w:w="1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Global Note following</w:t>
            </w:r>
          </w:p>
        </w:tc>
        <w:tc>
          <w:tcPr>
            <w:tcW w:w="1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authorized officer</w:t>
            </w:r>
          </w:p>
        </w:tc>
      </w:tr>
      <w:tr>
        <w:trPr>
          <w:trHeight w:val="18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such decrease (or increase)</w:t>
            </w:r>
          </w:p>
        </w:tc>
        <w:tc>
          <w:tcPr>
            <w:tcW w:w="100" w:type="dxa"/>
            <w:vAlign w:val="bottom"/>
          </w:tcPr>
          <w:p>
            <w:pPr>
              <w:spacing w:after="0"/>
              <w:rPr>
                <w:sz w:val="16"/>
                <w:szCs w:val="16"/>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of Registrar</w:t>
            </w:r>
          </w:p>
        </w:tc>
      </w:tr>
    </w:tbl>
    <w:p>
      <w:pPr>
        <w:spacing w:after="0" w:line="130" w:lineRule="exact"/>
        <w:rPr>
          <w:sz w:val="20"/>
          <w:szCs w:val="20"/>
          <w:color w:val="auto"/>
        </w:rPr>
      </w:pPr>
    </w:p>
    <w:p>
      <w:pPr>
        <w:sectPr>
          <w:pgSz w:w="11900" w:h="16838" w:orient="portrait"/>
          <w:cols w:equalWidth="0" w:num="3">
            <w:col w:w="4720" w:space="100"/>
            <w:col w:w="1740" w:space="720"/>
            <w:col w:w="3740"/>
          </w:cols>
          <w:pgMar w:left="440" w:top="270"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A-12</w:t>
      </w:r>
    </w:p>
    <w:p>
      <w:pPr>
        <w:sectPr>
          <w:pgSz w:w="11900" w:h="16838" w:orient="portrait"/>
          <w:cols w:equalWidth="0" w:num="1">
            <w:col w:w="11020"/>
          </w:cols>
          <w:pgMar w:left="440" w:top="270" w:right="439" w:bottom="1440" w:gutter="0" w:footer="0" w:header="0"/>
          <w:type w:val="continuous"/>
        </w:sectPr>
      </w:pPr>
    </w:p>
    <w:bookmarkStart w:id="131" w:name="page132"/>
    <w:bookmarkEnd w:id="131"/>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276985" cy="196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6985" cy="196850"/>
                    </a:xfrm>
                    <a:prstGeom prst="rect">
                      <a:avLst/>
                    </a:prstGeom>
                    <a:noFill/>
                  </pic:spPr>
                </pic:pic>
              </a:graphicData>
            </a:graphic>
          </wp:anchor>
        </w:drawing>
      </w:r>
    </w:p>
    <w:p>
      <w:pPr>
        <w:spacing w:after="0" w:line="23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200 Park Avenue</w:t>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New York, NY 10166-0193</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Tel 212.351.4000</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www.gibsondunn.com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18, 2020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N.V. (Schlumberger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Schlumberger N.V. (Schlumberger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5599 San Felipe,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i w:val="1"/>
          <w:iCs w:val="1"/>
          <w:color w:val="auto"/>
        </w:rPr>
        <w:t>Schlumberger Finance Canada Ltd. and Schlumberger N.V. (Schlumberger Limited)</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Registration Statement on Form S-3 (File No. 333-248675)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Schlumberger Finance Canada Ltd., a corporation incorporated under the laws of the Province of Alberta, Canada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Schlumberger N.V. (Schlumberger Limited), a Curaçao company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S-3, file no. 333-248675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included therein, the prospectus supplement, dated September 9, 2020, filed with the Commission on September 10, 2020 pursuant to Rule 424(b) of the Securities Act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and the offering by the Company pursuant thereto of $500,000,000 aggregate principal amount of the Company’s 1.400% Senior Notes due 2025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Notes have been issued pursuant to the Indenture, dated September 18, 2020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among the Company, the Guarantor and The Bank of New York Mellon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modified and supplemented by the First Supplemental Indenture, dated September 18, 2020, relating to the Notes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the Guarantor and the Trustee, and are guaranteed pursuant to the terms of the Indenture by the Guarantor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arriving at the opinion expressed below, we have examined originals, or copies certified or otherwise identified to our satisfaction as being true and complete copies of the originals, of the Base Indenture, the Supplemental Indenture, the Notes, the Guarantee and such other documents, corporate records, certificates of officers of the Company and the Guarantor and of public officials and other instruments as we have deemed necessary or advisable to enable us to render these opinions. In our examination, we have assumed, without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82550</wp:posOffset>
            </wp:positionV>
            <wp:extent cx="3317240" cy="240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17240" cy="24003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76985"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97485"/>
                    </a:xfrm>
                    <a:prstGeom prst="rect">
                      <a:avLst/>
                    </a:prstGeom>
                    <a:noFill/>
                  </pic:spPr>
                </pic:pic>
              </a:graphicData>
            </a:graphic>
          </wp:anchor>
        </w:drawing>
        <w:t>September 18,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investigation,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are not admitted or qualified to practice law in Canada or Curaçao. Therefore, we have relied upon the opinions of Bennett Jones LLP and STvB Advocaten (Europe) N.V., filed as exhibits to the Guarantor’s Current Report on Form 8-K filed with the Commission on September 18, 2020, with respect to matters governed by the laws of Canada and Curaçao.</w:t>
      </w:r>
    </w:p>
    <w:p>
      <w:pPr>
        <w:spacing w:after="0" w:line="17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Based upon the foregoing, and subject to the assumptions, exceptions, qualifications and limitations set forth herein, we are of the opinion that the Notes are legal, valid and binding obligations of the Company, enforceable against the Company in accordance with their respective terms, and the Guarantee of the Notes is a legal, valid and binding obligations of the Guarantor obligated thereon, enforceable against the Guarantor in accordance with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expressed above is subject to the following additional exceptions, qualifications, limitations and assumptions:</w:t>
      </w:r>
    </w:p>
    <w:p>
      <w:pPr>
        <w:spacing w:after="0" w:line="225" w:lineRule="exact"/>
        <w:rPr>
          <w:sz w:val="20"/>
          <w:szCs w:val="20"/>
          <w:color w:val="auto"/>
        </w:rPr>
      </w:pPr>
    </w:p>
    <w:p>
      <w:pPr>
        <w:ind w:right="100" w:firstLine="436"/>
        <w:spacing w:after="0" w:line="261" w:lineRule="auto"/>
        <w:tabs>
          <w:tab w:leader="none" w:pos="7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79" w:lineRule="exact"/>
        <w:rPr>
          <w:rFonts w:ascii="Times New Roman" w:cs="Times New Roman" w:eastAsia="Times New Roman" w:hAnsi="Times New Roman"/>
          <w:sz w:val="18"/>
          <w:szCs w:val="18"/>
          <w:color w:val="auto"/>
        </w:rPr>
      </w:pPr>
    </w:p>
    <w:p>
      <w:pPr>
        <w:ind w:right="120" w:firstLine="436"/>
        <w:spacing w:after="0" w:line="258" w:lineRule="auto"/>
        <w:tabs>
          <w:tab w:leader="none" w:pos="78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78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regarding the effectiveness of (i) any waiver of stay, extension or usury laws or of unknown future rights; (ii) any waiver (whether or not stated as such) under the Indenture, the Guarantee or the certificate evidencing the global Notes (collectively, the “</w:t>
      </w:r>
      <w:r>
        <w:rPr>
          <w:rFonts w:ascii="Times New Roman" w:cs="Times New Roman" w:eastAsia="Times New Roman" w:hAnsi="Times New Roman"/>
          <w:sz w:val="18"/>
          <w:szCs w:val="18"/>
          <w:u w:val="single" w:color="auto"/>
          <w:color w:val="auto"/>
        </w:rPr>
        <w:t>Specified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of, or any consent thereunder relating to, unknown future rights or the rights of any party thereto existing, or duties owing to it, as a</w:t>
      </w:r>
    </w:p>
    <w:p>
      <w:pPr>
        <w:sectPr>
          <w:pgSz w:w="11900" w:h="16838" w:orient="portrait"/>
          <w:cols w:equalWidth="0" w:num="1">
            <w:col w:w="11000"/>
          </w:cols>
          <w:pgMar w:left="440" w:top="796"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76985" cy="1974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276985" cy="197485"/>
                    </a:xfrm>
                    <a:prstGeom prst="rect">
                      <a:avLst/>
                    </a:prstGeom>
                    <a:noFill/>
                  </pic:spPr>
                </pic:pic>
              </a:graphicData>
            </a:graphic>
          </wp:anchor>
        </w:drawing>
        <w:t>September 18,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matter of law; (iii) any waiver (whether or not stated as such) contained in the Specified Note Documents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Specified Note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 “Validity of the Securities”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Gibson, Dunn &amp; Crutcher LLP</w:t>
      </w:r>
    </w:p>
    <w:p>
      <w:pPr>
        <w:sectPr>
          <w:pgSz w:w="11900" w:h="16838" w:orient="portrait"/>
          <w:cols w:equalWidth="0" w:num="1">
            <w:col w:w="10900"/>
          </w:cols>
          <w:pgMar w:left="440" w:top="796" w:right="55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18, 2020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 125 - 9th Ave 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Calgary, Alberta, T2G 0P6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1" w:lineRule="exact"/>
        <w:rPr>
          <w:sz w:val="20"/>
          <w:szCs w:val="20"/>
          <w:color w:val="auto"/>
        </w:rPr>
      </w:pPr>
    </w:p>
    <w:p>
      <w:pPr>
        <w:ind w:left="4" w:right="60"/>
        <w:spacing w:after="0" w:line="259" w:lineRule="auto"/>
        <w:rPr>
          <w:sz w:val="20"/>
          <w:szCs w:val="20"/>
          <w:color w:val="auto"/>
        </w:rPr>
      </w:pPr>
      <w:r>
        <w:rPr>
          <w:rFonts w:ascii="Times New Roman" w:cs="Times New Roman" w:eastAsia="Times New Roman" w:hAnsi="Times New Roman"/>
          <w:sz w:val="18"/>
          <w:szCs w:val="18"/>
          <w:color w:val="auto"/>
        </w:rPr>
        <w:t>We have acted as Canadian counsel to Schlumberger Finance Canada Ltd. (“</w:t>
      </w:r>
      <w:r>
        <w:rPr>
          <w:rFonts w:ascii="Times New Roman" w:cs="Times New Roman" w:eastAsia="Times New Roman" w:hAnsi="Times New Roman"/>
          <w:sz w:val="18"/>
          <w:szCs w:val="18"/>
          <w:b w:val="1"/>
          <w:bCs w:val="1"/>
          <w:color w:val="auto"/>
        </w:rPr>
        <w:t>SFCL</w:t>
      </w:r>
      <w:r>
        <w:rPr>
          <w:rFonts w:ascii="Times New Roman" w:cs="Times New Roman" w:eastAsia="Times New Roman" w:hAnsi="Times New Roman"/>
          <w:sz w:val="18"/>
          <w:szCs w:val="18"/>
          <w:color w:val="auto"/>
        </w:rPr>
        <w:t xml:space="preserve">”), a corporation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 in connection with the issuance and sale by SFCL of $500,000,000 principal amount of 1.400% notes due 2025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are issued pursuant to an indenture dated as of September 18, 2020 among SFCL, Schlumberger N.A.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dated as of September 18, 2020 among the Company, the Guarantor and the Trustee and are unconditionally guaranteed on an unsecured senior basis by the Guarantor.</w:t>
      </w:r>
    </w:p>
    <w:p>
      <w:pPr>
        <w:spacing w:after="0" w:line="183"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We have examined such corporate records, certificates and other documents and such questions of law as we have considered necessary or appropriate for the purposes of this opinion. In providing the opinions expressed herein, we have assumed the genuineness of all signatures, the authenticity of all documents submitted to us as originals, the conformity to the originals of all documents submitted to us as copies and the authenticity of the originals of such copies, the legal capacity of all individuals and the minute books of SFCL provided to us are accurate, complete and up to date in all respects.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the basis of such examination, we advise you that, in our opinion:</w:t>
      </w:r>
    </w:p>
    <w:p>
      <w:pPr>
        <w:spacing w:after="0" w:line="129" w:lineRule="exact"/>
        <w:rPr>
          <w:sz w:val="20"/>
          <w:szCs w:val="20"/>
          <w:color w:val="auto"/>
        </w:rPr>
      </w:pPr>
    </w:p>
    <w:p>
      <w:pPr>
        <w:ind w:left="424" w:hanging="424"/>
        <w:spacing w:after="0"/>
        <w:tabs>
          <w:tab w:leader="none" w:pos="4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SFCL is a valid and subsisting corporation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w:t>
      </w:r>
    </w:p>
    <w:p>
      <w:pPr>
        <w:spacing w:after="0" w:line="13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indenture relating to the Securities have been duly authorized by SFCL;</w:t>
      </w:r>
    </w:p>
    <w:p>
      <w:pPr>
        <w:spacing w:after="0" w:line="130"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execution is a matter governed by laws of the Province of Alberta and the federal laws of Canada applicable therein in force on this date (“</w:t>
      </w:r>
      <w:r>
        <w:rPr>
          <w:rFonts w:ascii="Times New Roman" w:cs="Times New Roman" w:eastAsia="Times New Roman" w:hAnsi="Times New Roman"/>
          <w:sz w:val="18"/>
          <w:szCs w:val="18"/>
          <w:b w:val="1"/>
          <w:bCs w:val="1"/>
          <w:color w:val="auto"/>
        </w:rPr>
        <w:t>Alberta Law</w:t>
      </w:r>
      <w:r>
        <w:rPr>
          <w:rFonts w:ascii="Times New Roman" w:cs="Times New Roman" w:eastAsia="Times New Roman" w:hAnsi="Times New Roman"/>
          <w:sz w:val="18"/>
          <w:szCs w:val="18"/>
          <w:color w:val="auto"/>
        </w:rPr>
        <w:t>”), the Securities and the indenture relating to the Securities have been duly and validly executed by SFCL in accordance with a valid resolution of the board of directors of SFCL; and</w:t>
      </w:r>
    </w:p>
    <w:p>
      <w:pPr>
        <w:spacing w:after="0" w:line="81"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issuance is a matter governed by Alberta Law, the Securities have been duly and validly issued in accordance with a valid resolution of the board of directors of SFCL.</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foregoing opinion is limited to Alberta Law and we are expressing no opinion as to the effect of the laws of any other jurisdiction. 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pacing w:after="0" w:line="17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 to the Current Report of the Guarantor filed on September 18, 2020. In giving such consent we do not thereby admit that we are within the category of persons whose consent is required under Section 7 of the Act.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Bennett Jones LLP</w:t>
      </w:r>
    </w:p>
    <w:p>
      <w:pPr>
        <w:sectPr>
          <w:pgSz w:w="11900" w:h="16838" w:orient="portrait"/>
          <w:cols w:equalWidth="0" w:num="1">
            <w:col w:w="11024"/>
          </w:cols>
          <w:pgMar w:left="436" w:top="117" w:right="4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5.3</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Texas 77056-2722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18, 2020</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Schlumberger N.V. (also referred to as Schlumberger Limited)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120" w:firstLine="440"/>
        <w:spacing w:after="0" w:line="257" w:lineRule="auto"/>
        <w:rPr>
          <w:sz w:val="20"/>
          <w:szCs w:val="20"/>
          <w:color w:val="auto"/>
        </w:rPr>
      </w:pPr>
      <w:r>
        <w:rPr>
          <w:rFonts w:ascii="Times New Roman" w:cs="Times New Roman" w:eastAsia="Times New Roman" w:hAnsi="Times New Roman"/>
          <w:sz w:val="18"/>
          <w:szCs w:val="18"/>
          <w:color w:val="auto"/>
        </w:rPr>
        <w:t>We have acted as legal counsel to Schlumberger N.V. (also referred to as Schlumberger Limited), a limited liability company organized under the laws of Curaçao (the “Company”), in connection with the preparation of the filing by the Company and Schlumberger Finance Canada Ltd., a corporation incorporated under the laws of the Province of Alberta, Canada (“SFCL”), of a Registration Statement on Form S-3 (Registration</w:t>
      </w:r>
    </w:p>
    <w:p>
      <w:pPr>
        <w:spacing w:after="0" w:line="1" w:lineRule="exact"/>
        <w:rPr>
          <w:sz w:val="20"/>
          <w:szCs w:val="20"/>
          <w:color w:val="auto"/>
        </w:rPr>
      </w:pPr>
    </w:p>
    <w:p>
      <w:pPr>
        <w:ind w:left="4" w:right="180"/>
        <w:spacing w:after="0" w:line="250" w:lineRule="auto"/>
        <w:rPr>
          <w:sz w:val="20"/>
          <w:szCs w:val="20"/>
          <w:color w:val="auto"/>
        </w:rPr>
      </w:pPr>
      <w:r>
        <w:rPr>
          <w:rFonts w:ascii="Times New Roman" w:cs="Times New Roman" w:eastAsia="Times New Roman" w:hAnsi="Times New Roman"/>
          <w:sz w:val="18"/>
          <w:szCs w:val="18"/>
          <w:color w:val="auto"/>
        </w:rPr>
        <w:t>No. 333-248675) (the “Registration Statement”), with the Securities and Exchange Commission (the “Commission”) under the Securities Act of 1933, as amended (the “Act”), relating to the registration under the Act of (i) senior unsecured debt securities of SFCL (the “Debt Securities”) and</w:t>
      </w:r>
    </w:p>
    <w:p>
      <w:pPr>
        <w:spacing w:after="0" w:line="1" w:lineRule="exact"/>
        <w:rPr>
          <w:sz w:val="20"/>
          <w:szCs w:val="20"/>
          <w:color w:val="auto"/>
        </w:rPr>
      </w:pPr>
    </w:p>
    <w:p>
      <w:pPr>
        <w:jc w:val="both"/>
        <w:ind w:left="4" w:right="220" w:hanging="4"/>
        <w:spacing w:after="0" w:line="255" w:lineRule="auto"/>
        <w:tabs>
          <w:tab w:leader="none" w:pos="26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the Debt Securities by the Company,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 to the Current Report on Form 8-K.</w:t>
      </w:r>
    </w:p>
    <w:p>
      <w:pPr>
        <w:spacing w:after="0" w:line="186"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 related prospectus dated September 9, 2020 and a prospectus supplement dated September 9, 2020 relating to the Notes and the Guarantee (as defined below) (collectively the “Prospectus”) have been filed by SFCL and the Company with the Commission pursuant to Rule 424(b) under the Act.</w:t>
      </w:r>
    </w:p>
    <w:p>
      <w:pPr>
        <w:spacing w:after="0" w:line="17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On September 9, 2020, SFCL and the Company entered into an underwriting agreement (the “Underwriting Agreement”) with BofA Securities, Inc., Goldman Sachs &amp; Co. LLC, J.P. Morgan Securities LLC and Morgan Stanley &amp; Co. LLC, as representatives of the several underwriters (collectively the “Underwriters”), providing for the issuance and sale by SFCL to the Underwriters of $ 500,000,000 aggregate principal amount of SFCL’s 1.400 % Senior Notes due 2025 (the “Notes”), all to be fully and unconditionally guaranteed (the “Guarantee”) by the Company, as guarantor.</w:t>
      </w:r>
    </w:p>
    <w:p>
      <w:pPr>
        <w:sectPr>
          <w:pgSz w:w="11900" w:h="16838" w:orient="portrait"/>
          <w:cols w:equalWidth="0" w:num="1">
            <w:col w:w="11024"/>
          </w:cols>
          <w:pgMar w:left="436" w:top="117" w:right="439" w:bottom="1440" w:gutter="0" w:footer="0" w:header="0"/>
        </w:sectPr>
      </w:pPr>
    </w:p>
    <w:bookmarkStart w:id="136" w:name="page137"/>
    <w:bookmarkEnd w:id="1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opinion is limited to matters governed by the laws of Curaçao.</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We have reviewed each of the Articles of Incorporation, the Amended and Restated Bylaws of the Company, each as amended to date, the Registration Statement, the Prospectus, the Indenture (the “Base Indenture”) among SFCL, the Company, as guarantor, and The Bank of New York Mellon, as trustee, registrar, paying agent and transfer agent (the “Trustee”), in the form of Exhibit 4.1 to the Current Report on Form 8-K filed on the date hereof, the First Supplemental Indenture (the “First Supplemental Indenture” and, together with the Base Indenture the “Indenture”) among SFCL, the Company and the Trustee, in the form of Exhibit 4.2 to the Current Report on Form 8-K filed on the date hereof, pursuant to which the Notes will be issued, and the Underwriting Agreement; have familiarized ourselves with the matters discussed in the Registration Statement and the Prospectus; and have examined all statutes and other records, instruments and corporate documents pertaining to the Company and the matters discussed in the Registration Statement and the Prospectus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Based upon our examination as aforesaid, we are of the opinion that:</w:t>
      </w:r>
    </w:p>
    <w:p>
      <w:pPr>
        <w:spacing w:after="0" w:line="131" w:lineRule="exact"/>
        <w:rPr>
          <w:sz w:val="20"/>
          <w:szCs w:val="20"/>
          <w:color w:val="auto"/>
        </w:rPr>
      </w:pPr>
    </w:p>
    <w:p>
      <w:pPr>
        <w:ind w:left="424" w:right="120" w:hanging="424"/>
        <w:spacing w:after="0" w:line="282" w:lineRule="auto"/>
        <w:tabs>
          <w:tab w:leader="none" w:pos="4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under the laws of the former Netherlands Antilles and is currently validly existing as a limited liability company (</w:t>
      </w:r>
      <w:r>
        <w:rPr>
          <w:rFonts w:ascii="Times New Roman" w:cs="Times New Roman" w:eastAsia="Times New Roman" w:hAnsi="Times New Roman"/>
          <w:sz w:val="18"/>
          <w:szCs w:val="18"/>
          <w:i w:val="1"/>
          <w:iCs w:val="1"/>
          <w:u w:val="single" w:color="auto"/>
          <w:color w:val="auto"/>
        </w:rPr>
        <w:t>naamloze vennootschap</w:t>
      </w:r>
      <w:r>
        <w:rPr>
          <w:rFonts w:ascii="Times New Roman" w:cs="Times New Roman" w:eastAsia="Times New Roman" w:hAnsi="Times New Roman"/>
          <w:sz w:val="18"/>
          <w:szCs w:val="18"/>
          <w:color w:val="auto"/>
        </w:rPr>
        <w:t>) under the laws of Curaçao.</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has been duly authorized and the Indenture has been duly authorized, executed and delivered by the Company.</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We understand that Gibson, Dunn &amp; Crutcher LLP intends to rely upon this opinion for purposes of the opinion such firm expects to deliver in connection with the Notes and the Guarantee and we hereby consent to such reliance as though this opinion were addressed to such firm.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STvB Advocaten (Europe) N.V.</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of Registered Guaranteed Debt Securities</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Schlumberger Investment SA,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18, 2020, (i) SISA was the issuer of its 2.20% Senior Notes due 2020 and 2.65% Senior Notes due 2022 (together, the “SISA Notes”), and (ii) SFCL was the issuer of its 1.400% Senior Notes due 2025 (the “SFCL Notes”). The Guarantor fully and unconditionally guarantees the SISA Notes and the SFCL Notes on a senior unsecured basis.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lowerLetter"/>
      <w:start w:val="4"/>
    </w:lvl>
  </w:abstractNum>
  <w:abstractNum w:abstractNumId="2">
    <w:nsid w:val="310C50B3"/>
    <w:multiLevelType w:val="hybridMultilevel"/>
    <w:lvl w:ilvl="0">
      <w:lvlJc w:val="left"/>
      <w:lvlText w:val="1"/>
      <w:numFmt w:val="bullet"/>
      <w:start w:val="1"/>
    </w:lvl>
  </w:abstractNum>
  <w:abstractNum w:abstractNumId="3">
    <w:nsid w:val="5FF87E05"/>
    <w:multiLevelType w:val="hybridMultilevel"/>
    <w:lvl w:ilvl="0">
      <w:lvlJc w:val="left"/>
      <w:lvlText w:val="%1"/>
      <w:numFmt w:val="decimal"/>
      <w:start w:val="22"/>
    </w:lvl>
  </w:abstractNum>
  <w:abstractNum w:abstractNumId="4">
    <w:nsid w:val="2F305DEF"/>
    <w:multiLevelType w:val="hybridMultilevel"/>
    <w:lvl w:ilvl="0">
      <w:lvlJc w:val="left"/>
      <w:lvlText w:val="%1."/>
      <w:numFmt w:val="decimal"/>
      <w:start w:val="2"/>
    </w:lvl>
  </w:abstractNum>
  <w:abstractNum w:abstractNumId="5">
    <w:nsid w:val="25A70BF7"/>
    <w:multiLevelType w:val="hybridMultilevel"/>
    <w:lvl w:ilvl="0">
      <w:lvlJc w:val="left"/>
      <w:lvlText w:val="(%1)"/>
      <w:numFmt w:val="lowerLetter"/>
      <w:start w:val="1"/>
    </w:lvl>
  </w:abstractNum>
  <w:abstractNum w:abstractNumId="6">
    <w:nsid w:val="1DBABF00"/>
    <w:multiLevelType w:val="hybridMultilevel"/>
    <w:lvl w:ilvl="0">
      <w:lvlJc w:val="left"/>
      <w:lvlText w:val="(%1)"/>
      <w:numFmt w:val="lowerLetter"/>
      <w:start w:val="1"/>
    </w:lvl>
  </w:abstractNum>
  <w:abstractNum w:abstractNumId="7">
    <w:nsid w:val="4AD084E9"/>
    <w:multiLevelType w:val="hybridMultilevel"/>
    <w:lvl w:ilvl="0">
      <w:lvlJc w:val="left"/>
      <w:lvlText w:val="(%1)"/>
      <w:numFmt w:val="lowerLetter"/>
      <w:start w:val="4"/>
    </w:lvl>
  </w:abstractNum>
  <w:abstractNum w:abstractNumId="8">
    <w:nsid w:val="1F48EAA1"/>
    <w:multiLevelType w:val="hybridMultilevel"/>
    <w:lvl w:ilvl="0">
      <w:lvlJc w:val="left"/>
      <w:lvlText w:val="(%1)"/>
      <w:numFmt w:val="lowerLetter"/>
      <w:start w:val="5"/>
    </w:lvl>
  </w:abstractNum>
  <w:abstractNum w:abstractNumId="9">
    <w:nsid w:val="1381823A"/>
    <w:multiLevelType w:val="hybridMultilevel"/>
    <w:lvl w:ilvl="0">
      <w:lvlJc w:val="left"/>
      <w:lvlText w:val="(%1)"/>
      <w:numFmt w:val="lowerLetter"/>
      <w:start w:val="12"/>
    </w:lvl>
  </w:abstractNum>
  <w:abstractNum w:abstractNumId="10">
    <w:nsid w:val="5DB70AE5"/>
    <w:multiLevelType w:val="hybridMultilevel"/>
    <w:lvl w:ilvl="0">
      <w:lvlJc w:val="left"/>
      <w:lvlText w:val="(%1)"/>
      <w:numFmt w:val="lowerLetter"/>
      <w:start w:val="16"/>
    </w:lvl>
  </w:abstractNum>
  <w:abstractNum w:abstractNumId="11">
    <w:nsid w:val="100F8FCA"/>
    <w:multiLevelType w:val="hybridMultilevel"/>
    <w:lvl w:ilvl="0">
      <w:lvlJc w:val="left"/>
      <w:lvlText w:val="(%1)"/>
      <w:numFmt w:val="lowerLetter"/>
      <w:start w:val="1"/>
    </w:lvl>
  </w:abstractNum>
  <w:abstractNum w:abstractNumId="12">
    <w:nsid w:val="6590700B"/>
    <w:multiLevelType w:val="hybridMultilevel"/>
    <w:lvl w:ilvl="0">
      <w:lvlJc w:val="left"/>
      <w:lvlText w:val="(%1)"/>
      <w:numFmt w:val="lowerLetter"/>
      <w:start w:val="4"/>
    </w:lvl>
  </w:abstractNum>
  <w:abstractNum w:abstractNumId="13">
    <w:nsid w:val="15014ACB"/>
    <w:multiLevelType w:val="hybridMultilevel"/>
    <w:lvl w:ilvl="0">
      <w:lvlJc w:val="left"/>
      <w:lvlText w:val="(%1)"/>
      <w:numFmt w:val="lowerLetter"/>
      <w:start w:val="7"/>
    </w:lvl>
  </w:abstractNum>
  <w:abstractNum w:abstractNumId="14">
    <w:nsid w:val="5F5E7FD0"/>
    <w:multiLevelType w:val="hybridMultilevel"/>
    <w:lvl w:ilvl="0">
      <w:lvlJc w:val="left"/>
      <w:lvlText w:val="(%1)"/>
      <w:numFmt w:val="lowerLetter"/>
      <w:start w:val="10"/>
    </w:lvl>
  </w:abstractNum>
  <w:abstractNum w:abstractNumId="15">
    <w:nsid w:val="98A3148"/>
    <w:multiLevelType w:val="hybridMultilevel"/>
    <w:lvl w:ilvl="0">
      <w:lvlJc w:val="left"/>
      <w:lvlText w:val="(%1)"/>
      <w:numFmt w:val="lowerLetter"/>
      <w:start w:val="16"/>
    </w:lvl>
  </w:abstractNum>
  <w:abstractNum w:abstractNumId="16">
    <w:nsid w:val="799D0247"/>
    <w:multiLevelType w:val="hybridMultilevel"/>
    <w:lvl w:ilvl="0">
      <w:lvlJc w:val="left"/>
      <w:lvlText w:val="(%1)"/>
      <w:numFmt w:val="lowerLetter"/>
      <w:start w:val="20"/>
    </w:lvl>
  </w:abstractNum>
  <w:abstractNum w:abstractNumId="17">
    <w:nsid w:val="6B94764"/>
    <w:multiLevelType w:val="hybridMultilevel"/>
    <w:lvl w:ilvl="0">
      <w:lvlJc w:val="left"/>
      <w:lvlText w:val="(%1)"/>
      <w:numFmt w:val="lowerLetter"/>
      <w:start w:val="25"/>
    </w:lvl>
  </w:abstractNum>
  <w:abstractNum w:abstractNumId="18">
    <w:nsid w:val="42C296BD"/>
    <w:multiLevelType w:val="hybridMultilevel"/>
    <w:lvl w:ilvl="0">
      <w:lvlJc w:val="left"/>
      <w:lvlText w:val="(%1)"/>
      <w:numFmt w:val="lowerLetter"/>
      <w:start w:val="27"/>
    </w:lvl>
  </w:abstractNum>
  <w:abstractNum w:abstractNumId="19">
    <w:nsid w:val="168E121F"/>
    <w:multiLevelType w:val="hybridMultilevel"/>
    <w:lvl w:ilvl="0">
      <w:lvlJc w:val="left"/>
      <w:lvlText w:val="(%1)"/>
      <w:numFmt w:val="lowerRoman"/>
      <w:start w:val="2"/>
    </w:lvl>
    <w:lvl w:ilvl="1">
      <w:lvlJc w:val="left"/>
      <w:lvlText w:val="%2."/>
      <w:numFmt w:val="decimal"/>
      <w:start w:val="4"/>
    </w:lvl>
  </w:abstractNum>
  <w:abstractNum w:abstractNumId="20">
    <w:nsid w:val="1EBA5D23"/>
    <w:multiLevelType w:val="hybridMultilevel"/>
    <w:lvl w:ilvl="0">
      <w:lvlJc w:val="left"/>
      <w:lvlText w:val="(%1)"/>
      <w:numFmt w:val="lowerLetter"/>
      <w:start w:val="1"/>
    </w:lvl>
  </w:abstractNum>
  <w:abstractNum w:abstractNumId="21">
    <w:nsid w:val="661E3F1E"/>
    <w:multiLevelType w:val="hybridMultilevel"/>
    <w:lvl w:ilvl="0">
      <w:lvlJc w:val="left"/>
      <w:lvlText w:val="(%1)"/>
      <w:numFmt w:val="lowerLetter"/>
      <w:start w:val="3"/>
    </w:lvl>
  </w:abstractNum>
  <w:abstractNum w:abstractNumId="22">
    <w:nsid w:val="5DC79EA8"/>
    <w:multiLevelType w:val="hybridMultilevel"/>
    <w:lvl w:ilvl="0">
      <w:lvlJc w:val="left"/>
      <w:lvlText w:val="%1"/>
      <w:numFmt w:val="lowerLetter"/>
      <w:start w:val="1"/>
    </w:lvl>
    <w:lvl w:ilvl="1">
      <w:lvlJc w:val="left"/>
      <w:lvlText w:val="(%2)"/>
      <w:numFmt w:val="lowerLetter"/>
      <w:start w:val="6"/>
    </w:lvl>
  </w:abstractNum>
  <w:abstractNum w:abstractNumId="23">
    <w:nsid w:val="540A471C"/>
    <w:multiLevelType w:val="hybridMultilevel"/>
    <w:lvl w:ilvl="0">
      <w:lvlJc w:val="left"/>
      <w:lvlText w:val="(%1)"/>
      <w:numFmt w:val="lowerLetter"/>
      <w:start w:val="35"/>
    </w:lvl>
    <w:lvl w:ilvl="1">
      <w:lvlJc w:val="left"/>
      <w:lvlText w:val="(%2)"/>
      <w:numFmt w:val="lowerLetter"/>
      <w:start w:val="7"/>
    </w:lvl>
  </w:abstractNum>
  <w:abstractNum w:abstractNumId="24">
    <w:nsid w:val="7BD3EE7B"/>
    <w:multiLevelType w:val="hybridMultilevel"/>
    <w:lvl w:ilvl="0">
      <w:lvlJc w:val="left"/>
      <w:lvlText w:val="(%1)"/>
      <w:numFmt w:val="lowerLetter"/>
      <w:start w:val="10"/>
    </w:lvl>
  </w:abstractNum>
  <w:abstractNum w:abstractNumId="25">
    <w:nsid w:val="51D9C564"/>
    <w:multiLevelType w:val="hybridMultilevel"/>
    <w:lvl w:ilvl="0">
      <w:lvlJc w:val="left"/>
      <w:lvlText w:val="(%1)"/>
      <w:numFmt w:val="lowerLetter"/>
      <w:start w:val="1"/>
    </w:lvl>
  </w:abstractNum>
  <w:abstractNum w:abstractNumId="26">
    <w:nsid w:val="613EFDC5"/>
    <w:multiLevelType w:val="hybridMultilevel"/>
    <w:lvl w:ilvl="0">
      <w:lvlJc w:val="left"/>
      <w:lvlText w:val="%1."/>
      <w:numFmt w:val="decimal"/>
      <w:start w:val="6"/>
    </w:lvl>
  </w:abstractNum>
  <w:abstractNum w:abstractNumId="27">
    <w:nsid w:val="BF72B14"/>
    <w:multiLevelType w:val="hybridMultilevel"/>
    <w:lvl w:ilvl="0">
      <w:lvlJc w:val="left"/>
      <w:lvlText w:val="(%1)"/>
      <w:numFmt w:val="lowerLetter"/>
      <w:start w:val="1"/>
    </w:lvl>
  </w:abstractNum>
  <w:abstractNum w:abstractNumId="28">
    <w:nsid w:val="11447B73"/>
    <w:multiLevelType w:val="hybridMultilevel"/>
    <w:lvl w:ilvl="0">
      <w:lvlJc w:val="left"/>
      <w:lvlText w:val="(%1)"/>
      <w:numFmt w:val="lowerLetter"/>
      <w:start w:val="4"/>
    </w:lvl>
  </w:abstractNum>
  <w:abstractNum w:abstractNumId="29">
    <w:nsid w:val="42963E5A"/>
    <w:multiLevelType w:val="hybridMultilevel"/>
    <w:lvl w:ilvl="0">
      <w:lvlJc w:val="left"/>
      <w:lvlText w:val="(%1)"/>
      <w:numFmt w:val="lowerLetter"/>
      <w:start w:val="8"/>
    </w:lvl>
  </w:abstractNum>
  <w:abstractNum w:abstractNumId="30">
    <w:nsid w:val="A0382C5"/>
    <w:multiLevelType w:val="hybridMultilevel"/>
    <w:lvl w:ilvl="0">
      <w:lvlJc w:val="left"/>
      <w:lvlText w:val="%1."/>
      <w:numFmt w:val="decimal"/>
      <w:start w:val="7"/>
    </w:lvl>
  </w:abstractNum>
  <w:abstractNum w:abstractNumId="31">
    <w:nsid w:val="8F2B15E"/>
    <w:multiLevelType w:val="hybridMultilevel"/>
    <w:lvl w:ilvl="0">
      <w:lvlJc w:val="left"/>
      <w:lvlText w:val="(%1)"/>
      <w:numFmt w:val="lowerLetter"/>
      <w:start w:val="1"/>
    </w:lvl>
  </w:abstractNum>
  <w:abstractNum w:abstractNumId="32">
    <w:nsid w:val="1A32234B"/>
    <w:multiLevelType w:val="hybridMultilevel"/>
    <w:lvl w:ilvl="0">
      <w:lvlJc w:val="left"/>
      <w:lvlText w:val="(%1)"/>
      <w:numFmt w:val="lowerLetter"/>
      <w:start w:val="2"/>
    </w:lvl>
  </w:abstractNum>
  <w:abstractNum w:abstractNumId="33">
    <w:nsid w:val="3B0FD379"/>
    <w:multiLevelType w:val="hybridMultilevel"/>
    <w:lvl w:ilvl="0">
      <w:lvlJc w:val="left"/>
      <w:lvlText w:val="(%1)"/>
      <w:numFmt w:val="lowerLetter"/>
      <w:start w:val="25"/>
    </w:lvl>
  </w:abstractNum>
  <w:abstractNum w:abstractNumId="34">
    <w:nsid w:val="68EB2F63"/>
    <w:multiLevelType w:val="hybridMultilevel"/>
    <w:lvl w:ilvl="0">
      <w:lvlJc w:val="left"/>
      <w:lvlText w:val="(%1)"/>
      <w:numFmt w:val="lowerLetter"/>
      <w:start w:val="4"/>
    </w:lvl>
  </w:abstractNum>
  <w:abstractNum w:abstractNumId="35">
    <w:nsid w:val="4962813B"/>
    <w:multiLevelType w:val="hybridMultilevel"/>
    <w:lvl w:ilvl="0">
      <w:lvlJc w:val="left"/>
      <w:lvlText w:val="(%1)"/>
      <w:numFmt w:val="lowerLetter"/>
      <w:start w:val="6"/>
    </w:lvl>
  </w:abstractNum>
  <w:abstractNum w:abstractNumId="36">
    <w:nsid w:val="60B6DF70"/>
    <w:multiLevelType w:val="hybridMultilevel"/>
    <w:lvl w:ilvl="0">
      <w:lvlJc w:val="left"/>
      <w:lvlText w:val="%1."/>
      <w:numFmt w:val="decimal"/>
      <w:start w:val="8"/>
    </w:lvl>
  </w:abstractNum>
  <w:abstractNum w:abstractNumId="37">
    <w:nsid w:val="6A5EE64"/>
    <w:multiLevelType w:val="hybridMultilevel"/>
    <w:lvl w:ilvl="0">
      <w:lvlJc w:val="left"/>
      <w:lvlText w:val="(%1)"/>
      <w:numFmt w:val="lowerLetter"/>
      <w:start w:val="1"/>
    </w:lvl>
  </w:abstractNum>
  <w:abstractNum w:abstractNumId="38">
    <w:nsid w:val="14330624"/>
    <w:multiLevelType w:val="hybridMultilevel"/>
    <w:lvl w:ilvl="0">
      <w:lvlJc w:val="left"/>
      <w:lvlText w:val="(%1)"/>
      <w:numFmt w:val="lowerLetter"/>
      <w:start w:val="2"/>
    </w:lvl>
  </w:abstractNum>
  <w:abstractNum w:abstractNumId="39">
    <w:nsid w:val="7FFFCA11"/>
    <w:multiLevelType w:val="hybridMultilevel"/>
    <w:lvl w:ilvl="0">
      <w:lvlJc w:val="left"/>
      <w:lvlText w:val="(%1)"/>
      <w:numFmt w:val="lowerLetter"/>
      <w:start w:val="4"/>
    </w:lvl>
  </w:abstractNum>
  <w:abstractNum w:abstractNumId="40">
    <w:nsid w:val="1A27709E"/>
    <w:multiLevelType w:val="hybridMultilevel"/>
    <w:lvl w:ilvl="0">
      <w:lvlJc w:val="left"/>
      <w:lvlText w:val="%1."/>
      <w:numFmt w:val="decimal"/>
      <w:start w:val="10"/>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2"/>
    </w:lvl>
  </w:abstractNum>
  <w:abstractNum w:abstractNumId="43">
    <w:nsid w:val="7FB7E0AA"/>
    <w:multiLevelType w:val="hybridMultilevel"/>
    <w:lvl w:ilvl="0">
      <w:lvlJc w:val="left"/>
      <w:lvlText w:val="%1."/>
      <w:numFmt w:val="decimal"/>
      <w:start w:val="11"/>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1."/>
      <w:numFmt w:val="decimal"/>
      <w:start w:val="12"/>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26"/>
    </w:lvl>
    <w:lvl w:ilvl="1">
      <w:lvlJc w:val="left"/>
      <w:lvlText w:val="(%2)"/>
      <w:numFmt w:val="lowerLetter"/>
      <w:start w:val="2"/>
    </w:lvl>
  </w:abstractNum>
  <w:abstractNum w:abstractNumId="48">
    <w:nsid w:val="76272110"/>
    <w:multiLevelType w:val="hybridMultilevel"/>
    <w:lvl w:ilvl="0">
      <w:lvlJc w:val="left"/>
      <w:lvlText w:val="%1."/>
      <w:numFmt w:val="decimal"/>
      <w:start w:val="13"/>
    </w:lvl>
  </w:abstractNum>
  <w:abstractNum w:abstractNumId="49">
    <w:nsid w:val="4C04A8AF"/>
    <w:multiLevelType w:val="hybridMultilevel"/>
    <w:lvl w:ilvl="0">
      <w:lvlJc w:val="left"/>
      <w:lvlText w:val="%1."/>
      <w:numFmt w:val="decimal"/>
      <w:start w:val="14"/>
    </w:lvl>
  </w:abstractNum>
  <w:abstractNum w:abstractNumId="50">
    <w:nsid w:val="1716703B"/>
    <w:multiLevelType w:val="hybridMultilevel"/>
    <w:lvl w:ilvl="0">
      <w:lvlJc w:val="left"/>
      <w:lvlText w:val="(%1)"/>
      <w:numFmt w:val="lowerLetter"/>
      <w:start w:val="1"/>
    </w:lvl>
    <w:lvl w:ilvl="1">
      <w:lvlJc w:val="left"/>
      <w:lvlText w:val="(%2)"/>
      <w:numFmt w:val="lowerRoman"/>
      <w:start w:val="1"/>
    </w:lvl>
  </w:abstractNum>
  <w:abstractNum w:abstractNumId="51">
    <w:nsid w:val="14E17E33"/>
    <w:multiLevelType w:val="hybridMultilevel"/>
    <w:lvl w:ilvl="0">
      <w:lvlJc w:val="left"/>
      <w:lvlText w:val="%1."/>
      <w:numFmt w:val="decimal"/>
      <w:start w:val="16"/>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Letter"/>
      <w:start w:val="7"/>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1)"/>
      <w:numFmt w:val="lowerLetter"/>
      <w:start w:val="1"/>
    </w:lvl>
  </w:abstractNum>
  <w:abstractNum w:abstractNumId="57">
    <w:nsid w:val="4A2AC315"/>
    <w:multiLevelType w:val="hybridMultilevel"/>
    <w:lvl w:ilvl="0">
      <w:lvlJc w:val="left"/>
      <w:lvlText w:val="(%1)"/>
      <w:numFmt w:val="lowerRoman"/>
      <w:start w:val="2"/>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2"/>
    </w:lvl>
  </w:abstractNum>
  <w:abstractNum w:abstractNumId="61">
    <w:nsid w:val="43F18422"/>
    <w:multiLevelType w:val="hybridMultilevel"/>
    <w:lvl w:ilvl="0">
      <w:lvlJc w:val="left"/>
      <w:lvlText w:val="(%1)"/>
      <w:numFmt w:val="lowerLetter"/>
      <w:start w:val="1"/>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9"/>
    </w:lvl>
  </w:abstractNum>
  <w:abstractNum w:abstractNumId="64">
    <w:nsid w:val="7F01579B"/>
    <w:multiLevelType w:val="hybridMultilevel"/>
    <w:lvl w:ilvl="0">
      <w:lvlJc w:val="left"/>
      <w:lvlText w:val="(%1)"/>
      <w:numFmt w:val="lowerLetter"/>
      <w:start w:val="1"/>
    </w:lvl>
    <w:lvl w:ilvl="1">
      <w:lvlJc w:val="left"/>
      <w:lvlText w:val="(%2)"/>
      <w:numFmt w:val="decimal"/>
      <w:start w:val="1"/>
    </w:lvl>
  </w:abstractNum>
  <w:abstractNum w:abstractNumId="65">
    <w:nsid w:val="49DA307D"/>
    <w:multiLevelType w:val="hybridMultilevel"/>
    <w:lvl w:ilvl="0">
      <w:lvlJc w:val="left"/>
      <w:lvlText w:val="(%1)"/>
      <w:numFmt w:val="decimal"/>
      <w:start w:val="2"/>
    </w:lvl>
  </w:abstractNum>
  <w:abstractNum w:abstractNumId="66">
    <w:nsid w:val="7055A5F5"/>
    <w:multiLevelType w:val="hybridMultilevel"/>
    <w:lvl w:ilvl="0">
      <w:lvlJc w:val="left"/>
      <w:lvlText w:val="%1"/>
      <w:numFmt w:val="decimal"/>
      <w:start w:val="1"/>
    </w:lvl>
    <w:lvl w:ilvl="1">
      <w:lvlJc w:val="left"/>
      <w:lvlText w:val="(%2)"/>
      <w:numFmt w:val="lowerLetter"/>
      <w:start w:val="2"/>
    </w:lvl>
  </w:abstractNum>
  <w:abstractNum w:abstractNumId="67">
    <w:nsid w:val="5FB8370B"/>
    <w:multiLevelType w:val="hybridMultilevel"/>
    <w:lvl w:ilvl="0">
      <w:lvlJc w:val="left"/>
      <w:lvlText w:val="(%1)"/>
      <w:numFmt w:val="decimal"/>
      <w:start w:val="1"/>
    </w:lvl>
    <w:lvl w:ilvl="1">
      <w:lvlJc w:val="left"/>
      <w:lvlText w:val="(%2)"/>
      <w:numFmt w:val="lowerLetter"/>
      <w:start w:val="3"/>
    </w:lvl>
  </w:abstractNum>
  <w:abstractNum w:abstractNumId="68">
    <w:nsid w:val="50801EE1"/>
    <w:multiLevelType w:val="hybridMultilevel"/>
    <w:lvl w:ilvl="0">
      <w:lvlJc w:val="left"/>
      <w:lvlText w:val="(%1)"/>
      <w:numFmt w:val="lowerLetter"/>
      <w:start w:val="6"/>
    </w:lvl>
  </w:abstractNum>
  <w:abstractNum w:abstractNumId="69">
    <w:nsid w:val="488AC1A"/>
    <w:multiLevelType w:val="hybridMultilevel"/>
    <w:lvl w:ilvl="0">
      <w:lvlJc w:val="left"/>
      <w:lvlText w:val="(%1)"/>
      <w:numFmt w:val="lowerLetter"/>
      <w:start w:val="1"/>
    </w:lvl>
  </w:abstractNum>
  <w:abstractNum w:abstractNumId="70">
    <w:nsid w:val="5FB8011C"/>
    <w:multiLevelType w:val="hybridMultilevel"/>
    <w:lvl w:ilvl="0">
      <w:lvlJc w:val="left"/>
      <w:lvlText w:val="(%1)"/>
      <w:numFmt w:val="lowerLetter"/>
      <w:start w:val="1"/>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lowerLetter"/>
      <w:start w:val="2"/>
    </w:lvl>
    <w:lvl w:ilvl="1">
      <w:lvlJc w:val="left"/>
      <w:lvlText w:val="(%2)"/>
      <w:numFmt w:val="decimal"/>
      <w:start w:val="1"/>
    </w:lvl>
  </w:abstractNum>
  <w:abstractNum w:abstractNumId="73">
    <w:nsid w:val="6FC75AF8"/>
    <w:multiLevelType w:val="hybridMultilevel"/>
    <w:lvl w:ilvl="0">
      <w:lvlJc w:val="left"/>
      <w:lvlText w:val="%1"/>
      <w:numFmt w:val="lowerLetter"/>
      <w:start w:val="1"/>
    </w:lvl>
    <w:lvl w:ilvl="1">
      <w:lvlJc w:val="left"/>
      <w:lvlText w:val="(%2)"/>
      <w:numFmt w:val="decimal"/>
      <w:start w:val="3"/>
    </w:lvl>
  </w:abstractNum>
  <w:abstractNum w:abstractNumId="74">
    <w:nsid w:val="6A5F7029"/>
    <w:multiLevelType w:val="hybridMultilevel"/>
    <w:lvl w:ilvl="0">
      <w:lvlJc w:val="left"/>
      <w:lvlText w:val="(%1)"/>
      <w:numFmt w:val="lowerLetter"/>
      <w:start w:val="8"/>
    </w:lvl>
    <w:lvl w:ilvl="1">
      <w:lvlJc w:val="left"/>
      <w:lvlText w:val="%2"/>
      <w:numFmt w:val="decimal"/>
      <w:start w:val="1"/>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1)"/>
      <w:numFmt w:val="lowerLetter"/>
      <w:start w:val="2"/>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lowerLetter"/>
      <w:start w:val="1"/>
    </w:lvl>
  </w:abstractNum>
  <w:abstractNum w:abstractNumId="79">
    <w:nsid w:val="555C55B5"/>
    <w:multiLevelType w:val="hybridMultilevel"/>
    <w:lvl w:ilvl="0">
      <w:lvlJc w:val="left"/>
      <w:lvlText w:val="(%1)"/>
      <w:numFmt w:val="lowerLetter"/>
      <w:start w:val="3"/>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lowerLetter"/>
      <w:start w:val="1"/>
    </w:lvl>
    <w:lvl w:ilvl="1">
      <w:lvlJc w:val="left"/>
      <w:lvlText w:val="(%2)"/>
      <w:numFmt w:val="decimal"/>
      <w:start w:val="1"/>
    </w:lvl>
  </w:abstractNum>
  <w:abstractNum w:abstractNumId="82">
    <w:nsid w:val="6A3DD3E8"/>
    <w:multiLevelType w:val="hybridMultilevel"/>
    <w:lvl w:ilvl="0">
      <w:lvlJc w:val="left"/>
      <w:lvlText w:val="(%1)"/>
      <w:numFmt w:val="lowerLetter"/>
      <w:start w:val="5"/>
    </w:lvl>
  </w:abstractNum>
  <w:abstractNum w:abstractNumId="83">
    <w:nsid w:val="71C91298"/>
    <w:multiLevelType w:val="hybridMultilevel"/>
    <w:lvl w:ilvl="0">
      <w:lvlJc w:val="left"/>
      <w:lvlText w:val="(%1)"/>
      <w:numFmt w:val="lowerLetter"/>
      <w:start w:val="1"/>
    </w:lvl>
  </w:abstractNum>
  <w:abstractNum w:abstractNumId="84">
    <w:nsid w:val="9DAF632"/>
    <w:multiLevelType w:val="hybridMultilevel"/>
    <w:lvl w:ilvl="0">
      <w:lvlJc w:val="left"/>
      <w:lvlText w:val="(%1)"/>
      <w:numFmt w:val="lowerLetter"/>
      <w:start w:val="7"/>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87">
    <w:nsid w:val="5092CA79"/>
    <w:multiLevelType w:val="hybridMultilevel"/>
    <w:lvl w:ilvl="0">
      <w:lvlJc w:val="left"/>
      <w:lvlText w:val="(%1)"/>
      <w:numFmt w:val="lowerLetter"/>
      <w:start w:val="25"/>
    </w:lvl>
  </w:abstractNum>
  <w:abstractNum w:abstractNumId="88">
    <w:nsid w:val="1D545C4D"/>
    <w:multiLevelType w:val="hybridMultilevel"/>
    <w:lvl w:ilvl="0">
      <w:lvlJc w:val="left"/>
      <w:lvlText w:val="%1"/>
      <w:numFmt w:val="decimal"/>
      <w:start w:val="1"/>
    </w:lvl>
    <w:lvl w:ilvl="1">
      <w:lvlJc w:val="left"/>
      <w:lvlText w:val="(%2)"/>
      <w:numFmt w:val="upperLetter"/>
      <w:start w:val="3"/>
    </w:lvl>
  </w:abstractNum>
  <w:abstractNum w:abstractNumId="89">
    <w:nsid w:val="59ADEA3D"/>
    <w:multiLevelType w:val="hybridMultilevel"/>
    <w:lvl w:ilvl="0">
      <w:lvlJc w:val="left"/>
      <w:lvlText w:val="(%1)"/>
      <w:numFmt w:val="decimal"/>
      <w:start w:val="2"/>
    </w:lvl>
    <w:lvl w:ilvl="1">
      <w:lvlJc w:val="left"/>
      <w:lvlText w:val="%2"/>
      <w:numFmt w:val="upperLetter"/>
      <w:start w:val="1"/>
    </w:lvl>
  </w:abstractNum>
  <w:abstractNum w:abstractNumId="90">
    <w:nsid w:val="288F1A34"/>
    <w:multiLevelType w:val="hybridMultilevel"/>
    <w:lvl w:ilvl="0">
      <w:lvlJc w:val="left"/>
      <w:lvlText w:val="%1"/>
      <w:numFmt w:val="lowerLetter"/>
      <w:start w:val="1"/>
    </w:lvl>
    <w:lvl w:ilvl="1">
      <w:lvlJc w:val="left"/>
      <w:lvlText w:val="(%2)"/>
      <w:numFmt w:val="decimal"/>
      <w:start w:val="3"/>
    </w:lvl>
  </w:abstractNum>
  <w:abstractNum w:abstractNumId="91">
    <w:nsid w:val="2A155DBC"/>
    <w:multiLevelType w:val="hybridMultilevel"/>
    <w:lvl w:ilvl="0">
      <w:lvlJc w:val="left"/>
      <w:lvlText w:val="(%1)"/>
      <w:numFmt w:val="lowerLetter"/>
      <w:start w:val="2"/>
    </w:lvl>
    <w:lvl w:ilvl="1">
      <w:lvlJc w:val="left"/>
      <w:lvlText w:val="(%2)"/>
      <w:numFmt w:val="decimal"/>
      <w:start w:val="1"/>
    </w:lvl>
  </w:abstractNum>
  <w:abstractNum w:abstractNumId="92">
    <w:nsid w:val="1D9F6E5F"/>
    <w:multiLevelType w:val="hybridMultilevel"/>
    <w:lvl w:ilvl="0">
      <w:lvlJc w:val="left"/>
      <w:lvlText w:val="(%1)"/>
      <w:numFmt w:val="decimal"/>
      <w:start w:val="2"/>
    </w:lvl>
  </w:abstractNum>
  <w:abstractNum w:abstractNumId="93">
    <w:nsid w:val="97E1B4E"/>
    <w:multiLevelType w:val="hybridMultilevel"/>
    <w:lvl w:ilvl="0">
      <w:lvlJc w:val="left"/>
      <w:lvlText w:val="(%1)"/>
      <w:numFmt w:val="lowerLetter"/>
      <w:start w:val="3"/>
    </w:lvl>
  </w:abstractNum>
  <w:abstractNum w:abstractNumId="94">
    <w:nsid w:val="51088277"/>
    <w:multiLevelType w:val="hybridMultilevel"/>
    <w:lvl w:ilvl="0">
      <w:lvlJc w:val="left"/>
      <w:lvlText w:val="%1"/>
      <w:numFmt w:val="decimal"/>
      <w:start w:val="1"/>
    </w:lvl>
    <w:lvl w:ilvl="1">
      <w:lvlJc w:val="left"/>
      <w:lvlText w:val="(%2)"/>
      <w:numFmt w:val="decimal"/>
      <w:start w:val="1"/>
    </w:lvl>
  </w:abstractNum>
  <w:abstractNum w:abstractNumId="95">
    <w:nsid w:val="1CA0C5FA"/>
    <w:multiLevelType w:val="hybridMultilevel"/>
    <w:lvl w:ilvl="0">
      <w:lvlJc w:val="left"/>
      <w:lvlText w:val="(%1)"/>
      <w:numFmt w:val="decimal"/>
      <w:start w:val="4"/>
    </w:lvl>
    <w:lvl w:ilvl="1">
      <w:lvlJc w:val="left"/>
      <w:lvlText w:val="(%2)"/>
      <w:numFmt w:val="decimal"/>
      <w:start w:val="4"/>
    </w:lvl>
  </w:abstractNum>
  <w:abstractNum w:abstractNumId="96">
    <w:nsid w:val="53584BCB"/>
    <w:multiLevelType w:val="hybridMultilevel"/>
    <w:lvl w:ilvl="0">
      <w:lvlJc w:val="left"/>
      <w:lvlText w:val="(%1)"/>
      <w:numFmt w:val="lowerLetter"/>
      <w:start w:val="4"/>
    </w:lvl>
  </w:abstractNum>
  <w:abstractNum w:abstractNumId="97">
    <w:nsid w:val="415E286C"/>
    <w:multiLevelType w:val="hybridMultilevel"/>
    <w:lvl w:ilvl="0">
      <w:lvlJc w:val="left"/>
      <w:lvlText w:val="(%1)"/>
      <w:numFmt w:val="decimal"/>
      <w:start w:val="1"/>
    </w:lvl>
  </w:abstractNum>
  <w:abstractNum w:abstractNumId="98">
    <w:nsid w:val="7C58FD05"/>
    <w:multiLevelType w:val="hybridMultilevel"/>
    <w:lvl w:ilvl="0">
      <w:lvlJc w:val="left"/>
      <w:lvlText w:val="(%1)"/>
      <w:numFmt w:val="decimal"/>
      <w:start w:val="8"/>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decimal"/>
      <w:start w:val="1"/>
    </w:lvl>
  </w:abstractNum>
  <w:abstractNum w:abstractNumId="101">
    <w:nsid w:val="5C10FE21"/>
    <w:multiLevelType w:val="hybridMultilevel"/>
    <w:lvl w:ilvl="0">
      <w:lvlJc w:val="left"/>
      <w:lvlText w:val="%1."/>
      <w:numFmt w:val="decimal"/>
      <w:start w:val="1"/>
    </w:lvl>
  </w:abstractNum>
  <w:abstractNum w:abstractNumId="102">
    <w:nsid w:val="E7FFA2B"/>
    <w:multiLevelType w:val="hybridMultilevel"/>
    <w:lvl w:ilvl="0">
      <w:lvlJc w:val="left"/>
      <w:lvlText w:val="%1."/>
      <w:numFmt w:val="decimal"/>
      <w:start w:val="3"/>
    </w:lvl>
  </w:abstractNum>
  <w:abstractNum w:abstractNumId="103">
    <w:nsid w:val="3C5991AA"/>
    <w:multiLevelType w:val="hybridMultilevel"/>
    <w:lvl w:ilvl="0">
      <w:lvlJc w:val="left"/>
      <w:lvlText w:val="%1."/>
      <w:numFmt w:val="upperLetter"/>
      <w:start w:val="1"/>
    </w:lvl>
  </w:abstractNum>
  <w:abstractNum w:abstractNumId="104">
    <w:nsid w:val="4BD8591A"/>
    <w:multiLevelType w:val="hybridMultilevel"/>
    <w:lvl w:ilvl="0">
      <w:lvlJc w:val="left"/>
      <w:lvlText w:val="(%1)"/>
      <w:numFmt w:val="decimal"/>
      <w:start w:val="1"/>
    </w:lvl>
  </w:abstractNum>
  <w:abstractNum w:abstractNumId="105">
    <w:nsid w:val="78DF6A55"/>
    <w:multiLevelType w:val="hybridMultilevel"/>
    <w:lvl w:ilvl="0">
      <w:lvlJc w:val="left"/>
      <w:lvlText w:val="(%1)"/>
      <w:numFmt w:val="decimal"/>
      <w:start w:val="5"/>
    </w:lvl>
  </w:abstractNum>
  <w:abstractNum w:abstractNumId="106">
    <w:nsid w:val="39B7AAA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lowerLetter"/>
      <w:start w:val="1"/>
    </w:lvl>
  </w:abstractNum>
  <w:abstractNum w:abstractNumId="109">
    <w:nsid w:val="379E21B5"/>
    <w:multiLevelType w:val="hybridMultilevel"/>
    <w:lvl w:ilvl="0">
      <w:lvlJc w:val="left"/>
      <w:lvlText w:val="(%1)"/>
      <w:numFmt w:val="lowerLetter"/>
      <w:start w:val="4"/>
    </w:lvl>
    <w:lvl w:ilvl="1">
      <w:lvlJc w:val="left"/>
      <w:lvlText w:val="(%2)"/>
      <w:numFmt w:val="lowerRoman"/>
      <w:start w:val="1"/>
    </w:lvl>
  </w:abstractNum>
  <w:abstractNum w:abstractNumId="110">
    <w:nsid w:val="69E373"/>
    <w:multiLevelType w:val="hybridMultilevel"/>
    <w:lvl w:ilvl="0">
      <w:lvlJc w:val="left"/>
      <w:lvlText w:val="(%1)"/>
      <w:numFmt w:val="lowerLetter"/>
      <w:start w:val="1"/>
    </w:lvl>
    <w:lvl w:ilvl="1">
      <w:lvlJc w:val="left"/>
      <w:lvlText w:val="(%2)"/>
      <w:numFmt w:val="lowerRoman"/>
      <w:start w:val="1"/>
    </w:lvl>
  </w:abstractNum>
  <w:abstractNum w:abstractNumId="111">
    <w:nsid w:val="2C27173B"/>
    <w:multiLevelType w:val="hybridMultilevel"/>
    <w:lvl w:ilvl="0">
      <w:lvlJc w:val="left"/>
      <w:lvlText w:val="(%1)"/>
      <w:numFmt w:val="lowerLetter"/>
      <w:start w:val="2"/>
    </w:lvl>
  </w:abstractNum>
  <w:abstractNum w:abstractNumId="112">
    <w:nsid w:val="4C9B0904"/>
    <w:multiLevelType w:val="hybridMultilevel"/>
    <w:lvl w:ilvl="0">
      <w:lvlJc w:val="left"/>
      <w:lvlText w:val="%1."/>
      <w:numFmt w:val="decimal"/>
      <w:start w:val="1"/>
    </w:lvl>
  </w:abstractNum>
  <w:abstractNum w:abstractNumId="113">
    <w:nsid w:val="6AA7B75C"/>
    <w:multiLevelType w:val="hybridMultilevel"/>
    <w:lvl w:ilvl="0">
      <w:lvlJc w:val="left"/>
      <w:lvlText w:val="%1."/>
      <w:numFmt w:val="decimal"/>
      <w:start w:val="3"/>
    </w:lvl>
  </w:abstractNum>
  <w:abstractNum w:abstractNumId="114">
    <w:nsid w:val="1DF029D3"/>
    <w:multiLevelType w:val="hybridMultilevel"/>
    <w:lvl w:ilvl="0">
      <w:lvlJc w:val="left"/>
      <w:lvlText w:val="(%1)"/>
      <w:numFmt w:val="lowerLetter"/>
      <w:start w:val="1"/>
    </w:lvl>
  </w:abstractNum>
  <w:abstractNum w:abstractNumId="115">
    <w:nsid w:val="5675FF36"/>
    <w:multiLevelType w:val="hybridMultilevel"/>
    <w:lvl w:ilvl="0">
      <w:lvlJc w:val="left"/>
      <w:lvlText w:val="(%1)"/>
      <w:numFmt w:val="lowerLetter"/>
      <w:start w:val="1"/>
    </w:lvl>
  </w:abstractNum>
  <w:abstractNum w:abstractNumId="116">
    <w:nsid w:val="3DD15094"/>
    <w:multiLevelType w:val="hybridMultilevel"/>
    <w:lvl w:ilvl="0">
      <w:lvlJc w:val="left"/>
      <w:lvlText w:val="(%1)"/>
      <w:numFmt w:val="lowerLetter"/>
      <w:start w:val="2"/>
    </w:lvl>
  </w:abstractNum>
  <w:abstractNum w:abstractNumId="117">
    <w:nsid w:val="3DB012B3"/>
    <w:multiLevelType w:val="hybridMultilevel"/>
    <w:lvl w:ilvl="0">
      <w:lvlJc w:val="left"/>
      <w:lvlText w:val="%1."/>
      <w:numFmt w:val="decimal"/>
      <w:start w:val="6"/>
    </w:lvl>
  </w:abstractNum>
  <w:abstractNum w:abstractNumId="118">
    <w:nsid w:val="2708C9AF"/>
    <w:multiLevelType w:val="hybridMultilevel"/>
    <w:lvl w:ilvl="0">
      <w:lvlJc w:val="left"/>
      <w:lvlText w:val="%1."/>
      <w:numFmt w:val="decimal"/>
      <w:start w:val="9"/>
    </w:lvl>
  </w:abstractNum>
  <w:abstractNum w:abstractNumId="119">
    <w:nsid w:val="5B25ACE2"/>
    <w:multiLevelType w:val="hybridMultilevel"/>
    <w:lvl w:ilvl="0">
      <w:lvlJc w:val="left"/>
      <w:lvlText w:val="%1"/>
      <w:numFmt w:val="lowerLetter"/>
      <w:start w:val="1"/>
    </w:lvl>
    <w:lvl w:ilvl="1">
      <w:lvlJc w:val="left"/>
      <w:lvlText w:val="%2."/>
      <w:numFmt w:val="decimal"/>
      <w:start w:val="10"/>
    </w:lvl>
  </w:abstractNum>
  <w:abstractNum w:abstractNumId="120">
    <w:nsid w:val="175DFCF0"/>
    <w:multiLevelType w:val="hybridMultilevel"/>
    <w:lvl w:ilvl="0">
      <w:lvlJc w:val="left"/>
      <w:lvlText w:val="(%1)"/>
      <w:numFmt w:val="lowerLetter"/>
      <w:start w:val="7"/>
    </w:lvl>
    <w:lvl w:ilvl="1">
      <w:lvlJc w:val="left"/>
      <w:lvlText w:val="%2."/>
      <w:numFmt w:val="decimal"/>
      <w:start w:val="11"/>
    </w:lvl>
  </w:abstractNum>
  <w:abstractNum w:abstractNumId="121">
    <w:nsid w:val="4F97E3E4"/>
    <w:multiLevelType w:val="hybridMultilevel"/>
    <w:lvl w:ilvl="0">
      <w:lvlJc w:val="left"/>
      <w:lvlText w:val="%1."/>
      <w:numFmt w:val="upperLetter"/>
      <w:start w:val="1"/>
    </w:lvl>
  </w:abstractNum>
  <w:abstractNum w:abstractNumId="122">
    <w:nsid w:val="53B0A9E"/>
    <w:multiLevelType w:val="hybridMultilevel"/>
    <w:lvl w:ilvl="0">
      <w:lvlJc w:val="left"/>
      <w:lvlText w:val="%1."/>
      <w:numFmt w:val="decimal"/>
      <w:start w:val="1"/>
    </w:lvl>
  </w:abstractNum>
  <w:abstractNum w:abstractNumId="123">
    <w:nsid w:val="34FD6B4F"/>
    <w:multiLevelType w:val="hybridMultilevel"/>
    <w:lvl w:ilvl="0">
      <w:lvlJc w:val="left"/>
      <w:lvlText w:val="(%1)"/>
      <w:numFmt w:val="lowerRoman"/>
      <w:start w:val="2"/>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2020-09-18T10:31:53Z</dcterms:created>
  <dcterms:modified xsi:type="dcterms:W3CDTF">2020-09-18T10:31:53Z</dcterms:modified>
</cp:coreProperties>
</file>