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Kasibhatla Vijay</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SCHLUMBERGER LIMITED/NV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900" w:type="dxa"/>
            <w:vAlign w:val="bottom"/>
            <w:tcBorders>
              <w:top w:val="single" w:sz="8" w:color="0000EE"/>
            </w:tcBorders>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9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line="126"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03/03/2023</w:t>
            </w: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Director, M&amp;A</w:t>
            </w:r>
          </w:p>
        </w:tc>
        <w:tc>
          <w:tcPr>
            <w:tcW w:w="0" w:type="dxa"/>
            <w:vAlign w:val="bottom"/>
          </w:tcPr>
          <w:p>
            <w:pPr>
              <w:spacing w:after="0"/>
              <w:rPr>
                <w:sz w:val="1"/>
                <w:szCs w:val="1"/>
                <w:color w:val="auto"/>
              </w:rPr>
            </w:pPr>
          </w:p>
        </w:tc>
      </w:tr>
      <w:tr>
        <w:trPr>
          <w:trHeight w:val="234"/>
        </w:trPr>
        <w:tc>
          <w:tcPr>
            <w:tcW w:w="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2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03/03/2023</w:t>
            </w: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vMerge w:val="restart"/>
          </w:tcPr>
          <w:p>
            <w:pPr>
              <w:jc w:val="center"/>
              <w:ind w:right="27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6,080</w:t>
            </w:r>
            <w:r>
              <w:rPr>
                <w:rFonts w:ascii="Times New Roman" w:cs="Times New Roman" w:eastAsia="Times New Roman" w:hAnsi="Times New Roman"/>
                <w:sz w:val="22"/>
                <w:szCs w:val="22"/>
                <w:color w:val="008000"/>
                <w:w w:val="93"/>
                <w:vertAlign w:val="superscript"/>
              </w:rPr>
              <w:t>(1)</w:t>
            </w:r>
          </w:p>
        </w:tc>
        <w:tc>
          <w:tcPr>
            <w:tcW w:w="4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2"/>
            <w:vMerge w:val="restart"/>
          </w:tcPr>
          <w:p>
            <w:pPr>
              <w:jc w:val="center"/>
              <w:ind w:left="25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7"/>
                <w:szCs w:val="17"/>
                <w:color w:val="0000FF"/>
              </w:rPr>
              <w:t>68,236</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03/03/2023</w:t>
            </w: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vMerge w:val="restart"/>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2,858</w:t>
            </w:r>
          </w:p>
        </w:tc>
        <w:tc>
          <w:tcPr>
            <w:tcW w:w="4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ind w:left="3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55.17</w:t>
            </w:r>
          </w:p>
        </w:tc>
        <w:tc>
          <w:tcPr>
            <w:tcW w:w="300" w:type="dxa"/>
            <w:vAlign w:val="bottom"/>
          </w:tcPr>
          <w:p>
            <w:pPr>
              <w:spacing w:after="0"/>
              <w:rPr>
                <w:sz w:val="21"/>
                <w:szCs w:val="21"/>
                <w:color w:val="auto"/>
              </w:rPr>
            </w:pPr>
          </w:p>
        </w:tc>
        <w:tc>
          <w:tcPr>
            <w:tcW w:w="9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7"/>
                <w:szCs w:val="17"/>
                <w:color w:val="0000FF"/>
              </w:rPr>
              <w:t>65,378</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03/03/2023</w:t>
            </w: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vMerge w:val="restart"/>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16,000</w:t>
            </w:r>
          </w:p>
        </w:tc>
        <w:tc>
          <w:tcPr>
            <w:tcW w:w="4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ind w:left="3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55.995</w:t>
            </w:r>
          </w:p>
        </w:tc>
        <w:tc>
          <w:tcPr>
            <w:tcW w:w="300" w:type="dxa"/>
            <w:vAlign w:val="bottom"/>
          </w:tcPr>
          <w:p>
            <w:pPr>
              <w:spacing w:after="0"/>
              <w:rPr>
                <w:sz w:val="21"/>
                <w:szCs w:val="21"/>
                <w:color w:val="auto"/>
              </w:rPr>
            </w:pPr>
          </w:p>
        </w:tc>
        <w:tc>
          <w:tcPr>
            <w:tcW w:w="9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7"/>
                <w:szCs w:val="17"/>
                <w:color w:val="0000FF"/>
              </w:rPr>
              <w:t>49,378</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60" w:type="dxa"/>
            <w:vAlign w:val="bottom"/>
            <w:gridSpan w:val="9"/>
          </w:tcPr>
          <w:p>
            <w:pPr>
              <w:jc w:val="center"/>
              <w:ind w:left="41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Company granted performance share units ("PSUs") to the reporting person on January 15, 2020. Vesting of the PSUs was based on three-year Company performance relative to select key competitors. Most of these competitors had not reported their 2022 audited financial results when the Company's compensation committee met in January 2023 to certify performance under the PSUs. As a result, the Company's compensation committee approved the issuance of 80% of the shares that the committee determined had been earned according to the information available to the committee at the time. As of March 3, 2023, all such competitors had reported their 2022 audited financial results. Shares of common stock reported hereunder represent shares finally determined to have been earned under the PSUs.</w:t>
      </w:r>
    </w:p>
    <w:p>
      <w:pPr>
        <w:spacing w:after="0" w:line="46"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 xml:space="preserve">/s/ Samantha Blons, Attorney- </w:t>
      </w:r>
      <w:r>
        <w:rPr>
          <w:rFonts w:ascii="Times New Roman" w:cs="Times New Roman" w:eastAsia="Times New Roman" w:hAnsi="Times New Roman"/>
          <w:sz w:val="34"/>
          <w:szCs w:val="34"/>
          <w:color w:val="0000FF"/>
          <w:vertAlign w:val="subscript"/>
        </w:rPr>
        <w:t>03/07/2023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-28575</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05054"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2023-03-07T17:30:12Z</dcterms:created>
  <dcterms:modified xsi:type="dcterms:W3CDTF">2023-03-07T17:30:12Z</dcterms:modified>
</cp:coreProperties>
</file>