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72390</wp:posOffset>
            </wp:positionV>
            <wp:extent cx="1452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112395</wp:posOffset>
            </wp:positionV>
            <wp:extent cx="1452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90170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1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96520</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89535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34" w:lineRule="exact"/>
        <w:rPr>
          <w:sz w:val="24"/>
          <w:szCs w:val="24"/>
          <w:color w:val="auto"/>
        </w:rPr>
      </w:pPr>
    </w:p>
    <w:tbl>
      <w:tblPr>
        <w:tblLayout w:type="fixed"/>
        <w:tblInd w:w="1500" w:type="dxa"/>
        <w:tblCellMar>
          <w:top w:w="0" w:type="dxa"/>
          <w:left w:w="0" w:type="dxa"/>
          <w:bottom w:w="0" w:type="dxa"/>
          <w:right w:w="0" w:type="dxa"/>
        </w:tblCellMar>
      </w:tblPr>
      <w:tr>
        <w:trPr>
          <w:trHeight w:val="213"/>
        </w:trPr>
        <w:tc>
          <w:tcPr>
            <w:tcW w:w="4580" w:type="dxa"/>
            <w:vAlign w:val="bottom"/>
          </w:tcPr>
          <w:p>
            <w:pPr>
              <w:jc w:val="center"/>
              <w:ind w:right="189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3100" w:type="dxa"/>
            <w:vAlign w:val="bottom"/>
          </w:tcPr>
          <w:p>
            <w:pPr>
              <w:jc w:val="center"/>
              <w:ind w:left="1917"/>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8"/>
        </w:trPr>
        <w:tc>
          <w:tcPr>
            <w:tcW w:w="4580" w:type="dxa"/>
            <w:vAlign w:val="bottom"/>
          </w:tcPr>
          <w:p>
            <w:pPr>
              <w:jc w:val="center"/>
              <w:ind w:right="1875"/>
              <w:spacing w:after="0" w:line="148"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897"/>
              <w:spacing w:after="0" w:line="148"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8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9"/>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8"/>
        </w:trPr>
        <w:tc>
          <w:tcPr>
            <w:tcW w:w="4580" w:type="dxa"/>
            <w:vAlign w:val="bottom"/>
          </w:tcPr>
          <w:p>
            <w:pPr>
              <w:jc w:val="center"/>
              <w:ind w:right="1895"/>
              <w:spacing w:after="0"/>
              <w:rPr>
                <w:sz w:val="20"/>
                <w:szCs w:val="20"/>
                <w:color w:val="auto"/>
              </w:rPr>
            </w:pPr>
            <w:r>
              <w:rPr>
                <w:rFonts w:ascii="Times New Roman" w:cs="Times New Roman" w:eastAsia="Times New Roman" w:hAnsi="Times New Roman"/>
                <w:sz w:val="18"/>
                <w:szCs w:val="18"/>
                <w:b w:val="1"/>
                <w:bCs w:val="1"/>
                <w:color w:val="auto"/>
                <w:w w:val="98"/>
              </w:rPr>
              <w:t>PARIS, FRANCE</w:t>
            </w:r>
          </w:p>
        </w:tc>
        <w:tc>
          <w:tcPr>
            <w:tcW w:w="3100" w:type="dxa"/>
            <w:vAlign w:val="bottom"/>
          </w:tcPr>
          <w:p>
            <w:pPr>
              <w:jc w:val="center"/>
              <w:ind w:left="1917"/>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4"/>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rPr>
              <w:t>5599 SAN FELIPE, 17th FLOOR</w:t>
            </w:r>
          </w:p>
        </w:tc>
        <w:tc>
          <w:tcPr>
            <w:tcW w:w="3100" w:type="dxa"/>
            <w:vAlign w:val="bottom"/>
          </w:tcPr>
          <w:p>
            <w:pPr>
              <w:spacing w:after="0"/>
              <w:rPr>
                <w:sz w:val="24"/>
                <w:szCs w:val="24"/>
                <w:color w:val="auto"/>
              </w:rPr>
            </w:pPr>
          </w:p>
        </w:tc>
      </w:tr>
      <w:tr>
        <w:trPr>
          <w:trHeight w:val="238"/>
        </w:trPr>
        <w:tc>
          <w:tcPr>
            <w:tcW w:w="4580" w:type="dxa"/>
            <w:vAlign w:val="bottom"/>
          </w:tcPr>
          <w:p>
            <w:pPr>
              <w:jc w:val="center"/>
              <w:ind w:right="1895"/>
              <w:spacing w:after="0"/>
              <w:rPr>
                <w:sz w:val="20"/>
                <w:szCs w:val="20"/>
                <w:color w:val="auto"/>
              </w:rPr>
            </w:pPr>
            <w:r>
              <w:rPr>
                <w:rFonts w:ascii="Times New Roman" w:cs="Times New Roman" w:eastAsia="Times New Roman" w:hAnsi="Times New Roman"/>
                <w:sz w:val="18"/>
                <w:szCs w:val="18"/>
                <w:b w:val="1"/>
                <w:bCs w:val="1"/>
                <w:color w:val="auto"/>
                <w:w w:val="99"/>
              </w:rPr>
              <w:t>HOUSTON, TEXAS, U.S.A.</w:t>
            </w:r>
          </w:p>
        </w:tc>
        <w:tc>
          <w:tcPr>
            <w:tcW w:w="3100" w:type="dxa"/>
            <w:vAlign w:val="bottom"/>
          </w:tcPr>
          <w:p>
            <w:pPr>
              <w:jc w:val="center"/>
              <w:ind w:left="1917"/>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4"/>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8"/>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LONDON, UNITED KINGDOM</w:t>
            </w:r>
          </w:p>
        </w:tc>
        <w:tc>
          <w:tcPr>
            <w:tcW w:w="3100" w:type="dxa"/>
            <w:vAlign w:val="bottom"/>
          </w:tcPr>
          <w:p>
            <w:pPr>
              <w:jc w:val="center"/>
              <w:ind w:left="189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314"/>
        </w:trPr>
        <w:tc>
          <w:tcPr>
            <w:tcW w:w="4580" w:type="dxa"/>
            <w:vAlign w:val="bottom"/>
          </w:tcPr>
          <w:p>
            <w:pPr>
              <w:jc w:val="center"/>
              <w:ind w:right="1895"/>
              <w:spacing w:after="0"/>
              <w:rPr>
                <w:sz w:val="20"/>
                <w:szCs w:val="20"/>
                <w:color w:val="auto"/>
              </w:rPr>
            </w:pPr>
            <w:r>
              <w:rPr>
                <w:rFonts w:ascii="Times New Roman" w:cs="Times New Roman" w:eastAsia="Times New Roman" w:hAnsi="Times New Roman"/>
                <w:sz w:val="18"/>
                <w:szCs w:val="18"/>
                <w:b w:val="1"/>
                <w:bCs w:val="1"/>
                <w:color w:val="auto"/>
                <w:w w:val="98"/>
              </w:rPr>
              <w:t>PARKSTRAAT 83 THE HAGUE,</w:t>
            </w:r>
          </w:p>
        </w:tc>
        <w:tc>
          <w:tcPr>
            <w:tcW w:w="3100" w:type="dxa"/>
            <w:vAlign w:val="bottom"/>
          </w:tcPr>
          <w:p>
            <w:pPr>
              <w:spacing w:after="0"/>
              <w:rPr>
                <w:sz w:val="24"/>
                <w:szCs w:val="24"/>
                <w:color w:val="auto"/>
              </w:rPr>
            </w:pPr>
          </w:p>
        </w:tc>
      </w:tr>
      <w:tr>
        <w:trPr>
          <w:trHeight w:val="213"/>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100" w:type="dxa"/>
            <w:vAlign w:val="bottom"/>
          </w:tcPr>
          <w:p>
            <w:pPr>
              <w:jc w:val="center"/>
              <w:ind w:left="1917"/>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88"/>
        </w:trPr>
        <w:tc>
          <w:tcPr>
            <w:tcW w:w="4580" w:type="dxa"/>
            <w:vAlign w:val="bottom"/>
          </w:tcPr>
          <w:p>
            <w:pPr>
              <w:jc w:val="center"/>
              <w:ind w:right="1875"/>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3100" w:type="dxa"/>
            <w:vAlign w:val="bottom"/>
          </w:tcPr>
          <w:p>
            <w:pPr>
              <w:jc w:val="center"/>
              <w:ind w:left="1897"/>
              <w:spacing w:after="0"/>
              <w:rPr>
                <w:sz w:val="20"/>
                <w:szCs w:val="20"/>
                <w:color w:val="auto"/>
              </w:rPr>
            </w:pPr>
            <w:r>
              <w:rPr>
                <w:rFonts w:ascii="Times New Roman" w:cs="Times New Roman" w:eastAsia="Times New Roman" w:hAnsi="Times New Roman"/>
                <w:sz w:val="14"/>
                <w:szCs w:val="14"/>
                <w:b w:val="1"/>
                <w:bCs w:val="1"/>
                <w:color w:val="auto"/>
              </w:rPr>
              <w:t>(Zip Codes)</w:t>
            </w:r>
          </w:p>
        </w:tc>
      </w:tr>
    </w:tbl>
    <w:p>
      <w:pPr>
        <w:spacing w:after="0" w:line="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w:t>
      </w:r>
    </w:p>
    <w:p>
      <w:pPr>
        <w:spacing w:after="0" w:line="1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120" w:lineRule="exact"/>
        <w:rPr>
          <w:sz w:val="24"/>
          <w:szCs w:val="24"/>
          <w:color w:val="auto"/>
        </w:rPr>
      </w:pPr>
    </w:p>
    <w:p>
      <w:pPr>
        <w:ind w:right="4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00" w:right="319" w:bottom="1440" w:gutter="0" w:footer="0" w:header="0"/>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500"/>
            <w:col w:w="5260" w:space="720"/>
            <w:col w:w="2320" w:space="720"/>
            <w:col w:w="200"/>
          </w:cols>
          <w:pgMar w:left="240" w:top="200" w:right="319" w:bottom="1440" w:gutter="0" w:footer="0" w:header="0"/>
          <w:type w:val="continuous"/>
        </w:sectPr>
      </w:pP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580"/>
            <w:col w:w="160" w:space="80"/>
            <w:col w:w="5020" w:space="720"/>
            <w:col w:w="2320" w:space="720"/>
            <w:col w:w="200"/>
          </w:cols>
          <w:pgMar w:left="240" w:top="200" w:right="31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44" w:lineRule="exact"/>
        <w:rPr>
          <w:sz w:val="24"/>
          <w:szCs w:val="24"/>
          <w:color w:val="auto"/>
        </w:rPr>
      </w:pPr>
    </w:p>
    <w:p>
      <w:pPr>
        <w:sectPr>
          <w:pgSz w:w="11900" w:h="16838" w:orient="portrait"/>
          <w:cols w:equalWidth="0" w:num="4">
            <w:col w:w="8160" w:space="160"/>
            <w:col w:w="280" w:space="80"/>
            <w:col w:w="160" w:space="180"/>
            <w:col w:w="2320"/>
          </w:cols>
          <w:pgMar w:left="240" w:top="20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454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Outstanding at March 31, 2015</w:t>
            </w:r>
          </w:p>
        </w:tc>
      </w:tr>
      <w:tr>
        <w:trPr>
          <w:trHeight w:val="242"/>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160" w:type="dxa"/>
            <w:vAlign w:val="bottom"/>
          </w:tcPr>
          <w:p>
            <w:pPr>
              <w:spacing w:after="0"/>
              <w:rPr>
                <w:sz w:val="21"/>
                <w:szCs w:val="21"/>
                <w:color w:val="auto"/>
              </w:rPr>
            </w:pPr>
          </w:p>
        </w:tc>
        <w:tc>
          <w:tcPr>
            <w:tcW w:w="23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1,269,726,824</w:t>
            </w:r>
          </w:p>
        </w:tc>
      </w:tr>
    </w:tbl>
    <w:p>
      <w:pPr>
        <w:sectPr>
          <w:pgSz w:w="11900" w:h="16838" w:orient="portrait"/>
          <w:cols w:equalWidth="0" w:num="1">
            <w:col w:w="11340"/>
          </w:cols>
          <w:pgMar w:left="240" w:top="20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Quarter 2015 Form 10-Q</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966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60" w:type="dxa"/>
            <w:vAlign w:val="bottom"/>
            <w:vMerge w:val="continue"/>
          </w:tcPr>
          <w:p>
            <w:pPr>
              <w:spacing w:after="0"/>
              <w:rPr>
                <w:sz w:val="24"/>
                <w:szCs w:val="24"/>
                <w:color w:val="auto"/>
              </w:rPr>
            </w:pP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Controls and Procedures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7"/>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9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Legal Proceedings</w:t>
              </w:r>
            </w:hyperlink>
          </w:p>
        </w:tc>
        <w:tc>
          <w:tcPr>
            <w:tcW w:w="8320" w:type="dxa"/>
            <w:vAlign w:val="bottom"/>
            <w:gridSpan w:val="7"/>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60" w:type="dxa"/>
            <w:vAlign w:val="bottom"/>
            <w:vMerge w:val="continue"/>
          </w:tcPr>
          <w:p>
            <w:pPr>
              <w:spacing w:after="0"/>
              <w:rPr>
                <w:sz w:val="24"/>
                <w:szCs w:val="24"/>
                <w:color w:val="auto"/>
              </w:rPr>
            </w:pPr>
          </w:p>
        </w:tc>
        <w:tc>
          <w:tcPr>
            <w:tcW w:w="4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Unregistered Sales of Equity Securities and Use of Proceeds</w:t>
              </w:r>
            </w:hyperlink>
          </w:p>
        </w:tc>
        <w:tc>
          <w:tcPr>
            <w:tcW w:w="532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Defaults Upon Senior Securities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Mine Safety Disclosures</w:t>
              </w:r>
            </w:hyperlink>
          </w:p>
        </w:tc>
        <w:tc>
          <w:tcPr>
            <w:tcW w:w="73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90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00"/>
          </w:cols>
          <w:pgMar w:left="300" w:top="11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00" w:lineRule="exact"/>
        <w:rPr>
          <w:sz w:val="20"/>
          <w:szCs w:val="20"/>
          <w:color w:val="auto"/>
        </w:rPr>
      </w:pPr>
    </w:p>
    <w:p>
      <w:pPr>
        <w:spacing w:after="0" w:line="23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i w:val="1"/>
          <w:iCs w:val="1"/>
          <w:color w:val="auto"/>
        </w:rPr>
        <w:t>(Stated in millions, except per share amounts</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13970</wp:posOffset>
            </wp:positionV>
            <wp:extent cx="1811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10,248</w:t>
            </w:r>
          </w:p>
        </w:tc>
        <w:tc>
          <w:tcPr>
            <w:tcW w:w="5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&amp; engineering</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Restructuring &amp; other</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Income before taxes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Taxes on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of Schlumberger</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of Schlumberger</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5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Assuming dilution</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3" w:name="page4"/>
    <w:bookmarkEnd w:id="3"/>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0"/>
        </w:trPr>
        <w:tc>
          <w:tcPr>
            <w:tcW w:w="8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8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19"/>
                <w:szCs w:val="19"/>
                <w:color w:val="auto"/>
              </w:rPr>
            </w:pPr>
          </w:p>
        </w:tc>
      </w:tr>
      <w:tr>
        <w:trPr>
          <w:trHeight w:val="222"/>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8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9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w:t>
            </w: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gain arising during the period</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gain on cash flow hedges</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to net income of net realized loss (gain)</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9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Actuarial loss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9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of net prior service cost</w:t>
            </w:r>
          </w:p>
        </w:tc>
        <w:tc>
          <w:tcPr>
            <w:tcW w:w="9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2"/>
        </w:trPr>
        <w:tc>
          <w:tcPr>
            <w:tcW w:w="8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9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9"/>
                <w:szCs w:val="19"/>
                <w:color w:val="auto"/>
              </w:rPr>
            </w:pPr>
          </w:p>
        </w:tc>
      </w:tr>
      <w:tr>
        <w:trPr>
          <w:trHeight w:val="222"/>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4" w:name="page5"/>
    <w:bookmarkEnd w:id="4"/>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w w:val="99"/>
              </w:rPr>
              <w:t>(Stated in millions)</w:t>
            </w:r>
          </w:p>
        </w:tc>
        <w:tc>
          <w:tcPr>
            <w:tcW w:w="0" w:type="dxa"/>
            <w:vAlign w:val="bottom"/>
          </w:tcPr>
          <w:p>
            <w:pPr>
              <w:spacing w:after="0"/>
              <w:rPr>
                <w:sz w:val="1"/>
                <w:szCs w:val="1"/>
                <w:color w:val="auto"/>
              </w:rPr>
            </w:pPr>
          </w:p>
        </w:tc>
      </w:tr>
      <w:tr>
        <w:trPr>
          <w:trHeight w:val="28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Mar. 31,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Receivables less allowance for doubtful accounts (2015 - $292; 2014 - $275)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10,443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23,394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Fixed Income Investments, held to maturity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15,135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4,575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2,237</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65,411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8,469</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14,572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8,898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27,545</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(12,263)</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29"/>
        </w:trPr>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(4,285)</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22"/>
        </w:trPr>
        <w:tc>
          <w:tcPr>
            <w:tcW w:w="8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37,656</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37,866</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65,411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500"/>
          </w:cols>
          <w:pgMar w:left="240" w:top="117" w:right="159" w:bottom="1440" w:gutter="0" w:footer="0" w:header="0"/>
        </w:sectPr>
      </w:pPr>
    </w:p>
    <w:bookmarkStart w:id="5" w:name="page6"/>
    <w:bookmarkEnd w:id="5"/>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8"/>
        </w:trPr>
        <w:tc>
          <w:tcPr>
            <w:tcW w:w="7020" w:type="dxa"/>
            <w:vAlign w:val="bottom"/>
          </w:tcPr>
          <w:p>
            <w:pPr>
              <w:spacing w:after="0"/>
              <w:rPr>
                <w:sz w:val="24"/>
                <w:szCs w:val="24"/>
                <w:color w:val="auto"/>
              </w:rPr>
            </w:pPr>
          </w:p>
        </w:tc>
        <w:tc>
          <w:tcPr>
            <w:tcW w:w="3980" w:type="dxa"/>
            <w:vAlign w:val="bottom"/>
            <w:gridSpan w:val="6"/>
          </w:tcPr>
          <w:p>
            <w:pPr>
              <w:ind w:left="1760"/>
              <w:spacing w:after="0"/>
              <w:rPr>
                <w:sz w:val="20"/>
                <w:szCs w:val="20"/>
                <w:color w:val="auto"/>
              </w:rPr>
            </w:pPr>
            <w:r>
              <w:rPr>
                <w:rFonts w:ascii="Times New Roman" w:cs="Times New Roman" w:eastAsia="Times New Roman" w:hAnsi="Times New Roman"/>
                <w:sz w:val="17"/>
                <w:szCs w:val="17"/>
                <w:b w:val="1"/>
                <w:bCs w:val="1"/>
                <w:color w:val="auto"/>
                <w:w w:val="99"/>
              </w:rPr>
              <w:t>Three Months Ended Mar.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7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2015</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2014</w:t>
            </w: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988</w:t>
            </w:r>
          </w:p>
        </w:tc>
        <w:tc>
          <w:tcPr>
            <w:tcW w:w="160" w:type="dxa"/>
            <w:vAlign w:val="bottom"/>
          </w:tcPr>
          <w:p>
            <w:pPr>
              <w:spacing w:after="0"/>
              <w:rPr>
                <w:sz w:val="18"/>
                <w:szCs w:val="18"/>
                <w:color w:val="auto"/>
              </w:rPr>
            </w:pPr>
          </w:p>
        </w:tc>
        <w:tc>
          <w:tcPr>
            <w:tcW w:w="880" w:type="dxa"/>
            <w:vAlign w:val="bottom"/>
            <w:gridSpan w:val="2"/>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income to cash provided by operating activities: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5"/>
        </w:trPr>
        <w:tc>
          <w:tcPr>
            <w:tcW w:w="7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14"/>
                <w:szCs w:val="14"/>
                <w:color w:val="auto"/>
              </w:rPr>
              <w:t>(1)</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5"/>
        </w:trPr>
        <w:tc>
          <w:tcPr>
            <w:tcW w:w="7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Pension and other postretirement benefits expense</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5"/>
        </w:trPr>
        <w:tc>
          <w:tcPr>
            <w:tcW w:w="7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Pension and other postretirement benefits funding</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Earnings of equity method investments, less dividends received</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(35)</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(61)</w:t>
            </w: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xml:space="preserve">Change in assets and liabilities: </w:t>
            </w:r>
            <w:r>
              <w:rPr>
                <w:rFonts w:ascii="Times New Roman" w:cs="Times New Roman" w:eastAsia="Times New Roman" w:hAnsi="Times New Roman"/>
                <w:sz w:val="14"/>
                <w:szCs w:val="14"/>
                <w:color w:val="auto"/>
              </w:rPr>
              <w:t>(2)</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Decrease (increase) in receivables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(202)</w:t>
            </w:r>
          </w:p>
        </w:tc>
      </w:tr>
      <w:tr>
        <w:trPr>
          <w:trHeight w:val="215"/>
        </w:trPr>
        <w:tc>
          <w:tcPr>
            <w:tcW w:w="7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Increase in inventories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(137)</w:t>
            </w: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Increase in other current assets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(97</w:t>
            </w: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(181)</w:t>
            </w:r>
          </w:p>
        </w:tc>
      </w:tr>
      <w:tr>
        <w:trPr>
          <w:trHeight w:val="215"/>
        </w:trPr>
        <w:tc>
          <w:tcPr>
            <w:tcW w:w="7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Increase in other assets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Decrease in accounts payable and accrued liabilities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(1,348)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15"/>
        </w:trPr>
        <w:tc>
          <w:tcPr>
            <w:tcW w:w="7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(Decrease) increase in estimated liability for taxes on income</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Decrease in other liabilities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(57)</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5"/>
        </w:trPr>
        <w:tc>
          <w:tcPr>
            <w:tcW w:w="7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w:t>
            </w:r>
          </w:p>
        </w:tc>
        <w:tc>
          <w:tcPr>
            <w:tcW w:w="60" w:type="dxa"/>
            <w:vAlign w:val="bottom"/>
            <w:tcBorders>
              <w:bottom w:val="single" w:sz="8" w:color="CFF0FC"/>
            </w:tcBorders>
          </w:tcPr>
          <w:p>
            <w:pPr>
              <w:spacing w:after="0"/>
              <w:rPr>
                <w:sz w:val="18"/>
                <w:szCs w:val="18"/>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7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1,770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1,837</w:t>
            </w:r>
          </w:p>
        </w:tc>
        <w:tc>
          <w:tcPr>
            <w:tcW w:w="60" w:type="dxa"/>
            <w:vAlign w:val="bottom"/>
            <w:shd w:val="clear" w:color="auto" w:fill="CFF0FC"/>
          </w:tcPr>
          <w:p>
            <w:pPr>
              <w:spacing w:after="0"/>
              <w:rPr>
                <w:sz w:val="18"/>
                <w:szCs w:val="18"/>
                <w:color w:val="auto"/>
              </w:rPr>
            </w:pPr>
          </w:p>
        </w:tc>
      </w:tr>
      <w:tr>
        <w:trPr>
          <w:trHeight w:val="208"/>
        </w:trPr>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Capital expenditures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(606)</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(864)</w:t>
            </w: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SPM investments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15"/>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Multiclient seismic data capitalized</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(101)</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Business acquisitions and investments, net of cash acquired</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15"/>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(Purchase) sale of investments, net</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(307)</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1,576</w:t>
            </w:r>
          </w:p>
        </w:tc>
        <w:tc>
          <w:tcPr>
            <w:tcW w:w="60" w:type="dxa"/>
            <w:vAlign w:val="bottom"/>
            <w:shd w:val="clear" w:color="auto" w:fill="CFF0FC"/>
          </w:tcPr>
          <w:p>
            <w:pPr>
              <w:spacing w:after="0"/>
              <w:rPr>
                <w:sz w:val="18"/>
                <w:szCs w:val="18"/>
                <w:color w:val="auto"/>
              </w:rPr>
            </w:pP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9"/>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(1,237)</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08"/>
        </w:trPr>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Dividends paid</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(512)</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 repurchase program</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(719)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215"/>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1,572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1,110</w:t>
            </w:r>
          </w:p>
        </w:tc>
        <w:tc>
          <w:tcPr>
            <w:tcW w:w="60" w:type="dxa"/>
            <w:vAlign w:val="bottom"/>
            <w:shd w:val="clear" w:color="auto" w:fill="CFF0FC"/>
          </w:tcPr>
          <w:p>
            <w:pPr>
              <w:spacing w:after="0"/>
              <w:rPr>
                <w:sz w:val="18"/>
                <w:szCs w:val="18"/>
                <w:color w:val="auto"/>
              </w:rPr>
            </w:pP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(1,144)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(1,574)</w:t>
            </w:r>
          </w:p>
        </w:tc>
      </w:tr>
      <w:tr>
        <w:trPr>
          <w:trHeight w:val="215"/>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Net decrease in short-term borrowings</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(902</w:t>
            </w: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5"/>
        </w:trPr>
        <w:tc>
          <w:tcPr>
            <w:tcW w:w="7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(1,525)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8"/>
              </w:rPr>
              <w:t>(1,708)</w:t>
            </w:r>
          </w:p>
        </w:tc>
        <w:tc>
          <w:tcPr>
            <w:tcW w:w="60" w:type="dxa"/>
            <w:vAlign w:val="bottom"/>
            <w:tcBorders>
              <w:top w:val="single" w:sz="8" w:color="CFF0FC"/>
            </w:tcBorders>
            <w:shd w:val="clear" w:color="auto" w:fill="CFF0FC"/>
          </w:tcPr>
          <w:p>
            <w:pPr>
              <w:spacing w:after="0"/>
              <w:rPr>
                <w:sz w:val="18"/>
                <w:szCs w:val="18"/>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increase in cash before translation effect</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(992)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Translation effect on cash</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(17)</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5"/>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beginning of period</w:t>
            </w:r>
          </w:p>
        </w:tc>
        <w:tc>
          <w:tcPr>
            <w:tcW w:w="17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3,130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3,472</w:t>
            </w:r>
          </w:p>
        </w:tc>
        <w:tc>
          <w:tcPr>
            <w:tcW w:w="60" w:type="dxa"/>
            <w:vAlign w:val="bottom"/>
            <w:tcBorders>
              <w:bottom w:val="single" w:sz="8" w:color="CFF0FC"/>
            </w:tcBorders>
          </w:tcPr>
          <w:p>
            <w:pPr>
              <w:spacing w:after="0"/>
              <w:rPr>
                <w:sz w:val="18"/>
                <w:szCs w:val="18"/>
                <w:color w:val="auto"/>
              </w:rPr>
            </w:pPr>
          </w:p>
        </w:tc>
      </w:tr>
      <w:tr>
        <w:trPr>
          <w:trHeight w:val="209"/>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end of period</w:t>
            </w:r>
          </w:p>
        </w:tc>
        <w:tc>
          <w:tcPr>
            <w:tcW w:w="17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2,121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3,752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6" w:lineRule="exact"/>
        <w:rPr>
          <w:sz w:val="20"/>
          <w:szCs w:val="20"/>
          <w:color w:val="auto"/>
        </w:rPr>
      </w:pPr>
    </w:p>
    <w:p>
      <w:pPr>
        <w:ind w:left="540" w:hanging="532"/>
        <w:spacing w:after="0"/>
        <w:tabs>
          <w:tab w:leader="none" w:pos="540" w:val="left"/>
        </w:tabs>
        <w:numPr>
          <w:ilvl w:val="0"/>
          <w:numId w:val="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SPM investments.</w:t>
      </w:r>
    </w:p>
    <w:p>
      <w:pPr>
        <w:spacing w:after="0" w:line="9" w:lineRule="exact"/>
        <w:rPr>
          <w:rFonts w:ascii="Times New Roman" w:cs="Times New Roman" w:eastAsia="Times New Roman" w:hAnsi="Times New Roman"/>
          <w:sz w:val="26"/>
          <w:szCs w:val="26"/>
          <w:color w:val="auto"/>
          <w:vertAlign w:val="superscript"/>
        </w:rPr>
      </w:pPr>
    </w:p>
    <w:p>
      <w:pPr>
        <w:ind w:left="540" w:hanging="532"/>
        <w:spacing w:after="0" w:line="182" w:lineRule="auto"/>
        <w:tabs>
          <w:tab w:leader="none" w:pos="54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520"/>
          </w:cols>
          <w:pgMar w:left="240" w:top="117" w:right="139" w:bottom="1440" w:gutter="0" w:footer="0" w:header="0"/>
        </w:sectPr>
      </w:pPr>
    </w:p>
    <w:bookmarkStart w:id="6" w:name="page7"/>
    <w:bookmarkEnd w:id="6"/>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21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2015 – March 31, 2015</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1"/>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12,495</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41,333</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38,049</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Changes in unrealized gain on 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sold to optionees, less shares exchanged</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repurchase program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 declared ($0.50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32"/>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March 31, 2015</w:t>
            </w: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21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2014 – March 31, 2014</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January 1, 2014</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37,966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39,635</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Changes in unrealized gain on 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sold to optionees, less shares exchanged</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repurchase program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21"/>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 declared ($0.40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32"/>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March 31, 2014</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12,246</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162"/>
        </w:trPr>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73"/>
        </w:trPr>
        <w:tc>
          <w:tcPr>
            <w:tcW w:w="5880" w:type="dxa"/>
            <w:vAlign w:val="bottom"/>
          </w:tcPr>
          <w:p>
            <w:pPr>
              <w:spacing w:after="0"/>
              <w:rPr>
                <w:sz w:val="15"/>
                <w:szCs w:val="15"/>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8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2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40" w:type="dxa"/>
            <w:vAlign w:val="bottom"/>
            <w:tcBorders>
              <w:top w:val="single" w:sz="8" w:color="CFF0FC"/>
            </w:tcBorders>
            <w:shd w:val="clear" w:color="auto" w:fill="CFF0FC"/>
          </w:tcPr>
          <w:p>
            <w:pPr>
              <w:spacing w:after="0"/>
              <w:rPr>
                <w:sz w:val="18"/>
                <w:szCs w:val="18"/>
                <w:color w:val="auto"/>
              </w:rPr>
            </w:pPr>
          </w:p>
        </w:tc>
      </w:tr>
      <w:tr>
        <w:trPr>
          <w:trHeight w:val="210"/>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sold to optionees, less shares exchanged</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r>
      <w:tr>
        <w:trPr>
          <w:trHeight w:val="221"/>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9"/>
                <w:szCs w:val="19"/>
                <w:color w:val="auto"/>
              </w:rPr>
            </w:pPr>
          </w:p>
        </w:tc>
      </w:tr>
      <w:tr>
        <w:trPr>
          <w:trHeight w:val="210"/>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r>
      <w:tr>
        <w:trPr>
          <w:trHeight w:val="221"/>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repurchase program</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r>
      <w:tr>
        <w:trPr>
          <w:trHeight w:val="206"/>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2015</w:t>
            </w:r>
          </w:p>
        </w:tc>
        <w:tc>
          <w:tcPr>
            <w:tcW w:w="8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2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4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7" w:name="page8"/>
    <w:bookmarkEnd w:id="7"/>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2015 are not necessarily indicative of the results that may be expected for the full year ending December 31, 2015. The December 31, 2014 balance sheet information has been derived from the Schlumberger 2014 audited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the Schlumberger Annual Report on Form 10-K for the year ended December 31, 2014, filed with the Securities and Exchange Commission on January 29, 2015.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ASU amends the existing accounting standards for revenue recognition and is based on the principle that revenue should be recognized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depict the transfer of goods or services to a customer at an amount that reflects the consideration a company expects to receive in exchange for those goods or services. Schlumberger is required to adopt this ASU on January 1, 2017 and does not expect this ASU to have a material impact on its consolidated financial statements.</w:t>
      </w:r>
    </w:p>
    <w:p>
      <w:pPr>
        <w:spacing w:after="0" w:line="200" w:lineRule="exact"/>
        <w:rPr>
          <w:sz w:val="20"/>
          <w:szCs w:val="20"/>
          <w:color w:val="auto"/>
        </w:rPr>
      </w:pPr>
    </w:p>
    <w:p>
      <w:pPr>
        <w:spacing w:after="0" w:line="341"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and credits in continuing operations during the first quarter of 2015:</w:t>
      </w:r>
    </w:p>
    <w:p>
      <w:pPr>
        <w:spacing w:after="0" w:line="116" w:lineRule="exact"/>
        <w:rPr>
          <w:sz w:val="20"/>
          <w:szCs w:val="20"/>
          <w:color w:val="auto"/>
        </w:rPr>
      </w:pPr>
    </w:p>
    <w:p>
      <w:pPr>
        <w:jc w:val="both"/>
        <w:ind w:left="760" w:right="20" w:hanging="372"/>
        <w:spacing w:after="0" w:line="26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severe fall in activity in North America combined with the impact of lower international activity due to customer budget cuts driven by lower oil prices, Schlumberger decided to further reduce its headcount during the first quarter of 2015. Schlumberger recorded a $390 million charge during the first quarter associated with this headcount reduction as well as an incentivized leave of absence program.</w:t>
      </w:r>
    </w:p>
    <w:p>
      <w:pPr>
        <w:spacing w:after="0" w:line="323" w:lineRule="exact"/>
        <w:rPr>
          <w:rFonts w:ascii="Times New Roman" w:cs="Times New Roman" w:eastAsia="Times New Roman" w:hAnsi="Times New Roman"/>
          <w:sz w:val="18"/>
          <w:szCs w:val="18"/>
          <w:color w:val="auto"/>
        </w:rPr>
      </w:pPr>
    </w:p>
    <w:p>
      <w:pPr>
        <w:jc w:val="both"/>
        <w:ind w:left="760" w:right="20" w:hanging="372"/>
        <w:spacing w:after="0" w:line="26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Venezuela enacted certain changes to its foreign exchange system such that, in addition to the official rate of 6.3 Venezuelan Bolivares per US dollar, there were two other legal exchange rates that could be obtained via different exchange rate mechanisms. These changes included the expansion of the SICAD I auction rate and the introduction of what was known as the SICAD II auction process. The SICAD I and SICAD II exchange rates were approximately 11 and 50 Venezuelan Bolivares to the US dollar, respectively, at December 31, 2014.</w:t>
      </w:r>
    </w:p>
    <w:p>
      <w:pPr>
        <w:spacing w:after="0" w:line="72"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functional currency of Schlumberger’s operations in Venezuela is the US dollar, a portion of the transactions are denominated in local currency. Prior to December 31, 2014, Schlumberger had historically applied the official exchange rate to remeasure local currency transactions and balances into US dollars.</w:t>
      </w:r>
    </w:p>
    <w:p>
      <w:pPr>
        <w:spacing w:after="0" w:line="68"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31, 2014, Schlumberger concluded that it was appropriate to apply the SICAD II exchange rate as it believed this rate best represented the economics of Schlumberger’s business activity in Venezuela. As a result, Schlumberger recorded a $472 million devaluation charge during the fourth quarter of 2014.</w:t>
      </w:r>
    </w:p>
    <w:p>
      <w:pPr>
        <w:spacing w:after="0" w:line="68"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2015, the Venezuelan government replaced SICAD II with a new foreign exchange market system known as SIMADI. The SIMADI exchange rate was approximately 192 Venezuela Bolivares to the US dollar as of March 31, 2015. As a result, Schlumberger recorded a $49 million devaluation charge during the first quarter of 2015, reflecting the adoption of the SIMADI exchange rate.</w:t>
      </w:r>
    </w:p>
    <w:p>
      <w:pPr>
        <w:spacing w:after="0" w:line="68" w:lineRule="exact"/>
        <w:rPr>
          <w:rFonts w:ascii="Times New Roman" w:cs="Times New Roman" w:eastAsia="Times New Roman" w:hAnsi="Times New Roman"/>
          <w:sz w:val="18"/>
          <w:szCs w:val="18"/>
          <w:color w:val="auto"/>
        </w:rPr>
      </w:pPr>
    </w:p>
    <w:p>
      <w:pPr>
        <w:jc w:val="both"/>
        <w:ind w:left="76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changes result in a reduction in the US dollar reported amount of local currency denominated revenues, expenses and, consequently, income before taxes and net income in Venezuela. For example, if Schlumberger had applied an exchange rate of 192 Venezuelan Bolivares to the US dollar throughout 2014, it would have reduced Schlumberger earnings by approximately $0.09 per share.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5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is a summary of these charges: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gridSpan w:val="5"/>
          </w:tcPr>
          <w:p>
            <w:pPr>
              <w:ind w:left="12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72"/>
        </w:trPr>
        <w:tc>
          <w:tcPr>
            <w:tcW w:w="3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09"/>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0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Restructuring &amp; other</w:t>
            </w:r>
          </w:p>
        </w:tc>
      </w:tr>
      <w:tr>
        <w:trPr>
          <w:trHeight w:val="21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&amp; other</w:t>
            </w:r>
          </w:p>
        </w:tc>
      </w:tr>
      <w:tr>
        <w:trPr>
          <w:trHeight w:val="209"/>
        </w:trPr>
        <w:tc>
          <w:tcPr>
            <w:tcW w:w="382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quarter of 2014.</w:t>
      </w:r>
    </w:p>
    <w:p>
      <w:pPr>
        <w:spacing w:after="0" w:line="368"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earnings per share of Schlumberger to diluted earnings per share of Schlumberger:</w:t>
      </w:r>
    </w:p>
    <w:p>
      <w:pPr>
        <w:spacing w:after="0" w:line="26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i w:val="1"/>
          <w:iCs w:val="1"/>
          <w:color w:val="auto"/>
        </w:rPr>
        <w:t>(Stated in millions,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Schlumberger Net</w:t>
            </w: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Shares</w:t>
            </w:r>
          </w:p>
        </w:tc>
        <w:tc>
          <w:tcPr>
            <w:tcW w:w="120" w:type="dxa"/>
            <w:vAlign w:val="bottom"/>
          </w:tcPr>
          <w:p>
            <w:pPr>
              <w:spacing w:after="0"/>
              <w:rPr>
                <w:sz w:val="11"/>
                <w:szCs w:val="11"/>
                <w:color w:val="auto"/>
              </w:rPr>
            </w:pPr>
          </w:p>
        </w:tc>
        <w:tc>
          <w:tcPr>
            <w:tcW w:w="10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Earnings per</w:t>
            </w:r>
          </w:p>
        </w:tc>
        <w:tc>
          <w:tcPr>
            <w:tcW w:w="220" w:type="dxa"/>
            <w:vAlign w:val="bottom"/>
          </w:tcPr>
          <w:p>
            <w:pPr>
              <w:spacing w:after="0"/>
              <w:rPr>
                <w:sz w:val="11"/>
                <w:szCs w:val="11"/>
                <w:color w:val="auto"/>
              </w:rPr>
            </w:pPr>
          </w:p>
        </w:tc>
        <w:tc>
          <w:tcPr>
            <w:tcW w:w="1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Schlumberger Net</w:t>
            </w:r>
          </w:p>
        </w:tc>
        <w:tc>
          <w:tcPr>
            <w:tcW w:w="13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Average</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color w:val="auto"/>
              </w:rPr>
              <w:t>Shares</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Income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Outstanding</w:t>
            </w: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First Quarter</w:t>
            </w:r>
          </w:p>
        </w:tc>
        <w:tc>
          <w:tcPr>
            <w:tcW w:w="4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2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tcBorders>
              <w:top w:val="single" w:sz="8" w:color="CFF0FC"/>
              <w:bottom w:val="single" w:sz="8" w:color="CFF0FC"/>
            </w:tcBorders>
          </w:tcPr>
          <w:p>
            <w:pPr>
              <w:spacing w:after="0"/>
              <w:rPr>
                <w:sz w:val="23"/>
                <w:szCs w:val="23"/>
                <w:color w:val="auto"/>
              </w:rPr>
            </w:pPr>
          </w:p>
        </w:tc>
        <w:tc>
          <w:tcPr>
            <w:tcW w:w="640" w:type="dxa"/>
            <w:vAlign w:val="bottom"/>
            <w:tcBorders>
              <w:top w:val="single" w:sz="8" w:color="CFF0FC"/>
              <w:bottom w:val="single" w:sz="8" w:color="CFF0FC"/>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240" w:type="dxa"/>
            <w:vAlign w:val="bottom"/>
            <w:tcBorders>
              <w:top w:val="single" w:sz="8" w:color="CFF0FC"/>
              <w:bottom w:val="single" w:sz="8" w:color="CFF0FC"/>
            </w:tcBorders>
          </w:tcPr>
          <w:p>
            <w:pPr>
              <w:spacing w:after="0"/>
              <w:rPr>
                <w:sz w:val="23"/>
                <w:szCs w:val="23"/>
                <w:color w:val="auto"/>
              </w:rPr>
            </w:pPr>
          </w:p>
        </w:tc>
        <w:tc>
          <w:tcPr>
            <w:tcW w:w="116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240" w:type="dxa"/>
            <w:vAlign w:val="bottom"/>
            <w:tcBorders>
              <w:top w:val="single" w:sz="8" w:color="CFF0FC"/>
              <w:bottom w:val="single" w:sz="8" w:color="CFF0FC"/>
            </w:tcBorders>
          </w:tcPr>
          <w:p>
            <w:pPr>
              <w:spacing w:after="0"/>
              <w:rPr>
                <w:sz w:val="23"/>
                <w:szCs w:val="23"/>
                <w:color w:val="auto"/>
              </w:rPr>
            </w:pPr>
          </w:p>
        </w:tc>
        <w:tc>
          <w:tcPr>
            <w:tcW w:w="12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420" w:type="dxa"/>
            <w:vAlign w:val="bottom"/>
            <w:tcBorders>
              <w:top w:val="single" w:sz="8" w:color="CFF0FC"/>
              <w:bottom w:val="single" w:sz="8" w:color="CFF0FC"/>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tcBorders>
              <w:top w:val="single" w:sz="8" w:color="CFF0FC"/>
              <w:bottom w:val="single" w:sz="8" w:color="CFF0FC"/>
            </w:tcBorders>
          </w:tcPr>
          <w:p>
            <w:pPr>
              <w:spacing w:after="0"/>
              <w:rPr>
                <w:sz w:val="23"/>
                <w:szCs w:val="23"/>
                <w:color w:val="auto"/>
              </w:rPr>
            </w:pPr>
          </w:p>
        </w:tc>
        <w:tc>
          <w:tcPr>
            <w:tcW w:w="112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Borders>
              <w:top w:val="single" w:sz="8" w:color="CFF0FC"/>
              <w:bottom w:val="single" w:sz="8" w:color="CFF0FC"/>
            </w:tcBorders>
          </w:tcPr>
          <w:p>
            <w:pPr>
              <w:spacing w:after="0"/>
              <w:rPr>
                <w:sz w:val="23"/>
                <w:szCs w:val="23"/>
                <w:color w:val="auto"/>
              </w:rPr>
            </w:pPr>
          </w:p>
        </w:tc>
        <w:tc>
          <w:tcPr>
            <w:tcW w:w="440" w:type="dxa"/>
            <w:vAlign w:val="bottom"/>
            <w:tcBorders>
              <w:top w:val="single" w:sz="8" w:color="CFF0FC"/>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exercise of stock options</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100"/>
        <w:spacing w:after="0" w:line="280"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w w:val="99"/>
              </w:rPr>
              <w:t>(Stated in millions)</w:t>
            </w:r>
          </w:p>
        </w:tc>
      </w:tr>
      <w:tr>
        <w:trPr>
          <w:trHeight w:val="288"/>
        </w:trPr>
        <w:tc>
          <w:tcPr>
            <w:tcW w:w="9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24"/>
                <w:szCs w:val="24"/>
                <w:color w:val="auto"/>
              </w:rPr>
            </w:pPr>
          </w:p>
        </w:tc>
      </w:tr>
      <w:tr>
        <w:trPr>
          <w:trHeight w:val="222"/>
        </w:trPr>
        <w:tc>
          <w:tcPr>
            <w:tcW w:w="8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0"/>
        </w:trPr>
        <w:tc>
          <w:tcPr>
            <w:tcW w:w="8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86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0"/>
                <w:szCs w:val="20"/>
                <w:color w:val="auto"/>
              </w:rPr>
            </w:pPr>
          </w:p>
        </w:tc>
      </w:tr>
      <w:tr>
        <w:trPr>
          <w:trHeight w:val="222"/>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r>
      <w:tr>
        <w:trPr>
          <w:trHeight w:val="229"/>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9"/>
                <w:szCs w:val="19"/>
                <w:color w:val="auto"/>
              </w:rPr>
            </w:pPr>
          </w:p>
        </w:tc>
      </w:tr>
      <w:tr>
        <w:trPr>
          <w:trHeight w:val="222"/>
        </w:trPr>
        <w:tc>
          <w:tcPr>
            <w:tcW w:w="8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u w:val="single" w:color="auto"/>
          <w:color w:val="auto"/>
        </w:rPr>
        <w:t>Fixed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77"/>
        </w:trPr>
        <w:tc>
          <w:tcPr>
            <w:tcW w:w="8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84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FF0FC"/>
            </w:tcBorders>
          </w:tcPr>
          <w:p>
            <w:pPr>
              <w:spacing w:after="0"/>
              <w:rPr>
                <w:sz w:val="20"/>
                <w:szCs w:val="20"/>
                <w:color w:val="auto"/>
              </w:rPr>
            </w:pPr>
          </w:p>
        </w:tc>
      </w:tr>
      <w:tr>
        <w:trPr>
          <w:trHeight w:val="222"/>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40" w:type="dxa"/>
            <w:vAlign w:val="bottom"/>
            <w:shd w:val="clear" w:color="auto" w:fill="CFF0FC"/>
          </w:tcPr>
          <w:p>
            <w:pPr>
              <w:spacing w:after="0"/>
              <w:rPr>
                <w:sz w:val="19"/>
                <w:szCs w:val="19"/>
                <w:color w:val="auto"/>
              </w:rPr>
            </w:pPr>
          </w:p>
        </w:tc>
      </w:tr>
      <w:tr>
        <w:trPr>
          <w:trHeight w:val="229"/>
        </w:trPr>
        <w:tc>
          <w:tcPr>
            <w:tcW w:w="8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22,039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40" w:type="dxa"/>
            <w:vAlign w:val="bottom"/>
            <w:tcBorders>
              <w:bottom w:val="single" w:sz="8" w:color="CFF0FC"/>
            </w:tcBorders>
          </w:tcPr>
          <w:p>
            <w:pPr>
              <w:spacing w:after="0"/>
              <w:rPr>
                <w:sz w:val="19"/>
                <w:szCs w:val="19"/>
                <w:color w:val="auto"/>
              </w:rPr>
            </w:pPr>
          </w:p>
        </w:tc>
      </w:tr>
      <w:tr>
        <w:trPr>
          <w:trHeight w:val="222"/>
        </w:trPr>
        <w:tc>
          <w:tcPr>
            <w:tcW w:w="8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15,135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336" w:right="139" w:bottom="1440" w:gutter="0" w:footer="0" w:header="0"/>
        </w:sect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520"/>
          </w:cols>
          <w:pgMar w:left="240" w:top="336" w:right="1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$827 million and $793 million in the first quarter of 2015 and 2014, respectively.</w:t>
      </w:r>
    </w:p>
    <w:p>
      <w:pPr>
        <w:spacing w:after="0" w:line="368"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for the three months ended March 31, 2015 was as follows:</w:t>
      </w:r>
    </w:p>
    <w:p>
      <w:pPr>
        <w:spacing w:after="0" w:line="26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6"/>
          <w:szCs w:val="16"/>
          <w:i w:val="1"/>
          <w:iCs w:val="1"/>
          <w:color w:val="auto"/>
        </w:rPr>
        <w:t>(Stated in millions)</w:t>
      </w:r>
    </w:p>
    <w:p>
      <w:pPr>
        <w:sectPr>
          <w:pgSz w:w="11900" w:h="16838" w:orient="portrait"/>
          <w:cols w:equalWidth="0" w:num="1">
            <w:col w:w="11480"/>
          </w:cols>
          <w:pgMar w:left="240" w:top="121" w:right="17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3102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102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3102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1025"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2015</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1031" w:hanging="1031"/>
        <w:spacing w:after="0"/>
        <w:tabs>
          <w:tab w:leader="none" w:pos="10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793</w:t>
      </w:r>
    </w:p>
    <w:p>
      <w:pPr>
        <w:spacing w:after="0" w:line="26" w:lineRule="exact"/>
        <w:rPr>
          <w:rFonts w:ascii="Times New Roman" w:cs="Times New Roman" w:eastAsia="Times New Roman" w:hAnsi="Times New Roman"/>
          <w:sz w:val="18"/>
          <w:szCs w:val="18"/>
          <w:color w:val="auto"/>
        </w:rPr>
      </w:pPr>
    </w:p>
    <w:p>
      <w:pPr>
        <w:ind w:left="10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21" w:lineRule="exact"/>
        <w:rPr>
          <w:rFonts w:ascii="Times New Roman" w:cs="Times New Roman" w:eastAsia="Times New Roman" w:hAnsi="Times New Roman"/>
          <w:sz w:val="18"/>
          <w:szCs w:val="18"/>
          <w:color w:val="auto"/>
        </w:rPr>
      </w:pPr>
    </w:p>
    <w:p>
      <w:pPr>
        <w:ind w:left="105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286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10" w:lineRule="exact"/>
        <w:rPr>
          <w:sz w:val="20"/>
          <w:szCs w:val="20"/>
          <w:color w:val="auto"/>
        </w:rPr>
      </w:pPr>
    </w:p>
    <w:p>
      <w:pPr>
        <w:ind w:left="1031" w:hanging="1031"/>
        <w:spacing w:after="0"/>
        <w:tabs>
          <w:tab w:leader="none" w:pos="10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28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8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828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49" w:space="720"/>
            <w:col w:w="2011"/>
          </w:cols>
          <w:pgMar w:left="240" w:top="121" w:right="179" w:bottom="1440" w:gutter="0" w:footer="0" w:header="0"/>
          <w:type w:val="continuous"/>
        </w:sectPr>
      </w:pPr>
    </w:p>
    <w:p>
      <w:pPr>
        <w:spacing w:after="0" w:line="208"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reporting unit for the three months ended March 31, 2015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304"/>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Reservoir</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Characterization</w:t>
            </w:r>
          </w:p>
        </w:tc>
        <w:tc>
          <w:tcPr>
            <w:tcW w:w="26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Drilling</w:t>
            </w:r>
          </w:p>
        </w:tc>
        <w:tc>
          <w:tcPr>
            <w:tcW w:w="200" w:type="dxa"/>
            <w:vAlign w:val="bottom"/>
          </w:tcPr>
          <w:p>
            <w:pPr>
              <w:spacing w:after="0"/>
              <w:rPr>
                <w:sz w:val="16"/>
                <w:szCs w:val="16"/>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2"/>
        </w:trPr>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6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6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41"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book value, accumulated amortization and net book value of intangible assets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6"/>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Mar. 31, 2015</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w w:val="97"/>
              </w:rPr>
              <w:t>Dec. 31, 2014</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Gross</w:t>
            </w:r>
          </w:p>
        </w:tc>
        <w:tc>
          <w:tcPr>
            <w:tcW w:w="22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ind w:right="113"/>
              <w:spacing w:after="0"/>
              <w:rPr>
                <w:sz w:val="20"/>
                <w:szCs w:val="20"/>
                <w:color w:val="auto"/>
              </w:rPr>
            </w:pPr>
            <w:r>
              <w:rPr>
                <w:rFonts w:ascii="Times New Roman" w:cs="Times New Roman" w:eastAsia="Times New Roman" w:hAnsi="Times New Roman"/>
                <w:sz w:val="16"/>
                <w:szCs w:val="16"/>
                <w:color w:val="auto"/>
              </w:rPr>
              <w:t>Net Book</w:t>
            </w: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2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Book Value</w:t>
            </w:r>
          </w:p>
        </w:tc>
        <w:tc>
          <w:tcPr>
            <w:tcW w:w="22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4"/>
              </w:rPr>
              <w:t>Value</w:t>
            </w:r>
          </w:p>
        </w:tc>
      </w:tr>
      <w:tr>
        <w:trPr>
          <w:trHeight w:val="225"/>
        </w:trPr>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r>
      <w:tr>
        <w:trPr>
          <w:trHeight w:val="22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FF0FC"/>
          </w:tcPr>
          <w:p>
            <w:pPr>
              <w:spacing w:after="0"/>
              <w:rPr>
                <w:sz w:val="19"/>
                <w:szCs w:val="19"/>
                <w:color w:val="auto"/>
              </w:rPr>
            </w:pPr>
          </w:p>
        </w:tc>
      </w:tr>
      <w:tr>
        <w:trPr>
          <w:trHeight w:val="229"/>
        </w:trPr>
        <w:tc>
          <w:tcPr>
            <w:tcW w:w="2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tcPr>
          <w:p>
            <w:pPr>
              <w:spacing w:after="0"/>
              <w:rPr>
                <w:sz w:val="19"/>
                <w:szCs w:val="19"/>
                <w:color w:val="auto"/>
              </w:rPr>
            </w:pPr>
          </w:p>
        </w:tc>
      </w:tr>
      <w:tr>
        <w:trPr>
          <w:trHeight w:val="222"/>
        </w:trPr>
        <w:tc>
          <w:tcPr>
            <w:tcW w:w="29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4,575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$88 million during the first quarter of 2015 and $86 million during the first quarter of 2014.</w:t>
      </w:r>
    </w:p>
    <w:p>
      <w:pPr>
        <w:spacing w:after="0" w:line="251" w:lineRule="exact"/>
        <w:rPr>
          <w:sz w:val="20"/>
          <w:szCs w:val="20"/>
          <w:color w:val="auto"/>
        </w:rPr>
      </w:pPr>
    </w:p>
    <w:p>
      <w:pPr>
        <w:jc w:val="both"/>
        <w:ind w:right="80"/>
        <w:spacing w:after="0" w:line="311" w:lineRule="auto"/>
        <w:rPr>
          <w:sz w:val="20"/>
          <w:szCs w:val="20"/>
          <w:color w:val="auto"/>
        </w:rPr>
      </w:pPr>
      <w:r>
        <w:rPr>
          <w:rFonts w:ascii="Times New Roman" w:cs="Times New Roman" w:eastAsia="Times New Roman" w:hAnsi="Times New Roman"/>
          <w:sz w:val="17"/>
          <w:szCs w:val="17"/>
          <w:color w:val="auto"/>
        </w:rPr>
        <w:t>Based on the net book value of intangible assets at March 31, 2015, amortization charged to income for the subsequent five years is estimated to be: remaining three quarters of 2015—$270 million; 2016—$351 million; 2017—$342 million; 2018—$331 million; 2019—$323 million; and 2020—$302 million.</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80"/>
          </w:cols>
          <w:pgMar w:left="240" w:top="121" w:right="179" w:bottom="1440" w:gutter="0" w:footer="0" w:header="0"/>
          <w:type w:val="continuous"/>
        </w:sectPr>
      </w:pPr>
    </w:p>
    <w:bookmarkStart w:id="10" w:name="page11"/>
    <w:bookmarkEnd w:id="10"/>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0"/>
        </w:trPr>
        <w:tc>
          <w:tcPr>
            <w:tcW w:w="5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22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500" w:type="dxa"/>
            <w:vAlign w:val="bottom"/>
            <w:tcBorders>
              <w:bottom w:val="single" w:sz="8" w:color="CFF0FC"/>
            </w:tcBorders>
          </w:tcPr>
          <w:p>
            <w:pPr>
              <w:spacing w:after="0"/>
              <w:rPr>
                <w:sz w:val="20"/>
                <w:szCs w:val="20"/>
                <w:color w:val="auto"/>
              </w:rPr>
            </w:pPr>
          </w:p>
        </w:tc>
        <w:tc>
          <w:tcPr>
            <w:tcW w:w="5000" w:type="dxa"/>
            <w:vAlign w:val="bottom"/>
            <w:tcBorders>
              <w:bottom w:val="single" w:sz="8" w:color="CFF0FC"/>
            </w:tcBorders>
          </w:tcPr>
          <w:p>
            <w:pPr>
              <w:spacing w:after="0"/>
              <w:rPr>
                <w:sz w:val="20"/>
                <w:szCs w:val="20"/>
                <w:color w:val="auto"/>
              </w:rPr>
            </w:pPr>
          </w:p>
        </w:tc>
        <w:tc>
          <w:tcPr>
            <w:tcW w:w="29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FF0FC"/>
            </w:tcBorders>
          </w:tcPr>
          <w:p>
            <w:pPr>
              <w:spacing w:after="0"/>
              <w:rPr>
                <w:sz w:val="20"/>
                <w:szCs w:val="20"/>
                <w:color w:val="auto"/>
              </w:rPr>
            </w:pPr>
          </w:p>
        </w:tc>
      </w:tr>
      <w:tr>
        <w:trPr>
          <w:trHeight w:val="222"/>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3.30%</w:t>
            </w: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3.65%</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1.95%</w:t>
            </w: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2016</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1.25%</w:t>
            </w: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2017</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2.40%</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1.50%</w:t>
            </w: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2019</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2.65%</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2016</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000" w:type="dxa"/>
            <w:vAlign w:val="bottom"/>
            <w:tcBorders>
              <w:bottom w:val="single" w:sz="8" w:color="CFF0FC"/>
            </w:tcBorders>
          </w:tcPr>
          <w:p>
            <w:pPr>
              <w:spacing w:after="0"/>
              <w:rPr>
                <w:sz w:val="19"/>
                <w:szCs w:val="19"/>
                <w:color w:val="auto"/>
              </w:rPr>
            </w:pP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FF0FC"/>
            </w:tcBorders>
          </w:tcPr>
          <w:p>
            <w:pPr>
              <w:spacing w:after="0"/>
              <w:rPr>
                <w:sz w:val="19"/>
                <w:szCs w:val="19"/>
                <w:color w:val="auto"/>
              </w:rPr>
            </w:pPr>
          </w:p>
        </w:tc>
      </w:tr>
      <w:tr>
        <w:trPr>
          <w:trHeight w:val="222"/>
        </w:trPr>
        <w:tc>
          <w:tcPr>
            <w:tcW w:w="500" w:type="dxa"/>
            <w:vAlign w:val="bottom"/>
            <w:tcBorders>
              <w:bottom w:val="single" w:sz="8" w:color="CFF0FC"/>
            </w:tcBorders>
            <w:shd w:val="clear" w:color="auto" w:fill="CFF0FC"/>
          </w:tcPr>
          <w:p>
            <w:pPr>
              <w:spacing w:after="0"/>
              <w:rPr>
                <w:sz w:val="19"/>
                <w:szCs w:val="19"/>
                <w:color w:val="auto"/>
              </w:rPr>
            </w:pPr>
          </w:p>
        </w:tc>
        <w:tc>
          <w:tcPr>
            <w:tcW w:w="5000" w:type="dxa"/>
            <w:vAlign w:val="bottom"/>
            <w:tcBorders>
              <w:bottom w:val="single" w:sz="8" w:color="CFF0FC"/>
            </w:tcBorders>
            <w:shd w:val="clear" w:color="auto" w:fill="CFF0FC"/>
          </w:tcPr>
          <w:p>
            <w:pPr>
              <w:spacing w:after="0"/>
              <w:rPr>
                <w:sz w:val="19"/>
                <w:szCs w:val="19"/>
                <w:color w:val="auto"/>
              </w:rPr>
            </w:pP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8,898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The estimated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at March 31, 2015 and December 31, 2014, based on quoted market prices, was $9.2 billion and $10.7 billion, respectively.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Borrowings under the commercial paper program at March 31, 2015 were $2.0 billion, of which $1.6 billion is classified within </w:t>
      </w:r>
      <w:r>
        <w:rPr>
          <w:rFonts w:ascii="Times New Roman" w:cs="Times New Roman" w:eastAsia="Times New Roman" w:hAnsi="Times New Roman"/>
          <w:sz w:val="18"/>
          <w:szCs w:val="18"/>
          <w:i w:val="1"/>
          <w:iCs w:val="1"/>
          <w:color w:val="auto"/>
        </w:rPr>
        <w:t>Long-term debt –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portion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Balance Sheet</w:t>
      </w:r>
      <w:r>
        <w:rPr>
          <w:rFonts w:ascii="Times New Roman" w:cs="Times New Roman" w:eastAsia="Times New Roman" w:hAnsi="Times New Roman"/>
          <w:sz w:val="18"/>
          <w:szCs w:val="18"/>
          <w:color w:val="auto"/>
        </w:rPr>
        <w:t>. At December 31, 2014, borrowings under the commercial paper program were $1.5 billion, all of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classified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319"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8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This cross currency swap is designated as a fair value hedge of the underlying debt. This derivative instrument is marked to market with gains and losses recognized in income to largely offset the respective gains and losses recognized on changes in the fair value of the hedged debt.</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At March 31, 2015, Schlumberger had fixed rate debt aggregating $8.9 billion and variable rate debt aggregating $3.8 billion, after taking into account the effect of the swap.</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Fixed income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held to maturity</w:t>
      </w:r>
      <w:r>
        <w:rPr>
          <w:rFonts w:ascii="Times New Roman" w:cs="Times New Roman" w:eastAsia="Times New Roman" w:hAnsi="Times New Roman"/>
          <w:sz w:val="18"/>
          <w:szCs w:val="18"/>
          <w:color w:val="auto"/>
        </w:rPr>
        <w:t>, totaled $5.1 billion at March 31, 2015. The carrying value of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approximated fair value, which was estimated using quoted market prices for those or similar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multinational company, Schlumberger conducts its business in approximately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Amounts recorded in </w:t>
      </w: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are reclassified into earnings in the same period or periods that the hedged item is recognized in earnings.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ineffective portion of changes in the fair value of hedging instruments, if any, is recorded directly to earnings.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March 31, 2015, Schlumberger recognized a cumulative net $130 million loss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which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fair value of the hedged item.</w:t>
      </w:r>
    </w:p>
    <w:p>
      <w:pPr>
        <w:spacing w:after="0" w:line="1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March 31, 2015, contracts were outstanding for the US dollar equivalent of $6.3 billion in various foreign currencies, of which $2.5 billion relate to hedges of debt denominated in currencies other than the functional currency.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Fair Value of Derivatives</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Consolidated Balance Sheet Classification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Dec. 31,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60" w:type="dxa"/>
            <w:vAlign w:val="bottom"/>
            <w:gridSpan w:val="2"/>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6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6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Cross currency swap</w:t>
            </w:r>
          </w:p>
        </w:tc>
        <w:tc>
          <w:tcPr>
            <w:tcW w:w="7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FF0FC"/>
            </w:tcBorders>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6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color w:val="auto"/>
        </w:rPr>
        <w:t>The fair value of all outstanding derivatives was determined using a model with inputs that are observable in the market or that can be derived from or corroborated by observable data.</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7" w:right="239" w:bottom="1440" w:gutter="0" w:footer="0" w:header="0"/>
        </w:sectPr>
      </w:pPr>
    </w:p>
    <w:bookmarkStart w:id="12" w:name="page13"/>
    <w:bookmarkEnd w:id="12"/>
    <w:p>
      <w:pPr>
        <w:ind w:right="580"/>
        <w:spacing w:after="0" w:line="283" w:lineRule="auto"/>
        <w:rPr>
          <w:sz w:val="20"/>
          <w:szCs w:val="20"/>
          <w:color w:val="auto"/>
        </w:rPr>
      </w:pPr>
      <w:r>
        <w:rPr>
          <w:rFonts w:ascii="Times New Roman" w:cs="Times New Roman" w:eastAsia="Times New Roman" w:hAnsi="Times New Roman"/>
          <w:sz w:val="18"/>
          <w:szCs w:val="18"/>
          <w:color w:val="auto"/>
        </w:rPr>
        <w:t xml:space="preserve">The effect of derivative instruments designated as fair value hedges and those not designated as hedges on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Gain (Loss) Recognized in Income</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8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FF0FC"/>
            </w:tcBorders>
          </w:tcPr>
          <w:p>
            <w:pPr>
              <w:spacing w:after="0"/>
              <w:rPr>
                <w:sz w:val="19"/>
                <w:szCs w:val="19"/>
                <w:color w:val="auto"/>
              </w:rPr>
            </w:pPr>
          </w:p>
        </w:tc>
        <w:tc>
          <w:tcPr>
            <w:tcW w:w="43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Consolidated Statement of Income Classification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Cross currency swap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w:t>
            </w:r>
          </w:p>
        </w:tc>
        <w:tc>
          <w:tcPr>
            <w:tcW w:w="5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w:t>
            </w:r>
          </w:p>
        </w:tc>
        <w:tc>
          <w:tcPr>
            <w:tcW w:w="5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0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Income before taxes </w:t>
            </w:r>
            <w:r>
              <w:rPr>
                <w:rFonts w:ascii="Times New Roman" w:cs="Times New Roman" w:eastAsia="Times New Roman" w:hAnsi="Times New Roman"/>
                <w:sz w:val="18"/>
                <w:szCs w:val="18"/>
                <w:color w:val="auto"/>
                <w:w w:val="99"/>
              </w:rPr>
              <w:t>subject to US and non-US income taxes was as follows: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6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1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3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3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both"/>
        <w:ind w:right="260"/>
        <w:spacing w:after="0" w:line="280" w:lineRule="auto"/>
        <w:rPr>
          <w:sz w:val="20"/>
          <w:szCs w:val="20"/>
          <w:color w:val="auto"/>
        </w:rPr>
      </w:pPr>
      <w:r>
        <w:rPr>
          <w:rFonts w:ascii="Times New Roman" w:cs="Times New Roman" w:eastAsia="Times New Roman" w:hAnsi="Times New Roman"/>
          <w:sz w:val="18"/>
          <w:szCs w:val="18"/>
          <w:color w:val="auto"/>
        </w:rPr>
        <w:t xml:space="preserve">Schlumberger recorded pretax charges of $439 million during the three months ended March 31, 2015 ($93 million of charges in the US and $346 million of charges outside the US). See Note 2 –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tax assets (liabilities)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77"/>
        </w:trPr>
        <w:tc>
          <w:tcPr>
            <w:tcW w:w="5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5420" w:type="dxa"/>
            <w:vAlign w:val="bottom"/>
            <w:tcBorders>
              <w:bottom w:val="single" w:sz="8" w:color="CFF0FC"/>
            </w:tcBorders>
          </w:tcPr>
          <w:p>
            <w:pPr>
              <w:spacing w:after="0"/>
              <w:rPr>
                <w:sz w:val="20"/>
                <w:szCs w:val="20"/>
                <w:color w:val="auto"/>
              </w:rPr>
            </w:pPr>
          </w:p>
        </w:tc>
        <w:tc>
          <w:tcPr>
            <w:tcW w:w="28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0"/>
                <w:szCs w:val="20"/>
                <w:color w:val="auto"/>
              </w:rPr>
            </w:pPr>
          </w:p>
        </w:tc>
      </w:tr>
      <w:tr>
        <w:trPr>
          <w:trHeight w:val="222"/>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2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non-US subsidiaries</w:t>
            </w:r>
          </w:p>
        </w:tc>
        <w:tc>
          <w:tcPr>
            <w:tcW w:w="2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2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FF0FC"/>
            </w:tcBorders>
          </w:tcPr>
          <w:p>
            <w:pPr>
              <w:spacing w:after="0"/>
              <w:rPr>
                <w:sz w:val="19"/>
                <w:szCs w:val="19"/>
                <w:color w:val="auto"/>
              </w:rPr>
            </w:pPr>
          </w:p>
        </w:tc>
      </w:tr>
      <w:tr>
        <w:trPr>
          <w:trHeight w:val="222"/>
        </w:trPr>
        <w:tc>
          <w:tcPr>
            <w:tcW w:w="542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color w:val="auto"/>
        </w:rPr>
        <w:t>The above deferred tax balances at March 31, 2015 and December 31, 2014 were net of valuation allowances relating to net operating losses in certain countries of $172 million and $190 million,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consolidated </w:t>
      </w:r>
      <w:r>
        <w:rPr>
          <w:rFonts w:ascii="Times New Roman" w:cs="Times New Roman" w:eastAsia="Times New Roman" w:hAnsi="Times New Roman"/>
          <w:sz w:val="18"/>
          <w:szCs w:val="18"/>
          <w:i w:val="1"/>
          <w:iCs w:val="1"/>
          <w:color w:val="auto"/>
        </w:rPr>
        <w:t>Taxes on income</w:t>
      </w:r>
      <w:r>
        <w:rPr>
          <w:rFonts w:ascii="Times New Roman" w:cs="Times New Roman" w:eastAsia="Times New Roman" w:hAnsi="Times New Roman"/>
          <w:sz w:val="18"/>
          <w:szCs w:val="18"/>
          <w:color w:val="auto"/>
        </w:rPr>
        <w:t xml:space="preserve">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0" w:type="dxa"/>
            <w:vAlign w:val="bottom"/>
          </w:tcPr>
          <w:p>
            <w:pPr>
              <w:spacing w:after="0"/>
              <w:rPr>
                <w:sz w:val="1"/>
                <w:szCs w:val="1"/>
                <w:color w:val="auto"/>
              </w:rPr>
            </w:pPr>
          </w:p>
        </w:tc>
      </w:tr>
      <w:tr>
        <w:trPr>
          <w:trHeight w:val="286"/>
        </w:trPr>
        <w:tc>
          <w:tcPr>
            <w:tcW w:w="5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First Quarter</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200" w:type="dxa"/>
            <w:vAlign w:val="bottom"/>
            <w:gridSpan w:val="2"/>
            <w:vMerge w:val="restart"/>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States-Federal</w:t>
            </w:r>
          </w:p>
        </w:tc>
        <w:tc>
          <w:tcPr>
            <w:tcW w:w="420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United States-State</w:t>
            </w:r>
          </w:p>
        </w:tc>
        <w:tc>
          <w:tcPr>
            <w:tcW w:w="3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Outside United States</w:t>
            </w:r>
          </w:p>
        </w:tc>
        <w:tc>
          <w:tcPr>
            <w:tcW w:w="3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United States-Federal</w:t>
            </w:r>
          </w:p>
        </w:tc>
        <w:tc>
          <w:tcPr>
            <w:tcW w:w="420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60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States-State</w:t>
            </w:r>
          </w:p>
        </w:tc>
        <w:tc>
          <w:tcPr>
            <w:tcW w:w="3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Outside United States</w:t>
            </w:r>
          </w:p>
        </w:tc>
        <w:tc>
          <w:tcPr>
            <w:tcW w:w="3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CFF0FC"/>
            </w:tcBorders>
          </w:tcPr>
          <w:p>
            <w:pPr>
              <w:spacing w:after="0"/>
              <w:rPr>
                <w:sz w:val="19"/>
                <w:szCs w:val="19"/>
                <w:color w:val="auto"/>
              </w:rPr>
            </w:pPr>
          </w:p>
        </w:tc>
        <w:tc>
          <w:tcPr>
            <w:tcW w:w="32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tcBorders>
              <w:bottom w:val="single" w:sz="8" w:color="CFF0FC"/>
            </w:tcBorders>
            <w:shd w:val="clear" w:color="auto" w:fill="CFF0FC"/>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500"/>
          </w:cols>
          <w:pgMar w:left="240" w:top="334" w:right="159" w:bottom="1440" w:gutter="0" w:footer="0" w:header="0"/>
        </w:sect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500"/>
          </w:cols>
          <w:pgMar w:left="240" w:top="334" w:right="1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US statutory federal tax rate of 35% to the consolidated effective income tax rate follows:</w:t>
            </w: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71"/>
        </w:trPr>
        <w:tc>
          <w:tcPr>
            <w:tcW w:w="8360" w:type="dxa"/>
            <w:vAlign w:val="bottom"/>
          </w:tcPr>
          <w:p>
            <w:pPr>
              <w:spacing w:after="0"/>
              <w:rPr>
                <w:sz w:val="24"/>
                <w:szCs w:val="24"/>
                <w:color w:val="auto"/>
              </w:rPr>
            </w:pPr>
          </w:p>
        </w:tc>
        <w:tc>
          <w:tcPr>
            <w:tcW w:w="19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7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83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bottom w:val="single" w:sz="8" w:color="CFF0FC"/>
            </w:tcBorders>
          </w:tcPr>
          <w:p>
            <w:pPr>
              <w:spacing w:after="0"/>
              <w:rPr>
                <w:sz w:val="19"/>
                <w:szCs w:val="19"/>
                <w:color w:val="auto"/>
              </w:rPr>
            </w:pPr>
          </w:p>
        </w:tc>
      </w:tr>
      <w:tr>
        <w:trPr>
          <w:trHeight w:val="222"/>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35%</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Non-US income taxed at different rates</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w:t>
            </w:r>
          </w:p>
        </w:tc>
        <w:tc>
          <w:tcPr>
            <w:tcW w:w="3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 and credits (See Note 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3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22"/>
        </w:trPr>
        <w:tc>
          <w:tcPr>
            <w:tcW w:w="8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3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bl>
    <w:p>
      <w:pPr>
        <w:spacing w:after="0" w:line="341"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25, 2015, Schlumberger resolved a previously disclosed investigation by the U.S. Department of Justice into past violations of US sanctions regarding its historical operations in Iran and Sudan that occurred between 2004 and 2010. A non-US subsidiary of Schlumberger has agreed to plead guilty to one criminal count of conspiracy to violate the International Emergency Economic Powers Act. Under the terms of the plea agreement, Schlumberger will pay a total amount of approximately $233 million in fines, penalties and assessments. This amount, which has been previously accrued for, is expected to be paid during the second quarter of 2015 and will be reflected within </w:t>
      </w:r>
      <w:r>
        <w:rPr>
          <w:rFonts w:ascii="Times New Roman" w:cs="Times New Roman" w:eastAsia="Times New Roman" w:hAnsi="Times New Roman"/>
          <w:sz w:val="18"/>
          <w:szCs w:val="18"/>
          <w:i w:val="1"/>
          <w:iCs w:val="1"/>
          <w:color w:val="auto"/>
        </w:rPr>
        <w:t>Cash flow used in discontinued operations – operating activities</w:t>
      </w:r>
      <w:r>
        <w:rPr>
          <w:rFonts w:ascii="Times New Roman" w:cs="Times New Roman" w:eastAsia="Times New Roman" w:hAnsi="Times New Roman"/>
          <w:sz w:val="18"/>
          <w:szCs w:val="18"/>
          <w:color w:val="auto"/>
        </w:rPr>
        <w:t xml:space="preserve"> in Schlumberger’s </w:t>
      </w:r>
      <w:r>
        <w:rPr>
          <w:rFonts w:ascii="Times New Roman" w:cs="Times New Roman" w:eastAsia="Times New Roman" w:hAnsi="Times New Roman"/>
          <w:sz w:val="18"/>
          <w:szCs w:val="18"/>
          <w:i w:val="1"/>
          <w:iCs w:val="1"/>
          <w:color w:val="auto"/>
        </w:rPr>
        <w:t xml:space="preserve">Consolidated Statement of Cash Flows </w:t>
      </w:r>
      <w:r>
        <w:rPr>
          <w:rFonts w:ascii="Times New Roman" w:cs="Times New Roman" w:eastAsia="Times New Roman" w:hAnsi="Times New Roman"/>
          <w:sz w:val="18"/>
          <w:szCs w:val="18"/>
          <w:color w:val="auto"/>
        </w:rPr>
        <w:t>when paid. All terms of the plea agreement are subject to judicial approval.</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with respect to these other legal proceedings is remote. However, litigation is inherently uncertain and it is not possible to predict the ultimate disposition of any of these proceedings.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Segment Information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w w:val="99"/>
              </w:rPr>
              <w:t>(Stated in millions)</w:t>
            </w:r>
          </w:p>
        </w:tc>
      </w:tr>
      <w:tr>
        <w:trPr>
          <w:trHeight w:val="288"/>
        </w:trPr>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First Quarter 2015</w:t>
            </w:r>
          </w:p>
        </w:tc>
        <w:tc>
          <w:tcPr>
            <w:tcW w:w="200" w:type="dxa"/>
            <w:vAlign w:val="bottom"/>
          </w:tcPr>
          <w:p>
            <w:pPr>
              <w:spacing w:after="0"/>
              <w:rPr>
                <w:sz w:val="24"/>
                <w:szCs w:val="24"/>
                <w:color w:val="auto"/>
              </w:rPr>
            </w:pPr>
          </w:p>
        </w:tc>
        <w:tc>
          <w:tcPr>
            <w:tcW w:w="26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First Quarter 2014</w:t>
            </w:r>
          </w:p>
        </w:tc>
      </w:tr>
      <w:tr>
        <w:trPr>
          <w:trHeight w:val="200"/>
        </w:trPr>
        <w:tc>
          <w:tcPr>
            <w:tcW w:w="5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50"/>
              <w:spacing w:after="0" w:line="200"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50"/>
              <w:spacing w:after="0" w:line="200" w:lineRule="exact"/>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7"/>
                <w:szCs w:val="17"/>
                <w:color w:val="auto"/>
              </w:rPr>
            </w:pPr>
          </w:p>
        </w:tc>
      </w:tr>
      <w:tr>
        <w:trPr>
          <w:trHeight w:val="215"/>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8"/>
        </w:trPr>
        <w:tc>
          <w:tcPr>
            <w:tcW w:w="55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taxes</w:t>
            </w:r>
          </w:p>
        </w:tc>
        <w:tc>
          <w:tcPr>
            <w:tcW w:w="100" w:type="dxa"/>
            <w:vAlign w:val="bottom"/>
            <w:tcBorders>
              <w:bottom w:val="single" w:sz="8" w:color="CFF0FC"/>
            </w:tcBorders>
          </w:tcPr>
          <w:p>
            <w:pPr>
              <w:spacing w:after="0"/>
              <w:rPr>
                <w:sz w:val="20"/>
                <w:szCs w:val="20"/>
                <w:color w:val="auto"/>
              </w:rPr>
            </w:pPr>
          </w:p>
        </w:tc>
      </w:tr>
      <w:tr>
        <w:trPr>
          <w:trHeight w:val="3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2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FF0FC"/>
          </w:tcPr>
          <w:p>
            <w:pPr>
              <w:spacing w:after="0"/>
              <w:rPr>
                <w:sz w:val="24"/>
                <w:szCs w:val="24"/>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22"/>
        </w:trPr>
        <w:tc>
          <w:tcPr>
            <w:tcW w:w="552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right="40" w:hanging="285"/>
        <w:spacing w:after="0" w:line="199" w:lineRule="auto"/>
        <w:tabs>
          <w:tab w:leader="none" w:pos="303"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7"/>
          <w:szCs w:val="27"/>
          <w:color w:val="auto"/>
          <w:vertAlign w:val="superscript"/>
        </w:rPr>
      </w:pPr>
    </w:p>
    <w:p>
      <w:pPr>
        <w:ind w:left="300" w:hanging="273"/>
        <w:spacing w:after="0"/>
        <w:tabs>
          <w:tab w:leader="none" w:pos="300" w:val="left"/>
        </w:tabs>
        <w:numPr>
          <w:ilvl w:val="2"/>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($5 million in 2015; $5 million in 2014).</w:t>
      </w:r>
    </w:p>
    <w:p>
      <w:pPr>
        <w:spacing w:after="0" w:line="116" w:lineRule="exact"/>
        <w:rPr>
          <w:rFonts w:ascii="Times New Roman" w:cs="Times New Roman" w:eastAsia="Times New Roman" w:hAnsi="Times New Roman"/>
          <w:sz w:val="27"/>
          <w:szCs w:val="27"/>
          <w:color w:val="auto"/>
          <w:vertAlign w:val="superscript"/>
        </w:rPr>
      </w:pPr>
    </w:p>
    <w:p>
      <w:pPr>
        <w:ind w:left="280" w:hanging="272"/>
        <w:spacing w:after="0" w:line="182" w:lineRule="auto"/>
        <w:tabs>
          <w:tab w:leader="none" w:pos="28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($6 million in 2015; $6 million in 2014).</w:t>
      </w:r>
    </w:p>
    <w:p>
      <w:pPr>
        <w:spacing w:after="0" w:line="117" w:lineRule="exact"/>
        <w:rPr>
          <w:rFonts w:ascii="Times New Roman" w:cs="Times New Roman" w:eastAsia="Times New Roman" w:hAnsi="Times New Roman"/>
          <w:sz w:val="22"/>
          <w:szCs w:val="22"/>
          <w:color w:val="auto"/>
          <w:vertAlign w:val="superscript"/>
        </w:rPr>
      </w:pPr>
    </w:p>
    <w:p>
      <w:pPr>
        <w:ind w:left="220" w:hanging="209"/>
        <w:spacing w:after="0" w:line="182" w:lineRule="auto"/>
        <w:tabs>
          <w:tab w:leader="none" w:pos="22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recorded during the first quarter of 2015 are described in detail in Note 2 to the </w:t>
      </w: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3" w:right="239" w:bottom="1440" w:gutter="0" w:footer="0" w:header="0"/>
        </w:sectPr>
      </w:pPr>
    </w:p>
    <w:bookmarkStart w:id="14" w:name="page15"/>
    <w:bookmarkEnd w:id="14"/>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for the Schlumberger pension plans included the following components: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8"/>
        </w:trPr>
        <w:tc>
          <w:tcPr>
            <w:tcW w:w="5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5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2014</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506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Int’l</w:t>
            </w:r>
          </w:p>
        </w:tc>
        <w:tc>
          <w:tcPr>
            <w:tcW w:w="200" w:type="dxa"/>
            <w:vAlign w:val="bottom"/>
            <w:tcBorders>
              <w:bottom w:val="single" w:sz="8" w:color="CFF0FC"/>
            </w:tcBorders>
          </w:tcPr>
          <w:p>
            <w:pPr>
              <w:spacing w:after="0"/>
              <w:rPr>
                <w:sz w:val="19"/>
                <w:szCs w:val="19"/>
                <w:color w:val="auto"/>
              </w:rPr>
            </w:pPr>
          </w:p>
        </w:tc>
      </w:tr>
      <w:tr>
        <w:trPr>
          <w:trHeight w:val="222"/>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 — benefits earned during period</w:t>
            </w:r>
          </w:p>
        </w:tc>
        <w:tc>
          <w:tcPr>
            <w:tcW w:w="1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6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8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r>
      <w:tr>
        <w:trPr>
          <w:trHeight w:val="222"/>
        </w:trPr>
        <w:tc>
          <w:tcPr>
            <w:tcW w:w="5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cost for the Schlumberger US postretirement medical plan included the following components: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0" w:type="dxa"/>
            <w:vAlign w:val="bottom"/>
          </w:tcPr>
          <w:p>
            <w:pPr>
              <w:spacing w:after="0"/>
              <w:rPr>
                <w:sz w:val="1"/>
                <w:szCs w:val="1"/>
                <w:color w:val="auto"/>
              </w:rPr>
            </w:pPr>
          </w:p>
        </w:tc>
      </w:tr>
      <w:tr>
        <w:trPr>
          <w:trHeight w:val="288"/>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0" w:type="dxa"/>
            <w:vAlign w:val="bottom"/>
            <w:tcBorders>
              <w:bottom w:val="single" w:sz="8" w:color="CFF0FC"/>
            </w:tcBorders>
          </w:tcPr>
          <w:p>
            <w:pPr>
              <w:spacing w:after="0"/>
              <w:rPr>
                <w:sz w:val="15"/>
                <w:szCs w:val="15"/>
                <w:color w:val="auto"/>
              </w:rPr>
            </w:pPr>
          </w:p>
        </w:tc>
        <w:tc>
          <w:tcPr>
            <w:tcW w:w="3140" w:type="dxa"/>
            <w:vAlign w:val="bottom"/>
            <w:tcBorders>
              <w:bottom w:val="single" w:sz="8" w:color="CFF0FC"/>
            </w:tcBorders>
          </w:tcPr>
          <w:p>
            <w:pPr>
              <w:spacing w:after="0"/>
              <w:rPr>
                <w:sz w:val="15"/>
                <w:szCs w:val="15"/>
                <w:color w:val="auto"/>
              </w:rPr>
            </w:pPr>
          </w:p>
        </w:tc>
        <w:tc>
          <w:tcPr>
            <w:tcW w:w="8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 — benefits earned during period</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Interest cost on accumulated postretirement benefit obligation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2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5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consists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42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280" w:type="dxa"/>
            <w:vAlign w:val="bottom"/>
            <w:shd w:val="clear" w:color="auto" w:fill="CFF0FC"/>
          </w:tcPr>
          <w:p>
            <w:pPr>
              <w:spacing w:after="0"/>
              <w:rPr>
                <w:sz w:val="18"/>
                <w:szCs w:val="18"/>
                <w:color w:val="auto"/>
              </w:rPr>
            </w:pPr>
          </w:p>
        </w:tc>
        <w:tc>
          <w:tcPr>
            <w:tcW w:w="3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shd w:val="clear" w:color="auto" w:fill="CFF0FC"/>
          </w:tcPr>
          <w:p>
            <w:pPr>
              <w:spacing w:after="0"/>
              <w:rPr>
                <w:sz w:val="20"/>
                <w:szCs w:val="20"/>
                <w:color w:val="auto"/>
              </w:rPr>
            </w:pPr>
          </w:p>
        </w:tc>
        <w:tc>
          <w:tcPr>
            <w:tcW w:w="3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120" w:type="dxa"/>
            <w:vAlign w:val="bottom"/>
          </w:tcPr>
          <w:p>
            <w:pPr>
              <w:spacing w:after="0"/>
              <w:rPr>
                <w:sz w:val="16"/>
                <w:szCs w:val="16"/>
                <w:color w:val="auto"/>
              </w:rPr>
            </w:pPr>
          </w:p>
        </w:tc>
        <w:tc>
          <w:tcPr>
            <w:tcW w:w="1460" w:type="dxa"/>
            <w:vAlign w:val="bottom"/>
            <w:gridSpan w:val="6"/>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6"/>
                <w:szCs w:val="16"/>
                <w:color w:val="auto"/>
              </w:rPr>
            </w:pPr>
          </w:p>
        </w:tc>
        <w:tc>
          <w:tcPr>
            <w:tcW w:w="12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460" w:type="dxa"/>
            <w:vAlign w:val="bottom"/>
            <w:gridSpan w:val="6"/>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60" w:type="dxa"/>
            <w:vAlign w:val="bottom"/>
          </w:tcPr>
          <w:p>
            <w:pPr>
              <w:spacing w:after="0"/>
              <w:rPr>
                <w:sz w:val="18"/>
                <w:szCs w:val="18"/>
                <w:color w:val="auto"/>
              </w:rPr>
            </w:pP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120" w:type="dxa"/>
            <w:vAlign w:val="bottom"/>
          </w:tcPr>
          <w:p>
            <w:pPr>
              <w:spacing w:after="0"/>
              <w:rPr>
                <w:sz w:val="18"/>
                <w:szCs w:val="18"/>
                <w:color w:val="auto"/>
              </w:rPr>
            </w:pPr>
          </w:p>
        </w:tc>
        <w:tc>
          <w:tcPr>
            <w:tcW w:w="1460" w:type="dxa"/>
            <w:vAlign w:val="bottom"/>
            <w:gridSpan w:val="6"/>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60" w:type="dxa"/>
            <w:vAlign w:val="bottom"/>
          </w:tcPr>
          <w:p>
            <w:pPr>
              <w:spacing w:after="0"/>
              <w:rPr>
                <w:sz w:val="18"/>
                <w:szCs w:val="18"/>
                <w:color w:val="auto"/>
              </w:rPr>
            </w:pP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120" w:type="dxa"/>
            <w:vAlign w:val="bottom"/>
          </w:tcPr>
          <w:p>
            <w:pPr>
              <w:spacing w:after="0"/>
              <w:rPr>
                <w:sz w:val="18"/>
                <w:szCs w:val="18"/>
                <w:color w:val="auto"/>
              </w:rPr>
            </w:pPr>
          </w:p>
        </w:tc>
        <w:tc>
          <w:tcPr>
            <w:tcW w:w="1460" w:type="dxa"/>
            <w:vAlign w:val="bottom"/>
            <w:gridSpan w:val="6"/>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364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(1,691)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60" w:type="dxa"/>
            <w:vAlign w:val="bottom"/>
            <w:tcBorders>
              <w:top w:val="single" w:sz="8" w:color="CFF0FC"/>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120" w:type="dxa"/>
            <w:vAlign w:val="bottom"/>
            <w:shd w:val="clear" w:color="auto" w:fill="CFF0FC"/>
          </w:tcPr>
          <w:p>
            <w:pPr>
              <w:spacing w:after="0"/>
              <w:rPr>
                <w:sz w:val="18"/>
                <w:szCs w:val="18"/>
                <w:color w:val="auto"/>
              </w:rPr>
            </w:pPr>
          </w:p>
        </w:tc>
        <w:tc>
          <w:tcPr>
            <w:tcW w:w="4240" w:type="dxa"/>
            <w:vAlign w:val="bottom"/>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FF0FC"/>
          </w:tcPr>
          <w:p>
            <w:pPr>
              <w:spacing w:after="0"/>
              <w:rPr>
                <w:sz w:val="20"/>
                <w:szCs w:val="20"/>
                <w:color w:val="auto"/>
              </w:rPr>
            </w:pPr>
          </w:p>
        </w:tc>
        <w:tc>
          <w:tcPr>
            <w:tcW w:w="352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vMerge w:val="restart"/>
            <w:shd w:val="clear" w:color="auto" w:fill="CFF0FC"/>
          </w:tcPr>
          <w:p>
            <w:pPr>
              <w:spacing w:after="0" w:line="20" w:lineRule="exact"/>
              <w:rPr>
                <w:sz w:val="1"/>
                <w:szCs w:val="1"/>
                <w:color w:val="auto"/>
              </w:rPr>
            </w:pPr>
          </w:p>
        </w:tc>
        <w:tc>
          <w:tcPr>
            <w:tcW w:w="3520" w:type="dxa"/>
            <w:vAlign w:val="bottom"/>
            <w:gridSpan w:val="3"/>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 w:type="dxa"/>
            <w:vAlign w:val="bottom"/>
            <w:vMerge w:val="continue"/>
            <w:shd w:val="clear" w:color="auto" w:fill="CFF0FC"/>
          </w:tcPr>
          <w:p>
            <w:pPr>
              <w:spacing w:after="0"/>
              <w:rPr>
                <w:sz w:val="19"/>
                <w:szCs w:val="19"/>
                <w:color w:val="auto"/>
              </w:rPr>
            </w:pPr>
          </w:p>
        </w:tc>
        <w:tc>
          <w:tcPr>
            <w:tcW w:w="3520" w:type="dxa"/>
            <w:vAlign w:val="bottom"/>
            <w:gridSpan w:val="3"/>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March 31, 2014</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(1,628)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240" w:type="dxa"/>
            <w:vAlign w:val="bottom"/>
            <w:gridSpan w:val="5"/>
            <w:shd w:val="clear" w:color="auto" w:fill="000000"/>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40" w:type="dxa"/>
            <w:vAlign w:val="bottom"/>
            <w:gridSpan w:val="1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First Quarter 2015 Compared to Fourth Quarter 2014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gridSpan w:val="8"/>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w w:val="99"/>
              </w:rPr>
              <w:t>Product Groups</w:t>
            </w: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First Quarter 2015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Fourth Quarter 2014</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right"/>
              <w:ind w:right="98"/>
              <w:spacing w:after="0" w:line="200" w:lineRule="exact"/>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51"/>
              <w:spacing w:after="0" w:line="200" w:lineRule="exact"/>
              <w:rPr>
                <w:sz w:val="20"/>
                <w:szCs w:val="20"/>
                <w:color w:val="auto"/>
              </w:rPr>
            </w:pPr>
            <w:r>
              <w:rPr>
                <w:rFonts w:ascii="Times New Roman" w:cs="Times New Roman" w:eastAsia="Times New Roman" w:hAnsi="Times New Roman"/>
                <w:sz w:val="18"/>
                <w:szCs w:val="18"/>
                <w:color w:val="auto"/>
                <w:w w:val="99"/>
              </w:rPr>
              <w:t>Income</w:t>
            </w: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Before</w:t>
            </w:r>
          </w:p>
        </w:tc>
        <w:tc>
          <w:tcPr>
            <w:tcW w:w="0" w:type="dxa"/>
            <w:vAlign w:val="bottom"/>
          </w:tcPr>
          <w:p>
            <w:pPr>
              <w:spacing w:after="0"/>
              <w:rPr>
                <w:sz w:val="1"/>
                <w:szCs w:val="1"/>
                <w:color w:val="auto"/>
              </w:rPr>
            </w:pPr>
          </w:p>
        </w:tc>
      </w:tr>
      <w:tr>
        <w:trPr>
          <w:trHeight w:val="238"/>
        </w:trPr>
        <w:tc>
          <w:tcPr>
            <w:tcW w:w="12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80" w:type="dxa"/>
            <w:vAlign w:val="bottom"/>
            <w:tcBorders>
              <w:bottom w:val="single" w:sz="8" w:color="CFF0FC"/>
            </w:tcBorders>
          </w:tcPr>
          <w:p>
            <w:pPr>
              <w:spacing w:after="0"/>
              <w:rPr>
                <w:sz w:val="20"/>
                <w:szCs w:val="20"/>
                <w:color w:val="auto"/>
              </w:rPr>
            </w:pPr>
          </w:p>
        </w:tc>
        <w:tc>
          <w:tcPr>
            <w:tcW w:w="6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7"/>
              </w:rPr>
              <w:t>Taxes</w:t>
            </w:r>
          </w:p>
        </w:tc>
        <w:tc>
          <w:tcPr>
            <w:tcW w:w="80" w:type="dxa"/>
            <w:vAlign w:val="bottom"/>
            <w:tcBorders>
              <w:bottom w:val="single" w:sz="8" w:color="CFF0FC"/>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6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2,550</w:t>
            </w:r>
          </w:p>
        </w:tc>
        <w:tc>
          <w:tcPr>
            <w:tcW w:w="80" w:type="dxa"/>
            <w:vAlign w:val="bottom"/>
            <w:shd w:val="clear" w:color="auto" w:fill="CFF0FC"/>
          </w:tcPr>
          <w:p>
            <w:pPr>
              <w:spacing w:after="0"/>
              <w:rPr>
                <w:sz w:val="24"/>
                <w:szCs w:val="24"/>
                <w:color w:val="auto"/>
              </w:rPr>
            </w:pPr>
          </w:p>
        </w:tc>
        <w:tc>
          <w:tcPr>
            <w:tcW w:w="50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24"/>
                <w:szCs w:val="2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20" w:type="dxa"/>
            <w:vAlign w:val="bottom"/>
            <w:shd w:val="clear" w:color="auto" w:fill="CFF0FC"/>
          </w:tcPr>
          <w:p>
            <w:pPr>
              <w:spacing w:after="0"/>
              <w:rPr>
                <w:sz w:val="24"/>
                <w:szCs w:val="24"/>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3"/>
              </w:rPr>
              <w:t>3,231</w:t>
            </w:r>
          </w:p>
        </w:tc>
        <w:tc>
          <w:tcPr>
            <w:tcW w:w="10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FF0FC"/>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Drilling</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3"/>
              </w:rPr>
              <w:t>4,658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3,769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3"/>
              </w:rPr>
              <w:t>4,816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 w:type="dxa"/>
            <w:vAlign w:val="bottom"/>
            <w:tcBorders>
              <w:top w:val="single" w:sz="8" w:color="CFF0FC"/>
            </w:tcBorders>
            <w:shd w:val="clear" w:color="auto" w:fill="CFF0FC"/>
          </w:tcPr>
          <w:p>
            <w:pPr>
              <w:spacing w:after="0"/>
              <w:rPr>
                <w:sz w:val="19"/>
                <w:szCs w:val="19"/>
                <w:color w:val="auto"/>
              </w:rPr>
            </w:pPr>
          </w:p>
        </w:tc>
        <w:tc>
          <w:tcPr>
            <w:tcW w:w="3520" w:type="dxa"/>
            <w:vAlign w:val="bottom"/>
            <w:tcBorders>
              <w:top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Pretax operating income</w:t>
            </w: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w w:val="92"/>
              </w:rPr>
              <w:t>12,641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1"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Geographic Areas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8"/>
        </w:trPr>
        <w:tc>
          <w:tcPr>
            <w:tcW w:w="4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First Quarter 2015</w:t>
            </w:r>
          </w:p>
        </w:tc>
        <w:tc>
          <w:tcPr>
            <w:tcW w:w="120" w:type="dxa"/>
            <w:vAlign w:val="bottom"/>
          </w:tcPr>
          <w:p>
            <w:pPr>
              <w:spacing w:after="0"/>
              <w:rPr>
                <w:sz w:val="24"/>
                <w:szCs w:val="24"/>
                <w:color w:val="auto"/>
              </w:rPr>
            </w:pPr>
          </w:p>
        </w:tc>
        <w:tc>
          <w:tcPr>
            <w:tcW w:w="20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Fourth Quarter 2014</w:t>
            </w:r>
          </w:p>
        </w:tc>
      </w:tr>
      <w:tr>
        <w:trPr>
          <w:trHeight w:val="200"/>
        </w:trPr>
        <w:tc>
          <w:tcPr>
            <w:tcW w:w="4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70"/>
              <w:spacing w:after="0" w:line="200"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70"/>
              <w:spacing w:after="0" w:line="200" w:lineRule="exact"/>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7"/>
                <w:szCs w:val="17"/>
                <w:color w:val="auto"/>
              </w:rPr>
            </w:pPr>
          </w:p>
        </w:tc>
      </w:tr>
      <w:tr>
        <w:trPr>
          <w:trHeight w:val="215"/>
        </w:trPr>
        <w:tc>
          <w:tcPr>
            <w:tcW w:w="4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4480" w:type="dxa"/>
            <w:vAlign w:val="bottom"/>
            <w:tcBorders>
              <w:bottom w:val="single" w:sz="8" w:color="CFF0FC"/>
            </w:tcBorders>
          </w:tcPr>
          <w:p>
            <w:pPr>
              <w:spacing w:after="0"/>
              <w:rPr>
                <w:sz w:val="20"/>
                <w:szCs w:val="20"/>
                <w:color w:val="auto"/>
              </w:rPr>
            </w:pPr>
          </w:p>
        </w:tc>
        <w:tc>
          <w:tcPr>
            <w:tcW w:w="24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2"/>
              </w:rPr>
              <w:t>Taxes</w:t>
            </w:r>
          </w:p>
        </w:tc>
        <w:tc>
          <w:tcPr>
            <w:tcW w:w="100" w:type="dxa"/>
            <w:vAlign w:val="bottom"/>
            <w:tcBorders>
              <w:bottom w:val="single" w:sz="8" w:color="CFF0FC"/>
            </w:tcBorders>
          </w:tcPr>
          <w:p>
            <w:pPr>
              <w:spacing w:after="0"/>
              <w:rPr>
                <w:sz w:val="20"/>
                <w:szCs w:val="20"/>
                <w:color w:val="auto"/>
              </w:rPr>
            </w:pPr>
          </w:p>
        </w:tc>
      </w:tr>
      <w:tr>
        <w:trPr>
          <w:trHeight w:val="3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FF0FC"/>
          </w:tcPr>
          <w:p>
            <w:pPr>
              <w:spacing w:after="0"/>
              <w:rPr>
                <w:sz w:val="24"/>
                <w:szCs w:val="24"/>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2"/>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2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(1,773)</w:t>
            </w:r>
          </w:p>
        </w:tc>
      </w:tr>
      <w:tr>
        <w:trPr>
          <w:trHeight w:val="222"/>
        </w:trPr>
        <w:tc>
          <w:tcPr>
            <w:tcW w:w="4480" w:type="dxa"/>
            <w:vAlign w:val="bottom"/>
            <w:tcBorders>
              <w:top w:val="single" w:sz="8" w:color="CFF0FC"/>
              <w:bottom w:val="single" w:sz="8" w:color="CFF0FC"/>
            </w:tcBorders>
            <w:shd w:val="clear" w:color="auto" w:fill="CFF0FC"/>
          </w:tcPr>
          <w:p>
            <w:pPr>
              <w:spacing w:after="0"/>
              <w:rPr>
                <w:sz w:val="19"/>
                <w:szCs w:val="19"/>
                <w:color w:val="auto"/>
              </w:rPr>
            </w:pP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right="40" w:hanging="285"/>
        <w:spacing w:after="0" w:line="199" w:lineRule="auto"/>
        <w:tabs>
          <w:tab w:leader="none" w:pos="303"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7"/>
          <w:szCs w:val="27"/>
          <w:color w:val="auto"/>
          <w:vertAlign w:val="superscript"/>
        </w:rPr>
      </w:pPr>
    </w:p>
    <w:p>
      <w:pPr>
        <w:ind w:left="300" w:hanging="285"/>
        <w:spacing w:after="0"/>
        <w:tabs>
          <w:tab w:leader="none" w:pos="30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($5 million in the first quarter 2015; $5 million in the fourth quarter in 2014).</w:t>
      </w:r>
    </w:p>
    <w:p>
      <w:pPr>
        <w:spacing w:after="0" w:line="116" w:lineRule="exact"/>
        <w:rPr>
          <w:rFonts w:ascii="Times New Roman" w:cs="Times New Roman" w:eastAsia="Times New Roman" w:hAnsi="Times New Roman"/>
          <w:sz w:val="27"/>
          <w:szCs w:val="27"/>
          <w:color w:val="auto"/>
          <w:vertAlign w:val="superscript"/>
        </w:rPr>
      </w:pPr>
    </w:p>
    <w:p>
      <w:pPr>
        <w:ind w:left="300" w:hanging="285"/>
        <w:spacing w:after="0" w:line="182" w:lineRule="auto"/>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($6 million in the first quarter 2015; $7 million in the fourth quarter 2014).</w:t>
      </w:r>
    </w:p>
    <w:p>
      <w:pPr>
        <w:spacing w:after="0" w:line="117" w:lineRule="exact"/>
        <w:rPr>
          <w:rFonts w:ascii="Times New Roman" w:cs="Times New Roman" w:eastAsia="Times New Roman" w:hAnsi="Times New Roman"/>
          <w:sz w:val="22"/>
          <w:szCs w:val="22"/>
          <w:color w:val="auto"/>
          <w:vertAlign w:val="superscript"/>
        </w:rPr>
      </w:pPr>
    </w:p>
    <w:p>
      <w:pPr>
        <w:ind w:left="300" w:right="280" w:hanging="285"/>
        <w:spacing w:after="0" w:line="210" w:lineRule="auto"/>
        <w:tabs>
          <w:tab w:leader="none" w:pos="303"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Charges and credits recorded during the first quarter of 2015 are described in detail in Note 2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 xml:space="preserve">. Refer to Note 3 to the </w:t>
      </w:r>
      <w:r>
        <w:rPr>
          <w:rFonts w:ascii="Times New Roman" w:cs="Times New Roman" w:eastAsia="Times New Roman" w:hAnsi="Times New Roman"/>
          <w:sz w:val="16"/>
          <w:szCs w:val="16"/>
          <w:i w:val="1"/>
          <w:iCs w:val="1"/>
          <w:color w:val="auto"/>
        </w:rPr>
        <w:t xml:space="preserve">Consolidated Financial Statements </w:t>
      </w:r>
      <w:r>
        <w:rPr>
          <w:rFonts w:ascii="Times New Roman" w:cs="Times New Roman" w:eastAsia="Times New Roman" w:hAnsi="Times New Roman"/>
          <w:sz w:val="16"/>
          <w:szCs w:val="16"/>
          <w:color w:val="auto"/>
        </w:rPr>
        <w:t>included in the Schlumberger Annual Report on Form 10-K for the year ended December 31, 2014 for details regarding charges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credits during the fourth quarter of 2014.</w:t>
      </w:r>
    </w:p>
    <w:p>
      <w:pPr>
        <w:spacing w:after="0" w:line="3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First-quarter 2015 revenue of $10.2 billion was 19% lower sequentially while pretax operating income of $2.0 billion was lower by 28% sequentially. Pretax operating margin decreased 255 basis points (bps) to 19.4%.</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North America first-quarter revenue of $3.2 billion decreased 25% sequentially. In the US and Western Canada, revenue fell on lower pressure pumping activity and increased pricing pressure, which was precipitated by the sharp drop in the land rig count and the early onset of the Canadian spring break-up. In the US Gulf of Mexico, activity was flat but revenue declined mainly due to lower multiclient sales.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North America pretax operating margin declined 670 bps sequentially to 12.9% on decreased pressure pumping activity and pricing weakness in North America land. North America offshore operating margin declined due to an unfavorable revenue mix resulting from a shift from exploration to development activity and reduced high-margin multiclient sales.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for the International Areas of $6.9 billion decreased 16% sequentially. Middle East &amp; Asia Area revenue of $2.7 billion declined 13% sequentially due mainly to double-digit drops in China, Asia-Pacific and Australia. The Middle East GeoMarkets remained robust on new projects and higher activity, but revenue declined on reduced product and software sales following the year-end highs of the previous quarter. India GeoMarket revenue grew sequentially, while activity in Iraq continued to be muted. Europe/CIS/Africa Area revenue of $2.5 billion fell 17% sequentially due mainly to continued weakness in the Russian ruble and the seasonal activity decline in Russia. Revenue in the Latin America Area of $1.6 billion dropped 20% due to the exchange rate change in Venezuela and lower activity in Mexico, Brazil and Colombia due to customer budget cuts. These effects, however, were partially offset by slight but steady activity increases in Argentina, Venezuela, Trinidad and the Caribbean.</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International Area pretax operating margin of 24.1% was essentially flat sequentially. Middle East &amp; Asia pretax operating margin increased slightly by 30 bps to 28.6%, Latin America increased 59 bps to 21.5%, and Europe/CIS/Africa fell 133 bps to 21.0%. Despite the severity of the sequential revenue decline and an increasingly unfavorable revenue mix, the impact on margins was minimized by focused execution and prompt action on variable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25"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Sequentially, Reservoir Characterization Group revenue of $2.6 billion declined 21%, primarily due to the overall cut in discretionary and exploration spending and lower multiclient and Schlumberger Information Solutions (SIS) software sales following the year-end highs of the previous quarter. Wireline revenue decreased on lower exploration activity in the international markets and currency declines in Europe, Norway and Russia.</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Pretax operating margin of 25.7% was 447 bps lower sequentially as a result of seasonally lower multiclient and SIS software sales and an unfavorable overall revenue mix reflecting the decline in high-margin exploration activity.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Sequentially, Drilling Group revenue of $4.0 billion decreased 15% primarily due to the severe drop in rig count in North America and the unfavorable currency effects in Russia and Venezuela, as well as the seasonal activity declines in Russia that mainly affected Drilling &amp; Measurements and M-I SWACO Technologies. More than 30% of the sequential decline was in North America land due to lower activity and pricing. Reduced Integrated Project Management (IPM) work in Australia, Mexico and Iraq also contributed to the decrease.</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Pretax operating margin of 19.9% declined 80 bps sequentially. Despite the revenue decline, prompt action on cost management, and the benefit of our local cost structure which minimized the impact of the unfavorable currency effects on pretax operating income, helped limit the sequential pretax operating margin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Production Group revenue of $3.8 billion decreased 22% sequentially as a result of lower pressure pumping activity and increased pricing pressure precipitated by the severe drop in land rig count in North America. More than half of the sequential decrease was attributable to North America land. Lower Artificial Lift and Completions product sales and unfavorable currency effects also contributed to the sequential decrease.</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Pretax operating margin of 14.6% declined 389 bps sequentially as lower activity and increasing pricing pressure took hold during the first quarter of 2015, particularly in the North America land market. Despite the severe revenue decline, prompt cost management actions, including alignment of resources with activity, limited the sequential pretax operating margin decline.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2015 Compared to First Quarter 2014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0" w:type="dxa"/>
            <w:vAlign w:val="bottom"/>
          </w:tcPr>
          <w:p>
            <w:pPr>
              <w:spacing w:after="0"/>
              <w:rPr>
                <w:sz w:val="1"/>
                <w:szCs w:val="1"/>
                <w:color w:val="auto"/>
              </w:rPr>
            </w:pPr>
          </w:p>
        </w:tc>
      </w:tr>
      <w:tr>
        <w:trPr>
          <w:trHeight w:val="288"/>
        </w:trPr>
        <w:tc>
          <w:tcPr>
            <w:tcW w:w="3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First Quarter 2015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First Quarter 2014</w:t>
            </w:r>
          </w:p>
        </w:tc>
        <w:tc>
          <w:tcPr>
            <w:tcW w:w="0" w:type="dxa"/>
            <w:vAlign w:val="bottom"/>
          </w:tcPr>
          <w:p>
            <w:pPr>
              <w:spacing w:after="0"/>
              <w:rPr>
                <w:sz w:val="1"/>
                <w:szCs w:val="1"/>
                <w:color w:val="auto"/>
              </w:rPr>
            </w:pPr>
          </w:p>
        </w:tc>
      </w:tr>
      <w:tr>
        <w:trPr>
          <w:trHeight w:val="200"/>
        </w:trPr>
        <w:tc>
          <w:tcPr>
            <w:tcW w:w="3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50"/>
              <w:spacing w:after="0" w:line="200" w:lineRule="exact"/>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70"/>
              <w:spacing w:after="0" w:line="200" w:lineRule="exact"/>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Before</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FF0FC"/>
            </w:tcBorders>
          </w:tcPr>
          <w:p>
            <w:pPr>
              <w:spacing w:after="0"/>
              <w:rPr>
                <w:sz w:val="20"/>
                <w:szCs w:val="20"/>
                <w:color w:val="auto"/>
              </w:rPr>
            </w:pPr>
          </w:p>
        </w:tc>
        <w:tc>
          <w:tcPr>
            <w:tcW w:w="30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Taxes</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20" w:type="dxa"/>
            <w:vAlign w:val="bottom"/>
            <w:shd w:val="clear" w:color="auto" w:fill="CFF0FC"/>
          </w:tcPr>
          <w:p>
            <w:pPr>
              <w:spacing w:after="0"/>
              <w:rPr>
                <w:sz w:val="24"/>
                <w:szCs w:val="2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3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2"/>
        </w:trPr>
        <w:tc>
          <w:tcPr>
            <w:tcW w:w="382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3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3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3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6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Geographic Areas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8"/>
        </w:trPr>
        <w:tc>
          <w:tcPr>
            <w:tcW w:w="4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First Quarter 2015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First Quarter 2014</w:t>
            </w:r>
          </w:p>
        </w:tc>
      </w:tr>
      <w:tr>
        <w:trPr>
          <w:trHeight w:val="200"/>
        </w:trPr>
        <w:tc>
          <w:tcPr>
            <w:tcW w:w="4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50"/>
              <w:spacing w:after="0" w:line="200" w:lineRule="exact"/>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70"/>
              <w:spacing w:after="0" w:line="200" w:lineRule="exact"/>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7"/>
                <w:szCs w:val="17"/>
                <w:color w:val="auto"/>
              </w:rPr>
            </w:pPr>
          </w:p>
        </w:tc>
      </w:tr>
      <w:tr>
        <w:trPr>
          <w:trHeight w:val="215"/>
        </w:trPr>
        <w:tc>
          <w:tcPr>
            <w:tcW w:w="4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4460" w:type="dxa"/>
            <w:vAlign w:val="bottom"/>
            <w:tcBorders>
              <w:bottom w:val="single" w:sz="8" w:color="CFF0FC"/>
            </w:tcBorders>
          </w:tcPr>
          <w:p>
            <w:pPr>
              <w:spacing w:after="0"/>
              <w:rPr>
                <w:sz w:val="20"/>
                <w:szCs w:val="20"/>
                <w:color w:val="auto"/>
              </w:rPr>
            </w:pPr>
          </w:p>
        </w:tc>
        <w:tc>
          <w:tcPr>
            <w:tcW w:w="24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Taxes</w:t>
            </w:r>
          </w:p>
        </w:tc>
        <w:tc>
          <w:tcPr>
            <w:tcW w:w="120" w:type="dxa"/>
            <w:vAlign w:val="bottom"/>
            <w:tcBorders>
              <w:bottom w:val="single" w:sz="8" w:color="CFF0FC"/>
            </w:tcBorders>
          </w:tcPr>
          <w:p>
            <w:pPr>
              <w:spacing w:after="0"/>
              <w:rPr>
                <w:sz w:val="20"/>
                <w:szCs w:val="20"/>
                <w:color w:val="auto"/>
              </w:rPr>
            </w:pPr>
          </w:p>
        </w:tc>
      </w:tr>
      <w:tr>
        <w:trPr>
          <w:trHeight w:val="3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shd w:val="clear" w:color="auto" w:fill="CFF0FC"/>
          </w:tcPr>
          <w:p>
            <w:pPr>
              <w:spacing w:after="0"/>
              <w:rPr>
                <w:sz w:val="24"/>
                <w:szCs w:val="2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24"/>
                <w:szCs w:val="24"/>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22"/>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300" w:right="40" w:hanging="285"/>
        <w:spacing w:after="0" w:line="199" w:lineRule="auto"/>
        <w:tabs>
          <w:tab w:leader="none" w:pos="303"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7"/>
          <w:szCs w:val="27"/>
          <w:color w:val="auto"/>
          <w:vertAlign w:val="superscript"/>
        </w:rPr>
      </w:pPr>
    </w:p>
    <w:p>
      <w:pPr>
        <w:ind w:left="340" w:hanging="282"/>
        <w:spacing w:after="0"/>
        <w:tabs>
          <w:tab w:leader="none" w:pos="340" w:val="left"/>
        </w:tabs>
        <w:numPr>
          <w:ilvl w:val="3"/>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($5 million in 2015; $5 million in 2014).</w:t>
      </w:r>
    </w:p>
    <w:p>
      <w:pPr>
        <w:spacing w:after="0" w:line="116" w:lineRule="exact"/>
        <w:rPr>
          <w:rFonts w:ascii="Times New Roman" w:cs="Times New Roman" w:eastAsia="Times New Roman" w:hAnsi="Times New Roman"/>
          <w:sz w:val="27"/>
          <w:szCs w:val="27"/>
          <w:color w:val="auto"/>
          <w:vertAlign w:val="superscript"/>
        </w:rPr>
      </w:pPr>
    </w:p>
    <w:p>
      <w:pPr>
        <w:ind w:left="320" w:hanging="289"/>
        <w:spacing w:after="0" w:line="182" w:lineRule="auto"/>
        <w:tabs>
          <w:tab w:leader="none" w:pos="320" w:val="left"/>
        </w:tabs>
        <w:numPr>
          <w:ilvl w:val="2"/>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($6 million in 2015; $6 million in 2014).</w:t>
      </w:r>
    </w:p>
    <w:p>
      <w:pPr>
        <w:spacing w:after="0" w:line="117" w:lineRule="exact"/>
        <w:rPr>
          <w:rFonts w:ascii="Times New Roman" w:cs="Times New Roman" w:eastAsia="Times New Roman" w:hAnsi="Times New Roman"/>
          <w:sz w:val="22"/>
          <w:szCs w:val="22"/>
          <w:color w:val="auto"/>
          <w:vertAlign w:val="superscript"/>
        </w:rPr>
      </w:pPr>
    </w:p>
    <w:p>
      <w:pPr>
        <w:ind w:left="300" w:hanging="289"/>
        <w:spacing w:after="0" w:line="182" w:lineRule="auto"/>
        <w:tabs>
          <w:tab w:leader="none" w:pos="300" w:val="left"/>
        </w:tabs>
        <w:numPr>
          <w:ilvl w:val="1"/>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recorded during the first quarter of 2015 are described in detail in Note 2 to the </w:t>
      </w:r>
      <w:r>
        <w:rPr>
          <w:rFonts w:ascii="Times New Roman" w:cs="Times New Roman" w:eastAsia="Times New Roman" w:hAnsi="Times New Roman"/>
          <w:sz w:val="14"/>
          <w:szCs w:val="14"/>
          <w:i w:val="1"/>
          <w:iCs w:val="1"/>
          <w:color w:val="auto"/>
        </w:rPr>
        <w:t>Consolidated Financial Statements.</w:t>
      </w:r>
    </w:p>
    <w:p>
      <w:pPr>
        <w:spacing w:after="0" w:line="31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First-quarter 2015 revenue of $10.2 billion was 9% lower year-on-year. International revenue of $6.9 billion decreased 8% while North America Area revenue of $3.2 billion decreased 13%.</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International Area activity was lower as customers cut budgets in response to lower commodity prices and revenue declined due to the fall of certain local currencies against the US dollar. The decrease was most significant in the Europe/CIS/Africa Area where revenue of $2.5 billion was down 12%, mainly due to the weakness in the Russian ruble as well as the deceleration of exploration related customer spending. In North Africa, work has progressed with slow signs of increasing activity while Libya was limited to offshore locations as onshore operations were largely shutdown for the quarter. In Latin America, revenue of $1.6 billion decreased 6% due to lower activity in Mexico, as a result of customer budget cuts, and due to the devaluation of the Venezuela bolivar. These effects were partially offset by slight activity increases in Argentina, Ecuador and Venezuela. In Middle East &amp; Asia, revenue of $2.7 billion decreased 5% due to a double-digit drop in revenue in the Asia-Pacific region including Australia. This decline was partially offset by robust activity in the Gulf Cooperation Council countries in the Middle East, although Iraq activity continue to be muted. In North America, revenue of $3.2 billion decreased 13% due mainly to land while offshore was flat year-on-year. The decrease in land was driven by declines in both activity and pricing, as spending by customers was cut and the land rig count declined 30%. Offshore activity in the US Gulf of Mexico remained resilient despite a steady change in service mix from exploration towards development driven by customer budget cuts.</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First-quarter 2015 pretax operating income of $2.0 billion decreased 16% versus the same period last year. International pretax operating income of $1.7 billion decreased 3%, while North America Area pretax operating income of $0.4 billion decreased 39%.</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First-quarter 2015 pretax operating margin of 19.4% decreased 162 bps versus the same period last year, as International pretax operating margin expanded 131 bps to 24.1% and the North America Area pretax operating margin contracted 561 bps to 12.9%. Despite the severity of the revenue decline and an increasingly unfavorable shift in revenue mix, the impact on margins was minimized by focused execution and prompt action on all variable cost categories. The North America margin contraction was due to the severe declines in both activity and pricing.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First-quarter 2015 revenue of $2.6 billion was 14% lower year-on-year due to customer cuts in discretionary and exploration spending which resulted in weaker wireline activity and lower software and multiclient sales. Revenue was also impacted by currency declines in Europe, Norway and Russia.</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jc w:val="both"/>
        <w:spacing w:after="0" w:line="280" w:lineRule="auto"/>
        <w:rPr>
          <w:sz w:val="20"/>
          <w:szCs w:val="20"/>
          <w:color w:val="auto"/>
        </w:rPr>
      </w:pPr>
      <w:r>
        <w:rPr>
          <w:rFonts w:ascii="Times New Roman" w:cs="Times New Roman" w:eastAsia="Times New Roman" w:hAnsi="Times New Roman"/>
          <w:sz w:val="18"/>
          <w:szCs w:val="18"/>
          <w:color w:val="auto"/>
        </w:rPr>
        <w:t>Year-on-year, pretax operating margin decreased by 89 bps to 25.7% due to reduced higher-margin multiclient and software sales and an unfavorable overall revenue mix reflecting the decline in high-margin exploration activity.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First-quarter 2015 revenue of $4.0 billion was 8% lower than the previous year primarily due to the severe drop in rig count in North America land and unfavorable currency effects in Russia and Venezuela that mainly affected Drilling &amp; Measurements and M-I SWACO Technologies. Reduced IPM work in Australia, Mexico and Iraq also contributed to the decrease.</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Year-on-year, pretax operating margin decreased 41 bps to 19.9%. Despite the revenue decline, prompt action on cost management, and the benefit of our local cost structure, which minimized the impact of the unfavorable currency effects on pretax operating income, helped limit the pretax operating margin decline.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First-quarter 2015 revenue of $3.8 billion decreased 6% year-on-year mostly from Well Services pressure pumping technologies driven by activity and pricing declines in all basins in North America land. This decline, was partially offset by growth in completions and the expanding artificial lift business.</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Year-on-year, pretax operating margin decreased 359 bps to 14.6% as a result of lower activity and the impact of pricing pressure, particularly in the North America land market.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8"/>
        </w:trPr>
        <w:tc>
          <w:tcPr>
            <w:tcW w:w="82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FF0FC"/>
            </w:tcBorders>
          </w:tcPr>
          <w:p>
            <w:pPr>
              <w:spacing w:after="0"/>
              <w:rPr>
                <w:sz w:val="19"/>
                <w:szCs w:val="19"/>
                <w:color w:val="auto"/>
              </w:rPr>
            </w:pPr>
          </w:p>
        </w:tc>
      </w:tr>
      <w:tr>
        <w:trPr>
          <w:trHeight w:val="222"/>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r>
      <w:tr>
        <w:trPr>
          <w:trHeight w:val="229"/>
        </w:trPr>
        <w:tc>
          <w:tcPr>
            <w:tcW w:w="8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r>
      <w:tr>
        <w:trPr>
          <w:trHeight w:val="222"/>
        </w:trPr>
        <w:tc>
          <w:tcPr>
            <w:tcW w:w="8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18"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first quarter ended March 31, 2015 and 2014 were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9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First Quarter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4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bottom w:val="single" w:sz="8" w:color="CFF0FC"/>
            </w:tcBorders>
          </w:tcPr>
          <w:p>
            <w:pPr>
              <w:spacing w:after="0"/>
              <w:rPr>
                <w:sz w:val="19"/>
                <w:szCs w:val="19"/>
                <w:color w:val="auto"/>
              </w:rPr>
            </w:pPr>
          </w:p>
        </w:tc>
      </w:tr>
      <w:tr>
        <w:trPr>
          <w:trHeight w:val="222"/>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bl>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effective tax rate for the first quarter of 2015 was 23.6% compared to 22.6% for the same period of the prior year. The effective tax rate for the first quarter of 2015 was significantly impacted by the charges and credits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Excluding the impact of the charges and credits, the effective tax rate for the first quarter of 2015 was 20.9%. The decrease in the effective tax rate, excluding the impact of charges and credits, was primarily attributable to the geographic mix of earnings, as Schlumberger generated a smaller portion of its pretax earnings in North America during the first quarter of 2015 as compared to the same period last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Charges and Credits</w:t>
      </w:r>
    </w:p>
    <w:p>
      <w:pPr>
        <w:spacing w:after="0" w:line="1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Schlumberger recorded significant charges and credits in continuing operations during the first quarter of 2015. These charges and credits, which are summarized below, are more fully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first quarter 2015 charges and credits: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5"/>
          </w:tcPr>
          <w:p>
            <w:pPr>
              <w:ind w:left="160"/>
              <w:spacing w:after="0"/>
              <w:rPr>
                <w:sz w:val="20"/>
                <w:szCs w:val="20"/>
                <w:color w:val="auto"/>
              </w:rPr>
            </w:pPr>
            <w:r>
              <w:rPr>
                <w:rFonts w:ascii="Times New Roman" w:cs="Times New Roman" w:eastAsia="Times New Roman" w:hAnsi="Times New Roman"/>
                <w:sz w:val="16"/>
                <w:szCs w:val="16"/>
                <w:i w:val="1"/>
                <w:iCs w:val="1"/>
                <w:color w:val="auto"/>
              </w:rPr>
              <w:t>(Stated in millions)</w:t>
            </w: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72"/>
        </w:trPr>
        <w:tc>
          <w:tcPr>
            <w:tcW w:w="3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09"/>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9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Restructuring &amp; other</w:t>
            </w:r>
          </w:p>
        </w:tc>
      </w:tr>
      <w:tr>
        <w:trPr>
          <w:trHeight w:val="21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&amp; other</w:t>
            </w:r>
          </w:p>
        </w:tc>
      </w:tr>
      <w:tr>
        <w:trPr>
          <w:trHeight w:val="209"/>
        </w:trPr>
        <w:tc>
          <w:tcPr>
            <w:tcW w:w="38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4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Debt</w:t>
      </w:r>
    </w:p>
    <w:p>
      <w:pPr>
        <w:spacing w:after="0" w:line="12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Net Debt follow: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88"/>
        </w:trPr>
        <w:tc>
          <w:tcPr>
            <w:tcW w:w="7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Mar. 31,</w:t>
            </w:r>
          </w:p>
        </w:tc>
      </w:tr>
      <w:tr>
        <w:trPr>
          <w:trHeight w:val="249"/>
        </w:trPr>
        <w:tc>
          <w:tcPr>
            <w:tcW w:w="700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top w:val="single" w:sz="8" w:color="auto"/>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FF0FC"/>
            </w:tcBorders>
          </w:tcPr>
          <w:p>
            <w:pPr>
              <w:spacing w:after="0"/>
              <w:rPr>
                <w:sz w:val="21"/>
                <w:szCs w:val="21"/>
                <w:color w:val="auto"/>
              </w:rPr>
            </w:pPr>
          </w:p>
        </w:tc>
      </w:tr>
      <w:tr>
        <w:trPr>
          <w:trHeight w:val="22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(1)</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working capital</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w:t>
            </w: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9"/>
                <w:szCs w:val="19"/>
                <w:color w:val="auto"/>
              </w:rPr>
            </w:pPr>
          </w:p>
        </w:tc>
      </w:tr>
      <w:tr>
        <w:trPr>
          <w:trHeight w:val="222"/>
        </w:trPr>
        <w:tc>
          <w:tcPr>
            <w:tcW w:w="7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1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40" w:type="dxa"/>
            <w:vAlign w:val="bottom"/>
            <w:tcBorders>
              <w:bottom w:val="single" w:sz="8" w:color="CFF0FC"/>
            </w:tcBorders>
          </w:tcPr>
          <w:p>
            <w:pPr>
              <w:spacing w:after="0"/>
              <w:rPr>
                <w:sz w:val="19"/>
                <w:szCs w:val="19"/>
                <w:color w:val="auto"/>
              </w:rPr>
            </w:pPr>
          </w:p>
        </w:tc>
      </w:tr>
      <w:tr>
        <w:trPr>
          <w:trHeight w:val="22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r>
      <w:tr>
        <w:trPr>
          <w:trHeight w:val="222"/>
        </w:trPr>
        <w:tc>
          <w:tcPr>
            <w:tcW w:w="7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(2)</w:t>
            </w:r>
          </w:p>
        </w:tc>
        <w:tc>
          <w:tcPr>
            <w:tcW w:w="13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Borders>
              <w:bottom w:val="single" w:sz="8" w:color="CFF0FC"/>
            </w:tcBorders>
          </w:tcPr>
          <w:p>
            <w:pPr>
              <w:spacing w:after="0"/>
              <w:rPr>
                <w:sz w:val="19"/>
                <w:szCs w:val="19"/>
                <w:color w:val="auto"/>
              </w:rPr>
            </w:pPr>
          </w:p>
        </w:tc>
      </w:tr>
      <w:tr>
        <w:trPr>
          <w:trHeight w:val="22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FF0FC"/>
          </w:tcPr>
          <w:p>
            <w:pPr>
              <w:spacing w:after="0"/>
              <w:rPr>
                <w:sz w:val="19"/>
                <w:szCs w:val="19"/>
                <w:color w:val="auto"/>
              </w:rPr>
            </w:pPr>
          </w:p>
        </w:tc>
      </w:tr>
      <w:tr>
        <w:trPr>
          <w:trHeight w:val="222"/>
        </w:trPr>
        <w:tc>
          <w:tcPr>
            <w:tcW w:w="700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Borders>
              <w:bottom w:val="single" w:sz="8" w:color="CFF0FC"/>
            </w:tcBorders>
          </w:tcPr>
          <w:p>
            <w:pPr>
              <w:spacing w:after="0"/>
              <w:rPr>
                <w:sz w:val="19"/>
                <w:szCs w:val="19"/>
                <w:color w:val="auto"/>
              </w:rPr>
            </w:pPr>
          </w:p>
        </w:tc>
      </w:tr>
      <w:tr>
        <w:trPr>
          <w:trHeight w:val="22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22"/>
        </w:trPr>
        <w:tc>
          <w:tcPr>
            <w:tcW w:w="70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Net Debt</w:t>
            </w:r>
          </w:p>
        </w:tc>
        <w:tc>
          <w:tcPr>
            <w:tcW w:w="1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Borders>
              <w:top w:val="single" w:sz="8" w:color="CFF0FC"/>
            </w:tcBorders>
            <w:shd w:val="clear" w:color="auto" w:fill="CFF0FC"/>
          </w:tcPr>
          <w:p>
            <w:pPr>
              <w:spacing w:after="0"/>
              <w:rPr>
                <w:sz w:val="19"/>
                <w:szCs w:val="19"/>
                <w:color w:val="auto"/>
              </w:rPr>
            </w:pPr>
          </w:p>
        </w:tc>
      </w:tr>
      <w:tr>
        <w:trPr>
          <w:trHeight w:val="229"/>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(4,443)</w:t>
            </w:r>
          </w:p>
        </w:tc>
      </w:tr>
      <w:tr>
        <w:trPr>
          <w:trHeight w:val="222"/>
        </w:trPr>
        <w:tc>
          <w:tcPr>
            <w:tcW w:w="7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Debt, End of period</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spacing w:after="0" w:line="109" w:lineRule="exact"/>
        <w:rPr>
          <w:rFonts w:ascii="Times New Roman" w:cs="Times New Roman" w:eastAsia="Times New Roman" w:hAnsi="Times New Roman"/>
          <w:sz w:val="26"/>
          <w:szCs w:val="26"/>
          <w:color w:val="auto"/>
          <w:vertAlign w:val="superscript"/>
        </w:rPr>
      </w:pPr>
    </w:p>
    <w:p>
      <w:pPr>
        <w:jc w:val="both"/>
        <w:ind w:left="540" w:hanging="532"/>
        <w:spacing w:after="0" w:line="216" w:lineRule="auto"/>
        <w:tabs>
          <w:tab w:leader="none" w:pos="54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6"/>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rPr>
              <w:t>(Stated in millions)</w:t>
            </w:r>
          </w:p>
        </w:tc>
      </w:tr>
      <w:tr>
        <w:trPr>
          <w:trHeight w:val="277"/>
        </w:trPr>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120" w:type="dxa"/>
            <w:vAlign w:val="bottom"/>
          </w:tcPr>
          <w:p>
            <w:pPr>
              <w:spacing w:after="0"/>
              <w:rPr>
                <w:sz w:val="24"/>
                <w:szCs w:val="24"/>
                <w:color w:val="auto"/>
              </w:rPr>
            </w:pPr>
          </w:p>
        </w:tc>
        <w:tc>
          <w:tcPr>
            <w:tcW w:w="8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w w:val="97"/>
              </w:rPr>
              <w:t>Mar.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w w:val="99"/>
              </w:rPr>
              <w:t>Dec. 31,</w:t>
            </w:r>
          </w:p>
        </w:tc>
      </w:tr>
      <w:tr>
        <w:trPr>
          <w:trHeight w:val="238"/>
        </w:trPr>
        <w:tc>
          <w:tcPr>
            <w:tcW w:w="8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0"/>
                <w:szCs w:val="20"/>
                <w:color w:val="auto"/>
              </w:rPr>
            </w:pPr>
          </w:p>
        </w:tc>
      </w:tr>
      <w:tr>
        <w:trPr>
          <w:trHeight w:val="222"/>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FF0FC"/>
          </w:tcPr>
          <w:p>
            <w:pPr>
              <w:spacing w:after="0"/>
              <w:rPr>
                <w:sz w:val="19"/>
                <w:szCs w:val="19"/>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r>
      <w:tr>
        <w:trPr>
          <w:trHeight w:val="22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9"/>
                <w:szCs w:val="19"/>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10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(3,180)</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(648)</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(8,898)</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(10,565)</w:t>
            </w:r>
          </w:p>
        </w:tc>
      </w:tr>
      <w:tr>
        <w:trPr>
          <w:trHeight w:val="222"/>
        </w:trPr>
        <w:tc>
          <w:tcPr>
            <w:tcW w:w="8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(5,487</w:t>
            </w:r>
          </w:p>
        </w:tc>
        <w:tc>
          <w:tcPr>
            <w:tcW w:w="160" w:type="dxa"/>
            <w:vAlign w:val="bottom"/>
            <w:tcBorders>
              <w:top w:val="single" w:sz="8" w:color="CFF0FC"/>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liquidity events during the first three months of 2015 and 2014 included:</w:t>
      </w:r>
    </w:p>
    <w:p>
      <w:pPr>
        <w:spacing w:after="0" w:line="116" w:lineRule="exact"/>
        <w:rPr>
          <w:sz w:val="20"/>
          <w:szCs w:val="20"/>
          <w:color w:val="auto"/>
        </w:rPr>
      </w:pPr>
    </w:p>
    <w:p>
      <w:pPr>
        <w:ind w:left="1040" w:right="20" w:hanging="385"/>
        <w:spacing w:after="0" w:line="28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2013, the Board approved a $10 billion share repurchase program to be completed at the latest by June 30, 2018. Schlumberger had repurchased $7.1 billion of shares under this new share repurchase program as of March 31, 2015.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40" w:right="239" w:bottom="1440" w:gutter="0" w:footer="0" w:header="0"/>
        </w:sectPr>
      </w:pPr>
    </w:p>
    <w:bookmarkStart w:id="22" w:name="page23"/>
    <w:bookmarkEnd w:id="22"/>
    <w:p>
      <w:pPr>
        <w:ind w:left="1060"/>
        <w:spacing w:after="0"/>
        <w:rPr>
          <w:sz w:val="20"/>
          <w:szCs w:val="20"/>
          <w:color w:val="auto"/>
        </w:rPr>
      </w:pPr>
      <w:r>
        <w:rPr>
          <w:rFonts w:ascii="Times New Roman" w:cs="Times New Roman" w:eastAsia="Times New Roman" w:hAnsi="Times New Roman"/>
          <w:sz w:val="18"/>
          <w:szCs w:val="18"/>
          <w:color w:val="auto"/>
        </w:rPr>
        <w:t>The following table summarizes the activity under this share repurchase program:</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193"/>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Total cost</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Average price</w:t>
            </w:r>
          </w:p>
        </w:tc>
      </w:t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of shares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of shares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paid per</w:t>
            </w:r>
          </w:p>
        </w:tc>
      </w:tr>
      <w:tr>
        <w:trPr>
          <w:trHeight w:val="17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purchased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purchased</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w:t>
            </w:r>
          </w:p>
        </w:tc>
      </w:tr>
      <w:tr>
        <w:trPr>
          <w:trHeight w:val="222"/>
        </w:trPr>
        <w:tc>
          <w:tcPr>
            <w:tcW w:w="580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First quarter 2015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quarter 2014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20" w:type="dxa"/>
            <w:vAlign w:val="bottom"/>
          </w:tcPr>
          <w:p>
            <w:pPr>
              <w:spacing w:after="0"/>
              <w:rPr>
                <w:sz w:val="20"/>
                <w:szCs w:val="20"/>
                <w:color w:val="auto"/>
              </w:rPr>
            </w:pPr>
          </w:p>
        </w:tc>
      </w:tr>
    </w:tbl>
    <w:p>
      <w:pPr>
        <w:spacing w:after="0" w:line="192" w:lineRule="exact"/>
        <w:rPr>
          <w:sz w:val="20"/>
          <w:szCs w:val="20"/>
          <w:color w:val="auto"/>
        </w:rPr>
      </w:pPr>
    </w:p>
    <w:p>
      <w:pPr>
        <w:ind w:left="1020" w:hanging="359"/>
        <w:spacing w:after="0" w:line="28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$0.6 billion during the first quarter of 2015 compared to $0.9 billion during the first quarter of 2014. Capital expenditures for full-year 2015 are expected to be approximately $2.5 billion, as compared to expenditures of $4.0 billion in 2014.</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times in recent years, Schlumberger has experienced delays in payments from its national oil company customer in Venezuela. Schlumberger operates in more than 85 countries. At March 31, 2015, only four of those countries (including Venezuela) individually accounted for greater than 5% of Schlumberger’s accounts receivable balance, of which only one (the United States), represented greater than 10%.</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20, 2015, Schlumberger announced that it has entered into an agreement to acquire a minority ownership of approximately 46% in Eurasia Drilling Company Limited, the largest provider of onshore drilling services in Russia. The total cost of this transaction, including an option which will allow Schlumberger, at its election, to purchase the remaining shares during a two-year period commencing on the third anniversary of the closing of the transaction, is approximately $1.7 billion in cash. This transaction is expected to close during the second quarter of 2015.</w:t>
      </w:r>
    </w:p>
    <w:p>
      <w:pPr>
        <w:spacing w:after="0" w:line="1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As disclosed in Note 12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Schlumberger expects to make a $233 million payment to the Department of Justice during the second quarter of 2015.</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March 31, 2015, Schlumberger had $6.8 billion of cash and short-term investments on hand. Schlumberger had separate committed debt facility agreements aggregating $3.8 billion with commercial banks, of which $1.8 billion was available and unused as of March 31, 2015. The $3.8 billion of committed debt facility agreements included $3.5 billion of committed facilities that support commercial paper programs. Schlumberger believes that these amounts are sufficient to meet future business requirements for at least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commercial paper programs at March 31, 2015 were $2.0 billion.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previously disclosed, during the second quarter of 2013, Schlumberger completed the wind down of its service operations in Iran. Prior to this, certain non-U.S. subsidiaries of Schlumberger provided oilfield services to the National Iranian Oil Company and certain of its affiliates (“NIOC”). The results of this business were classified as a discontinued operations.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in the quarter consisted of payments of taxes and other typical governmental charges. Two non-U.S. subsidiaries of Schlumberger have depository accounts at the Dubai branch of Bank Saderat Iran (“Saderat”) and at Bank Tejarat (“Tejarat”) in Tehran for the deposit by NIOC of amounts owed to non-US subsidiaries of Schlumberger for prior services rendered in Iran. One non-U.S. subsidiary also maintains an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29" w:right="239" w:bottom="1440" w:gutter="0" w:footer="0" w:header="0"/>
        </w:sectPr>
      </w:pPr>
    </w:p>
    <w:bookmarkStart w:id="23" w:name="page24"/>
    <w:bookmarkEnd w:id="23"/>
    <w:p>
      <w:pPr>
        <w:jc w:val="both"/>
        <w:spacing w:after="0" w:line="260" w:lineRule="auto"/>
        <w:rPr>
          <w:sz w:val="20"/>
          <w:szCs w:val="20"/>
          <w:color w:val="auto"/>
        </w:rPr>
      </w:pPr>
      <w:r>
        <w:rPr>
          <w:rFonts w:ascii="Times New Roman" w:cs="Times New Roman" w:eastAsia="Times New Roman" w:hAnsi="Times New Roman"/>
          <w:sz w:val="18"/>
          <w:szCs w:val="18"/>
          <w:color w:val="auto"/>
        </w:rPr>
        <w:t>first-quarter 2015 earnings release, our most recent Form 10-K and other filings that we make with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20"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2014. Schlumberger’s exposure to market risk has not changed materially since December 31, 2014.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29"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12—</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0"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previously disclosed in Part 1, Item 1A, of Schlumberger’s Annual Report on Form 10-K for the fiscal year ended December 31, 2014.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1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July 18, 2013, the Schlumberger Board of Directors approved a $10 billion share repurchase program for shares of Schlumberger common stock, to be completed at the latest by June 30, 2018.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common stock repurchase program activity for the three months ended March 31, 2015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c>
          <w:tcPr>
            <w:tcW w:w="0" w:type="dxa"/>
            <w:vAlign w:val="bottom"/>
          </w:tcPr>
          <w:p>
            <w:pPr>
              <w:spacing w:after="0"/>
              <w:rPr>
                <w:sz w:val="1"/>
                <w:szCs w:val="1"/>
                <w:color w:val="auto"/>
              </w:rPr>
            </w:pPr>
          </w:p>
        </w:tc>
      </w:tr>
      <w:tr>
        <w:trPr>
          <w:trHeight w:val="299"/>
        </w:trPr>
        <w:tc>
          <w:tcPr>
            <w:tcW w:w="4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220" w:type="dxa"/>
            <w:vAlign w:val="bottom"/>
          </w:tcPr>
          <w:p>
            <w:pPr>
              <w:spacing w:after="0"/>
              <w:rPr>
                <w:sz w:val="24"/>
                <w:szCs w:val="24"/>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Maximum value of shares</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2"/>
                <w:szCs w:val="12"/>
                <w:color w:val="auto"/>
              </w:rPr>
            </w:pPr>
          </w:p>
        </w:tc>
        <w:tc>
          <w:tcPr>
            <w:tcW w:w="16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Average price paid per</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purchased as part of</w:t>
            </w:r>
          </w:p>
        </w:tc>
        <w:tc>
          <w:tcPr>
            <w:tcW w:w="2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publicly announced</w:t>
            </w:r>
          </w:p>
        </w:tc>
        <w:tc>
          <w:tcPr>
            <w:tcW w:w="220" w:type="dxa"/>
            <w:vAlign w:val="bottom"/>
          </w:tcPr>
          <w:p>
            <w:pPr>
              <w:spacing w:after="0"/>
              <w:rPr>
                <w:sz w:val="12"/>
                <w:szCs w:val="12"/>
                <w:color w:val="auto"/>
              </w:rPr>
            </w:pPr>
          </w:p>
        </w:tc>
        <w:tc>
          <w:tcPr>
            <w:tcW w:w="16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purchased</w:t>
            </w:r>
          </w:p>
        </w:tc>
        <w:tc>
          <w:tcPr>
            <w:tcW w:w="1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program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under the program</w:t>
            </w:r>
          </w:p>
        </w:tc>
        <w:tc>
          <w:tcPr>
            <w:tcW w:w="0" w:type="dxa"/>
            <w:vAlign w:val="bottom"/>
          </w:tcPr>
          <w:p>
            <w:pPr>
              <w:spacing w:after="0"/>
              <w:rPr>
                <w:sz w:val="1"/>
                <w:szCs w:val="1"/>
                <w:color w:val="auto"/>
              </w:rPr>
            </w:pPr>
          </w:p>
        </w:tc>
      </w:tr>
      <w:tr>
        <w:trPr>
          <w:trHeight w:val="222"/>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through January 31, 2015</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February 1 through February 28, 2015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through March 31, 2015</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20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7,525.0</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2,886,467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8,661.6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0" w:lineRule="exact"/>
        <w:rPr>
          <w:sz w:val="20"/>
          <w:szCs w:val="20"/>
          <w:color w:val="auto"/>
        </w:rPr>
      </w:pPr>
    </w:p>
    <w:p>
      <w:pPr>
        <w:ind w:left="520" w:right="400"/>
        <w:spacing w:after="0" w:line="280" w:lineRule="auto"/>
        <w:rPr>
          <w:sz w:val="20"/>
          <w:szCs w:val="20"/>
          <w:color w:val="auto"/>
        </w:rPr>
      </w:pPr>
      <w:r>
        <w:rPr>
          <w:rFonts w:ascii="Times New Roman" w:cs="Times New Roman" w:eastAsia="Times New Roman" w:hAnsi="Times New Roman"/>
          <w:sz w:val="18"/>
          <w:szCs w:val="18"/>
          <w:color w:val="auto"/>
        </w:rPr>
        <w:t>Exhibit 3.1—Articles of Incorporation of Schlumberger Limited (Schlumberger N.V.) (incorporated by reference to Exhibit 3 to Schlumberger’s Current Report on Form 8-K filed on April 7, 2011)</w:t>
      </w:r>
    </w:p>
    <w:p>
      <w:pPr>
        <w:spacing w:after="0" w:line="55" w:lineRule="exact"/>
        <w:rPr>
          <w:sz w:val="20"/>
          <w:szCs w:val="20"/>
          <w:color w:val="auto"/>
        </w:rPr>
      </w:pPr>
    </w:p>
    <w:p>
      <w:pPr>
        <w:ind w:left="520" w:right="920"/>
        <w:spacing w:after="0" w:line="280" w:lineRule="auto"/>
        <w:rPr>
          <w:sz w:val="20"/>
          <w:szCs w:val="20"/>
          <w:color w:val="auto"/>
        </w:rPr>
      </w:pPr>
      <w:r>
        <w:rPr>
          <w:rFonts w:ascii="Times New Roman" w:cs="Times New Roman" w:eastAsia="Times New Roman" w:hAnsi="Times New Roman"/>
          <w:sz w:val="18"/>
          <w:szCs w:val="18"/>
          <w:color w:val="auto"/>
        </w:rPr>
        <w:t>Exhibit 3.2—Amended and Restated By-laws of Schlumberger Limited (Schlumberger N.V.) (incorporated by reference to Exhibit 3.1 to Schlumberger’s Current Report on Form 8-K filed on July 20, 2012)</w:t>
      </w:r>
    </w:p>
    <w:p>
      <w:pPr>
        <w:spacing w:after="0" w:line="55" w:lineRule="exact"/>
        <w:rPr>
          <w:sz w:val="20"/>
          <w:szCs w:val="20"/>
          <w:color w:val="auto"/>
        </w:rPr>
      </w:pPr>
    </w:p>
    <w:p>
      <w:pPr>
        <w:ind w:left="520" w:right="60" w:firstLine="6"/>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55" w:lineRule="exact"/>
        <w:rPr>
          <w:rFonts w:ascii="Times New Roman" w:cs="Times New Roman" w:eastAsia="Times New Roman" w:hAnsi="Times New Roman"/>
          <w:sz w:val="18"/>
          <w:szCs w:val="18"/>
          <w:color w:val="auto"/>
        </w:rPr>
      </w:pPr>
    </w:p>
    <w:p>
      <w:pPr>
        <w:ind w:left="520" w:right="120" w:firstLine="6"/>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55" w:lineRule="exact"/>
        <w:rPr>
          <w:sz w:val="20"/>
          <w:szCs w:val="20"/>
          <w:color w:val="auto"/>
        </w:rPr>
      </w:pPr>
    </w:p>
    <w:p>
      <w:pPr>
        <w:ind w:left="520" w:right="200" w:firstLine="6"/>
        <w:spacing w:after="0" w:line="280" w:lineRule="auto"/>
        <w:tabs>
          <w:tab w:leader="none" w:pos="7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32.1—Certification of Chief Executive Officer pursuant to 18 U.S.C. Section 1350, as adopted pursuant to Section 906 of the Sarbanes-Oxley Act of 2002</w:t>
      </w:r>
    </w:p>
    <w:p>
      <w:pPr>
        <w:spacing w:after="0" w:line="55" w:lineRule="exact"/>
        <w:rPr>
          <w:rFonts w:ascii="Times New Roman" w:cs="Times New Roman" w:eastAsia="Times New Roman" w:hAnsi="Times New Roman"/>
          <w:sz w:val="18"/>
          <w:szCs w:val="18"/>
          <w:color w:val="auto"/>
        </w:rPr>
      </w:pPr>
    </w:p>
    <w:p>
      <w:pPr>
        <w:ind w:left="520" w:right="260" w:firstLine="6"/>
        <w:spacing w:after="0" w:line="280" w:lineRule="auto"/>
        <w:tabs>
          <w:tab w:leader="none" w:pos="7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32.2—Certification of Chief Financial Officer pursuant to 18 U.S.C. Section 1350, as adopted pursuant to Section 906 of the Sarbanes-Oxley Act of 2002</w:t>
      </w:r>
    </w:p>
    <w:p>
      <w:pPr>
        <w:spacing w:after="0" w:line="55" w:lineRule="exact"/>
        <w:rPr>
          <w:sz w:val="20"/>
          <w:szCs w:val="20"/>
          <w:color w:val="auto"/>
        </w:rPr>
      </w:pPr>
    </w:p>
    <w:p>
      <w:pPr>
        <w:ind w:left="660" w:hanging="134"/>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95—Mine Safety Disclosures</w:t>
      </w:r>
    </w:p>
    <w:p>
      <w:pPr>
        <w:spacing w:after="0" w:line="116" w:lineRule="exact"/>
        <w:rPr>
          <w:rFonts w:ascii="Times New Roman" w:cs="Times New Roman" w:eastAsia="Times New Roman" w:hAnsi="Times New Roman"/>
          <w:sz w:val="18"/>
          <w:szCs w:val="18"/>
          <w:color w:val="auto"/>
        </w:rPr>
      </w:pPr>
    </w:p>
    <w:p>
      <w:pPr>
        <w:ind w:left="520" w:firstLine="6"/>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101—The following materials from Schlumberger Limited’s Quarterly Report on Form 10-Q for the quarter ended March 31, 2015,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72" w:lineRule="exact"/>
        <w:rPr>
          <w:rFonts w:ascii="Times New Roman" w:cs="Times New Roman" w:eastAsia="Times New Roman" w:hAnsi="Times New Roman"/>
          <w:sz w:val="18"/>
          <w:szCs w:val="18"/>
          <w:color w:val="auto"/>
        </w:rPr>
      </w:pPr>
    </w:p>
    <w:p>
      <w:pPr>
        <w:ind w:left="660" w:hanging="134"/>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80"/>
          </w:cols>
          <w:pgMar w:left="240" w:top="117" w:right="379" w:bottom="1440" w:gutter="0" w:footer="0" w:header="0"/>
        </w:sectPr>
      </w:pPr>
    </w:p>
    <w:bookmarkStart w:id="26" w:name="page27"/>
    <w:bookmarkEnd w:id="26"/>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2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800" w:val="left"/>
          <w:tab w:leader="none" w:pos="6780" w:val="left"/>
          <w:tab w:leader="none" w:pos="7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22, 2015</w:t>
      </w:r>
      <w:r>
        <w:rPr>
          <w:sz w:val="20"/>
          <w:szCs w:val="20"/>
          <w:color w:val="auto"/>
        </w:rPr>
        <w:tab/>
      </w:r>
      <w:r>
        <w:rPr>
          <w:rFonts w:ascii="Times New Roman" w:cs="Times New Roman" w:eastAsia="Times New Roman" w:hAnsi="Times New Roman"/>
          <w:sz w:val="18"/>
          <w:szCs w:val="18"/>
          <w:color w:val="auto"/>
        </w:rPr>
        <w:t>/s/</w:t>
        <w:tab/>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17145</wp:posOffset>
            </wp:positionV>
            <wp:extent cx="2905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Howard Guild</w:t>
      </w:r>
    </w:p>
    <w:p>
      <w:pPr>
        <w:ind w:left="6800"/>
        <w:spacing w:after="0"/>
        <w:rPr>
          <w:sz w:val="20"/>
          <w:szCs w:val="20"/>
          <w:color w:val="auto"/>
        </w:rPr>
      </w:pPr>
      <w:r>
        <w:rPr>
          <w:rFonts w:ascii="Times New Roman" w:cs="Times New Roman" w:eastAsia="Times New Roman" w:hAnsi="Times New Roman"/>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240" w:top="121" w:right="4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Paal Kibsgaard, certify that:</w:t>
      </w:r>
    </w:p>
    <w:p>
      <w:pPr>
        <w:spacing w:after="0" w:line="116" w:lineRule="exact"/>
        <w:rPr>
          <w:sz w:val="20"/>
          <w:szCs w:val="20"/>
          <w:color w:val="auto"/>
        </w:rPr>
      </w:pPr>
    </w:p>
    <w:p>
      <w:pPr>
        <w:ind w:left="560" w:hanging="17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6" w:lineRule="exact"/>
        <w:rPr>
          <w:rFonts w:ascii="Times New Roman" w:cs="Times New Roman" w:eastAsia="Times New Roman" w:hAnsi="Times New Roman"/>
          <w:sz w:val="18"/>
          <w:szCs w:val="18"/>
          <w:color w:val="auto"/>
        </w:rPr>
      </w:pPr>
    </w:p>
    <w:p>
      <w:pPr>
        <w:ind w:firstLine="388"/>
        <w:spacing w:after="0" w:line="280"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firstLine="388"/>
        <w:spacing w:after="0" w:line="280" w:lineRule="auto"/>
        <w:tabs>
          <w:tab w:leader="none" w:pos="5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firstLine="388"/>
        <w:spacing w:after="0" w:line="265" w:lineRule="auto"/>
        <w:tabs>
          <w:tab w:leader="none" w:pos="5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120" w:right="20" w:hanging="504"/>
        <w:spacing w:after="0" w:line="265"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120" w:right="20" w:hanging="504"/>
        <w:spacing w:after="0" w:line="265"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120" w:right="20" w:hanging="504"/>
        <w:spacing w:after="0" w:line="280"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jc w:val="both"/>
        <w:ind w:left="1120" w:right="20" w:hanging="504"/>
        <w:spacing w:after="0" w:line="265"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 w:firstLine="388"/>
        <w:spacing w:after="0" w:line="280"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120" w:right="20" w:hanging="504"/>
        <w:spacing w:after="0" w:line="280"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1120" w:right="20" w:hanging="504"/>
        <w:spacing w:after="0" w:line="280"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90"/>
        </w:trPr>
        <w:tc>
          <w:tcPr>
            <w:tcW w:w="6860" w:type="dxa"/>
            <w:vAlign w:val="bottom"/>
          </w:tcPr>
          <w:p>
            <w:pPr>
              <w:spacing w:after="0"/>
              <w:rPr>
                <w:sz w:val="16"/>
                <w:szCs w:val="16"/>
                <w:color w:val="auto"/>
              </w:rPr>
            </w:pPr>
          </w:p>
        </w:tc>
        <w:tc>
          <w:tcPr>
            <w:tcW w:w="4560" w:type="dxa"/>
            <w:vAlign w:val="bottom"/>
          </w:tcPr>
          <w:p>
            <w:pPr>
              <w:ind w:left="40"/>
              <w:spacing w:after="0" w:line="190" w:lineRule="exact"/>
              <w:rPr>
                <w:sz w:val="20"/>
                <w:szCs w:val="20"/>
                <w:color w:val="auto"/>
              </w:rPr>
            </w:pPr>
            <w:r>
              <w:rPr>
                <w:rFonts w:ascii="Times New Roman" w:cs="Times New Roman" w:eastAsia="Times New Roman" w:hAnsi="Times New Roman"/>
                <w:sz w:val="18"/>
                <w:szCs w:val="18"/>
                <w:color w:val="auto"/>
              </w:rPr>
              <w:t>Paal Kibsgaard</w:t>
            </w:r>
          </w:p>
        </w:tc>
      </w:tr>
      <w:tr>
        <w:trPr>
          <w:trHeight w:val="234"/>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6" w:lineRule="exact"/>
        <w:rPr>
          <w:sz w:val="20"/>
          <w:szCs w:val="20"/>
          <w:color w:val="auto"/>
        </w:rPr>
      </w:pPr>
    </w:p>
    <w:p>
      <w:pPr>
        <w:ind w:left="560" w:hanging="172"/>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6" w:lineRule="exact"/>
        <w:rPr>
          <w:rFonts w:ascii="Times New Roman" w:cs="Times New Roman" w:eastAsia="Times New Roman" w:hAnsi="Times New Roman"/>
          <w:sz w:val="18"/>
          <w:szCs w:val="18"/>
          <w:color w:val="auto"/>
        </w:rPr>
      </w:pPr>
    </w:p>
    <w:p>
      <w:pPr>
        <w:ind w:firstLine="388"/>
        <w:spacing w:after="0" w:line="280"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firstLine="388"/>
        <w:spacing w:after="0" w:line="280" w:lineRule="auto"/>
        <w:tabs>
          <w:tab w:leader="none" w:pos="5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firstLine="388"/>
        <w:spacing w:after="0" w:line="265" w:lineRule="auto"/>
        <w:tabs>
          <w:tab w:leader="none" w:pos="5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120" w:right="20" w:hanging="504"/>
        <w:spacing w:after="0" w:line="265"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120" w:right="20" w:hanging="504"/>
        <w:spacing w:after="0" w:line="265"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120" w:right="20" w:hanging="504"/>
        <w:spacing w:after="0" w:line="280"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jc w:val="both"/>
        <w:ind w:left="1120" w:right="20" w:hanging="504"/>
        <w:spacing w:after="0" w:line="265"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 w:firstLine="388"/>
        <w:spacing w:after="0" w:line="280" w:lineRule="auto"/>
        <w:tabs>
          <w:tab w:leader="none" w:pos="5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120" w:right="20" w:hanging="504"/>
        <w:spacing w:after="0" w:line="280"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1120" w:right="20" w:hanging="504"/>
        <w:spacing w:after="0" w:line="280"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2015</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90"/>
        </w:trPr>
        <w:tc>
          <w:tcPr>
            <w:tcW w:w="7280" w:type="dxa"/>
            <w:vAlign w:val="bottom"/>
          </w:tcPr>
          <w:p>
            <w:pPr>
              <w:spacing w:after="0"/>
              <w:rPr>
                <w:sz w:val="16"/>
                <w:szCs w:val="16"/>
                <w:color w:val="auto"/>
              </w:rPr>
            </w:pPr>
          </w:p>
        </w:tc>
        <w:tc>
          <w:tcPr>
            <w:tcW w:w="41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Simon Ayat</w:t>
            </w:r>
          </w:p>
        </w:tc>
      </w:tr>
      <w:tr>
        <w:trPr>
          <w:trHeight w:val="234"/>
        </w:trPr>
        <w:tc>
          <w:tcPr>
            <w:tcW w:w="72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420"/>
          </w:cols>
          <w:pgMar w:left="240" w:top="11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2015 as filed with the Securities and Exchange Commission on the date hereof (the “Report”), I, Paal Kibsgaard, Chief Executive Officer of the Company, certify, pursuant to 18 U.S.C. § 1350, as adopted pursuant to § 906 of the Sarbanes-Oxley Act of 2002, that:</w:t>
      </w:r>
    </w:p>
    <w:p>
      <w:pPr>
        <w:spacing w:after="0" w:line="68" w:lineRule="exact"/>
        <w:rPr>
          <w:sz w:val="20"/>
          <w:szCs w:val="20"/>
          <w:color w:val="auto"/>
        </w:rPr>
      </w:pPr>
    </w:p>
    <w:p>
      <w:pPr>
        <w:ind w:left="1020" w:right="20" w:hanging="495"/>
        <w:spacing w:after="0" w:line="28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5" w:lineRule="exact"/>
        <w:rPr>
          <w:rFonts w:ascii="Times New Roman" w:cs="Times New Roman" w:eastAsia="Times New Roman" w:hAnsi="Times New Roman"/>
          <w:sz w:val="18"/>
          <w:szCs w:val="18"/>
          <w:color w:val="auto"/>
        </w:rPr>
      </w:pPr>
    </w:p>
    <w:p>
      <w:pPr>
        <w:ind w:left="1020" w:right="20" w:hanging="495"/>
        <w:spacing w:after="0" w:line="28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2015</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90"/>
        </w:trPr>
        <w:tc>
          <w:tcPr>
            <w:tcW w:w="5340" w:type="dxa"/>
            <w:vAlign w:val="bottom"/>
          </w:tcPr>
          <w:p>
            <w:pPr>
              <w:spacing w:after="0"/>
              <w:rPr>
                <w:sz w:val="16"/>
                <w:szCs w:val="16"/>
                <w:color w:val="auto"/>
              </w:rPr>
            </w:pPr>
          </w:p>
        </w:tc>
        <w:tc>
          <w:tcPr>
            <w:tcW w:w="3020" w:type="dxa"/>
            <w:vAlign w:val="bottom"/>
          </w:tcPr>
          <w:p>
            <w:pPr>
              <w:ind w:left="40"/>
              <w:spacing w:after="0" w:line="190" w:lineRule="exact"/>
              <w:rPr>
                <w:sz w:val="20"/>
                <w:szCs w:val="20"/>
                <w:color w:val="auto"/>
              </w:rPr>
            </w:pPr>
            <w:r>
              <w:rPr>
                <w:rFonts w:ascii="Times New Roman" w:cs="Times New Roman" w:eastAsia="Times New Roman" w:hAnsi="Times New Roman"/>
                <w:sz w:val="18"/>
                <w:szCs w:val="18"/>
                <w:color w:val="auto"/>
              </w:rPr>
              <w:t>Paal Kibsgaard</w:t>
            </w:r>
          </w:p>
        </w:tc>
      </w:tr>
      <w:tr>
        <w:trPr>
          <w:trHeight w:val="234"/>
        </w:trPr>
        <w:tc>
          <w:tcPr>
            <w:tcW w:w="534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2015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20" w:right="20" w:hanging="495"/>
        <w:spacing w:after="0" w:line="28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5" w:lineRule="exact"/>
        <w:rPr>
          <w:rFonts w:ascii="Times New Roman" w:cs="Times New Roman" w:eastAsia="Times New Roman" w:hAnsi="Times New Roman"/>
          <w:sz w:val="18"/>
          <w:szCs w:val="18"/>
          <w:color w:val="auto"/>
        </w:rPr>
      </w:pPr>
    </w:p>
    <w:p>
      <w:pPr>
        <w:ind w:left="1020" w:right="20" w:hanging="495"/>
        <w:spacing w:after="0" w:line="28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2015</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227"/>
        </w:trPr>
        <w:tc>
          <w:tcPr>
            <w:tcW w:w="54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Simon Ayat</w:t>
            </w:r>
          </w:p>
        </w:tc>
      </w:tr>
      <w:tr>
        <w:trPr>
          <w:trHeight w:val="372"/>
        </w:trPr>
        <w:tc>
          <w:tcPr>
            <w:tcW w:w="54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362" w:lineRule="exact"/>
        <w:rPr>
          <w:sz w:val="20"/>
          <w:szCs w:val="20"/>
          <w:color w:val="auto"/>
        </w:rPr>
      </w:pPr>
    </w:p>
    <w:p>
      <w:pPr>
        <w:ind w:right="460" w:firstLine="761"/>
        <w:spacing w:after="0" w:line="265"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6" w:lineRule="exact"/>
        <w:rPr>
          <w:sz w:val="20"/>
          <w:szCs w:val="20"/>
          <w:color w:val="auto"/>
        </w:rPr>
      </w:pPr>
    </w:p>
    <w:p>
      <w:pPr>
        <w:ind w:right="60" w:firstLine="761"/>
        <w:spacing w:after="0" w:line="265"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March 31, 2015. Due to timing and other factors, the data may not agree with the mine data retrieval system maintained by the MSHA at www.MSHA.gov.</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47"/>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Received</w:t>
            </w: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Received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Notice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8"/>
              </w:rPr>
              <w:t>Notice of</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Potential</w:t>
            </w: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Legal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Pattern of</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to Have</w:t>
            </w:r>
          </w:p>
        </w:tc>
        <w:tc>
          <w:tcPr>
            <w:tcW w:w="780" w:type="dxa"/>
            <w:vAlign w:val="bottom"/>
            <w:gridSpan w:val="2"/>
            <w:vMerge w:val="continue"/>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72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Mine or Operating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Section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Violations</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Pattern</w:t>
            </w:r>
          </w:p>
        </w:tc>
        <w:tc>
          <w:tcPr>
            <w:tcW w:w="78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color w:val="auto"/>
              </w:rPr>
              <w:t>Actions</w:t>
            </w: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Section</w:t>
            </w: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Section</w:t>
            </w:r>
          </w:p>
        </w:tc>
        <w:tc>
          <w:tcPr>
            <w:tcW w:w="860" w:type="dxa"/>
            <w:vAlign w:val="bottom"/>
            <w:gridSpan w:val="2"/>
            <w:vMerge w:val="continue"/>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6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Section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Mining</w:t>
            </w:r>
          </w:p>
        </w:tc>
        <w:tc>
          <w:tcPr>
            <w:tcW w:w="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Under</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Under</w:t>
            </w: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Pending as</w:t>
            </w:r>
          </w:p>
        </w:tc>
        <w:tc>
          <w:tcPr>
            <w:tcW w:w="8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Actions</w:t>
            </w:r>
          </w:p>
        </w:tc>
        <w:tc>
          <w:tcPr>
            <w:tcW w:w="720" w:type="dxa"/>
            <w:vAlign w:val="bottom"/>
          </w:tcPr>
          <w:p>
            <w:pPr>
              <w:jc w:val="center"/>
              <w:ind w:left="14"/>
              <w:spacing w:after="0" w:line="148"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8"/>
        </w:trPr>
        <w:tc>
          <w:tcPr>
            <w:tcW w:w="11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Name/MSHA</w:t>
            </w: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104(d)</w:t>
            </w:r>
          </w:p>
        </w:tc>
        <w:tc>
          <w:tcPr>
            <w:tcW w:w="9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Section</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Section</w:t>
            </w:r>
          </w:p>
        </w:tc>
        <w:tc>
          <w:tcPr>
            <w:tcW w:w="78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color w:val="auto"/>
              </w:rPr>
              <w:t>of Last</w:t>
            </w:r>
          </w:p>
        </w:tc>
        <w:tc>
          <w:tcPr>
            <w:tcW w:w="8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Initiated</w:t>
            </w:r>
          </w:p>
        </w:tc>
        <w:tc>
          <w:tcPr>
            <w:tcW w:w="720" w:type="dxa"/>
            <w:vAlign w:val="bottom"/>
          </w:tcPr>
          <w:p>
            <w:pPr>
              <w:jc w:val="center"/>
              <w:ind w:left="34"/>
              <w:spacing w:after="0" w:line="148"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8"/>
        </w:trPr>
        <w:tc>
          <w:tcPr>
            <w:tcW w:w="11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Identification</w:t>
            </w:r>
          </w:p>
        </w:tc>
        <w:tc>
          <w:tcPr>
            <w:tcW w:w="7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104 S&amp;S</w:t>
            </w:r>
          </w:p>
        </w:tc>
        <w:tc>
          <w:tcPr>
            <w:tcW w:w="9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104(b)</w:t>
            </w:r>
          </w:p>
        </w:tc>
        <w:tc>
          <w:tcPr>
            <w:tcW w:w="860" w:type="dxa"/>
            <w:vAlign w:val="bottom"/>
            <w:gridSpan w:val="2"/>
          </w:tcPr>
          <w:p>
            <w:pPr>
              <w:jc w:val="center"/>
              <w:ind w:right="20"/>
              <w:spacing w:after="0" w:line="148" w:lineRule="exact"/>
              <w:rPr>
                <w:sz w:val="20"/>
                <w:szCs w:val="20"/>
                <w:color w:val="auto"/>
              </w:rPr>
            </w:pPr>
            <w:r>
              <w:rPr>
                <w:rFonts w:ascii="Times New Roman" w:cs="Times New Roman" w:eastAsia="Times New Roman" w:hAnsi="Times New Roman"/>
                <w:sz w:val="14"/>
                <w:szCs w:val="14"/>
                <w:color w:val="auto"/>
              </w:rPr>
              <w:t>Citations</w:t>
            </w:r>
          </w:p>
        </w:tc>
        <w:tc>
          <w:tcPr>
            <w:tcW w:w="92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110(b)(2)</w:t>
            </w:r>
          </w:p>
        </w:tc>
        <w:tc>
          <w:tcPr>
            <w:tcW w:w="640" w:type="dxa"/>
            <w:vAlign w:val="bottom"/>
          </w:tcPr>
          <w:p>
            <w:pPr>
              <w:jc w:val="center"/>
              <w:ind w:left="88"/>
              <w:spacing w:after="0" w:line="148" w:lineRule="exact"/>
              <w:rPr>
                <w:sz w:val="20"/>
                <w:szCs w:val="20"/>
                <w:color w:val="auto"/>
              </w:rPr>
            </w:pPr>
            <w:r>
              <w:rPr>
                <w:rFonts w:ascii="Times New Roman" w:cs="Times New Roman" w:eastAsia="Times New Roman" w:hAnsi="Times New Roman"/>
                <w:sz w:val="14"/>
                <w:szCs w:val="14"/>
                <w:color w:val="auto"/>
                <w:w w:val="98"/>
              </w:rPr>
              <w:t>107(a)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MSHA</w:t>
            </w:r>
          </w:p>
        </w:tc>
        <w:tc>
          <w:tcPr>
            <w:tcW w:w="820" w:type="dxa"/>
            <w:vAlign w:val="bottom"/>
            <w:gridSpan w:val="2"/>
          </w:tcPr>
          <w:p>
            <w:pPr>
              <w:jc w:val="center"/>
              <w:ind w:right="20"/>
              <w:spacing w:after="0" w:line="148"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8"/>
              </w:rPr>
              <w:t>104(e)</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104(e)</w:t>
            </w:r>
          </w:p>
        </w:tc>
        <w:tc>
          <w:tcPr>
            <w:tcW w:w="78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color w:val="auto"/>
              </w:rPr>
              <w:t>Day of</w:t>
            </w:r>
          </w:p>
        </w:tc>
        <w:tc>
          <w:tcPr>
            <w:tcW w:w="8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During</w:t>
            </w:r>
          </w:p>
        </w:tc>
        <w:tc>
          <w:tcPr>
            <w:tcW w:w="720" w:type="dxa"/>
            <w:vAlign w:val="bottom"/>
          </w:tcPr>
          <w:p>
            <w:pPr>
              <w:jc w:val="center"/>
              <w:ind w:left="14"/>
              <w:spacing w:after="0" w:line="148"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Citations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Orders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and Orders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6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Orders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Assessments</w:t>
            </w:r>
            <w:r>
              <w:rPr>
                <w:rFonts w:ascii="Times New Roman" w:cs="Times New Roman" w:eastAsia="Times New Roman" w:hAnsi="Times New Roman"/>
                <w:sz w:val="12"/>
                <w:szCs w:val="12"/>
                <w:color w:val="auto"/>
              </w:rPr>
              <w:t>(1)</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Fatalities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Period</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Period</w:t>
            </w:r>
          </w:p>
        </w:tc>
        <w:tc>
          <w:tcPr>
            <w:tcW w:w="7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23"/>
        </w:trPr>
        <w:tc>
          <w:tcPr>
            <w:tcW w:w="1180" w:type="dxa"/>
            <w:vAlign w:val="bottom"/>
            <w:tcBorders>
              <w:top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Amelia Barite</w:t>
            </w: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Plant/1600825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Battle Mountain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Grinding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Plant/2600828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tcPr>
          <w:p>
            <w:pPr>
              <w:spacing w:after="0"/>
              <w:rPr>
                <w:sz w:val="13"/>
                <w:szCs w:val="13"/>
                <w:color w:val="auto"/>
              </w:rPr>
            </w:pPr>
          </w:p>
        </w:tc>
        <w:tc>
          <w:tcPr>
            <w:tcW w:w="1080" w:type="dxa"/>
            <w:vAlign w:val="bottom"/>
          </w:tcPr>
          <w:p>
            <w:pPr>
              <w:jc w:val="center"/>
              <w:ind w:left="155"/>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w w:val="99"/>
              </w:rPr>
              <w:t>Galveston GBT Barite</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Grinding</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Plant/4104675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3"/>
                <w:szCs w:val="13"/>
                <w:color w:val="auto"/>
                <w:w w:val="92"/>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Greybull Milling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Operation/4800602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tcPr>
          <w:p>
            <w:pPr>
              <w:spacing w:after="0"/>
              <w:rPr>
                <w:sz w:val="13"/>
                <w:szCs w:val="13"/>
                <w:color w:val="auto"/>
              </w:rPr>
            </w:pPr>
          </w:p>
        </w:tc>
        <w:tc>
          <w:tcPr>
            <w:tcW w:w="1080" w:type="dxa"/>
            <w:vAlign w:val="bottom"/>
          </w:tcPr>
          <w:p>
            <w:pPr>
              <w:jc w:val="center"/>
              <w:ind w:left="155"/>
              <w:spacing w:after="0"/>
              <w:rPr>
                <w:sz w:val="20"/>
                <w:szCs w:val="20"/>
                <w:color w:val="auto"/>
              </w:rPr>
            </w:pPr>
            <w:r>
              <w:rPr>
                <w:rFonts w:ascii="Times New Roman" w:cs="Times New Roman" w:eastAsia="Times New Roman" w:hAnsi="Times New Roman"/>
                <w:sz w:val="13"/>
                <w:szCs w:val="13"/>
                <w:color w:val="auto"/>
                <w:w w:val="92"/>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Greybull Mining</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Operation/4800603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3"/>
                <w:szCs w:val="13"/>
                <w:color w:val="auto"/>
                <w:w w:val="92"/>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Greystone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Mine/2600411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tcPr>
          <w:p>
            <w:pPr>
              <w:spacing w:after="0"/>
              <w:rPr>
                <w:sz w:val="13"/>
                <w:szCs w:val="13"/>
                <w:color w:val="auto"/>
              </w:rPr>
            </w:pPr>
          </w:p>
        </w:tc>
        <w:tc>
          <w:tcPr>
            <w:tcW w:w="1080" w:type="dxa"/>
            <w:vAlign w:val="bottom"/>
          </w:tcPr>
          <w:p>
            <w:pPr>
              <w:jc w:val="center"/>
              <w:ind w:left="155"/>
              <w:spacing w:after="0"/>
              <w:rPr>
                <w:sz w:val="20"/>
                <w:szCs w:val="20"/>
                <w:color w:val="auto"/>
              </w:rPr>
            </w:pPr>
            <w:r>
              <w:rPr>
                <w:rFonts w:ascii="Times New Roman" w:cs="Times New Roman" w:eastAsia="Times New Roman" w:hAnsi="Times New Roman"/>
                <w:sz w:val="13"/>
                <w:szCs w:val="13"/>
                <w:color w:val="auto"/>
                <w:w w:val="92"/>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MI SWACO-</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Alpine/4104829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MI SWACO-</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Brownsville Grinding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Plant/4103033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tcPr>
          <w:p>
            <w:pPr>
              <w:spacing w:after="0"/>
              <w:rPr>
                <w:sz w:val="14"/>
                <w:szCs w:val="14"/>
                <w:color w:val="auto"/>
              </w:rPr>
            </w:pPr>
          </w:p>
        </w:tc>
        <w:tc>
          <w:tcPr>
            <w:tcW w:w="1080" w:type="dxa"/>
            <w:vAlign w:val="bottom"/>
          </w:tcPr>
          <w:p>
            <w:pPr>
              <w:jc w:val="center"/>
              <w:ind w:left="155"/>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480" w:right="180" w:hanging="270"/>
        <w:spacing w:after="0" w:line="280" w:lineRule="auto"/>
        <w:tabs>
          <w:tab w:leader="none" w:pos="4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Positive amounts included are the total dollar value of proposed assessments received from MSHA on or before March 31, 2015,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As of March 31, 2015, MSHA had not yet proposed assessments for 4 citations (one of which was an S&amp;S violation) at Galveston GBT Barite  Grinding Plant/4104675.</w:t>
      </w:r>
    </w:p>
    <w:p>
      <w:pPr>
        <w:spacing w:after="0" w:line="26" w:lineRule="exact"/>
        <w:rPr>
          <w:sz w:val="20"/>
          <w:szCs w:val="20"/>
          <w:color w:val="auto"/>
        </w:rPr>
      </w:pPr>
    </w:p>
    <w:p>
      <w:pPr>
        <w:ind w:left="120" w:hanging="112"/>
        <w:spacing w:after="0"/>
        <w:tabs>
          <w:tab w:leader="none" w:pos="1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2015, MSHA had not yet proposed assessments for six non-S&amp;S citations at Greybull Milling Operation/4800602.</w:t>
      </w:r>
    </w:p>
    <w:p>
      <w:pPr>
        <w:spacing w:after="0" w:line="17" w:lineRule="exact"/>
        <w:rPr>
          <w:rFonts w:ascii="Times New Roman" w:cs="Times New Roman" w:eastAsia="Times New Roman" w:hAnsi="Times New Roman"/>
          <w:sz w:val="16"/>
          <w:szCs w:val="16"/>
          <w:color w:val="auto"/>
        </w:rPr>
      </w:pPr>
    </w:p>
    <w:p>
      <w:pPr>
        <w:ind w:left="120" w:hanging="112"/>
        <w:spacing w:after="0"/>
        <w:tabs>
          <w:tab w:leader="none" w:pos="1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2015, MSHA had not yet proposed assessments for three non-S&amp;S citations at Greybull Milling Operation/4800603.</w:t>
      </w:r>
    </w:p>
    <w:p>
      <w:pPr>
        <w:spacing w:after="0" w:line="17" w:lineRule="exact"/>
        <w:rPr>
          <w:rFonts w:ascii="Times New Roman" w:cs="Times New Roman" w:eastAsia="Times New Roman" w:hAnsi="Times New Roman"/>
          <w:sz w:val="16"/>
          <w:szCs w:val="16"/>
          <w:color w:val="auto"/>
        </w:rPr>
      </w:pPr>
    </w:p>
    <w:p>
      <w:pPr>
        <w:ind w:left="120" w:hanging="112"/>
        <w:spacing w:after="0"/>
        <w:tabs>
          <w:tab w:leader="none" w:pos="1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2015, MSHA had not yet proposed assessments for six non-S&amp;S citations at Greystone Mine/2600411.</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5">
    <w:nsid w:val="2D1D5AE9"/>
    <w:multiLevelType w:val="hybridMultilevel"/>
    <w:lvl w:ilvl="0">
      <w:lvlJc w:val="left"/>
      <w:lvlText w:val="%1."/>
      <w:numFmt w:val="decimal"/>
      <w:start w:val="14"/>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2019-12-29T17:32:53Z</dcterms:created>
  <dcterms:modified xsi:type="dcterms:W3CDTF">2019-12-29T17:32:53Z</dcterms:modified>
</cp:coreProperties>
</file>