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259"/>
        <w:spacing w:after="0"/>
        <w:rPr>
          <w:sz w:val="20"/>
          <w:szCs w:val="20"/>
          <w:color w:val="auto"/>
        </w:rPr>
      </w:pPr>
      <w:r>
        <w:rPr>
          <w:rFonts w:ascii="Courier New" w:cs="Courier New" w:eastAsia="Courier New" w:hAnsi="Courier New"/>
          <w:sz w:val="18"/>
          <w:szCs w:val="18"/>
          <w:color w:val="auto"/>
        </w:rPr>
        <w:t>March 9, 2005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facsimile and U.S. Mail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Andrew Gould</w:t>
      </w:r>
    </w:p>
    <w:p>
      <w:pPr>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37" w:lineRule="auto"/>
        <w:rPr>
          <w:sz w:val="20"/>
          <w:szCs w:val="20"/>
          <w:color w:val="auto"/>
        </w:rPr>
      </w:pPr>
      <w:r>
        <w:rPr>
          <w:rFonts w:ascii="Courier New" w:cs="Courier New" w:eastAsia="Courier New" w:hAnsi="Courier New"/>
          <w:sz w:val="18"/>
          <w:szCs w:val="18"/>
          <w:color w:val="auto"/>
        </w:rPr>
        <w:t>153 East 53rd Street, 57th Floor</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10022</w:t>
      </w:r>
    </w:p>
    <w:p>
      <w:pPr>
        <w:sectPr>
          <w:pgSz w:w="11900" w:h="16838" w:orient="portrait"/>
          <w:cols w:equalWidth="0" w:num="1">
            <w:col w:w="10219"/>
          </w:cols>
          <w:pgMar w:left="240" w:top="244" w:right="1440" w:bottom="0" w:gutter="0" w:footer="0" w:header="0"/>
        </w:sectPr>
      </w:pPr>
    </w:p>
    <w:p>
      <w:pPr>
        <w:spacing w:after="0" w:line="208"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Materials on Schedule 14A filed</w:t>
      </w:r>
    </w:p>
    <w:p>
      <w:pPr>
        <w:spacing w:after="0" w:line="21" w:lineRule="exact"/>
        <w:rPr>
          <w:sz w:val="24"/>
          <w:szCs w:val="24"/>
          <w:color w:val="auto"/>
        </w:rPr>
      </w:pPr>
    </w:p>
    <w:p>
      <w:pPr>
        <w:sectPr>
          <w:pgSz w:w="11900" w:h="16838" w:orient="portrait"/>
          <w:cols w:equalWidth="0" w:num="2">
            <w:col w:w="1160" w:space="540"/>
            <w:col w:w="851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February</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8, 2005</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No. 1-04601</w:t>
      </w:r>
    </w:p>
    <w:p>
      <w:pPr>
        <w:spacing w:after="0" w:line="216" w:lineRule="exact"/>
        <w:rPr>
          <w:sz w:val="24"/>
          <w:szCs w:val="24"/>
          <w:color w:val="auto"/>
        </w:rPr>
      </w:pPr>
    </w:p>
    <w:p>
      <w:pPr>
        <w:sectPr>
          <w:pgSz w:w="11900" w:h="16838" w:orient="portrait"/>
          <w:cols w:equalWidth="0" w:num="2">
            <w:col w:w="1820" w:space="720"/>
            <w:col w:w="7679"/>
          </w:cols>
          <w:pgMar w:left="240" w:top="244" w:right="1440" w:bottom="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Gould :</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We have reviewed your preliminary proxy materials and have</w:t>
      </w:r>
    </w:p>
    <w:p>
      <w:pPr>
        <w:spacing w:after="0" w:line="238" w:lineRule="auto"/>
        <w:rPr>
          <w:sz w:val="20"/>
          <w:szCs w:val="20"/>
          <w:color w:val="auto"/>
        </w:rPr>
      </w:pPr>
      <w:r>
        <w:rPr>
          <w:rFonts w:ascii="Courier New" w:cs="Courier New" w:eastAsia="Courier New" w:hAnsi="Courier New"/>
          <w:sz w:val="18"/>
          <w:szCs w:val="18"/>
          <w:color w:val="auto"/>
        </w:rPr>
        <w:t>the</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following comments. Where indicated, we think you should revise your document in response to these comments. If you disagree, we will consider your explanation as to why our comment is inapplicable</w:t>
      </w:r>
    </w:p>
    <w:p>
      <w:pPr>
        <w:spacing w:after="0" w:line="5"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or a revision is unnecessary. Please be as detailed as necessary in</w:t>
      </w:r>
    </w:p>
    <w:p>
      <w:pPr>
        <w:spacing w:after="0" w:line="6"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your explanation. In some of our comments, we may ask you to provide</w:t>
      </w:r>
    </w:p>
    <w:p>
      <w:pPr>
        <w:spacing w:after="0" w:line="6" w:lineRule="exact"/>
        <w:rPr>
          <w:sz w:val="24"/>
          <w:szCs w:val="24"/>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us with supplemental information so we may better understand your disclosure. After reviewing this information, we may or may not raise additional comments.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 or on any other aspect</w:t>
      </w:r>
    </w:p>
    <w:p>
      <w:pPr>
        <w:spacing w:after="0" w:line="6"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of our review. Feel free to call us at the telephone numbers listed</w:t>
      </w:r>
    </w:p>
    <w:p>
      <w:pPr>
        <w:spacing w:after="0"/>
        <w:rPr>
          <w:sz w:val="20"/>
          <w:szCs w:val="20"/>
          <w:color w:val="auto"/>
        </w:rPr>
      </w:pPr>
      <w:r>
        <w:rPr>
          <w:rFonts w:ascii="Courier New" w:cs="Courier New" w:eastAsia="Courier New" w:hAnsi="Courier New"/>
          <w:sz w:val="18"/>
          <w:szCs w:val="18"/>
          <w:color w:val="auto"/>
        </w:rPr>
        <w:t>at 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14C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Cover Page</w:t>
      </w:r>
    </w:p>
    <w:p>
      <w:pPr>
        <w:spacing w:after="0" w:line="207" w:lineRule="exact"/>
        <w:rPr>
          <w:sz w:val="24"/>
          <w:szCs w:val="24"/>
          <w:color w:val="auto"/>
        </w:rPr>
      </w:pPr>
    </w:p>
    <w:p>
      <w:pPr>
        <w:ind w:right="357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appears that the third proposal relating to amendments of your</w:t>
      </w:r>
    </w:p>
    <w:p>
      <w:pPr>
        <w:spacing w:after="0" w:line="5" w:lineRule="exact"/>
        <w:rPr>
          <w:rFonts w:ascii="Courier New" w:cs="Courier New" w:eastAsia="Courier New" w:hAnsi="Courier New"/>
          <w:sz w:val="18"/>
          <w:szCs w:val="18"/>
          <w:color w:val="auto"/>
        </w:rPr>
      </w:pPr>
    </w:p>
    <w:p>
      <w:pPr>
        <w:ind w:right="3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Articles of Incorporation presents separate matters requiring separate consideration and votes by the shareholders of Schlumberger.</w:t>
      </w:r>
    </w:p>
    <w:p>
      <w:pPr>
        <w:spacing w:after="0" w:line="6"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unbundle these proposals or tell us why unbundling will not be</w:t>
      </w:r>
    </w:p>
    <w:p>
      <w:pPr>
        <w:spacing w:after="0" w:line="5"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appropriate. See Rule 14a-4(a)(3) under the Proxy Rules and the September 2004 Interim Supplement to the Manual of Publicly Available</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Interpretations available on the SEC website. We may have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further comment upon reviewing your response.</w:t>
      </w:r>
    </w:p>
    <w:p>
      <w:pPr>
        <w:spacing w:after="0" w:line="207" w:lineRule="exact"/>
        <w:rPr>
          <w:rFonts w:ascii="Courier New" w:cs="Courier New" w:eastAsia="Courier New" w:hAnsi="Courier New"/>
          <w:sz w:val="18"/>
          <w:szCs w:val="18"/>
          <w:color w:val="auto"/>
        </w:rPr>
      </w:pPr>
    </w:p>
    <w:p>
      <w:pPr>
        <w:ind w:right="3259" w:firstLine="8"/>
        <w:spacing w:after="0" w:line="236"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voluntary amendment to your Articles of Incorporation, discuss the purpose and effect of the proposed amendment. We may have further comment.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Closing Comments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File revised proxy materials and respond to these</w:t>
      </w:r>
    </w:p>
    <w:p>
      <w:pPr>
        <w:spacing w:after="0" w:line="238" w:lineRule="auto"/>
        <w:rPr>
          <w:sz w:val="20"/>
          <w:szCs w:val="20"/>
          <w:color w:val="auto"/>
        </w:rPr>
      </w:pPr>
      <w:r>
        <w:rPr>
          <w:rFonts w:ascii="Courier New" w:cs="Courier New" w:eastAsia="Courier New" w:hAnsi="Courier New"/>
          <w:sz w:val="18"/>
          <w:szCs w:val="18"/>
          <w:color w:val="auto"/>
        </w:rPr>
        <w:t>comments</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within 10 business days or tell us when you will provide us with a response. You may wish to provide us with marked copies of the amendment to expedite our review. Please furnish a cover letter with</w:t>
      </w:r>
    </w:p>
    <w:p>
      <w:pPr>
        <w:spacing w:after="0" w:line="5"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your amendment that keys your responses to our comments and provides</w:t>
      </w:r>
    </w:p>
    <w:p>
      <w:pPr>
        <w:spacing w:after="0" w:line="6"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any requested supplemental information. Detailed cover letters greatly facilitate our review. Please understand that we may have additional comments after reviewing your amendment and responses to</w:t>
      </w:r>
    </w:p>
    <w:p>
      <w:pPr>
        <w:spacing w:after="0"/>
        <w:rPr>
          <w:sz w:val="20"/>
          <w:szCs w:val="20"/>
          <w:color w:val="auto"/>
        </w:rPr>
      </w:pPr>
      <w:r>
        <w:rPr>
          <w:rFonts w:ascii="Courier New" w:cs="Courier New" w:eastAsia="Courier New" w:hAnsi="Courier New"/>
          <w:sz w:val="18"/>
          <w:szCs w:val="18"/>
          <w:color w:val="auto"/>
        </w:rPr>
        <w:t>our comments.</w:t>
      </w:r>
    </w:p>
    <w:p>
      <w:pPr>
        <w:spacing w:after="0" w:line="206"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We urge all persons who are responsible for the accuracy and</w:t>
      </w:r>
    </w:p>
    <w:p>
      <w:pPr>
        <w:sectPr>
          <w:pgSz w:w="11900" w:h="16838" w:orient="portrait"/>
          <w:cols w:equalWidth="0" w:num="1">
            <w:col w:w="10219"/>
          </w:cols>
          <w:pgMar w:left="240" w:top="244" w:right="1440" w:bottom="0" w:gutter="0" w:footer="0" w:header="0"/>
          <w:type w:val="continuous"/>
        </w:sectPr>
      </w:pPr>
    </w:p>
    <w:bookmarkStart w:id="1" w:name="page2"/>
    <w:bookmarkEnd w:id="1"/>
    <w:p>
      <w:pPr>
        <w:ind w:right="3359"/>
        <w:spacing w:after="0" w:line="235" w:lineRule="auto"/>
        <w:rPr>
          <w:sz w:val="20"/>
          <w:szCs w:val="20"/>
          <w:color w:val="auto"/>
        </w:rPr>
      </w:pPr>
      <w:r>
        <w:rPr>
          <w:rFonts w:ascii="Courier New" w:cs="Courier New" w:eastAsia="Courier New" w:hAnsi="Courier New"/>
          <w:sz w:val="18"/>
          <w:szCs w:val="18"/>
          <w:color w:val="auto"/>
        </w:rPr>
        <w:t>adequacy of the disclosure in the filing reviewed by the staff to be</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certain that they have provided all information investors require for</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an informed decision. Since the company and its management are in possession of all facts relating to a company`s disclosure, they are</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responsible for the accuracy and adequacy of the disclosures they have made.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connection with responding to our comments, please</w:t>
      </w:r>
    </w:p>
    <w:p>
      <w:pPr>
        <w:spacing w:after="0" w:line="238" w:lineRule="auto"/>
        <w:rPr>
          <w:sz w:val="20"/>
          <w:szCs w:val="20"/>
          <w:color w:val="auto"/>
        </w:rPr>
      </w:pPr>
      <w:r>
        <w:rPr>
          <w:rFonts w:ascii="Courier New" w:cs="Courier New" w:eastAsia="Courier New" w:hAnsi="Courier New"/>
          <w:sz w:val="18"/>
          <w:szCs w:val="18"/>
          <w:color w:val="auto"/>
        </w:rPr>
        <w:t>provide,</w:t>
      </w:r>
    </w:p>
    <w:p>
      <w:pPr>
        <w:spacing w:after="0"/>
        <w:rPr>
          <w:sz w:val="20"/>
          <w:szCs w:val="20"/>
          <w:color w:val="auto"/>
        </w:rPr>
      </w:pPr>
      <w:r>
        <w:rPr>
          <w:rFonts w:ascii="Courier New" w:cs="Courier New" w:eastAsia="Courier New" w:hAnsi="Courier New"/>
          <w:sz w:val="18"/>
          <w:szCs w:val="18"/>
          <w:color w:val="auto"/>
        </w:rPr>
        <w:t>in writing, a statement from the company acknowledging that:</w:t>
      </w:r>
    </w:p>
    <w:p>
      <w:pPr>
        <w:spacing w:after="0" w:line="3" w:lineRule="exact"/>
        <w:rPr>
          <w:sz w:val="20"/>
          <w:szCs w:val="20"/>
          <w:color w:val="auto"/>
        </w:rPr>
      </w:pPr>
    </w:p>
    <w:p>
      <w:pPr>
        <w:ind w:right="335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the filing;</w:t>
      </w:r>
    </w:p>
    <w:p>
      <w:pPr>
        <w:spacing w:after="0" w:line="208"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disclosure in response to staff comments do not foreclose the Commission from taking any action with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to the filing; and</w:t>
      </w:r>
    </w:p>
    <w:p>
      <w:pPr>
        <w:spacing w:after="0" w:line="207"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209" w:lineRule="exact"/>
        <w:rPr>
          <w:sz w:val="20"/>
          <w:szCs w:val="20"/>
          <w:color w:val="auto"/>
        </w:rPr>
      </w:pPr>
    </w:p>
    <w:p>
      <w:pPr>
        <w:ind w:right="4199" w:firstLine="632"/>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our review of your filing or in response to our comments on your filing.</w:t>
      </w:r>
    </w:p>
    <w:p>
      <w:pPr>
        <w:spacing w:after="0" w:line="200" w:lineRule="exact"/>
        <w:rPr>
          <w:sz w:val="20"/>
          <w:szCs w:val="20"/>
          <w:color w:val="auto"/>
        </w:rPr>
      </w:pPr>
    </w:p>
    <w:p>
      <w:pPr>
        <w:spacing w:after="0" w:line="211"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Please contact Melinda Kramer at (202) 942-1938 or, in her absence,</w:t>
      </w:r>
    </w:p>
    <w:p>
      <w:pPr>
        <w:spacing w:after="0" w:line="6" w:lineRule="exact"/>
        <w:rPr>
          <w:sz w:val="20"/>
          <w:szCs w:val="20"/>
          <w:color w:val="auto"/>
        </w:rPr>
      </w:pPr>
    </w:p>
    <w:p>
      <w:pPr>
        <w:ind w:right="3479"/>
        <w:spacing w:after="0" w:line="290" w:lineRule="auto"/>
        <w:rPr>
          <w:sz w:val="20"/>
          <w:szCs w:val="20"/>
          <w:color w:val="auto"/>
        </w:rPr>
      </w:pPr>
      <w:r>
        <w:rPr>
          <w:rFonts w:ascii="Courier New" w:cs="Courier New" w:eastAsia="Courier New" w:hAnsi="Courier New"/>
          <w:sz w:val="16"/>
          <w:szCs w:val="16"/>
          <w:color w:val="auto"/>
        </w:rPr>
        <w:t>Tangela Richter, Branch Chief, at (202) 942-1837, with any other questions. Address all correspondence to mail-stop 04-05.</w:t>
      </w:r>
    </w:p>
    <w:p>
      <w:pPr>
        <w:spacing w:after="0" w:line="164"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H. Roger Schwall</w:t>
      </w:r>
    </w:p>
    <w:p>
      <w:pPr>
        <w:spacing w:after="0" w:line="4"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Assistant Director</w:t>
      </w:r>
    </w:p>
    <w:p>
      <w:pPr>
        <w:spacing w:after="0" w:line="218" w:lineRule="exact"/>
        <w:rPr>
          <w:sz w:val="20"/>
          <w:szCs w:val="20"/>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Melinda Kramer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March 9, 2005</w:t>
      </w:r>
    </w:p>
    <w:p>
      <w:pPr>
        <w:spacing w:after="0"/>
        <w:rPr>
          <w:sz w:val="20"/>
          <w:szCs w:val="20"/>
          <w:color w:val="auto"/>
        </w:rPr>
      </w:pPr>
      <w:r>
        <w:rPr>
          <w:rFonts w:ascii="Courier New" w:cs="Courier New" w:eastAsia="Courier New" w:hAnsi="Courier New"/>
          <w:sz w:val="18"/>
          <w:szCs w:val="18"/>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20549-0405</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DIVISION OF</w:t>
      </w:r>
    </w:p>
    <w:p>
      <w:pPr>
        <w:spacing w:after="0" w:line="238" w:lineRule="auto"/>
        <w:rPr>
          <w:sz w:val="20"/>
          <w:szCs w:val="20"/>
          <w:color w:val="auto"/>
        </w:rPr>
      </w:pPr>
      <w:r>
        <w:rPr>
          <w:rFonts w:ascii="Courier New" w:cs="Courier New" w:eastAsia="Courier New" w:hAnsi="Courier New"/>
          <w:sz w:val="18"/>
          <w:szCs w:val="18"/>
          <w:color w:val="auto"/>
        </w:rPr>
        <w:t>CORPORATION FINANCE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2019-12-12T10:27:02Z</dcterms:created>
  <dcterms:modified xsi:type="dcterms:W3CDTF">2019-12-12T10:27:02Z</dcterms:modified>
</cp:coreProperties>
</file>