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339"/>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ind w:left="2740"/>
        <w:spacing w:after="0"/>
        <w:rPr>
          <w:sz w:val="20"/>
          <w:szCs w:val="20"/>
          <w:color w:val="auto"/>
        </w:rPr>
      </w:pPr>
      <w:r>
        <w:rPr>
          <w:rFonts w:ascii="Arial" w:cs="Arial" w:eastAsia="Arial" w:hAnsi="Arial"/>
          <w:sz w:val="22"/>
          <w:szCs w:val="22"/>
          <w:b w:val="1"/>
          <w:bCs w:val="1"/>
          <w:color w:val="auto"/>
        </w:rPr>
        <w:t>Date of Report (Date of earliest event reported): August 30,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39"/>
        <w:spacing w:after="0"/>
        <w:rPr>
          <w:sz w:val="20"/>
          <w:szCs w:val="20"/>
          <w:color w:val="auto"/>
        </w:rPr>
      </w:pPr>
      <w:r>
        <w:rPr>
          <w:rFonts w:ascii="Arial" w:cs="Arial" w:eastAsia="Arial" w:hAnsi="Arial"/>
          <w:sz w:val="43"/>
          <w:szCs w:val="43"/>
          <w:b w:val="1"/>
          <w:bCs w:val="1"/>
          <w:color w:val="auto"/>
        </w:rPr>
        <w:t>SCHLUMBERGER N.V. (SCHLUMBERGER LIMITED)</w:t>
      </w:r>
    </w:p>
    <w:p>
      <w:pPr>
        <w:spacing w:after="0" w:line="50"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100"/>
          </w:cols>
          <w:pgMar w:left="240" w:top="368" w:right="5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860" w:space="720"/>
            <w:col w:w="2860" w:space="720"/>
            <w:col w:w="1940"/>
          </w:cols>
          <w:pgMar w:left="240" w:top="368" w:right="55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940"/>
        <w:spacing w:after="0"/>
        <w:rPr>
          <w:sz w:val="20"/>
          <w:szCs w:val="20"/>
          <w:color w:val="auto"/>
        </w:rPr>
      </w:pPr>
      <w:r>
        <w:rPr>
          <w:rFonts w:ascii="Arial" w:cs="Arial" w:eastAsia="Arial" w:hAnsi="Arial"/>
          <w:sz w:val="14"/>
          <w:szCs w:val="14"/>
          <w:b w:val="1"/>
          <w:bCs w:val="1"/>
          <w:color w:val="auto"/>
        </w:rPr>
        <w:t>(IRS Employer</w:t>
      </w:r>
    </w:p>
    <w:p>
      <w:pPr>
        <w:jc w:val="center"/>
        <w:ind w:right="9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060"/>
          </w:cols>
          <w:pgMar w:left="240" w:top="368" w:right="559" w:bottom="1440" w:gutter="0" w:footer="0" w:header="0"/>
          <w:type w:val="continuous"/>
        </w:sectPr>
      </w:pPr>
    </w:p>
    <w:p>
      <w:pPr>
        <w:spacing w:after="0" w:line="6"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33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62 Buckingham Gate, London SW1E 6AJ</w:t>
      </w:r>
    </w:p>
    <w:p>
      <w:pPr>
        <w:spacing w:after="0" w:line="9" w:lineRule="exact"/>
        <w:rPr>
          <w:sz w:val="24"/>
          <w:szCs w:val="24"/>
          <w:color w:val="auto"/>
        </w:rPr>
      </w:pPr>
    </w:p>
    <w:p>
      <w:pPr>
        <w:jc w:val="center"/>
        <w:ind w:right="-33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25" w:lineRule="exact"/>
        <w:rPr>
          <w:sz w:val="24"/>
          <w:szCs w:val="24"/>
          <w:color w:val="auto"/>
        </w:rPr>
      </w:pPr>
    </w:p>
    <w:p>
      <w:pPr>
        <w:jc w:val="center"/>
        <w:ind w:right="-339"/>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100"/>
          </w:cols>
          <w:pgMar w:left="240" w:top="368" w:right="559" w:bottom="1440" w:gutter="0" w:footer="0" w:header="0"/>
          <w:type w:val="continuous"/>
        </w:sectPr>
      </w:pPr>
    </w:p>
    <w:p>
      <w:pPr>
        <w:spacing w:after="0" w:line="215"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80"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00"/>
          </w:cols>
          <w:pgMar w:left="240" w:top="368" w:right="5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 Regulation FD Disclosure.</w:t>
      </w:r>
    </w:p>
    <w:p>
      <w:pPr>
        <w:spacing w:after="0" w:line="121" w:lineRule="exact"/>
        <w:rPr>
          <w:sz w:val="20"/>
          <w:szCs w:val="20"/>
          <w:color w:val="auto"/>
        </w:rPr>
      </w:pPr>
    </w:p>
    <w:p>
      <w:pPr>
        <w:ind w:right="300" w:firstLine="456"/>
        <w:spacing w:after="0" w:line="312" w:lineRule="auto"/>
        <w:rPr>
          <w:sz w:val="20"/>
          <w:szCs w:val="20"/>
          <w:color w:val="auto"/>
        </w:rPr>
      </w:pPr>
      <w:r>
        <w:rPr>
          <w:rFonts w:ascii="Arial" w:cs="Arial" w:eastAsia="Arial" w:hAnsi="Arial"/>
          <w:sz w:val="16"/>
          <w:szCs w:val="16"/>
          <w:color w:val="auto"/>
        </w:rPr>
        <w:t>On August 30, 2016, Patrick Schorn, President, Operations of Schlumberger, presented at the Simmons 2016 European Energy Conference in Gleneagles, Scotland, to discuss, among other things, the current business outlook. The presentation and slides are available on the Schlumberger Investor Relations website at http://investorcenter.slb.com/phoenix.zhtml?c=97513&amp;p=irol-presentations and at http://www.slb.com/news/presentations.aspx.</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presentation referred to above contains “forward-looking statements” within the meaning of the federal securities laws — that is, statements about the future, not about past events. Such statements often contain words such as “expect,” “may,” “believe,” “plan,” “estimate,” “intend,” “anticipate,” “should,” “could,” “will,” “see,” “likely,” and other similar words. Forward-looking statements address matters that are, to varying degrees, uncertain, such as statements about our transformation program; our financial and performance targets and other forecasts or expectations regarding business outlook; growth for Schlumberger as a whole and for each of its Groups and segments (and for specified products or geographic areas within a segment); oil and natural gas demand and production growth; rig count; oil and natural gas prices; improvements in operating procedures and technology; capital expenditures by Schlumberger and the oil and gas industry; the business strategies of Schlumberger’s customers; the anticipated benefits of the Cameron acquisition; the success of Schlumberger’s joint ventures and alliances;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demand for our integrated services and new technologies; the inability to reduce the cost-per-barrel of hydrocarbon developments; Schlumberger’s future cash flows; the success of Schlumberger’s transformation efforts; general economic, political, security and business conditions in key regions of the world; country risk; pricing erosion; foreign exchange rates; weather and seasonal factors; operational modifications, delays or cancellations;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challenges in exploration; the inability to realize expected value from SPM projects; the inability to integrate the Cameron business and to realize expected synergies, the inability to retain key employees; and other risks and uncertainties detailed in our most recent Forms 10-K, 10-Q, and 8-K filed with or furnished to the Securities and Exchange Commission. If one or more of these or other risks or uncertainties materialize (or the consequences of such a development changes), or should underlying assumptions prove incorrect, actual outcomes may vary materially from those reflected in our forward-looking statements. The forward-looking statements speak only as of the date of the presentation referred to above, and Schlumberger disclaims any intention or obligation to update publicly or revise such statements, whether as a result of new information, future events or otherwise.</w:t>
      </w:r>
    </w:p>
    <w:p>
      <w:pPr>
        <w:sectPr>
          <w:pgSz w:w="11900" w:h="16838" w:orient="portrait"/>
          <w:cols w:equalWidth="0" w:num="1">
            <w:col w:w="11400"/>
          </w:cols>
          <w:pgMar w:left="240" w:top="270" w:right="259" w:bottom="1440" w:gutter="0" w:footer="0" w:header="0"/>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30, 2016</w:t>
      </w:r>
    </w:p>
    <w:sectPr>
      <w:pgSz w:w="11900" w:h="16838" w:orient="portrait"/>
      <w:cols w:equalWidth="0" w:num="1">
        <w:col w:w="10660"/>
      </w:cols>
      <w:pgMar w:left="240" w:top="270"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2019-12-05T10:07:00Z</dcterms:created>
  <dcterms:modified xsi:type="dcterms:W3CDTF">2019-12-05T10:07:00Z</dcterms:modified>
</cp:coreProperties>
</file>