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Guild Howard</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03/04/2022</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26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03/04/2022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2,038</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50,026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03/04/2022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113"/>
              <w:spacing w:after="0"/>
              <w:rPr>
                <w:sz w:val="20"/>
                <w:szCs w:val="20"/>
                <w:color w:val="auto"/>
              </w:rPr>
            </w:pPr>
            <w:r>
              <w:rPr>
                <w:rFonts w:ascii="Arial" w:cs="Arial" w:eastAsia="Arial" w:hAnsi="Arial"/>
                <w:sz w:val="17"/>
                <w:szCs w:val="17"/>
                <w:color w:val="0000FF"/>
              </w:rPr>
              <w:t>802</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38.38</w:t>
            </w:r>
          </w:p>
        </w:tc>
        <w:tc>
          <w:tcPr>
            <w:tcW w:w="1200" w:type="dxa"/>
            <w:vAlign w:val="bottom"/>
            <w:gridSpan w:val="2"/>
          </w:tcPr>
          <w:p>
            <w:pPr>
              <w:ind w:left="320"/>
              <w:spacing w:after="0"/>
              <w:rPr>
                <w:sz w:val="20"/>
                <w:szCs w:val="20"/>
                <w:color w:val="auto"/>
              </w:rPr>
            </w:pPr>
            <w:r>
              <w:rPr>
                <w:rFonts w:ascii="Arial" w:cs="Arial" w:eastAsia="Arial" w:hAnsi="Arial"/>
                <w:sz w:val="17"/>
                <w:szCs w:val="17"/>
                <w:color w:val="0000FF"/>
              </w:rPr>
              <w:t>49,224</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16, 2019. Vesting of the PSUs was based on three-year Company performance relative to select key competitors. Most of these competitors had not reported their 2021 audited financial results when the Company's compensation committee met in January 2022 to certify performance under the PSUs. As a result, the Company's compensation committee approved the issuance of 90% of the shares that the committee determined had been earned according to the information available to the committee at the time. As of March 4, 2022, all such competitors had reported their 2021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Samantha Blons, Attorney- </w:t>
      </w:r>
      <w:r>
        <w:rPr>
          <w:rFonts w:ascii="Arial" w:cs="Arial" w:eastAsia="Arial" w:hAnsi="Arial"/>
          <w:sz w:val="32"/>
          <w:szCs w:val="32"/>
          <w:color w:val="0000FF"/>
          <w:vertAlign w:val="subscript"/>
        </w:rPr>
        <w:t>03/08/2022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34072"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2022-03-08T15:33:13Z</dcterms:created>
  <dcterms:modified xsi:type="dcterms:W3CDTF">2022-03-08T15:33:13Z</dcterms:modified>
</cp:coreProperties>
</file>