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Biguet Stephane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tcPr>
          <w:p>
            <w:pPr>
              <w:ind w:left="100"/>
              <w:spacing w:after="0" w:line="126" w:lineRule="exact"/>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line="12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03/03/2023</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tcPr>
          <w:p>
            <w:pPr>
              <w:ind w:left="720"/>
              <w:spacing w:after="0"/>
              <w:rPr>
                <w:sz w:val="20"/>
                <w:szCs w:val="20"/>
                <w:color w:val="auto"/>
              </w:rPr>
            </w:pPr>
            <w:r>
              <w:rPr>
                <w:rFonts w:ascii="Times New Roman" w:cs="Times New Roman" w:eastAsia="Times New Roman" w:hAnsi="Times New Roman"/>
                <w:sz w:val="17"/>
                <w:szCs w:val="17"/>
                <w:color w:val="0000FF"/>
              </w:rPr>
              <w:t>EVP &amp; CFO</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1,773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18,995</w:t>
            </w:r>
            <w:r>
              <w:rPr>
                <w:rFonts w:ascii="Times New Roman" w:cs="Times New Roman" w:eastAsia="Times New Roman" w:hAnsi="Times New Roman"/>
                <w:sz w:val="22"/>
                <w:szCs w:val="22"/>
                <w:color w:val="008000"/>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233,490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7,475</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55.17</w:t>
            </w: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226,015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15, 2020. Vesting of the PSUs was based on three-year Company performance relative to select key competitors. Most of these competitors had not reported their 2022 audited financial results when the Company's compensation committee met in January 2023 to certify performance under the PSUs. As a result, the Company's compensation committee approved the issuance of 80% of the shares that the committee determined had been earned according to the information available to the committee at the time. As of March 3, 2023, all such competitors had reported their 2022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273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2023-03-07T17:12:09Z</dcterms:created>
  <dcterms:modified xsi:type="dcterms:W3CDTF">2023-03-07T17:12:09Z</dcterms:modified>
</cp:coreProperties>
</file>