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160655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5"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188595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7"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April 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174625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SLB N.V. (SLB LIMITED)</w:t>
      </w:r>
    </w:p>
    <w:p>
      <w:pPr>
        <w:spacing w:after="0" w:line="48"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160655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60" w:right="439" w:bottom="1440" w:gutter="0" w:footer="0" w:header="0"/>
        </w:sect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7"/>
          <w:szCs w:val="17"/>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7" w:lineRule="exact"/>
        <w:rPr>
          <w:sz w:val="24"/>
          <w:szCs w:val="24"/>
          <w:color w:val="auto"/>
        </w:rPr>
      </w:pPr>
    </w:p>
    <w:p>
      <w:pPr>
        <w:jc w:val="center"/>
        <w:ind w:right="2160"/>
        <w:spacing w:after="0"/>
        <w:rPr>
          <w:sz w:val="20"/>
          <w:szCs w:val="20"/>
          <w:color w:val="auto"/>
        </w:rPr>
      </w:pPr>
      <w:r>
        <w:rPr>
          <w:rFonts w:ascii="Arial" w:cs="Arial" w:eastAsia="Arial" w:hAnsi="Arial"/>
          <w:sz w:val="17"/>
          <w:szCs w:val="17"/>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52-0684746</w:t>
      </w:r>
    </w:p>
    <w:p>
      <w:pPr>
        <w:spacing w:after="0" w:line="45" w:lineRule="exact"/>
        <w:rPr>
          <w:sz w:val="24"/>
          <w:szCs w:val="24"/>
          <w:color w:val="auto"/>
        </w:rPr>
      </w:pPr>
    </w:p>
    <w:p>
      <w:pPr>
        <w:sectPr>
          <w:pgSz w:w="11900" w:h="16838" w:orient="portrait"/>
          <w:cols w:equalWidth="0" w:num="3">
            <w:col w:w="4624" w:space="720"/>
            <w:col w:w="2720" w:space="720"/>
            <w:col w:w="2240"/>
          </w:cols>
          <w:pgMar w:left="436" w:top="460" w:right="439" w:bottom="1440" w:gutter="0" w:footer="0" w:header="0"/>
          <w:type w:val="continuous"/>
        </w:sectPr>
      </w:pPr>
    </w:p>
    <w:p>
      <w:pPr>
        <w:jc w:val="center"/>
        <w:ind w:right="716"/>
        <w:spacing w:after="0"/>
        <w:rPr>
          <w:sz w:val="20"/>
          <w:szCs w:val="20"/>
          <w:color w:val="auto"/>
        </w:rPr>
      </w:pPr>
      <w:r>
        <w:rPr>
          <w:rFonts w:ascii="Arial" w:cs="Arial" w:eastAsia="Arial" w:hAnsi="Arial"/>
          <w:sz w:val="14"/>
          <w:szCs w:val="14"/>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126" w:lineRule="exact"/>
        <w:rPr>
          <w:sz w:val="24"/>
          <w:szCs w:val="24"/>
          <w:color w:val="auto"/>
        </w:rPr>
      </w:pPr>
    </w:p>
    <w:p>
      <w:pPr>
        <w:sectPr>
          <w:pgSz w:w="11900" w:h="16838" w:orient="portrait"/>
          <w:cols w:equalWidth="0" w:num="3">
            <w:col w:w="4444" w:space="720"/>
            <w:col w:w="2760" w:space="720"/>
            <w:col w:w="2380"/>
          </w:cols>
          <w:pgMar w:left="436" w:top="460"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1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5599 San Felipe, Houston, Texas , U.S.A . 77056</w:t>
      </w:r>
    </w:p>
    <w:p>
      <w:pPr>
        <w:spacing w:after="0" w:line="9"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460" w:right="439" w:bottom="1440" w:gutter="0" w:footer="0" w:header="0"/>
          <w:type w:val="continuous"/>
        </w:sectPr>
      </w:pPr>
    </w:p>
    <w:p>
      <w:pPr>
        <w:spacing w:after="0" w:line="12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172085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94" w:lineRule="exact"/>
        <w:rPr>
          <w:sz w:val="24"/>
          <w:szCs w:val="24"/>
          <w:color w:val="auto"/>
        </w:rPr>
      </w:pPr>
    </w:p>
    <w:p>
      <w:pPr>
        <w:ind w:left="4" w:right="12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1700" w:hanging="4"/>
        <w:spacing w:after="0" w:line="420"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32"/>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SLB</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80" w:lineRule="exact"/>
        <w:rPr>
          <w:sz w:val="24"/>
          <w:szCs w:val="24"/>
          <w:color w:val="auto"/>
        </w:rPr>
      </w:pPr>
    </w:p>
    <w:p>
      <w:pPr>
        <w:ind w:left="4" w:right="66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6"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86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60"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Arial" w:cs="Arial" w:eastAsia="Arial" w:hAnsi="Arial"/>
          <w:sz w:val="18"/>
          <w:szCs w:val="18"/>
          <w:b w:val="1"/>
          <w:bCs w:val="1"/>
          <w:color w:val="auto"/>
        </w:rPr>
        <w:t>Submission of Matters to a Vote of Security Holders.</w:t>
      </w:r>
    </w:p>
    <w:p>
      <w:pPr>
        <w:spacing w:after="0" w:line="104" w:lineRule="exact"/>
        <w:rPr>
          <w:sz w:val="20"/>
          <w:szCs w:val="20"/>
          <w:color w:val="auto"/>
        </w:rPr>
      </w:pPr>
    </w:p>
    <w:p>
      <w:pPr>
        <w:ind w:right="140" w:firstLine="440"/>
        <w:spacing w:after="0" w:line="253" w:lineRule="auto"/>
        <w:rPr>
          <w:sz w:val="20"/>
          <w:szCs w:val="20"/>
          <w:color w:val="auto"/>
        </w:rPr>
      </w:pPr>
      <w:r>
        <w:rPr>
          <w:rFonts w:ascii="Arial" w:cs="Arial" w:eastAsia="Arial" w:hAnsi="Arial"/>
          <w:sz w:val="18"/>
          <w:szCs w:val="18"/>
          <w:color w:val="auto"/>
        </w:rPr>
        <w:t>The 2026 Annual General Meeting of Shareholders (the “Annual Meeting”) of SLB Limited (SLB N.V.), a Curaçao corporation (“SLB”), was held on April 8, 2026. All director nominees were elected and all other proposals passed at the Annual Meeting. The results are summarized below, with detailed voting results following.</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the Annual Meeting, the shareholders of SLB:</w:t>
      </w:r>
    </w:p>
    <w:p>
      <w:pPr>
        <w:spacing w:after="0" w:line="117" w:lineRule="exact"/>
        <w:rPr>
          <w:sz w:val="20"/>
          <w:szCs w:val="20"/>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1—elected all nine director nominees;</w:t>
      </w:r>
    </w:p>
    <w:p>
      <w:pPr>
        <w:spacing w:after="0" w:line="117" w:lineRule="exact"/>
        <w:rPr>
          <w:rFonts w:ascii="Arial" w:cs="Arial" w:eastAsia="Arial" w:hAnsi="Arial"/>
          <w:sz w:val="18"/>
          <w:szCs w:val="18"/>
          <w:color w:val="auto"/>
        </w:rPr>
      </w:pPr>
    </w:p>
    <w:p>
      <w:pPr>
        <w:ind w:left="960" w:hanging="424"/>
        <w:spacing w:after="0" w:line="271"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2—approved, on an advisory basis, SLB’s executive compensation, with approximately 95.2% of the votes cast voting for this proposal;</w:t>
      </w:r>
    </w:p>
    <w:p>
      <w:pPr>
        <w:spacing w:after="0" w:line="59" w:lineRule="exact"/>
        <w:rPr>
          <w:rFonts w:ascii="Arial" w:cs="Arial" w:eastAsia="Arial" w:hAnsi="Arial"/>
          <w:sz w:val="18"/>
          <w:szCs w:val="18"/>
          <w:color w:val="auto"/>
        </w:rPr>
      </w:pPr>
    </w:p>
    <w:p>
      <w:pPr>
        <w:ind w:left="960" w:right="40" w:hanging="424"/>
        <w:spacing w:after="0" w:line="24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3—approved SLB’s consolidated balance sheet at December 31, 2025, its consolidated statement of income for the year ended December 31, 2025, and the declarations of dividends by SLB’s Board of Directors in 2025 as reflected in its Annual Report on Form 10-K for the fiscal year ended December 31, 2025, with approximately 99.8% of the votes cast voting for this proposal;</w:t>
      </w:r>
    </w:p>
    <w:p>
      <w:pPr>
        <w:spacing w:after="0" w:line="79" w:lineRule="exact"/>
        <w:rPr>
          <w:rFonts w:ascii="Arial" w:cs="Arial" w:eastAsia="Arial" w:hAnsi="Arial"/>
          <w:sz w:val="18"/>
          <w:szCs w:val="18"/>
          <w:color w:val="auto"/>
        </w:rPr>
      </w:pPr>
    </w:p>
    <w:p>
      <w:pPr>
        <w:ind w:left="960" w:right="820" w:hanging="424"/>
        <w:spacing w:after="0" w:line="271"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4—ratified the appointment of PricewaterhouseCoopers LLP as the independent auditors of SLB for 2026, with approximately 92.8% of the votes cast voting for this proposal; and</w:t>
      </w:r>
    </w:p>
    <w:p>
      <w:pPr>
        <w:spacing w:after="0" w:line="59" w:lineRule="exact"/>
        <w:rPr>
          <w:rFonts w:ascii="Arial" w:cs="Arial" w:eastAsia="Arial" w:hAnsi="Arial"/>
          <w:sz w:val="18"/>
          <w:szCs w:val="18"/>
          <w:color w:val="auto"/>
        </w:rPr>
      </w:pPr>
    </w:p>
    <w:p>
      <w:pPr>
        <w:ind w:left="960" w:hanging="424"/>
        <w:spacing w:after="0" w:line="271"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5—approved the amendment and restatement of the 2017 SLB Omnibus Stock Incentive Plan, with approximately 97.6% of the votes cast voting for this proposal.</w:t>
      </w:r>
    </w:p>
    <w:p>
      <w:pPr>
        <w:spacing w:after="0" w:line="46" w:lineRule="exact"/>
        <w:rPr>
          <w:sz w:val="20"/>
          <w:szCs w:val="20"/>
          <w:color w:val="auto"/>
        </w:rPr>
      </w:pPr>
    </w:p>
    <w:p>
      <w:pPr>
        <w:ind w:right="280" w:firstLine="440"/>
        <w:spacing w:after="0" w:line="271" w:lineRule="auto"/>
        <w:rPr>
          <w:sz w:val="20"/>
          <w:szCs w:val="20"/>
          <w:color w:val="auto"/>
        </w:rPr>
      </w:pPr>
      <w:r>
        <w:rPr>
          <w:rFonts w:ascii="Arial" w:cs="Arial" w:eastAsia="Arial" w:hAnsi="Arial"/>
          <w:sz w:val="18"/>
          <w:szCs w:val="18"/>
          <w:color w:val="auto"/>
        </w:rPr>
        <w:t>The proposals are described in detail in SLB’s definitive proxy statement for the Annual Meeting, which was filed with the SEC on February 26, 2026 (the “Definitive Proxy Statement”).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1—Election of Directors</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director nominees were elected at the Annual Meeting.</w:t>
      </w:r>
    </w:p>
    <w:p>
      <w:pPr>
        <w:spacing w:after="0" w:line="248"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jc w:val="right"/>
              <w:ind w:right="273"/>
              <w:spacing w:after="0"/>
              <w:rPr>
                <w:sz w:val="20"/>
                <w:szCs w:val="20"/>
                <w:color w:val="auto"/>
              </w:rPr>
            </w:pPr>
            <w:r>
              <w:rPr>
                <w:rFonts w:ascii="Arial" w:cs="Arial" w:eastAsia="Arial" w:hAnsi="Arial"/>
                <w:sz w:val="14"/>
                <w:szCs w:val="14"/>
                <w:b w:val="1"/>
                <w:bCs w:val="1"/>
                <w:color w:val="auto"/>
              </w:rPr>
              <w:t>Broker</w:t>
            </w:r>
          </w:p>
        </w:tc>
      </w:tr>
      <w:tr>
        <w:trPr>
          <w:trHeight w:val="171"/>
        </w:trPr>
        <w:tc>
          <w:tcPr>
            <w:tcW w:w="3660" w:type="dxa"/>
            <w:vAlign w:val="bottom"/>
          </w:tcPr>
          <w:p>
            <w:pPr>
              <w:spacing w:after="0"/>
              <w:rPr>
                <w:sz w:val="14"/>
                <w:szCs w:val="14"/>
                <w:color w:val="auto"/>
              </w:rPr>
            </w:pPr>
          </w:p>
        </w:tc>
        <w:tc>
          <w:tcPr>
            <w:tcW w:w="2880" w:type="dxa"/>
            <w:vAlign w:val="bottom"/>
          </w:tcPr>
          <w:p>
            <w:pPr>
              <w:jc w:val="right"/>
              <w:ind w:right="572"/>
              <w:spacing w:after="0"/>
              <w:rPr>
                <w:sz w:val="20"/>
                <w:szCs w:val="20"/>
                <w:color w:val="auto"/>
              </w:rPr>
            </w:pPr>
            <w:r>
              <w:rPr>
                <w:rFonts w:ascii="Arial" w:cs="Arial" w:eastAsia="Arial" w:hAnsi="Arial"/>
                <w:sz w:val="14"/>
                <w:szCs w:val="14"/>
                <w:b w:val="1"/>
                <w:bCs w:val="1"/>
                <w:color w:val="auto"/>
              </w:rPr>
              <w:t>For</w:t>
            </w:r>
          </w:p>
        </w:tc>
        <w:tc>
          <w:tcPr>
            <w:tcW w:w="1320" w:type="dxa"/>
            <w:vAlign w:val="bottom"/>
          </w:tcPr>
          <w:p>
            <w:pPr>
              <w:jc w:val="right"/>
              <w:ind w:right="352"/>
              <w:spacing w:after="0"/>
              <w:rPr>
                <w:sz w:val="20"/>
                <w:szCs w:val="20"/>
                <w:color w:val="auto"/>
              </w:rPr>
            </w:pPr>
            <w:r>
              <w:rPr>
                <w:rFonts w:ascii="Arial" w:cs="Arial" w:eastAsia="Arial" w:hAnsi="Arial"/>
                <w:sz w:val="14"/>
                <w:szCs w:val="14"/>
                <w:b w:val="1"/>
                <w:bCs w:val="1"/>
                <w:color w:val="auto"/>
              </w:rPr>
              <w:t>Against</w:t>
            </w:r>
          </w:p>
        </w:tc>
        <w:tc>
          <w:tcPr>
            <w:tcW w:w="1080" w:type="dxa"/>
            <w:vAlign w:val="bottom"/>
          </w:tcPr>
          <w:p>
            <w:pPr>
              <w:jc w:val="right"/>
              <w:ind w:right="192"/>
              <w:spacing w:after="0"/>
              <w:rPr>
                <w:sz w:val="20"/>
                <w:szCs w:val="20"/>
                <w:color w:val="auto"/>
              </w:rPr>
            </w:pPr>
            <w:r>
              <w:rPr>
                <w:rFonts w:ascii="Arial" w:cs="Arial" w:eastAsia="Arial" w:hAnsi="Arial"/>
                <w:sz w:val="14"/>
                <w:szCs w:val="14"/>
                <w:b w:val="1"/>
                <w:bCs w:val="1"/>
                <w:color w:val="auto"/>
              </w:rPr>
              <w:t>Abstain</w:t>
            </w:r>
          </w:p>
        </w:tc>
        <w:tc>
          <w:tcPr>
            <w:tcW w:w="1180" w:type="dxa"/>
            <w:vAlign w:val="bottom"/>
          </w:tcPr>
          <w:p>
            <w:pPr>
              <w:jc w:val="right"/>
              <w:ind w:right="153"/>
              <w:spacing w:after="0"/>
              <w:rPr>
                <w:sz w:val="20"/>
                <w:szCs w:val="20"/>
                <w:color w:val="auto"/>
              </w:rPr>
            </w:pPr>
            <w:r>
              <w:rPr>
                <w:rFonts w:ascii="Arial" w:cs="Arial" w:eastAsia="Arial" w:hAnsi="Arial"/>
                <w:sz w:val="14"/>
                <w:szCs w:val="14"/>
                <w:b w:val="1"/>
                <w:bCs w:val="1"/>
                <w:color w:val="auto"/>
              </w:rPr>
              <w:t>Non-votes</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Peter Coleman</w:t>
            </w:r>
          </w:p>
        </w:tc>
        <w:tc>
          <w:tcPr>
            <w:tcW w:w="2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1,123,467,343</w:t>
            </w: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41,415,422</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677,728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122,827,419</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Patrick de La Chevardière</w:t>
            </w:r>
          </w:p>
        </w:tc>
        <w:tc>
          <w:tcPr>
            <w:tcW w:w="2880" w:type="dxa"/>
            <w:vAlign w:val="bottom"/>
          </w:tcPr>
          <w:p>
            <w:pPr>
              <w:jc w:val="right"/>
              <w:ind w:right="72"/>
              <w:spacing w:after="0"/>
              <w:rPr>
                <w:sz w:val="20"/>
                <w:szCs w:val="20"/>
                <w:color w:val="auto"/>
              </w:rPr>
            </w:pPr>
            <w:r>
              <w:rPr>
                <w:rFonts w:ascii="Arial" w:cs="Arial" w:eastAsia="Arial" w:hAnsi="Arial"/>
                <w:sz w:val="18"/>
                <w:szCs w:val="18"/>
                <w:color w:val="auto"/>
              </w:rPr>
              <w:t>1,145,286,904</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19,643,213</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630,376</w:t>
            </w:r>
          </w:p>
        </w:tc>
        <w:tc>
          <w:tcPr>
            <w:tcW w:w="1180" w:type="dxa"/>
            <w:vAlign w:val="bottom"/>
          </w:tcPr>
          <w:p>
            <w:pPr>
              <w:jc w:val="right"/>
              <w:spacing w:after="0"/>
              <w:rPr>
                <w:sz w:val="20"/>
                <w:szCs w:val="20"/>
                <w:color w:val="auto"/>
              </w:rPr>
            </w:pPr>
            <w:r>
              <w:rPr>
                <w:rFonts w:ascii="Arial" w:cs="Arial" w:eastAsia="Arial" w:hAnsi="Arial"/>
                <w:sz w:val="18"/>
                <w:szCs w:val="18"/>
                <w:color w:val="auto"/>
              </w:rPr>
              <w:t>122,827,419</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Miguel Galuccio</w:t>
            </w:r>
          </w:p>
        </w:tc>
        <w:tc>
          <w:tcPr>
            <w:tcW w:w="2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1,079,683,507</w:t>
            </w: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85,203,243</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673,742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122,827,419</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Jim Hackett</w:t>
            </w:r>
          </w:p>
        </w:tc>
        <w:tc>
          <w:tcPr>
            <w:tcW w:w="2880" w:type="dxa"/>
            <w:vAlign w:val="bottom"/>
          </w:tcPr>
          <w:p>
            <w:pPr>
              <w:jc w:val="right"/>
              <w:ind w:right="72"/>
              <w:spacing w:after="0"/>
              <w:rPr>
                <w:sz w:val="20"/>
                <w:szCs w:val="20"/>
                <w:color w:val="auto"/>
              </w:rPr>
            </w:pPr>
            <w:r>
              <w:rPr>
                <w:rFonts w:ascii="Arial" w:cs="Arial" w:eastAsia="Arial" w:hAnsi="Arial"/>
                <w:sz w:val="18"/>
                <w:szCs w:val="18"/>
                <w:color w:val="auto"/>
              </w:rPr>
              <w:t>1,143,921,970</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20,987,512</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651,011</w:t>
            </w:r>
          </w:p>
        </w:tc>
        <w:tc>
          <w:tcPr>
            <w:tcW w:w="1180" w:type="dxa"/>
            <w:vAlign w:val="bottom"/>
          </w:tcPr>
          <w:p>
            <w:pPr>
              <w:jc w:val="right"/>
              <w:spacing w:after="0"/>
              <w:rPr>
                <w:sz w:val="20"/>
                <w:szCs w:val="20"/>
                <w:color w:val="auto"/>
              </w:rPr>
            </w:pPr>
            <w:r>
              <w:rPr>
                <w:rFonts w:ascii="Arial" w:cs="Arial" w:eastAsia="Arial" w:hAnsi="Arial"/>
                <w:sz w:val="18"/>
                <w:szCs w:val="18"/>
                <w:color w:val="auto"/>
              </w:rPr>
              <w:t>122,827,419</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Olivier Le Peuch</w:t>
            </w:r>
          </w:p>
        </w:tc>
        <w:tc>
          <w:tcPr>
            <w:tcW w:w="2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1,162,066,524</w:t>
            </w: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2,879,057</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614,912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122,827,419</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Samuel Leupold</w:t>
            </w:r>
          </w:p>
        </w:tc>
        <w:tc>
          <w:tcPr>
            <w:tcW w:w="2880" w:type="dxa"/>
            <w:vAlign w:val="bottom"/>
          </w:tcPr>
          <w:p>
            <w:pPr>
              <w:jc w:val="right"/>
              <w:ind w:right="72"/>
              <w:spacing w:after="0"/>
              <w:rPr>
                <w:sz w:val="20"/>
                <w:szCs w:val="20"/>
                <w:color w:val="auto"/>
              </w:rPr>
            </w:pPr>
            <w:r>
              <w:rPr>
                <w:rFonts w:ascii="Arial" w:cs="Arial" w:eastAsia="Arial" w:hAnsi="Arial"/>
                <w:sz w:val="18"/>
                <w:szCs w:val="18"/>
                <w:color w:val="auto"/>
              </w:rPr>
              <w:t>1,151,076,060</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13,830,259</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654,174</w:t>
            </w:r>
          </w:p>
        </w:tc>
        <w:tc>
          <w:tcPr>
            <w:tcW w:w="1180" w:type="dxa"/>
            <w:vAlign w:val="bottom"/>
          </w:tcPr>
          <w:p>
            <w:pPr>
              <w:jc w:val="right"/>
              <w:spacing w:after="0"/>
              <w:rPr>
                <w:sz w:val="20"/>
                <w:szCs w:val="20"/>
                <w:color w:val="auto"/>
              </w:rPr>
            </w:pPr>
            <w:r>
              <w:rPr>
                <w:rFonts w:ascii="Arial" w:cs="Arial" w:eastAsia="Arial" w:hAnsi="Arial"/>
                <w:sz w:val="18"/>
                <w:szCs w:val="18"/>
                <w:color w:val="auto"/>
              </w:rPr>
              <w:t>122,827,419</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Maria Moræus Hanssen</w:t>
            </w:r>
          </w:p>
        </w:tc>
        <w:tc>
          <w:tcPr>
            <w:tcW w:w="2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1,135,486,095</w:t>
            </w: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28,400,834</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1,673,564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122,827,419</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Vanitha Narayanan</w:t>
            </w:r>
          </w:p>
        </w:tc>
        <w:tc>
          <w:tcPr>
            <w:tcW w:w="2880" w:type="dxa"/>
            <w:vAlign w:val="bottom"/>
          </w:tcPr>
          <w:p>
            <w:pPr>
              <w:jc w:val="right"/>
              <w:ind w:right="72"/>
              <w:spacing w:after="0"/>
              <w:rPr>
                <w:sz w:val="20"/>
                <w:szCs w:val="20"/>
                <w:color w:val="auto"/>
              </w:rPr>
            </w:pPr>
            <w:r>
              <w:rPr>
                <w:rFonts w:ascii="Arial" w:cs="Arial" w:eastAsia="Arial" w:hAnsi="Arial"/>
                <w:sz w:val="18"/>
                <w:szCs w:val="18"/>
                <w:color w:val="auto"/>
              </w:rPr>
              <w:t>1,057,189,917</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107,275,366</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1,095,210</w:t>
            </w:r>
          </w:p>
        </w:tc>
        <w:tc>
          <w:tcPr>
            <w:tcW w:w="1180" w:type="dxa"/>
            <w:vAlign w:val="bottom"/>
          </w:tcPr>
          <w:p>
            <w:pPr>
              <w:jc w:val="right"/>
              <w:spacing w:after="0"/>
              <w:rPr>
                <w:sz w:val="20"/>
                <w:szCs w:val="20"/>
                <w:color w:val="auto"/>
              </w:rPr>
            </w:pPr>
            <w:r>
              <w:rPr>
                <w:rFonts w:ascii="Arial" w:cs="Arial" w:eastAsia="Arial" w:hAnsi="Arial"/>
                <w:sz w:val="18"/>
                <w:szCs w:val="18"/>
                <w:color w:val="auto"/>
              </w:rPr>
              <w:t>122,827,419</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Jeff Sheets</w:t>
            </w:r>
          </w:p>
        </w:tc>
        <w:tc>
          <w:tcPr>
            <w:tcW w:w="2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1,140,575,333</w:t>
            </w: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24,346,633</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638,526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122,827,419</w:t>
            </w: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2—Advisory Approval of Executive Compensation</w:t>
      </w:r>
    </w:p>
    <w:p>
      <w:pPr>
        <w:spacing w:after="0" w:line="102" w:lineRule="exact"/>
        <w:rPr>
          <w:sz w:val="20"/>
          <w:szCs w:val="20"/>
          <w:color w:val="auto"/>
        </w:rPr>
      </w:pPr>
    </w:p>
    <w:p>
      <w:pPr>
        <w:ind w:right="280" w:firstLine="440"/>
        <w:spacing w:after="0" w:line="271" w:lineRule="auto"/>
        <w:rPr>
          <w:sz w:val="20"/>
          <w:szCs w:val="20"/>
          <w:color w:val="auto"/>
        </w:rPr>
      </w:pPr>
      <w:r>
        <w:rPr>
          <w:rFonts w:ascii="Arial" w:cs="Arial" w:eastAsia="Arial" w:hAnsi="Arial"/>
          <w:sz w:val="18"/>
          <w:szCs w:val="18"/>
          <w:color w:val="auto"/>
        </w:rPr>
        <w:t>The advisory resolution to approve SLB’s executive compensation, as described in the Definitive Proxy Statement, was approved with approximately 95.2% of the votes cast at the Annual Meeting voting for the proposal.</w:t>
      </w:r>
    </w:p>
    <w:p>
      <w:pPr>
        <w:spacing w:after="0" w:line="190"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2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For</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Against</w:t>
            </w:r>
          </w:p>
        </w:tc>
        <w:tc>
          <w:tcPr>
            <w:tcW w:w="2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Abstain</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rPr>
              <w:t>Broker Non-votes</w:t>
            </w:r>
          </w:p>
        </w:tc>
      </w:tr>
      <w:tr>
        <w:trPr>
          <w:trHeight w:val="196"/>
        </w:trPr>
        <w:tc>
          <w:tcPr>
            <w:tcW w:w="2440" w:type="dxa"/>
            <w:vAlign w:val="bottom"/>
            <w:tcBorders>
              <w:top w:val="single" w:sz="8" w:color="auto"/>
            </w:tcBorders>
            <w:shd w:val="clear" w:color="auto" w:fill="CCEEFF"/>
          </w:tcPr>
          <w:p>
            <w:pPr>
              <w:jc w:val="right"/>
              <w:ind w:right="559"/>
              <w:spacing w:after="0" w:line="196" w:lineRule="exact"/>
              <w:rPr>
                <w:sz w:val="20"/>
                <w:szCs w:val="20"/>
                <w:color w:val="auto"/>
              </w:rPr>
            </w:pPr>
            <w:r>
              <w:rPr>
                <w:rFonts w:ascii="Arial" w:cs="Arial" w:eastAsia="Arial" w:hAnsi="Arial"/>
                <w:sz w:val="18"/>
                <w:szCs w:val="18"/>
                <w:color w:val="auto"/>
              </w:rPr>
              <w:t>1,099,549,860</w:t>
            </w:r>
          </w:p>
        </w:tc>
        <w:tc>
          <w:tcPr>
            <w:tcW w:w="12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jc w:val="right"/>
              <w:ind w:right="679"/>
              <w:spacing w:after="0" w:line="196" w:lineRule="exact"/>
              <w:rPr>
                <w:sz w:val="20"/>
                <w:szCs w:val="20"/>
                <w:color w:val="auto"/>
              </w:rPr>
            </w:pPr>
            <w:r>
              <w:rPr>
                <w:rFonts w:ascii="Arial" w:cs="Arial" w:eastAsia="Arial" w:hAnsi="Arial"/>
                <w:sz w:val="18"/>
                <w:szCs w:val="18"/>
                <w:color w:val="auto"/>
              </w:rPr>
              <w:t>55,289,610</w:t>
            </w:r>
          </w:p>
        </w:tc>
        <w:tc>
          <w:tcPr>
            <w:tcW w:w="100" w:type="dxa"/>
            <w:vAlign w:val="bottom"/>
            <w:tcBorders>
              <w:top w:val="single" w:sz="8" w:color="CCEEFF"/>
            </w:tcBorders>
            <w:shd w:val="clear" w:color="auto" w:fill="CCEEFF"/>
          </w:tcPr>
          <w:p>
            <w:pPr>
              <w:spacing w:after="0"/>
              <w:rPr>
                <w:sz w:val="17"/>
                <w:szCs w:val="17"/>
                <w:color w:val="auto"/>
              </w:rPr>
            </w:pPr>
          </w:p>
        </w:tc>
        <w:tc>
          <w:tcPr>
            <w:tcW w:w="2520" w:type="dxa"/>
            <w:vAlign w:val="bottom"/>
            <w:tcBorders>
              <w:top w:val="single" w:sz="8" w:color="auto"/>
            </w:tcBorders>
            <w:shd w:val="clear" w:color="auto" w:fill="CCEEFF"/>
          </w:tcPr>
          <w:p>
            <w:pPr>
              <w:jc w:val="right"/>
              <w:ind w:right="719"/>
              <w:spacing w:after="0" w:line="196" w:lineRule="exact"/>
              <w:rPr>
                <w:sz w:val="20"/>
                <w:szCs w:val="20"/>
                <w:color w:val="auto"/>
              </w:rPr>
            </w:pPr>
            <w:r>
              <w:rPr>
                <w:rFonts w:ascii="Arial" w:cs="Arial" w:eastAsia="Arial" w:hAnsi="Arial"/>
                <w:sz w:val="18"/>
                <w:szCs w:val="18"/>
                <w:color w:val="auto"/>
              </w:rPr>
              <w:t>10,721,023</w:t>
            </w:r>
          </w:p>
        </w:tc>
        <w:tc>
          <w:tcPr>
            <w:tcW w:w="10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jc w:val="right"/>
              <w:ind w:right="619"/>
              <w:spacing w:after="0" w:line="196" w:lineRule="exact"/>
              <w:rPr>
                <w:sz w:val="20"/>
                <w:szCs w:val="20"/>
                <w:color w:val="auto"/>
              </w:rPr>
            </w:pPr>
            <w:r>
              <w:rPr>
                <w:rFonts w:ascii="Arial" w:cs="Arial" w:eastAsia="Arial" w:hAnsi="Arial"/>
                <w:sz w:val="18"/>
                <w:szCs w:val="18"/>
                <w:color w:val="auto"/>
              </w:rPr>
              <w:t>122,827,419</w:t>
            </w: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3—Financial Statements and Dividends</w:t>
      </w:r>
    </w:p>
    <w:p>
      <w:pPr>
        <w:spacing w:after="0" w:line="102" w:lineRule="exact"/>
        <w:rPr>
          <w:sz w:val="20"/>
          <w:szCs w:val="20"/>
          <w:color w:val="auto"/>
        </w:rPr>
      </w:pPr>
    </w:p>
    <w:p>
      <w:pPr>
        <w:ind w:firstLine="440"/>
        <w:spacing w:after="0" w:line="247" w:lineRule="auto"/>
        <w:rPr>
          <w:sz w:val="20"/>
          <w:szCs w:val="20"/>
          <w:color w:val="auto"/>
        </w:rPr>
      </w:pPr>
      <w:r>
        <w:rPr>
          <w:rFonts w:ascii="Arial" w:cs="Arial" w:eastAsia="Arial" w:hAnsi="Arial"/>
          <w:sz w:val="18"/>
          <w:szCs w:val="18"/>
          <w:color w:val="auto"/>
        </w:rPr>
        <w:t>The proposal to approve SLB’s consolidated balance sheet at December 31, 2025, its consolidated statement of income for the year ended December 31, 2025, and the declarations of dividends by SLB’s Board of Directors in 2025 as reflected in its Annual Report on Form 10-K for the fiscal year ended December 31, 2025, as described in the Definitive Proxy Statement, was approved with approximately 99.8% of the votes cast at the Annual Meeting voting for the proposal.</w:t>
      </w:r>
    </w:p>
    <w:p>
      <w:pPr>
        <w:spacing w:after="0" w:line="211"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2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For</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Against</w:t>
            </w:r>
          </w:p>
        </w:tc>
        <w:tc>
          <w:tcPr>
            <w:tcW w:w="2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Abstain</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rPr>
              <w:t>Broker Non-votes</w:t>
            </w:r>
          </w:p>
        </w:tc>
      </w:tr>
      <w:tr>
        <w:trPr>
          <w:trHeight w:val="196"/>
        </w:trPr>
        <w:tc>
          <w:tcPr>
            <w:tcW w:w="2440" w:type="dxa"/>
            <w:vAlign w:val="bottom"/>
            <w:tcBorders>
              <w:top w:val="single" w:sz="8" w:color="auto"/>
            </w:tcBorders>
            <w:shd w:val="clear" w:color="auto" w:fill="CCEEFF"/>
          </w:tcPr>
          <w:p>
            <w:pPr>
              <w:jc w:val="right"/>
              <w:ind w:right="559"/>
              <w:spacing w:after="0" w:line="196" w:lineRule="exact"/>
              <w:rPr>
                <w:sz w:val="20"/>
                <w:szCs w:val="20"/>
                <w:color w:val="auto"/>
              </w:rPr>
            </w:pPr>
            <w:r>
              <w:rPr>
                <w:rFonts w:ascii="Arial" w:cs="Arial" w:eastAsia="Arial" w:hAnsi="Arial"/>
                <w:sz w:val="18"/>
                <w:szCs w:val="18"/>
                <w:color w:val="auto"/>
              </w:rPr>
              <w:t>1,283,629,554</w:t>
            </w:r>
          </w:p>
        </w:tc>
        <w:tc>
          <w:tcPr>
            <w:tcW w:w="12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jc w:val="right"/>
              <w:ind w:right="739"/>
              <w:spacing w:after="0" w:line="196" w:lineRule="exact"/>
              <w:rPr>
                <w:sz w:val="20"/>
                <w:szCs w:val="20"/>
                <w:color w:val="auto"/>
              </w:rPr>
            </w:pPr>
            <w:r>
              <w:rPr>
                <w:rFonts w:ascii="Arial" w:cs="Arial" w:eastAsia="Arial" w:hAnsi="Arial"/>
                <w:sz w:val="18"/>
                <w:szCs w:val="18"/>
                <w:color w:val="auto"/>
              </w:rPr>
              <w:t>2,350,284</w:t>
            </w:r>
          </w:p>
        </w:tc>
        <w:tc>
          <w:tcPr>
            <w:tcW w:w="100" w:type="dxa"/>
            <w:vAlign w:val="bottom"/>
            <w:tcBorders>
              <w:top w:val="single" w:sz="8" w:color="CCEEFF"/>
            </w:tcBorders>
            <w:shd w:val="clear" w:color="auto" w:fill="CCEEFF"/>
          </w:tcPr>
          <w:p>
            <w:pPr>
              <w:spacing w:after="0"/>
              <w:rPr>
                <w:sz w:val="17"/>
                <w:szCs w:val="17"/>
                <w:color w:val="auto"/>
              </w:rPr>
            </w:pPr>
          </w:p>
        </w:tc>
        <w:tc>
          <w:tcPr>
            <w:tcW w:w="2520" w:type="dxa"/>
            <w:vAlign w:val="bottom"/>
            <w:tcBorders>
              <w:top w:val="single" w:sz="8" w:color="auto"/>
            </w:tcBorders>
            <w:shd w:val="clear" w:color="auto" w:fill="CCEEFF"/>
          </w:tcPr>
          <w:p>
            <w:pPr>
              <w:jc w:val="right"/>
              <w:ind w:right="779"/>
              <w:spacing w:after="0" w:line="196" w:lineRule="exact"/>
              <w:rPr>
                <w:sz w:val="20"/>
                <w:szCs w:val="20"/>
                <w:color w:val="auto"/>
              </w:rPr>
            </w:pPr>
            <w:r>
              <w:rPr>
                <w:rFonts w:ascii="Arial" w:cs="Arial" w:eastAsia="Arial" w:hAnsi="Arial"/>
                <w:sz w:val="18"/>
                <w:szCs w:val="18"/>
                <w:color w:val="auto"/>
              </w:rPr>
              <w:t>2,408,074</w:t>
            </w:r>
          </w:p>
        </w:tc>
        <w:tc>
          <w:tcPr>
            <w:tcW w:w="10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r>
    </w:tbl>
    <w:p>
      <w:pPr>
        <w:sectPr>
          <w:pgSz w:w="11900" w:h="16838" w:orient="portrait"/>
          <w:cols w:equalWidth="0" w:num="1">
            <w:col w:w="10980"/>
          </w:cols>
          <w:pgMar w:left="440" w:top="296"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4—Independent Registered Public Accounting Firm</w:t>
      </w:r>
    </w:p>
    <w:p>
      <w:pPr>
        <w:spacing w:after="0" w:line="102" w:lineRule="exact"/>
        <w:rPr>
          <w:sz w:val="20"/>
          <w:szCs w:val="20"/>
          <w:color w:val="auto"/>
        </w:rPr>
      </w:pPr>
    </w:p>
    <w:p>
      <w:pPr>
        <w:ind w:firstLine="440"/>
        <w:spacing w:after="0" w:line="271" w:lineRule="auto"/>
        <w:rPr>
          <w:sz w:val="20"/>
          <w:szCs w:val="20"/>
          <w:color w:val="auto"/>
        </w:rPr>
      </w:pPr>
      <w:r>
        <w:rPr>
          <w:rFonts w:ascii="Arial" w:cs="Arial" w:eastAsia="Arial" w:hAnsi="Arial"/>
          <w:sz w:val="18"/>
          <w:szCs w:val="18"/>
          <w:color w:val="auto"/>
        </w:rPr>
        <w:t>The proposal to ratify the appointment of PricewaterhouseCoopers LLP as the independent auditors of SLB for 2026, as described in the Definitive Proxy Statement, was approved with approximately 92.8% of the votes cast at the Annual Meeting voting for the proposal.</w:t>
      </w:r>
    </w:p>
    <w:p>
      <w:pPr>
        <w:spacing w:after="0" w:line="190"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2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For</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Against</w:t>
            </w:r>
          </w:p>
        </w:tc>
        <w:tc>
          <w:tcPr>
            <w:tcW w:w="2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Abstain</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rPr>
              <w:t>Broker Non-votes</w:t>
            </w:r>
          </w:p>
        </w:tc>
      </w:tr>
      <w:tr>
        <w:trPr>
          <w:trHeight w:val="196"/>
        </w:trPr>
        <w:tc>
          <w:tcPr>
            <w:tcW w:w="2440" w:type="dxa"/>
            <w:vAlign w:val="bottom"/>
            <w:tcBorders>
              <w:top w:val="single" w:sz="8" w:color="auto"/>
            </w:tcBorders>
            <w:shd w:val="clear" w:color="auto" w:fill="CCEEFF"/>
          </w:tcPr>
          <w:p>
            <w:pPr>
              <w:jc w:val="right"/>
              <w:ind w:right="559"/>
              <w:spacing w:after="0" w:line="196" w:lineRule="exact"/>
              <w:rPr>
                <w:sz w:val="20"/>
                <w:szCs w:val="20"/>
                <w:color w:val="auto"/>
              </w:rPr>
            </w:pPr>
            <w:r>
              <w:rPr>
                <w:rFonts w:ascii="Arial" w:cs="Arial" w:eastAsia="Arial" w:hAnsi="Arial"/>
                <w:sz w:val="18"/>
                <w:szCs w:val="18"/>
                <w:color w:val="auto"/>
              </w:rPr>
              <w:t>1,194,714,274</w:t>
            </w:r>
          </w:p>
        </w:tc>
        <w:tc>
          <w:tcPr>
            <w:tcW w:w="12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jc w:val="right"/>
              <w:ind w:right="679"/>
              <w:spacing w:after="0" w:line="196" w:lineRule="exact"/>
              <w:rPr>
                <w:sz w:val="20"/>
                <w:szCs w:val="20"/>
                <w:color w:val="auto"/>
              </w:rPr>
            </w:pPr>
            <w:r>
              <w:rPr>
                <w:rFonts w:ascii="Arial" w:cs="Arial" w:eastAsia="Arial" w:hAnsi="Arial"/>
                <w:sz w:val="18"/>
                <w:szCs w:val="18"/>
                <w:color w:val="auto"/>
              </w:rPr>
              <w:t>92,853,324</w:t>
            </w:r>
          </w:p>
        </w:tc>
        <w:tc>
          <w:tcPr>
            <w:tcW w:w="100" w:type="dxa"/>
            <w:vAlign w:val="bottom"/>
            <w:tcBorders>
              <w:top w:val="single" w:sz="8" w:color="CCEEFF"/>
            </w:tcBorders>
            <w:shd w:val="clear" w:color="auto" w:fill="CCEEFF"/>
          </w:tcPr>
          <w:p>
            <w:pPr>
              <w:spacing w:after="0"/>
              <w:rPr>
                <w:sz w:val="17"/>
                <w:szCs w:val="17"/>
                <w:color w:val="auto"/>
              </w:rPr>
            </w:pPr>
          </w:p>
        </w:tc>
        <w:tc>
          <w:tcPr>
            <w:tcW w:w="2520" w:type="dxa"/>
            <w:vAlign w:val="bottom"/>
            <w:tcBorders>
              <w:top w:val="single" w:sz="8" w:color="auto"/>
            </w:tcBorders>
            <w:shd w:val="clear" w:color="auto" w:fill="CCEEFF"/>
          </w:tcPr>
          <w:p>
            <w:pPr>
              <w:jc w:val="right"/>
              <w:ind w:right="859"/>
              <w:spacing w:after="0" w:line="196" w:lineRule="exact"/>
              <w:rPr>
                <w:sz w:val="20"/>
                <w:szCs w:val="20"/>
                <w:color w:val="auto"/>
              </w:rPr>
            </w:pPr>
            <w:r>
              <w:rPr>
                <w:rFonts w:ascii="Arial" w:cs="Arial" w:eastAsia="Arial" w:hAnsi="Arial"/>
                <w:sz w:val="18"/>
                <w:szCs w:val="18"/>
                <w:color w:val="auto"/>
              </w:rPr>
              <w:t>820,313</w:t>
            </w:r>
          </w:p>
        </w:tc>
        <w:tc>
          <w:tcPr>
            <w:tcW w:w="10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5—2017 SLB Omnibus Stock Incentive Plan</w:t>
      </w:r>
    </w:p>
    <w:p>
      <w:pPr>
        <w:spacing w:after="0" w:line="102" w:lineRule="exact"/>
        <w:rPr>
          <w:sz w:val="20"/>
          <w:szCs w:val="20"/>
          <w:color w:val="auto"/>
        </w:rPr>
      </w:pPr>
    </w:p>
    <w:p>
      <w:pPr>
        <w:jc w:val="both"/>
        <w:ind w:right="500" w:firstLine="440"/>
        <w:spacing w:after="0" w:line="301" w:lineRule="auto"/>
        <w:rPr>
          <w:sz w:val="20"/>
          <w:szCs w:val="20"/>
          <w:color w:val="auto"/>
        </w:rPr>
      </w:pPr>
      <w:r>
        <w:rPr>
          <w:rFonts w:ascii="Arial" w:cs="Arial" w:eastAsia="Arial" w:hAnsi="Arial"/>
          <w:sz w:val="17"/>
          <w:szCs w:val="17"/>
          <w:color w:val="auto"/>
        </w:rPr>
        <w:t>The proposal to approve the amendment and restatement of the 2017 SLB Omnibus Stock Incentive Plan, as described in the Definitive Proxy Statement, was approved with approximately 97.6% of the votes cast at the Annual Meeting voting for the proposal.</w:t>
      </w:r>
    </w:p>
    <w:p>
      <w:pPr>
        <w:spacing w:after="0" w:line="167"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2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For</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Against</w:t>
            </w:r>
          </w:p>
        </w:tc>
        <w:tc>
          <w:tcPr>
            <w:tcW w:w="2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Abstain</w:t>
            </w: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rPr>
              <w:t>Broker Non-votes</w:t>
            </w:r>
          </w:p>
        </w:tc>
      </w:tr>
      <w:tr>
        <w:trPr>
          <w:trHeight w:val="196"/>
        </w:trPr>
        <w:tc>
          <w:tcPr>
            <w:tcW w:w="2440" w:type="dxa"/>
            <w:vAlign w:val="bottom"/>
            <w:tcBorders>
              <w:top w:val="single" w:sz="8" w:color="auto"/>
            </w:tcBorders>
            <w:shd w:val="clear" w:color="auto" w:fill="CCEEFF"/>
          </w:tcPr>
          <w:p>
            <w:pPr>
              <w:jc w:val="right"/>
              <w:ind w:right="579"/>
              <w:spacing w:after="0" w:line="196" w:lineRule="exact"/>
              <w:rPr>
                <w:sz w:val="20"/>
                <w:szCs w:val="20"/>
                <w:color w:val="auto"/>
              </w:rPr>
            </w:pPr>
            <w:r>
              <w:rPr>
                <w:rFonts w:ascii="Arial" w:cs="Arial" w:eastAsia="Arial" w:hAnsi="Arial"/>
                <w:sz w:val="18"/>
                <w:szCs w:val="18"/>
                <w:color w:val="auto"/>
              </w:rPr>
              <w:t>1,133,946,011</w:t>
            </w:r>
          </w:p>
        </w:tc>
        <w:tc>
          <w:tcPr>
            <w:tcW w:w="12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jc w:val="right"/>
              <w:ind w:right="679"/>
              <w:spacing w:after="0" w:line="196" w:lineRule="exact"/>
              <w:rPr>
                <w:sz w:val="20"/>
                <w:szCs w:val="20"/>
                <w:color w:val="auto"/>
              </w:rPr>
            </w:pPr>
            <w:r>
              <w:rPr>
                <w:rFonts w:ascii="Arial" w:cs="Arial" w:eastAsia="Arial" w:hAnsi="Arial"/>
                <w:sz w:val="18"/>
                <w:szCs w:val="18"/>
                <w:color w:val="auto"/>
              </w:rPr>
              <w:t>28,198,232</w:t>
            </w:r>
          </w:p>
        </w:tc>
        <w:tc>
          <w:tcPr>
            <w:tcW w:w="100" w:type="dxa"/>
            <w:vAlign w:val="bottom"/>
            <w:tcBorders>
              <w:top w:val="single" w:sz="8" w:color="CCEEFF"/>
            </w:tcBorders>
            <w:shd w:val="clear" w:color="auto" w:fill="CCEEFF"/>
          </w:tcPr>
          <w:p>
            <w:pPr>
              <w:spacing w:after="0"/>
              <w:rPr>
                <w:sz w:val="17"/>
                <w:szCs w:val="17"/>
                <w:color w:val="auto"/>
              </w:rPr>
            </w:pPr>
          </w:p>
        </w:tc>
        <w:tc>
          <w:tcPr>
            <w:tcW w:w="2520" w:type="dxa"/>
            <w:vAlign w:val="bottom"/>
            <w:tcBorders>
              <w:top w:val="single" w:sz="8" w:color="auto"/>
            </w:tcBorders>
            <w:shd w:val="clear" w:color="auto" w:fill="CCEEFF"/>
          </w:tcPr>
          <w:p>
            <w:pPr>
              <w:jc w:val="right"/>
              <w:ind w:right="779"/>
              <w:spacing w:after="0" w:line="196" w:lineRule="exact"/>
              <w:rPr>
                <w:sz w:val="20"/>
                <w:szCs w:val="20"/>
                <w:color w:val="auto"/>
              </w:rPr>
            </w:pPr>
            <w:r>
              <w:rPr>
                <w:rFonts w:ascii="Arial" w:cs="Arial" w:eastAsia="Arial" w:hAnsi="Arial"/>
                <w:sz w:val="18"/>
                <w:szCs w:val="18"/>
                <w:color w:val="auto"/>
              </w:rPr>
              <w:t>3,417,938</w:t>
            </w:r>
          </w:p>
        </w:tc>
        <w:tc>
          <w:tcPr>
            <w:tcW w:w="10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jc w:val="right"/>
              <w:ind w:right="619"/>
              <w:spacing w:after="0" w:line="196" w:lineRule="exact"/>
              <w:rPr>
                <w:sz w:val="20"/>
                <w:szCs w:val="20"/>
                <w:color w:val="auto"/>
              </w:rPr>
            </w:pPr>
            <w:r>
              <w:rPr>
                <w:rFonts w:ascii="Arial" w:cs="Arial" w:eastAsia="Arial" w:hAnsi="Arial"/>
                <w:sz w:val="18"/>
                <w:szCs w:val="18"/>
                <w:color w:val="auto"/>
              </w:rPr>
              <w:t>122,825,731</w:t>
            </w:r>
          </w:p>
        </w:tc>
      </w:tr>
    </w:tbl>
    <w:p>
      <w:pPr>
        <w:sectPr>
          <w:pgSz w:w="11900" w:h="16838" w:orient="portrait"/>
          <w:cols w:equalWidth="0" w:num="1">
            <w:col w:w="10980"/>
          </w:cols>
          <w:pgMar w:left="440" w:top="298" w:right="47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12" w:lineRule="exact"/>
        <w:rPr>
          <w:sz w:val="20"/>
          <w:szCs w:val="20"/>
          <w:color w:val="auto"/>
        </w:rPr>
      </w:pPr>
    </w:p>
    <w:p>
      <w:pPr>
        <w:ind w:firstLine="44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SLB LIMITED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Dianne B.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7946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Dianne B. Ralston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Chief Legal Officer and Secretary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April 8, 2026</w:t>
      </w:r>
    </w:p>
    <w:sectPr>
      <w:pgSz w:w="11900" w:h="16838" w:orient="portrait"/>
      <w:cols w:equalWidth="0" w:num="1">
        <w:col w:w="10840"/>
      </w:cols>
      <w:pgMar w:left="440" w:top="296"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2026-04-08T15:19:27Z</dcterms:created>
  <dcterms:modified xsi:type="dcterms:W3CDTF">2026-04-08T15:19:27Z</dcterms:modified>
</cp:coreProperties>
</file>