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27, 2010</w:t>
      </w:r>
    </w:p>
    <w:p>
      <w:pPr>
        <w:spacing w:after="0" w:line="1" w:lineRule="exact"/>
        <w:rPr>
          <w:sz w:val="24"/>
          <w:szCs w:val="24"/>
          <w:color w:val="auto"/>
        </w:rPr>
      </w:pPr>
    </w:p>
    <w:p>
      <w:pPr>
        <w:ind w:left="95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r>
        <w:rPr>
          <w:rFonts w:ascii="Arial" w:cs="Arial" w:eastAsia="Arial" w:hAnsi="Arial"/>
          <w:sz w:val="14"/>
          <w:szCs w:val="14"/>
          <w:color w:val="auto"/>
        </w:rPr>
        <w:t>)</w:t>
      </w:r>
    </w:p>
    <w:p>
      <w:pPr>
        <w:spacing w:after="0" w:line="81"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3440" w:type="dxa"/>
            <w:vAlign w:val="bottom"/>
          </w:tcPr>
          <w:p>
            <w:pPr>
              <w:jc w:val="center"/>
              <w:ind w:right="1626"/>
              <w:spacing w:after="0"/>
              <w:rPr>
                <w:sz w:val="20"/>
                <w:szCs w:val="20"/>
                <w:color w:val="auto"/>
              </w:rPr>
            </w:pPr>
            <w:r>
              <w:rPr>
                <w:rFonts w:ascii="Arial" w:cs="Arial" w:eastAsia="Arial" w:hAnsi="Arial"/>
                <w:sz w:val="18"/>
                <w:szCs w:val="18"/>
                <w:b w:val="1"/>
                <w:bCs w:val="1"/>
                <w:color w:val="auto"/>
                <w:w w:val="88"/>
              </w:rPr>
              <w:t>Netherlands Antilles</w:t>
            </w:r>
          </w:p>
        </w:tc>
        <w:tc>
          <w:tcPr>
            <w:tcW w:w="2380" w:type="dxa"/>
            <w:vAlign w:val="bottom"/>
          </w:tcPr>
          <w:p>
            <w:pPr>
              <w:jc w:val="center"/>
              <w:ind w:left="177"/>
              <w:spacing w:after="0"/>
              <w:rPr>
                <w:sz w:val="20"/>
                <w:szCs w:val="20"/>
                <w:color w:val="auto"/>
              </w:rPr>
            </w:pPr>
            <w:r>
              <w:rPr>
                <w:rFonts w:ascii="Arial" w:cs="Arial" w:eastAsia="Arial" w:hAnsi="Arial"/>
                <w:sz w:val="18"/>
                <w:szCs w:val="18"/>
                <w:b w:val="1"/>
                <w:bCs w:val="1"/>
                <w:color w:val="auto"/>
                <w:w w:val="89"/>
              </w:rPr>
              <w:t>1389</w:t>
            </w:r>
          </w:p>
        </w:tc>
        <w:tc>
          <w:tcPr>
            <w:tcW w:w="3360" w:type="dxa"/>
            <w:vAlign w:val="bottom"/>
          </w:tcPr>
          <w:p>
            <w:pPr>
              <w:jc w:val="center"/>
              <w:ind w:left="196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40" w:type="dxa"/>
            <w:vAlign w:val="bottom"/>
          </w:tcPr>
          <w:p>
            <w:pPr>
              <w:jc w:val="center"/>
              <w:ind w:right="162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3360" w:type="dxa"/>
            <w:vAlign w:val="bottom"/>
          </w:tcPr>
          <w:p>
            <w:pPr>
              <w:jc w:val="center"/>
              <w:ind w:left="19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40" w:type="dxa"/>
            <w:vAlign w:val="bottom"/>
          </w:tcPr>
          <w:p>
            <w:pPr>
              <w:jc w:val="center"/>
              <w:ind w:right="1606"/>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jc w:val="center"/>
              <w:ind w:left="177"/>
              <w:spacing w:after="0"/>
              <w:rPr>
                <w:sz w:val="20"/>
                <w:szCs w:val="20"/>
                <w:color w:val="auto"/>
              </w:rPr>
            </w:pPr>
            <w:r>
              <w:rPr>
                <w:rFonts w:ascii="Arial" w:cs="Arial" w:eastAsia="Arial" w:hAnsi="Arial"/>
                <w:sz w:val="14"/>
                <w:szCs w:val="14"/>
                <w:b w:val="1"/>
                <w:bCs w:val="1"/>
                <w:color w:val="auto"/>
                <w:w w:val="87"/>
              </w:rPr>
              <w:t>Classification Code Number)</w:t>
            </w:r>
          </w:p>
        </w:tc>
        <w:tc>
          <w:tcPr>
            <w:tcW w:w="3360" w:type="dxa"/>
            <w:vAlign w:val="bottom"/>
          </w:tcPr>
          <w:p>
            <w:pPr>
              <w:jc w:val="center"/>
              <w:ind w:left="1946"/>
              <w:spacing w:after="0"/>
              <w:rPr>
                <w:sz w:val="20"/>
                <w:szCs w:val="20"/>
                <w:color w:val="auto"/>
              </w:rPr>
            </w:pPr>
            <w:r>
              <w:rPr>
                <w:rFonts w:ascii="Arial" w:cs="Arial" w:eastAsia="Arial" w:hAnsi="Arial"/>
                <w:sz w:val="14"/>
                <w:szCs w:val="14"/>
                <w:b w:val="1"/>
                <w:bCs w:val="1"/>
                <w:color w:val="auto"/>
                <w:w w:val="90"/>
              </w:rPr>
              <w:t>Identification Number)</w:t>
            </w:r>
          </w:p>
        </w:tc>
      </w:tr>
      <w:tr>
        <w:trPr>
          <w:trHeight w:val="136"/>
        </w:trPr>
        <w:tc>
          <w:tcPr>
            <w:tcW w:w="344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236"/>
        </w:trPr>
        <w:tc>
          <w:tcPr>
            <w:tcW w:w="34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42, rue Saint-Dominique</w:t>
            </w:r>
          </w:p>
        </w:tc>
        <w:tc>
          <w:tcPr>
            <w:tcW w:w="336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Paris, France 75007</w:t>
            </w:r>
          </w:p>
        </w:tc>
        <w:tc>
          <w:tcPr>
            <w:tcW w:w="336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380" w:type="dxa"/>
            <w:vAlign w:val="bottom"/>
          </w:tcPr>
          <w:p>
            <w:pPr>
              <w:jc w:val="right"/>
              <w:ind w:right="537"/>
              <w:spacing w:after="0"/>
              <w:rPr>
                <w:sz w:val="20"/>
                <w:szCs w:val="20"/>
                <w:color w:val="auto"/>
              </w:rPr>
            </w:pPr>
            <w:r>
              <w:rPr>
                <w:rFonts w:ascii="Arial" w:cs="Arial" w:eastAsia="Arial" w:hAnsi="Arial"/>
                <w:sz w:val="18"/>
                <w:szCs w:val="18"/>
                <w:b w:val="1"/>
                <w:bCs w:val="1"/>
                <w:color w:val="auto"/>
              </w:rPr>
              <w:t>33-1-4062-1000</w:t>
            </w:r>
          </w:p>
        </w:tc>
        <w:tc>
          <w:tcPr>
            <w:tcW w:w="3360" w:type="dxa"/>
            <w:vAlign w:val="bottom"/>
          </w:tcPr>
          <w:p>
            <w:pPr>
              <w:spacing w:after="0"/>
              <w:rPr>
                <w:sz w:val="19"/>
                <w:szCs w:val="19"/>
                <w:color w:val="auto"/>
              </w:rPr>
            </w:pPr>
          </w:p>
        </w:tc>
      </w:tr>
      <w:tr>
        <w:trPr>
          <w:trHeight w:val="244"/>
        </w:trPr>
        <w:tc>
          <w:tcPr>
            <w:tcW w:w="344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5599 San Felipe, 17th Floor</w:t>
            </w:r>
          </w:p>
        </w:tc>
        <w:tc>
          <w:tcPr>
            <w:tcW w:w="3360" w:type="dxa"/>
            <w:vAlign w:val="bottom"/>
          </w:tcPr>
          <w:p>
            <w:pPr>
              <w:spacing w:after="0"/>
              <w:rPr>
                <w:sz w:val="21"/>
                <w:szCs w:val="21"/>
                <w:color w:val="auto"/>
              </w:rPr>
            </w:pPr>
          </w:p>
        </w:tc>
      </w:tr>
      <w:tr>
        <w:trPr>
          <w:trHeight w:val="216"/>
        </w:trPr>
        <w:tc>
          <w:tcPr>
            <w:tcW w:w="3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Houston, Texas 77056</w:t>
            </w:r>
          </w:p>
        </w:tc>
        <w:tc>
          <w:tcPr>
            <w:tcW w:w="336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380" w:type="dxa"/>
            <w:vAlign w:val="bottom"/>
          </w:tcPr>
          <w:p>
            <w:pPr>
              <w:jc w:val="right"/>
              <w:ind w:right="557"/>
              <w:spacing w:after="0"/>
              <w:rPr>
                <w:sz w:val="20"/>
                <w:szCs w:val="20"/>
                <w:color w:val="auto"/>
              </w:rPr>
            </w:pPr>
            <w:r>
              <w:rPr>
                <w:rFonts w:ascii="Arial" w:cs="Arial" w:eastAsia="Arial" w:hAnsi="Arial"/>
                <w:sz w:val="18"/>
                <w:szCs w:val="18"/>
                <w:b w:val="1"/>
                <w:bCs w:val="1"/>
                <w:color w:val="auto"/>
              </w:rPr>
              <w:t>(713) 513-2000</w:t>
            </w:r>
          </w:p>
        </w:tc>
        <w:tc>
          <w:tcPr>
            <w:tcW w:w="3360" w:type="dxa"/>
            <w:vAlign w:val="bottom"/>
          </w:tcPr>
          <w:p>
            <w:pPr>
              <w:spacing w:after="0"/>
              <w:rPr>
                <w:sz w:val="19"/>
                <w:szCs w:val="19"/>
                <w:color w:val="auto"/>
              </w:rPr>
            </w:pP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31-70-310-54003000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53340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Alexander C. Juden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204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536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2"/>
              </w:rPr>
              <w:t>J. David Kirkland, Jr.</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90"/>
              </w:rPr>
              <w:t>Daniel A. Neff</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1"/>
              </w:rPr>
              <w:t>M. Breen Haire</w:t>
            </w:r>
          </w:p>
        </w:tc>
        <w:tc>
          <w:tcPr>
            <w:tcW w:w="5360" w:type="dxa"/>
            <w:vAlign w:val="bottom"/>
          </w:tcPr>
          <w:p>
            <w:pPr>
              <w:jc w:val="center"/>
              <w:ind w:left="2872"/>
              <w:spacing w:after="0"/>
              <w:rPr>
                <w:sz w:val="20"/>
                <w:szCs w:val="20"/>
                <w:color w:val="auto"/>
              </w:rPr>
            </w:pPr>
            <w:r>
              <w:rPr>
                <w:rFonts w:ascii="Arial" w:cs="Arial" w:eastAsia="Arial" w:hAnsi="Arial"/>
                <w:sz w:val="18"/>
                <w:szCs w:val="18"/>
                <w:b w:val="1"/>
                <w:bCs w:val="1"/>
                <w:color w:val="auto"/>
                <w:w w:val="89"/>
              </w:rPr>
              <w:t>David Shapiro</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0"/>
              </w:rPr>
              <w:t>Baker Botts L.L.P.</w:t>
            </w:r>
          </w:p>
        </w:tc>
        <w:tc>
          <w:tcPr>
            <w:tcW w:w="5360" w:type="dxa"/>
            <w:vAlign w:val="bottom"/>
          </w:tcPr>
          <w:p>
            <w:pPr>
              <w:jc w:val="center"/>
              <w:ind w:left="2872"/>
              <w:spacing w:after="0"/>
              <w:rPr>
                <w:sz w:val="20"/>
                <w:szCs w:val="20"/>
                <w:color w:val="auto"/>
              </w:rPr>
            </w:pPr>
            <w:r>
              <w:rPr>
                <w:rFonts w:ascii="Arial" w:cs="Arial" w:eastAsia="Arial" w:hAnsi="Arial"/>
                <w:sz w:val="18"/>
                <w:szCs w:val="18"/>
                <w:b w:val="1"/>
                <w:bCs w:val="1"/>
                <w:color w:val="auto"/>
                <w:w w:val="90"/>
              </w:rPr>
              <w:t>Wachtell, Lipton, Rosen &amp; Katz</w:t>
            </w:r>
          </w:p>
        </w:tc>
      </w:tr>
      <w:tr>
        <w:trPr>
          <w:trHeight w:val="216"/>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One Shell Plaza</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7"/>
              </w:rPr>
              <w:t>51 West 52nd Street</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87"/>
              </w:rPr>
              <w:t>910 Louisiana</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New York, New York 10019</w:t>
            </w:r>
          </w:p>
        </w:tc>
      </w:tr>
      <w:tr>
        <w:trPr>
          <w:trHeight w:val="216"/>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5"/>
              </w:rPr>
              <w:t>Houston, Texas 77002</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(212) 403-1000</w:t>
            </w:r>
          </w:p>
        </w:tc>
      </w:tr>
      <w:tr>
        <w:trPr>
          <w:trHeight w:val="228"/>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9"/>
              </w:rPr>
              <w:t>(713) 229-1234</w:t>
            </w:r>
          </w:p>
        </w:tc>
        <w:tc>
          <w:tcPr>
            <w:tcW w:w="5360" w:type="dxa"/>
            <w:vAlign w:val="bottom"/>
          </w:tcPr>
          <w:p>
            <w:pPr>
              <w:spacing w:after="0"/>
              <w:rPr>
                <w:sz w:val="19"/>
                <w:szCs w:val="19"/>
                <w:color w:val="auto"/>
              </w:rPr>
            </w:pPr>
          </w:p>
        </w:tc>
      </w:tr>
    </w:tbl>
    <w:p>
      <w:pPr>
        <w:spacing w:after="0" w:line="43" w:lineRule="exact"/>
        <w:rPr>
          <w:sz w:val="24"/>
          <w:szCs w:val="24"/>
          <w:color w:val="auto"/>
        </w:rPr>
      </w:pPr>
    </w:p>
    <w:p>
      <w:pPr>
        <w:ind w:right="140" w:firstLine="342"/>
        <w:spacing w:after="0"/>
        <w:rPr>
          <w:sz w:val="20"/>
          <w:szCs w:val="20"/>
          <w:color w:val="auto"/>
        </w:rPr>
      </w:pPr>
      <w:r>
        <w:rPr>
          <w:rFonts w:ascii="Arial" w:cs="Arial" w:eastAsia="Arial" w:hAnsi="Arial"/>
          <w:sz w:val="14"/>
          <w:szCs w:val="14"/>
          <w:b w:val="1"/>
          <w:bCs w:val="1"/>
          <w:color w:val="auto"/>
        </w:rPr>
        <w:t xml:space="preserve">Approximate date of commencement of the proposed sale of the securities to the public: </w:t>
      </w:r>
      <w:r>
        <w:rPr>
          <w:rFonts w:ascii="Arial" w:cs="Arial" w:eastAsia="Arial" w:hAnsi="Arial"/>
          <w:sz w:val="14"/>
          <w:szCs w:val="14"/>
          <w:color w:val="auto"/>
        </w:rPr>
        <w:t>As soon as practicable after this registration statement becomes effective and upon completion of the merger</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in the enclosed document.</w:t>
      </w:r>
    </w:p>
    <w:p>
      <w:pPr>
        <w:spacing w:after="0" w:line="1" w:lineRule="exact"/>
        <w:rPr>
          <w:sz w:val="24"/>
          <w:szCs w:val="24"/>
          <w:color w:val="auto"/>
        </w:rPr>
      </w:pPr>
    </w:p>
    <w:p>
      <w:pPr>
        <w:ind w:left="360"/>
        <w:spacing w:after="0" w:line="138" w:lineRule="exact"/>
        <w:tabs>
          <w:tab w:leader="none" w:pos="1110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MS PGothic" w:cs="MS PGothic" w:eastAsia="MS PGothic" w:hAnsi="MS PGothic"/>
          <w:sz w:val="12"/>
          <w:szCs w:val="12"/>
          <w:color w:val="auto"/>
        </w:rPr>
        <w:t>☐</w:t>
      </w:r>
    </w:p>
    <w:p>
      <w:pPr>
        <w:spacing w:after="0" w:line="52" w:lineRule="exact"/>
        <w:rPr>
          <w:sz w:val="24"/>
          <w:szCs w:val="24"/>
          <w:color w:val="auto"/>
        </w:rPr>
      </w:pPr>
    </w:p>
    <w:p>
      <w:pPr>
        <w:ind w:right="60" w:firstLine="342"/>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955" w:gutter="0" w:footer="0" w:header="0"/>
        </w:sectPr>
      </w:pPr>
    </w:p>
    <w:p>
      <w:pPr>
        <w:spacing w:after="0" w:line="3" w:lineRule="exact"/>
        <w:rPr>
          <w:sz w:val="24"/>
          <w:szCs w:val="24"/>
          <w:color w:val="auto"/>
        </w:rPr>
      </w:pPr>
    </w:p>
    <w:p>
      <w:pPr>
        <w:spacing w:after="0" w:line="291"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ectPr>
          <w:pgSz w:w="11900" w:h="16838" w:orient="portrait"/>
          <w:cols w:equalWidth="0" w:num="4">
            <w:col w:w="1220" w:space="400"/>
            <w:col w:w="7020" w:space="720"/>
            <w:col w:w="1480" w:space="460"/>
            <w:col w:w="120"/>
          </w:cols>
          <w:pgMar w:left="240" w:top="230" w:right="239" w:bottom="955" w:gutter="0" w:footer="0" w:header="0"/>
          <w:type w:val="continuous"/>
        </w:sect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0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2"/>
              </w:rPr>
              <w:t xml:space="preserve">Exchange Act Rule 13e-4(i) (Cross-Border Issuer Tender Offer)  </w:t>
            </w:r>
            <w:r>
              <w:rPr>
                <w:rFonts w:ascii="MS PGothic" w:cs="MS PGothic" w:eastAsia="MS PGothic" w:hAnsi="MS PGothic"/>
                <w:sz w:val="14"/>
                <w:szCs w:val="14"/>
                <w:color w:val="auto"/>
                <w:w w:val="92"/>
              </w:rPr>
              <w:t>☐</w:t>
            </w:r>
          </w:p>
        </w:tc>
        <w:tc>
          <w:tcPr>
            <w:tcW w:w="14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gridSpan w:val="2"/>
          </w:tcPr>
          <w:p>
            <w:pPr>
              <w:ind w:left="340"/>
              <w:spacing w:after="0"/>
              <w:rPr>
                <w:sz w:val="20"/>
                <w:szCs w:val="20"/>
                <w:color w:val="auto"/>
              </w:rPr>
            </w:pPr>
            <w:r>
              <w:rPr>
                <w:rFonts w:ascii="Arial" w:cs="Arial" w:eastAsia="Arial" w:hAnsi="Arial"/>
                <w:sz w:val="14"/>
                <w:szCs w:val="14"/>
                <w:color w:val="auto"/>
                <w:w w:val="89"/>
              </w:rPr>
              <w:t>Exchange Act Rule 14d-1(d) (Cross-Border Third-Party Tender Offer)</w:t>
            </w:r>
          </w:p>
        </w:tc>
        <w:tc>
          <w:tcPr>
            <w:tcW w:w="142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CALCULATION OF REGISTRATION FEE</w:t>
            </w:r>
          </w:p>
        </w:tc>
        <w:tc>
          <w:tcPr>
            <w:tcW w:w="2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4"/>
              </w:rPr>
              <w:t>Title of each class of</w:t>
            </w:r>
          </w:p>
        </w:tc>
        <w:tc>
          <w:tcPr>
            <w:tcW w:w="420" w:type="dxa"/>
            <w:vAlign w:val="bottom"/>
          </w:tcPr>
          <w:p>
            <w:pPr>
              <w:spacing w:after="0"/>
              <w:rPr>
                <w:sz w:val="10"/>
                <w:szCs w:val="10"/>
                <w:color w:val="auto"/>
              </w:rPr>
            </w:pPr>
          </w:p>
        </w:tc>
        <w:tc>
          <w:tcPr>
            <w:tcW w:w="1420" w:type="dxa"/>
            <w:vAlign w:val="bottom"/>
            <w:tcBorders>
              <w:right w:val="single" w:sz="8" w:color="auto"/>
            </w:tcBorders>
          </w:tcPr>
          <w:p>
            <w:pPr>
              <w:ind w:left="140"/>
              <w:spacing w:after="0" w:line="123" w:lineRule="exact"/>
              <w:rPr>
                <w:sz w:val="20"/>
                <w:szCs w:val="20"/>
                <w:color w:val="auto"/>
              </w:rPr>
            </w:pPr>
            <w:r>
              <w:rPr>
                <w:rFonts w:ascii="Arial" w:cs="Arial" w:eastAsia="Arial" w:hAnsi="Arial"/>
                <w:sz w:val="14"/>
                <w:szCs w:val="14"/>
                <w:b w:val="1"/>
                <w:bCs w:val="1"/>
                <w:color w:val="auto"/>
              </w:rPr>
              <w:t>Amount to be</w:t>
            </w:r>
          </w:p>
        </w:tc>
        <w:tc>
          <w:tcPr>
            <w:tcW w:w="1820" w:type="dxa"/>
            <w:vAlign w:val="bottom"/>
            <w:tcBorders>
              <w:right w:val="single" w:sz="8" w:color="auto"/>
            </w:tcBorders>
          </w:tcPr>
          <w:p>
            <w:pPr>
              <w:jc w:val="center"/>
              <w:ind w:left="32"/>
              <w:spacing w:after="0" w:line="123" w:lineRule="exact"/>
              <w:rPr>
                <w:sz w:val="20"/>
                <w:szCs w:val="20"/>
                <w:color w:val="auto"/>
              </w:rPr>
            </w:pPr>
            <w:r>
              <w:rPr>
                <w:rFonts w:ascii="Arial" w:cs="Arial" w:eastAsia="Arial" w:hAnsi="Arial"/>
                <w:sz w:val="14"/>
                <w:szCs w:val="14"/>
                <w:b w:val="1"/>
                <w:bCs w:val="1"/>
                <w:color w:val="auto"/>
                <w:w w:val="86"/>
              </w:rPr>
              <w:t>Proposed maximum</w:t>
            </w:r>
          </w:p>
        </w:tc>
        <w:tc>
          <w:tcPr>
            <w:tcW w:w="21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6"/>
              </w:rPr>
              <w:t>Proposed maximum</w:t>
            </w:r>
          </w:p>
        </w:tc>
        <w:tc>
          <w:tcPr>
            <w:tcW w:w="1780" w:type="dxa"/>
            <w:vAlign w:val="bottom"/>
          </w:tcPr>
          <w:p>
            <w:pPr>
              <w:jc w:val="center"/>
              <w:ind w:left="12"/>
              <w:spacing w:after="0" w:line="123"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4"/>
              </w:rPr>
              <w:t>registered(1)</w:t>
            </w:r>
          </w:p>
        </w:tc>
        <w:tc>
          <w:tcPr>
            <w:tcW w:w="182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offering price per share</w:t>
            </w:r>
          </w:p>
        </w:tc>
        <w:tc>
          <w:tcPr>
            <w:tcW w:w="21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aggregate offering price(2)</w:t>
            </w: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registration fee(3)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right"/>
              <w:ind w:right="472"/>
              <w:spacing w:after="0" w:line="142" w:lineRule="exact"/>
              <w:rPr>
                <w:sz w:val="20"/>
                <w:szCs w:val="20"/>
                <w:color w:val="auto"/>
              </w:rPr>
            </w:pPr>
            <w:r>
              <w:rPr>
                <w:rFonts w:ascii="Arial" w:cs="Arial" w:eastAsia="Arial" w:hAnsi="Arial"/>
                <w:sz w:val="14"/>
                <w:szCs w:val="14"/>
                <w:color w:val="auto"/>
              </w:rPr>
              <w:t>177,642,362</w:t>
            </w:r>
          </w:p>
        </w:tc>
        <w:tc>
          <w:tcPr>
            <w:tcW w:w="182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N/A</w:t>
            </w:r>
          </w:p>
        </w:tc>
        <w:tc>
          <w:tcPr>
            <w:tcW w:w="218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5"/>
              </w:rPr>
              <w:t>$11,535,532,913</w:t>
            </w:r>
          </w:p>
        </w:tc>
        <w:tc>
          <w:tcPr>
            <w:tcW w:w="17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5"/>
              </w:rPr>
              <w:t>$822,484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 w:hanging="332"/>
        <w:spacing w:after="0" w:line="22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maximum number of shares of common stock, par value of $0.01 per share, of Schlumberger Limited to be issuable upon the completion of the merger described herein, equal to the product of (i) 255,013,439, the number of shares of Smith International, Inc. common stock outstanding on April 21, 2010 (other than shares owned by Smith International, Inc., the registrant and any of their respective subsidiaries) or issuable pursuant to outstanding stock options and restricted stock units, multiplied by (ii) the exchange ratio of 0.6966 shares of Schlumberger Limited common stock for each share of Smith International, Inc. common stock.</w:t>
      </w:r>
    </w:p>
    <w:p>
      <w:pPr>
        <w:spacing w:after="0" w:line="2" w:lineRule="exact"/>
        <w:rPr>
          <w:rFonts w:ascii="Arial" w:cs="Arial" w:eastAsia="Arial" w:hAnsi="Arial"/>
          <w:sz w:val="14"/>
          <w:szCs w:val="14"/>
          <w:color w:val="auto"/>
        </w:rPr>
      </w:pPr>
    </w:p>
    <w:p>
      <w:pPr>
        <w:ind w:left="340" w:right="1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required by Section 6(b) of the Securities Act and calculated pursuant to Rules 457(f) and 457(c) under the Securities Act. The proposed maximum aggregate offering price of the registrant’s common stock was calculated based upon the market value of shares of Smith International, Inc. common stock (the securities to be canceled in the merger) in accordance with Rule 457(c) and is equal to the product of (i) $45.24, the average of the high and low prices per share of Smith International, Inc. common stock on the New York Stock Exchange on April 20, 2010, multiplied by (ii) 255,013,439, the maximum number of shares of Smith International, Inc. common stock that may be canceled and exchanged in the merger as of April 21, 2010.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and SEC Fee Advisory #4 for Fiscal Year 2010 at a rate equal to $71.30 per $1,000,000 of the proposed maximum aggregate offering price.</w:t>
      </w:r>
    </w:p>
    <w:p>
      <w:pPr>
        <w:spacing w:after="0" w:line="78" w:lineRule="exact"/>
        <w:rPr>
          <w:sz w:val="24"/>
          <w:szCs w:val="24"/>
          <w:color w:val="auto"/>
        </w:rPr>
      </w:pPr>
    </w:p>
    <w:p>
      <w:pPr>
        <w:ind w:right="20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955"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APRIL 27,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Smith International, Inc.:</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of directors of Schlumberger Limited (Schlumberger N.V.) and the board of directors of Smith International, Inc. have agreed to a strategic combination pursuant to an Agreement and Plan of Merger, dated as of February 21, 2010, which we refer to as the merger agreement. Upon completion of the merger of a wholly owned subsidiary of Schlumberger with and into Smith, Schlumberger will acquire Smith, and Smith will become a wholly owned subsidiary of Schlumberger.</w:t>
      </w:r>
    </w:p>
    <w:p>
      <w:pPr>
        <w:spacing w:after="0" w:line="25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the merger is completed, Smith stockholders will have the right to receive 0.6966 shares of Schlumberger common stock for each share of Smith common stock, with cash paid in lieu of fractional shares. This exchange ratio is fixed and will not be adjusted to reflect stock price changes prior to closing of the merger. Based on the closing price of Schlumberger common stock on the New York Stock Exchange, or the NYSE, on February 18, 2010, the last trading day before various news outlets began reporting on a possible transaction involving Smith and Schlumberger, the 0.6966 exchange ratio represented approximately $45.84 in value for each share of Smith common stock. Based on the closing price of Schlumberger common stock on [—], 2010, the most recent practicable trading day before the date of this document, the 0.6966 exchange ratio represented approximately $[—] in value for each share of Smith common stock.</w:t>
      </w:r>
    </w:p>
    <w:p>
      <w:pPr>
        <w:spacing w:after="0" w:line="255"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Based on the number of shares of Smith common stock and Smith restricted stock units outstanding as of [—], 2010, Schlumberger expects to issue approximately [—] shares of its common stock to Smith stockholders pursuant to the merger and reserve for issuance approximately [—] additional shares of Schlumberger common stock in connection with the exercise or conversion of Smith’s outstanding equity awards. Upon completion of the merger, we estimate that current Schlumberger shareholders will own approximately [87.2]% of the combined company and former Smith stockholders will own approximately [12.8]% of the combined company. Schlumberger common stock and Smith common stock are both traded on the NYSE under the symbols SLB and SII, respectively.</w:t>
      </w:r>
    </w:p>
    <w:p>
      <w:pPr>
        <w:spacing w:after="0" w:line="252"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At the annual meeting of Smith stockholders, Smith stockholders will be asked to vote on the adoption of the merger agreement. We cannot complete the merger unless the Smith stockholders approve this proposal. Your vote is very important, regardless of the number of shares you own. Whether or not you expect to attend the annual meeting in person, please vote your shares as promptly as possible by (1) accessing the internet website specified on your proxy card,</w:t>
      </w:r>
    </w:p>
    <w:p>
      <w:pPr>
        <w:spacing w:after="0" w:line="1" w:lineRule="exact"/>
        <w:rPr>
          <w:sz w:val="20"/>
          <w:szCs w:val="20"/>
          <w:color w:val="auto"/>
        </w:rPr>
      </w:pPr>
    </w:p>
    <w:p>
      <w:pPr>
        <w:ind w:firstLine="8"/>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calling the toll-free number specified on your proxy card, or (3) signing and returning all proxy cards that you receive in the postage-paid envelope provided, so that your shares may be represented and voted at the Smith annual meeting. </w:t>
      </w:r>
      <w:r>
        <w:rPr>
          <w:rFonts w:ascii="Arial" w:cs="Arial" w:eastAsia="Arial" w:hAnsi="Arial"/>
          <w:sz w:val="18"/>
          <w:szCs w:val="18"/>
          <w:b w:val="1"/>
          <w:bCs w:val="1"/>
          <w:color w:val="auto"/>
        </w:rPr>
        <w:t>Please note that a failure to vote your shares is the equivalent of a vote against</w:t>
      </w:r>
      <w:r>
        <w:rPr>
          <w:rFonts w:ascii="Arial" w:cs="Arial" w:eastAsia="Arial" w:hAnsi="Arial"/>
          <w:sz w:val="18"/>
          <w:szCs w:val="18"/>
          <w:color w:val="auto"/>
        </w:rPr>
        <w:t xml:space="preserve"> </w:t>
      </w:r>
      <w:r>
        <w:rPr>
          <w:rFonts w:ascii="Arial" w:cs="Arial" w:eastAsia="Arial" w:hAnsi="Arial"/>
          <w:sz w:val="18"/>
          <w:szCs w:val="18"/>
          <w:b w:val="1"/>
          <w:bCs w:val="1"/>
          <w:color w:val="auto"/>
        </w:rPr>
        <w:t>the merger.</w:t>
      </w:r>
    </w:p>
    <w:p>
      <w:pPr>
        <w:spacing w:after="0" w:line="25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Smith stockholders will also be asked to vote on several other proposals, including the election of three Smith directors, James Gibbs, Duane Radtke and John Yearwood; approval of Smith’s 1989 Long-Term Incentive Compensation Plan, as amended and restated; the ratification of the appointment of Deloitte &amp; Touche LLP as Smith’s independent registered public accounting firm for the fiscal year ending December 31, 2010; and approval of the adjournment of the Smith annual meeting, if necessary, to solicit additional proxies if there are not sufficient votes to adopt the merger agreement at the time of the annual meeting. The completion of the merger is not dependent on the outcome of any of these proposals.</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b w:val="1"/>
          <w:bCs w:val="1"/>
          <w:color w:val="auto"/>
        </w:rPr>
        <w:t>The Smith board of directors, by a unanimous vote, recommends that Smith stockholders vote “FOR” the proposal to adopt the merger agreement, “FOR” each of the director nominees and “FOR” the other proposals to be submitted to the stockholders at the Smith annual meeting.</w:t>
      </w:r>
    </w:p>
    <w:p>
      <w:pPr>
        <w:spacing w:after="0" w:line="5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obligations of Smith and Schlumberger to complete the merger are subject to the satisfaction or waiver of several conditions set forth in the merger agreement. More information about Smith, Schlumberger and the merger is contained in this proxy statement/prospectus. Smith and Schlumberger encourage you to read this entire proxy statement/prospectus carefully, including the section entitled “Risk Factors” beginning on page 22.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the successful combination of Smith and Schlumberger.</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499745</wp:posOffset>
            </wp:positionV>
            <wp:extent cx="164655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Yearwood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Operating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Smith International, Inc.</w:t>
      </w:r>
    </w:p>
    <w:p>
      <w:pPr>
        <w:spacing w:after="0" w:line="172"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accompanying proxy statement/prospectus is dated [—], 2010 and is first being mailed to the stockholders of Smith International, Inc. on or about [—], 2010.</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1310 Rankin Road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77073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(281) 443-3370</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6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Annual Meeting of Stockholders of Smith International, Inc. will be held on [—], [—], 2010, at [—] local time, at the Hotel du Pont, 11th and Market Streets, Wilmington, Delaware, to consider and take action on the following:</w:t>
      </w:r>
    </w:p>
    <w:p>
      <w:pPr>
        <w:spacing w:after="0" w:line="37" w:lineRule="exact"/>
        <w:rPr>
          <w:sz w:val="20"/>
          <w:szCs w:val="20"/>
          <w:color w:val="auto"/>
        </w:rPr>
      </w:pPr>
    </w:p>
    <w:p>
      <w:pPr>
        <w:ind w:left="900" w:right="8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 proposal to adopt the Agreement and Plan of Merger, dated as of February 21, 2010, as it may be amended from time to time, among Schlumberger Limited, Turnberry Merger Sub Inc., and Smith International, Inc., a copy of which is attached as Annex A to the proxy statement/prospectus accompanying this notice;</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three Class III directors: James R. Gibbs, Duane C. Radtke and John Yearwood, each for a term of three years ending at the 2013 Annual Meeting of Stockholders or until their successors are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Smith International, Inc. 1989 Long-Term Incentive Compensation Plan, as amended and restated;</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fiscal year ending December 31, 2010;</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adjournment of Smith’s annual meeting, if necessary, to solicit additional proxies if there are not sufficient votes to adopt the merger agreement at the time of the annual meeting;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any other business as may properly come before Smith’s annual meeting or any adjournment or postponement thereof.</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Please refer to the proxy statement/prospectus accompanying this notice for further information with respect to the business to be transacted at Smith’s annual meeting.</w:t>
      </w:r>
    </w:p>
    <w:p>
      <w:pPr>
        <w:spacing w:after="0" w:line="9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Smith’s board of directors unanimously recommends a vote “FOR” the proposal to adopt the Agreement and Plan of Merger, “FOR” each of the director nominees, and “FOR” each of the other proposals described in the proxy statement/prospectus accompanying this notice.</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 2010: This proxy statement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Smith 2009 Annual Report to Stockholders are available on the following website: www.proxydocs.com/sii.</w:t>
      </w:r>
    </w:p>
    <w:p>
      <w:pPr>
        <w:spacing w:after="0" w:line="1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Smith board of directors has fixed the close of business on [—], 2010 as the record date for determining stockholders who are entitled to notice of and to vote at the annual meeting. Only holders of record of Smith common stock at the close of business on the record date are entitled to receive notice of, and to vote at, the Smith annual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165735</wp:posOffset>
            </wp:positionV>
            <wp:extent cx="144081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8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Chandler, Jr.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2010</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vote your proxy promptly so that your shares will be represented, even if you plan to attend the annual meeting. You can vote by internet, by telephone, or by using the proxy card that is enclosed. Please see your proxy card for specific instructions on how to vote. Brokers cannot vote on Proposals 1, 2 or 3 without your instructions.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proxy statement/prospectus accompanying this notice provides a detailed description of the merger, the Agreement and Plan of Merger and the other matters to be considered at the Smith annual meeting. You are urged to read the entire proxy statement/prospectus, including the annexes and other documents referred to therein.</w:t>
      </w:r>
    </w:p>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40"/>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ABOUT THE MERGER AND THE SMITH ANNUAL MEETING</w:t>
              </w:r>
            </w:hyperlink>
          </w:p>
        </w:tc>
        <w:tc>
          <w:tcPr>
            <w:tcW w:w="4020" w:type="dxa"/>
            <w:vAlign w:val="bottom"/>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0000EE"/>
            </w:tcBorders>
            <w:gridSpan w:val="40"/>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The Companies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The Merger</w:t>
              </w:r>
            </w:hyperlink>
          </w:p>
        </w:tc>
        <w:tc>
          <w:tcPr>
            <w:tcW w:w="260" w:type="dxa"/>
            <w:vAlign w:val="bottom"/>
            <w:tcBorders>
              <w:top w:val="single" w:sz="8" w:color="0000EE"/>
            </w:tcBorders>
            <w:gridSpan w:val="3"/>
          </w:tcPr>
          <w:p>
            <w:pPr>
              <w:spacing w:after="0"/>
              <w:rPr>
                <w:sz w:val="17"/>
                <w:szCs w:val="17"/>
                <w:color w:val="auto"/>
              </w:rPr>
            </w:pPr>
          </w:p>
        </w:tc>
        <w:tc>
          <w:tcPr>
            <w:tcW w:w="960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Annual Meeting of Smith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Schlumberger Stockholder Approval Is Not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Share Ownership of Smith’s Directors and Executive Officers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Treatment of Equity Awards</w:t>
              </w:r>
            </w:hyperlink>
          </w:p>
        </w:tc>
        <w:tc>
          <w:tcPr>
            <w:tcW w:w="2340" w:type="dxa"/>
            <w:vAlign w:val="bottom"/>
            <w:tcBorders>
              <w:top w:val="single" w:sz="8" w:color="0000EE"/>
            </w:tcBorders>
            <w:gridSpan w:val="16"/>
          </w:tcPr>
          <w:p>
            <w:pPr>
              <w:spacing w:after="0"/>
              <w:rPr>
                <w:sz w:val="17"/>
                <w:szCs w:val="17"/>
                <w:color w:val="auto"/>
              </w:rPr>
            </w:pPr>
          </w:p>
        </w:tc>
        <w:tc>
          <w:tcPr>
            <w:tcW w:w="63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Opinion of Smith’s Financial Advisor</w:t>
              </w:r>
            </w:hyperlink>
          </w:p>
        </w:tc>
        <w:tc>
          <w:tcPr>
            <w:tcW w:w="804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Ownership of Schlumberger After the Merger</w:t>
              </w:r>
            </w:hyperlink>
          </w:p>
        </w:tc>
        <w:tc>
          <w:tcPr>
            <w:tcW w:w="74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Interests of Smith’s Directors and Officers in the Merger</w:t>
              </w:r>
            </w:hyperlink>
          </w:p>
        </w:tc>
        <w:tc>
          <w:tcPr>
            <w:tcW w:w="67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Listing of Schlumberger Stock and Delisting and Deregistration of Smith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5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 Appraisal Rights</w:t>
              </w:r>
            </w:hyperlink>
          </w:p>
        </w:tc>
        <w:tc>
          <w:tcPr>
            <w:tcW w:w="51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1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Completion of the Merger Is Subject to Certain Conditions</w:t>
              </w:r>
            </w:hyperlink>
          </w:p>
        </w:tc>
        <w:tc>
          <w:tcPr>
            <w:tcW w:w="656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Regulatory Approvals Required for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No Solicitation by Smith</w:t>
              </w:r>
            </w:hyperlink>
          </w:p>
        </w:tc>
        <w:tc>
          <w:tcPr>
            <w:tcW w:w="1540" w:type="dxa"/>
            <w:vAlign w:val="bottom"/>
            <w:tcBorders>
              <w:top w:val="single" w:sz="8" w:color="0000EE"/>
            </w:tcBorders>
            <w:gridSpan w:val="11"/>
          </w:tcPr>
          <w:p>
            <w:pPr>
              <w:spacing w:after="0"/>
              <w:rPr>
                <w:sz w:val="17"/>
                <w:szCs w:val="17"/>
                <w:color w:val="auto"/>
              </w:rPr>
            </w:pPr>
          </w:p>
        </w:tc>
        <w:tc>
          <w:tcPr>
            <w:tcW w:w="74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Termination Fees and Expenses</w:t>
              </w:r>
            </w:hyperlink>
          </w:p>
        </w:tc>
        <w:tc>
          <w:tcPr>
            <w:tcW w:w="802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Payment of Dividends and Stock Repurchases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80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Rights of Smith Stockholders Will Change as a Result of the Merger</w:t>
              </w:r>
            </w:hyperlink>
          </w:p>
        </w:tc>
        <w:tc>
          <w:tcPr>
            <w:tcW w:w="58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Material U.S. Federal Income Tax Consequences of the Merger</w:t>
              </w:r>
            </w:hyperlink>
          </w:p>
        </w:tc>
        <w:tc>
          <w:tcPr>
            <w:tcW w:w="624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Accounting Treatment</w:t>
              </w:r>
            </w:hyperlink>
          </w:p>
        </w:tc>
        <w:tc>
          <w:tcPr>
            <w:tcW w:w="912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Litigation Relating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Historical Consolidated Financial Data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Selected Historical Consolidated Financial Data of Smith</w:t>
              </w:r>
            </w:hyperlink>
          </w:p>
        </w:tc>
        <w:tc>
          <w:tcPr>
            <w:tcW w:w="61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32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Unaudited Pro Forma Condensed Combined Financial Information</w:t>
              </w:r>
            </w:hyperlink>
          </w:p>
        </w:tc>
        <w:tc>
          <w:tcPr>
            <w:tcW w:w="53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Comparative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Comparative Per Share Market Price And Dividend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Risks Relating to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Risks Relating to Schlumberger Following the Merger</w:t>
              </w:r>
            </w:hyperlink>
          </w:p>
        </w:tc>
        <w:tc>
          <w:tcPr>
            <w:tcW w:w="688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Risks Relating to Schlumberger Common Stock Following the Merger</w:t>
              </w:r>
            </w:hyperlink>
          </w:p>
        </w:tc>
        <w:tc>
          <w:tcPr>
            <w:tcW w:w="57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6200" w:type="dxa"/>
            <w:vAlign w:val="bottom"/>
            <w:tcBorders>
              <w:bottom w:val="single" w:sz="8" w:color="0000EE"/>
            </w:tcBorders>
            <w:gridSpan w:val="3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CAUTIONARY STATEMENT REGARDING FORWARD-LOOKING STATEMENTS</w:t>
              </w:r>
            </w:hyperlink>
          </w:p>
        </w:tc>
        <w:tc>
          <w:tcPr>
            <w:tcW w:w="49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THE COMPANIES</w:t>
              </w:r>
            </w:hyperlink>
          </w:p>
        </w:tc>
        <w:tc>
          <w:tcPr>
            <w:tcW w:w="9740" w:type="dxa"/>
            <w:vAlign w:val="bottom"/>
            <w:gridSpan w:val="3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THE ANNUAL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4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gridSpan w:val="10"/>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Date, Time and Place</w:t>
              </w:r>
            </w:hyperlink>
          </w:p>
        </w:tc>
        <w:tc>
          <w:tcPr>
            <w:tcW w:w="9180" w:type="dxa"/>
            <w:vAlign w:val="bottom"/>
            <w:gridSpan w:val="3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Purpose of the Smith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0" w:type="dxa"/>
            <w:vAlign w:val="bottom"/>
            <w:tcBorders>
              <w:right w:val="single" w:sz="8" w:color="0000EE"/>
            </w:tcBorders>
            <w:gridSpan w:val="7"/>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Smith Record Date; Stock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Quorum</w:t>
              </w:r>
            </w:hyperlink>
          </w:p>
        </w:tc>
        <w:tc>
          <w:tcPr>
            <w:tcW w:w="77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Required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9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Treatment of Abstentions, Not Voting and Incomplete Proxies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Voting of Proxies by Holders of Record</w:t>
              </w:r>
            </w:hyperlink>
          </w:p>
        </w:tc>
        <w:tc>
          <w:tcPr>
            <w:tcW w:w="63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Shares Held in Street Name</w:t>
              </w:r>
            </w:hyperlink>
          </w:p>
        </w:tc>
        <w:tc>
          <w:tcPr>
            <w:tcW w:w="780" w:type="dxa"/>
            <w:vAlign w:val="bottom"/>
            <w:tcBorders>
              <w:top w:val="single" w:sz="8" w:color="0000EE"/>
            </w:tcBorders>
            <w:gridSpan w:val="6"/>
          </w:tcPr>
          <w:p>
            <w:pPr>
              <w:spacing w:after="0"/>
              <w:rPr>
                <w:sz w:val="17"/>
                <w:szCs w:val="17"/>
                <w:color w:val="auto"/>
              </w:rPr>
            </w:pPr>
          </w:p>
        </w:tc>
        <w:tc>
          <w:tcPr>
            <w:tcW w:w="79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Revocability of Proxies and Changes to a Smith Stockholder’s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60" w:type="dxa"/>
            <w:vAlign w:val="bottom"/>
            <w:gridSpan w:val="11"/>
          </w:tcPr>
          <w:p>
            <w:pPr>
              <w:jc w:val="center"/>
              <w:ind w:right="3580"/>
              <w:spacing w:after="0"/>
              <w:rPr>
                <w:sz w:val="20"/>
                <w:szCs w:val="20"/>
                <w:color w:val="auto"/>
              </w:rPr>
            </w:pPr>
            <w:r>
              <w:rPr>
                <w:rFonts w:ascii="Arial" w:cs="Arial" w:eastAsia="Arial" w:hAnsi="Arial"/>
                <w:sz w:val="18"/>
                <w:szCs w:val="18"/>
                <w:b w:val="1"/>
                <w:bCs w:val="1"/>
                <w:color w:val="auto"/>
                <w:w w:val="94"/>
              </w:rPr>
              <w:t>TABLE OF CONTENTS—(Continued)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2580" w:type="dxa"/>
            <w:vAlign w:val="bottom"/>
            <w:gridSpan w:val="17"/>
            <w:vMerge w:val="restart"/>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Participants in Smith’s Benefit Plans</w:t>
              </w:r>
            </w:hyperlink>
          </w:p>
        </w:tc>
        <w:tc>
          <w:tcPr>
            <w:tcW w:w="8120" w:type="dxa"/>
            <w:vAlign w:val="bottom"/>
            <w:gridSpan w:val="19"/>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2580" w:type="dxa"/>
            <w:vAlign w:val="bottom"/>
            <w:tcBorders>
              <w:bottom w:val="single" w:sz="8" w:color="0000EE"/>
            </w:tcBorders>
            <w:gridSpan w:val="17"/>
            <w:vMerge w:val="continue"/>
          </w:tcPr>
          <w:p>
            <w:pPr>
              <w:spacing w:after="0"/>
              <w:rPr>
                <w:sz w:val="14"/>
                <w:szCs w:val="14"/>
                <w:color w:val="auto"/>
              </w:rPr>
            </w:pPr>
          </w:p>
        </w:tc>
        <w:tc>
          <w:tcPr>
            <w:tcW w:w="8120" w:type="dxa"/>
            <w:vAlign w:val="bottom"/>
            <w:gridSpan w:val="1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Solicitation of Proxies</w:t>
              </w:r>
            </w:hyperlink>
          </w:p>
        </w:tc>
        <w:tc>
          <w:tcPr>
            <w:tcW w:w="912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140" w:type="dxa"/>
            <w:vAlign w:val="bottom"/>
            <w:gridSpan w:val="3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PROPOSALS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3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Proposal 1: Adoption of the Merger Agreement</w:t>
              </w:r>
            </w:hyperlink>
          </w:p>
        </w:tc>
        <w:tc>
          <w:tcPr>
            <w:tcW w:w="736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Proposal 2: Election of Directors</w:t>
              </w:r>
            </w:hyperlink>
          </w:p>
        </w:tc>
        <w:tc>
          <w:tcPr>
            <w:tcW w:w="838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Proposal 3: Approval of the 1989 Long-Term Incentive Compensation Plan, as Amended and Restated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 4: Ratification of the Appointment of Deloitte &amp; Touche LLP as Smith’s 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Proposal 5: Approval of the Adjournment of the Smith Annual Meeting, if Necessary</w:t>
              </w:r>
            </w:hyperlink>
          </w:p>
        </w:tc>
        <w:tc>
          <w:tcPr>
            <w:tcW w:w="3240" w:type="dxa"/>
            <w:vAlign w:val="bottom"/>
            <w:tcBorders>
              <w:top w:val="single" w:sz="8" w:color="0000EE"/>
            </w:tcBorders>
            <w:gridSpan w:val="3"/>
          </w:tcPr>
          <w:p>
            <w:pPr>
              <w:spacing w:after="0"/>
              <w:rPr>
                <w:sz w:val="17"/>
                <w:szCs w:val="17"/>
                <w:color w:val="auto"/>
              </w:rPr>
            </w:pPr>
          </w:p>
        </w:tc>
        <w:tc>
          <w:tcPr>
            <w:tcW w:w="146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Other Business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3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3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Background of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Smith’s Reasons for the Merger; Recommendation of the Smith Board of Directors</w:t>
              </w:r>
            </w:hyperlink>
          </w:p>
        </w:tc>
        <w:tc>
          <w:tcPr>
            <w:tcW w:w="48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Schlumberger’s Reasons for the Merger</w:t>
              </w:r>
            </w:hyperlink>
          </w:p>
        </w:tc>
        <w:tc>
          <w:tcPr>
            <w:tcW w:w="79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Opinion of Smith’s Financial Advisor</w:t>
              </w:r>
            </w:hyperlink>
          </w:p>
        </w:tc>
        <w:tc>
          <w:tcPr>
            <w:tcW w:w="804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Financial Projections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9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Interests of Smith’s Directors and Officers in the Merger</w:t>
              </w:r>
            </w:hyperlink>
          </w:p>
        </w:tc>
        <w:tc>
          <w:tcPr>
            <w:tcW w:w="67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No Appraisal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Listing of Schlumberger Stock and Delisting and Deregistration of Smith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Restrictions on Sales of Shares of Schlumberger Common Stock Received in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Accounting Treatment</w:t>
              </w:r>
            </w:hyperlink>
          </w:p>
        </w:tc>
        <w:tc>
          <w:tcPr>
            <w:tcW w:w="4640" w:type="dxa"/>
            <w:vAlign w:val="bottom"/>
            <w:tcBorders>
              <w:top w:val="single" w:sz="8" w:color="0000EE"/>
            </w:tcBorders>
            <w:gridSpan w:val="24"/>
          </w:tcPr>
          <w:p>
            <w:pPr>
              <w:spacing w:after="0"/>
              <w:rPr>
                <w:sz w:val="17"/>
                <w:szCs w:val="17"/>
                <w:color w:val="auto"/>
              </w:rPr>
            </w:pPr>
          </w:p>
        </w:tc>
        <w:tc>
          <w:tcPr>
            <w:tcW w:w="44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4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Regulatory Approvals Required for the Merger</w:t>
              </w:r>
            </w:hyperlink>
          </w:p>
        </w:tc>
        <w:tc>
          <w:tcPr>
            <w:tcW w:w="72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Litigation Relating to the Merger</w:t>
              </w:r>
            </w:hyperlink>
          </w:p>
        </w:tc>
        <w:tc>
          <w:tcPr>
            <w:tcW w:w="7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THE MERGER AGREEMENT</w:t>
              </w:r>
            </w:hyperlink>
          </w:p>
        </w:tc>
        <w:tc>
          <w:tcPr>
            <w:tcW w:w="8840" w:type="dxa"/>
            <w:vAlign w:val="bottom"/>
            <w:gridSpan w:val="2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36"/>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Representations, Warranties and Covenants in the Merger Agreement Are Not Intended to Function or Be Relied on as Public Disclosures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6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Structure of the Merger</w:t>
              </w:r>
            </w:hyperlink>
          </w:p>
        </w:tc>
        <w:tc>
          <w:tcPr>
            <w:tcW w:w="10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Effective Time; Closing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Merger Consideration</w:t>
              </w:r>
            </w:hyperlink>
          </w:p>
        </w:tc>
        <w:tc>
          <w:tcPr>
            <w:tcW w:w="902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Fractional Shares</w:t>
              </w:r>
            </w:hyperlink>
          </w:p>
        </w:tc>
        <w:tc>
          <w:tcPr>
            <w:tcW w:w="916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Treatment of Equity Awards</w:t>
              </w:r>
            </w:hyperlink>
          </w:p>
        </w:tc>
        <w:tc>
          <w:tcPr>
            <w:tcW w:w="870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2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Exchange of Shares; Stock Transfer Books</w:t>
              </w:r>
            </w:hyperlink>
          </w:p>
        </w:tc>
        <w:tc>
          <w:tcPr>
            <w:tcW w:w="768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Withholding Taxes</w:t>
              </w:r>
            </w:hyperlink>
          </w:p>
        </w:tc>
        <w:tc>
          <w:tcPr>
            <w:tcW w:w="936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Representations and Warranties</w:t>
              </w:r>
            </w:hyperlink>
          </w:p>
        </w:tc>
        <w:tc>
          <w:tcPr>
            <w:tcW w:w="848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Conduct of Business Pending the Effective Time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Certain Additional Agreements</w:t>
              </w:r>
            </w:hyperlink>
          </w:p>
        </w:tc>
        <w:tc>
          <w:tcPr>
            <w:tcW w:w="728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Conditions to the Merger</w:t>
              </w:r>
            </w:hyperlink>
          </w:p>
        </w:tc>
        <w:tc>
          <w:tcPr>
            <w:tcW w:w="850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Termination, Amendment and Waiver</w:t>
              </w:r>
            </w:hyperlink>
          </w:p>
        </w:tc>
        <w:tc>
          <w:tcPr>
            <w:tcW w:w="804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11140" w:type="dxa"/>
            <w:vAlign w:val="bottom"/>
            <w:gridSpan w:val="3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UNAUDITED PRO FORMA CONDENSED COMBINED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COMPARISON OF STOCKHOLDER RIGHTS</w:t>
              </w:r>
            </w:hyperlink>
          </w:p>
        </w:tc>
        <w:tc>
          <w:tcPr>
            <w:tcW w:w="2900" w:type="dxa"/>
            <w:vAlign w:val="bottom"/>
            <w:tcBorders>
              <w:top w:val="single" w:sz="8" w:color="0000EE"/>
            </w:tcBorders>
            <w:gridSpan w:val="10"/>
          </w:tcPr>
          <w:p>
            <w:pPr>
              <w:spacing w:after="0"/>
              <w:rPr>
                <w:sz w:val="24"/>
                <w:szCs w:val="24"/>
                <w:color w:val="auto"/>
              </w:rPr>
            </w:pPr>
          </w:p>
        </w:tc>
        <w:tc>
          <w:tcPr>
            <w:tcW w:w="48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04"/>
        </w:trPr>
        <w:tc>
          <w:tcPr>
            <w:tcW w:w="11140" w:type="dxa"/>
            <w:vAlign w:val="bottom"/>
            <w:gridSpan w:val="3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DESCRIPTION OF SCHLUMBERGER CAPITAL STOCK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9"/>
          </w:tcPr>
          <w:p>
            <w:pPr>
              <w:jc w:val="center"/>
              <w:ind w:right="414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12"/>
            <w:vMerge w:val="restart"/>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ELECTION OF DIRECTORS OF SMITH</w:t>
              </w:r>
            </w:hyperlink>
          </w:p>
        </w:tc>
        <w:tc>
          <w:tcPr>
            <w:tcW w:w="8040" w:type="dxa"/>
            <w:vAlign w:val="bottom"/>
            <w:gridSpan w:val="11"/>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2"/>
            <w:vMerge w:val="continue"/>
          </w:tcPr>
          <w:p>
            <w:pPr>
              <w:spacing w:after="0"/>
              <w:rPr>
                <w:sz w:val="14"/>
                <w:szCs w:val="14"/>
                <w:color w:val="auto"/>
              </w:rPr>
            </w:pPr>
          </w:p>
        </w:tc>
        <w:tc>
          <w:tcPr>
            <w:tcW w:w="8040" w:type="dxa"/>
            <w:vAlign w:val="bottom"/>
            <w:gridSpan w:val="11"/>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Nominees</w:t>
              </w:r>
            </w:hyperlink>
          </w:p>
        </w:tc>
        <w:tc>
          <w:tcPr>
            <w:tcW w:w="9900" w:type="dxa"/>
            <w:vAlign w:val="bottom"/>
            <w:gridSpan w:val="1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Directors Continuing in Office</w:t>
              </w:r>
            </w:hyperlink>
          </w:p>
        </w:tc>
        <w:tc>
          <w:tcPr>
            <w:tcW w:w="84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04"/>
        </w:trPr>
        <w:tc>
          <w:tcPr>
            <w:tcW w:w="658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SECURITY OWNERSHIP OF CERTAIN BENEFICIAL OWNERS AND MANAGEMENT</w:t>
              </w:r>
            </w:hyperlink>
          </w:p>
        </w:tc>
        <w:tc>
          <w:tcPr>
            <w:tcW w:w="448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CORPORATE GOVERNANCE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COMPENSATION DISCUSSION AND ANALYSIS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COMPENSATION AND BENEFITS COMMITTEE REPORT</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04"/>
        </w:trPr>
        <w:tc>
          <w:tcPr>
            <w:tcW w:w="24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EXECUTIVE COMPENSATION</w:t>
              </w:r>
            </w:hyperlink>
          </w:p>
        </w:tc>
        <w:tc>
          <w:tcPr>
            <w:tcW w:w="2040" w:type="dxa"/>
            <w:vAlign w:val="bottom"/>
            <w:tcBorders>
              <w:top w:val="single" w:sz="8" w:color="0000EE"/>
            </w:tcBorders>
            <w:gridSpan w:val="7"/>
          </w:tcPr>
          <w:p>
            <w:pPr>
              <w:spacing w:after="0"/>
              <w:rPr>
                <w:sz w:val="24"/>
                <w:szCs w:val="24"/>
                <w:color w:val="auto"/>
              </w:rPr>
            </w:pPr>
          </w:p>
        </w:tc>
        <w:tc>
          <w:tcPr>
            <w:tcW w:w="6620" w:type="dxa"/>
            <w:vAlign w:val="bottom"/>
            <w:gridSpan w:val="7"/>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DIRECTOR COMPENSATION FOR FISCAL 2009</w:t>
              </w:r>
            </w:hyperlink>
          </w:p>
        </w:tc>
        <w:tc>
          <w:tcPr>
            <w:tcW w:w="7300" w:type="dxa"/>
            <w:vAlign w:val="bottom"/>
            <w:gridSpan w:val="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ADDITIONAL INFORMATION ABOUT SMITH’S DIRECTORS AND EXECUTIVE OFFICERS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04"/>
        </w:trPr>
        <w:tc>
          <w:tcPr>
            <w:tcW w:w="3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EQUITY COMPENSATION PLAN INFORMATION</w:t>
              </w:r>
            </w:hyperlink>
          </w:p>
        </w:tc>
        <w:tc>
          <w:tcPr>
            <w:tcW w:w="3260" w:type="dxa"/>
            <w:vAlign w:val="bottom"/>
            <w:tcBorders>
              <w:top w:val="single" w:sz="8" w:color="0000EE"/>
            </w:tcBorders>
            <w:gridSpan w:val="4"/>
          </w:tcPr>
          <w:p>
            <w:pPr>
              <w:spacing w:after="0"/>
              <w:rPr>
                <w:sz w:val="24"/>
                <w:szCs w:val="24"/>
                <w:color w:val="auto"/>
              </w:rPr>
            </w:pPr>
          </w:p>
        </w:tc>
        <w:tc>
          <w:tcPr>
            <w:tcW w:w="3980" w:type="dxa"/>
            <w:vAlign w:val="bottom"/>
            <w:gridSpan w:val="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04"/>
        </w:trPr>
        <w:tc>
          <w:tcPr>
            <w:tcW w:w="2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40">
              <w:r>
                <w:rPr>
                  <w:rFonts w:ascii="Arial" w:cs="Arial" w:eastAsia="Arial" w:hAnsi="Arial"/>
                  <w:sz w:val="18"/>
                  <w:szCs w:val="18"/>
                  <w:color w:val="0000EE"/>
                  <w:w w:val="94"/>
                </w:rPr>
                <w:t>AUDIT COMMITTEE REPORT</w:t>
              </w:r>
            </w:hyperlink>
          </w:p>
        </w:tc>
        <w:tc>
          <w:tcPr>
            <w:tcW w:w="8700" w:type="dxa"/>
            <w:vAlign w:val="bottom"/>
            <w:gridSpan w:val="1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APPROVAL OF 1989 LONG-TERM INCENTIVE COMPENSATION PLAN, AS AMENDED AND RESTATED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w w:val="98"/>
              </w:rPr>
            </w:pPr>
            <w:hyperlink w:anchor="page145">
              <w:r>
                <w:rPr>
                  <w:rFonts w:ascii="Arial" w:cs="Arial" w:eastAsia="Arial" w:hAnsi="Arial"/>
                  <w:sz w:val="18"/>
                  <w:szCs w:val="18"/>
                  <w:color w:val="0000EE"/>
                  <w:w w:val="98"/>
                </w:rPr>
                <w:t>RATIFICATION OF THE APPOINTMENT OF DELOITTE &amp; TOUCHE LLP AS INDEPENDENT REGISTERED PUBLIC ACCOUNTING FIRM</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FOR SMITH</w:t>
              </w:r>
            </w:hyperlink>
          </w:p>
        </w:tc>
        <w:tc>
          <w:tcPr>
            <w:tcW w:w="9460" w:type="dxa"/>
            <w:vAlign w:val="bottom"/>
            <w:tcBorders>
              <w:top w:val="single" w:sz="8" w:color="0000EE"/>
            </w:tcBorders>
            <w:gridSpan w:val="18"/>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04"/>
        </w:trPr>
        <w:tc>
          <w:tcPr>
            <w:tcW w:w="47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46">
              <w:r>
                <w:rPr>
                  <w:rFonts w:ascii="Arial" w:cs="Arial" w:eastAsia="Arial" w:hAnsi="Arial"/>
                  <w:sz w:val="18"/>
                  <w:szCs w:val="18"/>
                  <w:color w:val="0000EE"/>
                  <w:w w:val="96"/>
                </w:rPr>
                <w:t>SMITH ANNUAL REPORT AND FINANCIAL INFORMATION</w:t>
              </w:r>
            </w:hyperlink>
          </w:p>
        </w:tc>
        <w:tc>
          <w:tcPr>
            <w:tcW w:w="63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04"/>
        </w:trPr>
        <w:tc>
          <w:tcPr>
            <w:tcW w:w="2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STOCKHOLDER PROPOSALS</w:t>
              </w:r>
            </w:hyperlink>
          </w:p>
        </w:tc>
        <w:tc>
          <w:tcPr>
            <w:tcW w:w="8720" w:type="dxa"/>
            <w:vAlign w:val="bottom"/>
            <w:gridSpan w:val="1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47">
              <w:r>
                <w:rPr>
                  <w:rFonts w:ascii="Arial" w:cs="Arial" w:eastAsia="Arial" w:hAnsi="Arial"/>
                  <w:sz w:val="18"/>
                  <w:szCs w:val="18"/>
                  <w:color w:val="0000EE"/>
                  <w:w w:val="88"/>
                </w:rPr>
                <w:t>EXPERTS</w:t>
              </w:r>
            </w:hyperlink>
          </w:p>
        </w:tc>
        <w:tc>
          <w:tcPr>
            <w:tcW w:w="10300" w:type="dxa"/>
            <w:vAlign w:val="bottom"/>
            <w:gridSpan w:val="2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LEGAL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420" w:type="dxa"/>
            <w:vAlign w:val="bottom"/>
            <w:gridSpan w:val="5"/>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43"/>
        </w:trPr>
        <w:tc>
          <w:tcPr>
            <w:tcW w:w="37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LIST OF ANNEXES</w:t>
            </w:r>
          </w:p>
        </w:tc>
        <w:tc>
          <w:tcPr>
            <w:tcW w:w="730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60" w:type="dxa"/>
            <w:vAlign w:val="bottom"/>
            <w:gridSpan w:val="23"/>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Annex A—Agreement and Plan of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00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12">
              <w:r>
                <w:rPr>
                  <w:rFonts w:ascii="Arial" w:cs="Arial" w:eastAsia="Arial" w:hAnsi="Arial"/>
                  <w:sz w:val="18"/>
                  <w:szCs w:val="18"/>
                  <w:color w:val="0000EE"/>
                  <w:w w:val="92"/>
                </w:rPr>
                <w:t>Annex B—Opinion of UBS Securities LLC</w:t>
              </w:r>
            </w:hyperlink>
          </w:p>
        </w:tc>
        <w:tc>
          <w:tcPr>
            <w:tcW w:w="79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19">
              <w:r>
                <w:rPr>
                  <w:rFonts w:ascii="Arial" w:cs="Arial" w:eastAsia="Arial" w:hAnsi="Arial"/>
                  <w:sz w:val="18"/>
                  <w:szCs w:val="18"/>
                  <w:color w:val="0000EE"/>
                  <w:w w:val="88"/>
                </w:rPr>
                <w:t>Annex C—Smith International, Inc. 1989 Long-Term Incentive Compensation Plan, as amended and restated</w:t>
              </w:r>
            </w:hyperlink>
          </w:p>
        </w:tc>
        <w:tc>
          <w:tcPr>
            <w:tcW w:w="3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MERGER AND THE SMITH ANNUAL MEETING</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The following are some questions that you, as a stockholder of Smith, may have regarding the merger and the annual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and the annual meeting. Additional important information is contained in the annexes to, and the documents incorporated by reference into, this proxy statement/prospectus.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Questions About the Merger</w:t>
      </w:r>
    </w:p>
    <w:p>
      <w:pPr>
        <w:spacing w:after="0" w:line="8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96" w:lineRule="exact"/>
        <w:rPr>
          <w:sz w:val="20"/>
          <w:szCs w:val="20"/>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and Smith have agreed to combine under the terms of a merger agreement that is described in this proxy statement/prospectus. A copy of the merger agreement is attached as Annex A. In order to complete the merger, Smith stockholders must vote to adopt the merger agreement. Smith will submit this proposal to its stockholders at its annual meeting.</w:t>
      </w:r>
    </w:p>
    <w:p>
      <w:pPr>
        <w:spacing w:after="0" w:line="59"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At the annual meeting, Smith stockholders will be asked to vote on several other proposals, including the election of James Gibbs, Duane Radtke and John Yearwood as directors of Smith; approval of Smith’s 1989 Long-Term Incentive Compensation Plan, as amended and restated; the ratification of the appointment of Deloitte &amp; Touche LLP as Smith’s independent registered public accounting firm for the fiscal year ending December 31, 2010; and the adjournment of the Smith annual meeting, if necessary, to solicit additional proxies if there are not sufficient votes to adopt the merger agreement.</w:t>
      </w:r>
    </w:p>
    <w:p>
      <w:pPr>
        <w:spacing w:after="0" w:line="32"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This document contains important information about the merger and the meeting of the stockholders of Smith, and you should read it carefully. The enclosed voting materials allow you to vote your shares without attending the annual meeting.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We encourage you to vote as soon as possible.</w:t>
      </w:r>
    </w:p>
    <w:p>
      <w:pPr>
        <w:spacing w:after="0" w:line="8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96" w:lineRule="exact"/>
        <w:rPr>
          <w:sz w:val="20"/>
          <w:szCs w:val="20"/>
          <w:color w:val="auto"/>
        </w:rPr>
      </w:pPr>
    </w:p>
    <w:p>
      <w:pPr>
        <w:ind w:left="460" w:right="3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 and Smith have agreed to a merger, pursuant to which Turnberry Merger Sub Inc., a wholly owned subsidiary of Schlumberger that was formed for the purpose of the merger, will be merged with and into Smith. Smith will be the surviving corporation in the merger and will be a wholly owned subsidiary of Schlumberger following completion of the merger.</w:t>
      </w:r>
    </w:p>
    <w:p>
      <w:pPr>
        <w:spacing w:after="0" w:line="59" w:lineRule="exact"/>
        <w:rPr>
          <w:sz w:val="20"/>
          <w:szCs w:val="20"/>
          <w:color w:val="auto"/>
        </w:rPr>
      </w:pPr>
    </w:p>
    <w:p>
      <w:pPr>
        <w:ind w:left="460"/>
        <w:spacing w:after="0" w:line="330" w:lineRule="auto"/>
        <w:rPr>
          <w:sz w:val="20"/>
          <w:szCs w:val="20"/>
          <w:color w:val="auto"/>
        </w:rPr>
      </w:pPr>
      <w:r>
        <w:rPr>
          <w:rFonts w:ascii="Arial" w:cs="Arial" w:eastAsia="Arial" w:hAnsi="Arial"/>
          <w:sz w:val="16"/>
          <w:szCs w:val="16"/>
          <w:color w:val="auto"/>
        </w:rPr>
        <w:t>In the merger, Schlumberger will issue shares of Schlumberger common stock as the consideration to be paid to holders of Smith common stock. Following the merger, Smith will cease to be a publicly held corporation and will be a wholly owned subsidiary of Schlumberger.</w:t>
      </w:r>
    </w:p>
    <w:p>
      <w:pPr>
        <w:spacing w:after="0" w:line="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adopt the merger agreement?</w:t>
      </w:r>
    </w:p>
    <w:p>
      <w:pPr>
        <w:spacing w:after="0" w:line="96" w:lineRule="exact"/>
        <w:rPr>
          <w:sz w:val="20"/>
          <w:szCs w:val="20"/>
          <w:color w:val="auto"/>
        </w:rPr>
      </w:pPr>
    </w:p>
    <w:p>
      <w:pPr>
        <w:ind w:left="460" w:right="340" w:hanging="452"/>
        <w:spacing w:after="0" w:line="323"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order to complete the merger, Smith stockholders must vote to adopt the merger agreement. This document is being delivered to you as both a proxy statement of Smith and a prospectus of Schlumberger in connection with the merger. It is the proxy statement by which the Smith board of directors is soliciting proxies from you to vote on certain matters, including the adoption of the merger agreement, at the annual meeting or at any adjournment or postponement of the annual meeting. It is also the prospectus by which Schlumberger will issue Schlumberger common stock to you in the merger.</w:t>
      </w:r>
    </w:p>
    <w:p>
      <w:pPr>
        <w:spacing w:after="0" w:line="1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96" w:lineRule="exact"/>
        <w:rPr>
          <w:sz w:val="20"/>
          <w:szCs w:val="20"/>
          <w:color w:val="auto"/>
        </w:rPr>
      </w:pPr>
    </w:p>
    <w:p>
      <w:pPr>
        <w:ind w:left="460" w:right="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merger is completed, each of your shares of Smith common stock will be cancelled and converted automatically into the right to receive 0.6966 shares of Schlumberger common stock. You will receive cash for any fractional shares of Schlumberger common stock that you would otherwise receive in the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Based on the closing price of Schlumberger common stock on the NYSE on February 18, 2010, the last trading day before various news outlets began reporting on a possible transaction involving Smith and Schlumberger, the merger consideration represented approximately $45.84 in value for each share of Smith common stock. Based on the closing price of Schlumberger common stock on the NYSE on [—], 2010, the most recent practicable trading day prior to the date of this proxy statement/prospectus, the merger consideration represented approximately $[—] in value for each share of Smith common stock. The market price of Schlumberger common stock will fluctuate prior to the merger, and the market price of Schlumberger common stock when received by Smith stockholders after the merger is completed could be greater or less than the current market price of Schlumberger common stock. See “Risk Factors” beginning on page [—] of this proxy statement/prospectus.</w:t>
      </w:r>
    </w:p>
    <w:p>
      <w:pPr>
        <w:spacing w:after="0" w:line="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96" w:lineRule="exact"/>
        <w:rPr>
          <w:sz w:val="20"/>
          <w:szCs w:val="20"/>
          <w:color w:val="auto"/>
        </w:rPr>
      </w:pPr>
    </w:p>
    <w:p>
      <w:pPr>
        <w:ind w:left="460" w:right="80" w:hanging="452"/>
        <w:spacing w:after="0" w:line="29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merger agreement is not adopted by Smith stockholders or if the merger is not completed for any other reason, you will not receive any payment for your shares of Smith common stock in connection with the merger. Instead, Smith will remain an independent public company and Smith common stock will continue to be listed and traded on the NYSE. If the merger agreement is terminated under specified circumstances, Smith may be required to pay Schlumberger a termination fee of $340 million, or Schlumberger may be required to pay Smith a termination fee of $615 million, as described under “The Merger Agreement—Termination, Amendment and Waiver—Fees and Expenses” beginning on page [—] of this proxy statement/prospectus.</w:t>
      </w:r>
    </w:p>
    <w:p>
      <w:pPr>
        <w:spacing w:after="0" w:line="2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Will I continue to receive future dividends?</w:t>
      </w:r>
    </w:p>
    <w:p>
      <w:pPr>
        <w:spacing w:after="0" w:line="96" w:lineRule="exact"/>
        <w:rPr>
          <w:sz w:val="20"/>
          <w:szCs w:val="20"/>
          <w:color w:val="auto"/>
        </w:rPr>
      </w:pPr>
    </w:p>
    <w:p>
      <w:pPr>
        <w:ind w:left="460" w:right="40" w:hanging="452"/>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Before completion of the merger, Smith expects to continue to pay its regular quarterly cash dividends on shares of its common stock, which currently are $0.12 per share of Smith common stock. However, Smith and Schlumberger will coordinate the timing of dividend declarations leading up to the merger so that a holder will neither receive two dividends, nor fail to receive one dividend, for any quarter. Receipt of the regular quarterly dividend will not reduce the merger consideration you receive. After completion of the merger, you will be entitled only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$0.21 per share of Schlumberger common stock.</w:t>
      </w:r>
    </w:p>
    <w:p>
      <w:pPr>
        <w:spacing w:after="0" w:line="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Does the Smith board of directors recommend that stockholders adopt the merger agreement?</w:t>
      </w:r>
    </w:p>
    <w:p>
      <w:pPr>
        <w:spacing w:after="0" w:line="9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Yes, the Smith board of directors unanimously recommends a vote “FOR” the adoption of the merger agreement.</w:t>
      </w:r>
    </w:p>
    <w:p>
      <w:pPr>
        <w:spacing w:after="0" w:line="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annual meeting?</w:t>
      </w:r>
    </w:p>
    <w:p>
      <w:pPr>
        <w:spacing w:after="0" w:line="96" w:lineRule="exact"/>
        <w:rPr>
          <w:sz w:val="20"/>
          <w:szCs w:val="20"/>
          <w:color w:val="auto"/>
        </w:rPr>
      </w:pPr>
    </w:p>
    <w:p>
      <w:pPr>
        <w:ind w:left="4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record date for the annual meeting is earlier than the date of the annual meeting and the date that the merger is expected to be completed. If you sell or otherwise transfer your shares of Smith common stock after the record date but before the date of the annual meeting, you will retain your right to vote at the annual meeting. However, you will not have the right to receive the merger consideration to be received by Smith stockholders in the merger. In order to receive the merger consideration, you must hold your shares through completion of the merger.</w:t>
      </w:r>
    </w:p>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96" w:lineRule="exact"/>
        <w:rPr>
          <w:sz w:val="20"/>
          <w:szCs w:val="20"/>
          <w:color w:val="auto"/>
        </w:rPr>
      </w:pPr>
    </w:p>
    <w:p>
      <w:pPr>
        <w:ind w:left="460" w:right="8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Appraisal rights confer on stockholders who vote against the merger the right to demand that the corporation pay the fair value for their shares as determined by a court in a judicial proceeding instead of receiving the consideration offered to stockholders in connection with the merger. Because Smith common stock was listed on the NYSE on the record date and will, upon the completion of the merger, be converted into the right to receive Schlumberger common stock, which will also be listed on the NYSE, Smith stockholders will not have appraisal rights in connection with the merger.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96" w:lineRule="exact"/>
        <w:rPr>
          <w:sz w:val="20"/>
          <w:szCs w:val="20"/>
          <w:color w:val="auto"/>
        </w:rPr>
      </w:pPr>
    </w:p>
    <w:p>
      <w:pPr>
        <w:ind w:left="460" w:right="38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In addition to the adoption of the merger agreement by Smith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5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96" w:lineRule="exact"/>
        <w:rPr>
          <w:sz w:val="20"/>
          <w:szCs w:val="20"/>
          <w:color w:val="auto"/>
        </w:rPr>
      </w:pPr>
    </w:p>
    <w:p>
      <w:pPr>
        <w:jc w:val="both"/>
        <w:ind w:left="460" w:right="3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Smith and Schlumberger are working toward completing the merger promptly. Smith and Schlumberger currently expect to complete the merger in the second half of 2010, subject to receipt of Smith’s stockholder approval, governmental and regulatory approvals and other usual and customary closing conditions. However, no assurance can be given as to when, or if, the merger will occur.</w:t>
      </w:r>
    </w:p>
    <w:p>
      <w:pPr>
        <w:spacing w:after="0" w:line="5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96" w:lineRule="exact"/>
        <w:rPr>
          <w:sz w:val="20"/>
          <w:szCs w:val="20"/>
          <w:color w:val="auto"/>
        </w:rPr>
      </w:pPr>
    </w:p>
    <w:p>
      <w:pPr>
        <w:ind w:left="460" w:right="2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Smith stockholders should not send in their stock certificates at this time. At the effective time of the merger, your shares of Smith common stock will be converted automatically into the right to receive the merger consideration. After completion of the merger, Schlumberger’s exchange agent will send you a letter of transmittal and instructions for exchanging your shares of Smith common stock for the merger consideration. Upon surrender of the certificates or book-entry shares for cancellation along with the executed letter of transmittal and other documents, a Smith stockholder will receive the merger consideration and any unpaid dividends and distributions declared and paid in respect of Schlumberger common stock after completion of the merger. Unless you specifically request to receive Schlumberger stock certificates, the shares of Schlumberger stock you receive in the merger will be issued in book-entry form.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 About Voting</w:t>
      </w:r>
    </w:p>
    <w:p>
      <w:pPr>
        <w:spacing w:after="0" w:line="8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right="2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Smith annual meeting of stockholders will be held at the Hotel du Pont, 11th and Market Streets, Wilmington, Delaware, on [—], [—], 2010, at [—], local time.</w:t>
      </w:r>
    </w:p>
    <w:p>
      <w:pPr>
        <w:spacing w:after="0" w:line="4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You are entitled to vote your shares of Smith common stock if you are a stockholder of record on [—], 2010, the record date for the annual meeting.</w:t>
      </w:r>
    </w:p>
    <w:p>
      <w:pPr>
        <w:spacing w:after="0" w:line="10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jc w:val="both"/>
        <w:ind w:left="460" w:right="4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entitled to one vote for each share of Smith common stock that you owned as of the record date. Each share of Smith common stock has one vote. The enclosed proxy card shows the number of shares that you are entitled to vote. As of the close of business on [—], 2010, there were approximately [—] outstanding shares of Smith common stock. As of that date, approximately [—]% of the outstanding shares of common stock of Smith entitled to vote were owned by its directors and executive officers and their affiliates.</w:t>
      </w:r>
    </w:p>
    <w:p>
      <w:pPr>
        <w:spacing w:after="0" w:line="5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left="46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Stockholders of record of Smith as of the record date for the Smith annual meeting may vote in person by attending the stockholder meeting, or by telephone, internet or mail. If you are voting by mail, please sign, date and mail the enclosed proxy card. If you are voting by telephone or internet, please follow the instructions on the enclosed proxy card. Whether or not you plan to attend the meeting, we encourage you to vote by proxy as soon as possible. If you hold your shares in more than one type of account or your shares are registered differently, you may receive more than one proxy card. We encourage you to vote each proxy card that you receive.</w:t>
      </w:r>
    </w:p>
    <w:p>
      <w:pPr>
        <w:spacing w:after="0" w:line="61" w:lineRule="exact"/>
        <w:rPr>
          <w:rFonts w:ascii="Arial" w:cs="Arial" w:eastAsia="Arial" w:hAnsi="Arial"/>
          <w:sz w:val="18"/>
          <w:szCs w:val="18"/>
          <w:color w:val="auto"/>
        </w:rPr>
      </w:pPr>
    </w:p>
    <w:p>
      <w:pPr>
        <w:ind w:left="460" w:right="200"/>
        <w:spacing w:after="0" w:line="306" w:lineRule="auto"/>
        <w:rPr>
          <w:rFonts w:ascii="Arial" w:cs="Arial" w:eastAsia="Arial" w:hAnsi="Arial"/>
          <w:sz w:val="18"/>
          <w:szCs w:val="18"/>
          <w:color w:val="auto"/>
        </w:rPr>
      </w:pPr>
      <w:r>
        <w:rPr>
          <w:rFonts w:ascii="Arial" w:cs="Arial" w:eastAsia="Arial" w:hAnsi="Arial"/>
          <w:sz w:val="16"/>
          <w:szCs w:val="16"/>
          <w:color w:val="auto"/>
        </w:rPr>
        <w:t>If you choose to attend the meeting in person, you will be asked to present valid picture identification and, if you hold your shares through a broker, you will be asked to present a copy of your brokerage statement showing your stock ownership as of [—], 2010, and, in order to vote at the annual meeting, a “legal proxy” from your broker. For directions to the meeting, contact the Hotel du Pont, Wilmington, Delaware at (302) 594-3100.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96" w:lineRule="exact"/>
        <w:rPr>
          <w:sz w:val="20"/>
          <w:szCs w:val="20"/>
          <w:color w:val="auto"/>
        </w:rPr>
      </w:pPr>
    </w:p>
    <w:p>
      <w:pPr>
        <w:ind w:left="460" w:right="30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you vote by proxy, the individuals named on the proxy card (your proxies) will vote your shares in the manner you indicate. You may specify on your proxy card whether your shares should be voted for all of the nominees for director or your vote should be withheld with respect to one or more of the nominees. You may also specify whether you approve, disapprove or abstain from the other proposals.</w:t>
      </w:r>
    </w:p>
    <w:p>
      <w:pPr>
        <w:spacing w:after="0" w:line="26"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If you sign and return your proxy card without indicating your voting instructions, your shares will be voted FOR the adoption of the merger agreement, FOR the election of all nominees for director, FOR the approval of the Smith long-term incentive compensation plan, FOR the ratification of the appointment of Deloitte &amp; Touche as Smith’s independent registered accounting firm and, if necessary, FOR the adjournment of the Smith annual meeting.</w:t>
      </w:r>
    </w:p>
    <w:p>
      <w:pPr>
        <w:spacing w:after="0" w:line="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96" w:lineRule="exact"/>
        <w:rPr>
          <w:sz w:val="20"/>
          <w:szCs w:val="20"/>
          <w:color w:val="auto"/>
        </w:rPr>
      </w:pPr>
    </w:p>
    <w:p>
      <w:pPr>
        <w:ind w:left="460" w:right="16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Smith or by voting in person at the Smith annual meeting unless you provide a “legal proxy,” which you must obtain from your bank or broker.</w:t>
      </w:r>
    </w:p>
    <w:p>
      <w:pPr>
        <w:spacing w:after="0" w:line="62"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If you do not instruct your broker on how to vote your shares, your broker may not give a proxy on or vote your shares on the proposals to adopt the merger agreement (which will have the same effect as a vote against adoption of the merger agreement), elect directors (which will have no effect on the election results, assuming a quorum is present) or to approve the incentive plan proposal (which will have the same effect as a vote against the approval of the incentive plan) without specific instructions from their customers, but may give a proxy on or vote your shares with respect to the other proposals to be considered at the annual meeting. We refer to matters where a proxy has been given but the broker may not vote the shares due to the lack of specific instructions as “broker non-votes.”</w:t>
      </w:r>
    </w:p>
    <w:p>
      <w:pPr>
        <w:spacing w:after="0" w:line="5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96" w:lineRule="exact"/>
        <w:rPr>
          <w:sz w:val="20"/>
          <w:szCs w:val="20"/>
          <w:color w:val="auto"/>
        </w:rPr>
      </w:pPr>
    </w:p>
    <w:p>
      <w:pPr>
        <w:jc w:val="both"/>
        <w:ind w:left="460" w:right="18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Yes. You may revoke or change your proxy at any time before it is exercised by submitting written notice of revocation to Smith’s Corporate Secretary so that he receives it before the Smith annual meeting (which, if you hold your shares in street name, you must do in accordance with instructions from your bank or broker); voting again by telephone, internet or mail; or voting in person at the Smith annual meeting.</w:t>
      </w:r>
    </w:p>
    <w:p>
      <w:pPr>
        <w:spacing w:after="0" w:line="26" w:lineRule="exact"/>
        <w:rPr>
          <w:sz w:val="20"/>
          <w:szCs w:val="20"/>
          <w:color w:val="auto"/>
        </w:rPr>
      </w:pPr>
    </w:p>
    <w:p>
      <w:pPr>
        <w:ind w:left="460" w:right="60"/>
        <w:spacing w:after="0" w:line="330" w:lineRule="auto"/>
        <w:rPr>
          <w:sz w:val="20"/>
          <w:szCs w:val="20"/>
          <w:color w:val="auto"/>
        </w:rPr>
      </w:pPr>
      <w:r>
        <w:rPr>
          <w:rFonts w:ascii="Arial" w:cs="Arial" w:eastAsia="Arial" w:hAnsi="Arial"/>
          <w:sz w:val="16"/>
          <w:szCs w:val="16"/>
          <w:color w:val="auto"/>
        </w:rPr>
        <w:t>Attendance at the Smith annual meeting will not by itself revoke a previously granted proxy. If you hold your shares in street name and you wish to change your vote at the Smith annual meeting, you will need to obtain a proxy from the broker or nominee that holds your shares.</w:t>
      </w:r>
    </w:p>
    <w:p>
      <w:pPr>
        <w:spacing w:after="0" w:line="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right="18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of Smith common stock entitled to vote at the meeting constitutes a quorum for the transaction of business at the annual meeting. If you have returned valid proxy instructions or attend the meeting in person and are entitled to vote your shares at the meeting, your Smith common stock will be counted for the purpose of determining whether there is a quorum, even if you wish to abstain from voting on some or all matters introduced at the meeting. Broker non-votes also count for quorum purposes.</w:t>
      </w:r>
    </w:p>
    <w:p>
      <w:pPr>
        <w:spacing w:after="0" w:line="2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9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all of the shares of Smith common stock that are outstanding as of the record date and entitled to vote at the Smith annual meeting.</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Election of each director requires the affirmative vote of a majority of the total votes cast either for or against the election of such director at the Smith annual meeting. If a nominee is not elected, he must promptly tender his resignation to the Smith board of directors, which will determine, based on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73" w:lineRule="exact"/>
        <w:rPr>
          <w:sz w:val="20"/>
          <w:szCs w:val="20"/>
          <w:color w:val="auto"/>
        </w:rPr>
      </w:pPr>
    </w:p>
    <w:p>
      <w:pPr>
        <w:jc w:val="both"/>
        <w:ind w:left="660" w:right="160" w:hanging="206"/>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approval of the 1989 Long-Term Incentive Compensation Plan requires the affirmative vote of a majority of the shares represented at the meeting and entitled to vote on such proposal, provided that the total vote cast on the proposal constitutes at least a majority of the outstanding shares of Smith common stock. Shares represented at the meeting and entitled to vote on such proposal include all shares that are voted in person at the meeting or that are represented by valid proxies.</w:t>
      </w:r>
    </w:p>
    <w:p>
      <w:pPr>
        <w:spacing w:after="0" w:line="6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the ratification of the appointment of Deloitte &amp; Touche LLP as Smith’s independent registered public accounting firm for the 2010 fiscal year, and the approval of the adjournment of the Smith annual meeting requires the affirmative vote of a majority of the shares represented at the meeting and entitled to vote on such proposal. Shares represented at the meeting and entitled to vote on such proposal include all shares that are voted in person at the meeting or that are represented by valid proxies.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96" w:lineRule="exact"/>
        <w:rPr>
          <w:sz w:val="20"/>
          <w:szCs w:val="20"/>
          <w:color w:val="auto"/>
        </w:rPr>
      </w:pPr>
    </w:p>
    <w:p>
      <w:pPr>
        <w:ind w:left="460" w:right="200" w:hanging="452"/>
        <w:spacing w:after="0" w:line="330"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you are a holder of record and you sign and return your proxy card without indicating how to vote on any particular proposal, the Smith common stock represented by your proxy will be voted as recommended by the Smith board of directors with respect to that proposal.</w:t>
      </w:r>
    </w:p>
    <w:p>
      <w:pPr>
        <w:spacing w:after="0" w:line="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96" w:lineRule="exact"/>
        <w:rPr>
          <w:sz w:val="20"/>
          <w:szCs w:val="20"/>
          <w:color w:val="auto"/>
        </w:rPr>
      </w:pPr>
    </w:p>
    <w:p>
      <w:pPr>
        <w:ind w:left="460" w:right="60" w:hanging="452"/>
        <w:spacing w:after="0" w:line="28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you fail to vote, fail to instruct your broker or nominee to vote, or vote to abstain, it will have the same effect as a vote against the proposal to adopt the merger agreement. It will have no effect on the outcome of the proposal to elect directors, assuming a quorum is present. With respect to the proposal to approve the 1989 Long Term Incentive Compensation Plan, a failure to vote will have no effect on the outcome, assuming that a quorum is present and that at least a majority of the outstanding shares of Smith common stock vote on the proposal, but a failure to instruct your broker or nominee to vote or a vote to abstain will have the same effect as a vote against such proposal. With respect to the proposals to ratify the appointment of Deloitte &amp; Touche LLP as Smith’s independent registered public accounting firm for the 2010 fiscal year or to adjourn the Smith annual meeting, a failure to vote will have no effect on the outcome of either of such proposals, assuming in each case that a quorum is present, a failure to specify your voting instructions to your broker or nominee to vote will permit your broker or nominee to vote your shares on such proposals, and a vote to abstain will have the same effect as a vote against such proposals.</w:t>
      </w:r>
    </w:p>
    <w:p>
      <w:pPr>
        <w:spacing w:after="0" w:line="3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9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Smith annual meeting, other than those mentioned in this proxy statement/prospectus.</w:t>
      </w:r>
    </w:p>
    <w:p>
      <w:pPr>
        <w:spacing w:after="0" w:line="10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Smith will pay the cost of solicitation of proxies including preparing, printing and mailing this proxy statement/prospectus. Smith has retained MacKenzie Partners to help in soliciting proxies for a fee of $[—], plus reasonable out-of-pocket costs and expenses. Smith will also reimburse brokers, banks and other nominees for their costs in sending proxy materials to beneficial owners of Smith common stock. Other proxy solicitation expenses that Smith will pay include those for preparation, mailing, returning and tabulating the proxies.</w:t>
      </w:r>
    </w:p>
    <w:p>
      <w:pPr>
        <w:spacing w:after="0" w:line="5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annual meeting?</w:t>
      </w:r>
    </w:p>
    <w:p>
      <w:pPr>
        <w:spacing w:after="0" w:line="96" w:lineRule="exact"/>
        <w:rPr>
          <w:sz w:val="20"/>
          <w:szCs w:val="20"/>
          <w:color w:val="auto"/>
        </w:rPr>
      </w:pPr>
    </w:p>
    <w:p>
      <w:pPr>
        <w:ind w:left="460" w:right="60" w:hanging="452"/>
        <w:spacing w:after="0" w:line="306"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of record of Smith common stock as of [—], 2010 may attend the annual meeting. 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96" w:lineRule="exact"/>
        <w:rPr>
          <w:sz w:val="20"/>
          <w:szCs w:val="20"/>
          <w:color w:val="auto"/>
        </w:rPr>
      </w:pPr>
    </w:p>
    <w:p>
      <w:pPr>
        <w:ind w:left="460" w:right="12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for the annual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2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96" w:lineRule="exact"/>
        <w:rPr>
          <w:sz w:val="20"/>
          <w:szCs w:val="20"/>
          <w:color w:val="auto"/>
        </w:rPr>
      </w:pPr>
    </w:p>
    <w:p>
      <w:pPr>
        <w:ind w:left="460" w:right="1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Smith common stock, which you may do by: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attending the Smith annual meeting and voting by ballot in person.</w:t>
      </w:r>
    </w:p>
    <w:p>
      <w:pPr>
        <w:spacing w:after="0" w:line="90"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If you hold shares through a broker or other nominee, please instruct your broker or nominee to vote your shares by following the instructions that the broker or nominee provides to you with these materials.</w:t>
      </w:r>
    </w:p>
    <w:p>
      <w:pPr>
        <w:spacing w:after="0" w:line="4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96" w:lineRule="exact"/>
        <w:rPr>
          <w:sz w:val="20"/>
          <w:szCs w:val="20"/>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Smith stockholders who have questions about the merger, the election of directors or the other matters to be voted on at the Smith annual meeting or desire additional copies of this document or additional proxy cards should contact:</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Banks and brokers call collect: [—]</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Others call toll-free: [—]</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may not contain all of the information that is important to you. You are urged to read carefully the entire proxy statement/prospectus and the other documents referred to in this proxy statement/prospectus in order to fully understand the merger agreement and the proposed merger. See “Where You Can Find More Information” beginning on page [—] of this proxy statement/prospectus. Each item in this summary refers to the page of this proxy statement/prospectus on which that subject is discussed in more detail.</w:t>
      </w:r>
    </w:p>
    <w:p>
      <w:pPr>
        <w:spacing w:after="0" w:line="188" w:lineRule="exact"/>
        <w:rPr>
          <w:sz w:val="20"/>
          <w:szCs w:val="20"/>
          <w:color w:val="auto"/>
        </w:rPr>
      </w:pPr>
    </w:p>
    <w:p>
      <w:pPr>
        <w:jc w:val="right"/>
        <w:ind w:right="9020"/>
        <w:spacing w:after="0"/>
        <w:rPr>
          <w:sz w:val="20"/>
          <w:szCs w:val="20"/>
          <w:color w:val="auto"/>
        </w:rPr>
      </w:pPr>
      <w:r>
        <w:rPr>
          <w:rFonts w:ascii="Arial" w:cs="Arial" w:eastAsia="Arial" w:hAnsi="Arial"/>
          <w:sz w:val="16"/>
          <w:szCs w:val="16"/>
          <w:b w:val="1"/>
          <w:bCs w:val="1"/>
          <w:color w:val="auto"/>
        </w:rPr>
        <w:t>The Companies (page [—])</w:t>
      </w:r>
    </w:p>
    <w:p>
      <w:pPr>
        <w:spacing w:after="0" w:line="119" w:lineRule="exact"/>
        <w:rPr>
          <w:sz w:val="20"/>
          <w:szCs w:val="20"/>
          <w:color w:val="auto"/>
        </w:rPr>
      </w:pPr>
    </w:p>
    <w:p>
      <w:pPr>
        <w:jc w:val="right"/>
        <w:ind w:right="898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90"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Founded in 1926, Schlumberger is the world’s leading supplier of technology, integrated project management and information solutions to the international oil and gas exploration and production industry.</w:t>
      </w:r>
    </w:p>
    <w:p>
      <w:pPr>
        <w:spacing w:after="0" w:line="132"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 International, Inc.</w:t>
      </w:r>
    </w:p>
    <w:p>
      <w:pPr>
        <w:spacing w:after="0" w:line="9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w:t>
      </w:r>
    </w:p>
    <w:p>
      <w:pPr>
        <w:spacing w:after="0" w:line="132"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Turnberry Merger Sub Inc.</w:t>
      </w:r>
    </w:p>
    <w:p>
      <w:pPr>
        <w:spacing w:after="0" w:line="90"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Agreement </w:t>
      </w:r>
      <w:r>
        <w:rPr>
          <w:rFonts w:ascii="Arial" w:cs="Arial" w:eastAsia="Arial" w:hAnsi="Arial"/>
          <w:sz w:val="18"/>
          <w:szCs w:val="18"/>
          <w:color w:val="auto"/>
        </w:rPr>
        <w:t>(page [—])</w:t>
      </w:r>
    </w:p>
    <w:p>
      <w:pPr>
        <w:spacing w:after="0" w:line="9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Schlumberger, Smith and Merger Sub have entered into an Agreement and Plan of Merger dated as of February 21, 2010, which, as it may be amended from time to time, is referred to in this proxy statement/prospectus as the merger agreement. Subject to the terms and conditions of the merger agreement and in accordance with Delaware law, Merger Sub will be merged with and into Smith, with Smith continuing as the surviving corporation. Upon completion of this transaction, which is referred to in this proxy statement/prospectus as the merger, Smith will be a wholly owned subsidiary of Schlumberger, and Smith common stock will no longer be publicly traded. A copy of the merger agreement is attached as Annex A to this proxy statement/prospectus. </w:t>
      </w:r>
      <w:r>
        <w:rPr>
          <w:rFonts w:ascii="Arial" w:cs="Arial" w:eastAsia="Arial" w:hAnsi="Arial"/>
          <w:sz w:val="16"/>
          <w:szCs w:val="16"/>
          <w:b w:val="1"/>
          <w:bCs w:val="1"/>
          <w:color w:val="auto"/>
        </w:rPr>
        <w:t>You should</w:t>
      </w:r>
      <w:r>
        <w:rPr>
          <w:rFonts w:ascii="Arial" w:cs="Arial" w:eastAsia="Arial" w:hAnsi="Arial"/>
          <w:sz w:val="16"/>
          <w:szCs w:val="16"/>
          <w:color w:val="auto"/>
        </w:rPr>
        <w:t xml:space="preserve"> </w:t>
      </w:r>
      <w:r>
        <w:rPr>
          <w:rFonts w:ascii="Arial" w:cs="Arial" w:eastAsia="Arial" w:hAnsi="Arial"/>
          <w:sz w:val="16"/>
          <w:szCs w:val="16"/>
          <w:b w:val="1"/>
          <w:bCs w:val="1"/>
          <w:color w:val="auto"/>
        </w:rPr>
        <w:t>read the merger agreement carefully because it is the legal document that governs the merger.</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86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9866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Consideration </w:t>
      </w:r>
      <w:r>
        <w:rPr>
          <w:rFonts w:ascii="Arial" w:cs="Arial" w:eastAsia="Arial" w:hAnsi="Arial"/>
          <w:sz w:val="18"/>
          <w:szCs w:val="18"/>
          <w:color w:val="auto"/>
        </w:rPr>
        <w:t>(page [—])</w:t>
      </w:r>
    </w:p>
    <w:p>
      <w:pPr>
        <w:spacing w:after="0" w:line="90" w:lineRule="exact"/>
        <w:rPr>
          <w:sz w:val="20"/>
          <w:szCs w:val="20"/>
          <w:color w:val="auto"/>
        </w:rPr>
      </w:pPr>
    </w:p>
    <w:p>
      <w:pPr>
        <w:ind w:left="200" w:right="40" w:firstLine="443"/>
        <w:spacing w:after="0" w:line="309" w:lineRule="auto"/>
        <w:rPr>
          <w:sz w:val="20"/>
          <w:szCs w:val="20"/>
          <w:color w:val="auto"/>
        </w:rPr>
      </w:pPr>
      <w:r>
        <w:rPr>
          <w:rFonts w:ascii="Arial" w:cs="Arial" w:eastAsia="Arial" w:hAnsi="Arial"/>
          <w:sz w:val="15"/>
          <w:szCs w:val="15"/>
          <w:color w:val="auto"/>
        </w:rPr>
        <w:t>If the merger is completed, Smith stockholders will be entitled to receive in the merger, for each share of Smith common stock that they own, 0.6966 shares of Schlumberger common stock. The number of shares of Schlumberger common stock delivered in respect of each share of Smith common stock in the merger is referred to in this proxy statement/prospectus as the exchange ratio. Schlumberger will not issue any fractional shares of its common stock in the merger. Instead, the total number of shares of Schlumberger common stock that each Smith stockholder will receive in the merger will be rounded down to the nearest whole number, and each Smith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Smith stockholder would otherwise be entitled to receive in the merger by the closing sale price of a share of Schlumberger common stock on the business day immediately preceding the completion of the merger. The Schlumberger common stock issuable based on the exchange ratio, together with any cash payable in lieu of fractional shares, is referred to in this proxy statement/prospectus as the merger consideration.</w:t>
      </w:r>
    </w:p>
    <w:p>
      <w:pPr>
        <w:spacing w:after="0" w:line="108"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i w:val="1"/>
          <w:iCs w:val="1"/>
          <w:color w:val="auto"/>
        </w:rPr>
        <w:t>Example: If you currently own 100 shares of Smith common stock, you will be entitled to receive 69 shares of Schlumberger common stock and cash for the market value of 0.66 shares of Schlumberger common stock at the closing sale price of a share of Schlumberger common stock on the business day immediately preceding the completion of the merger.</w:t>
      </w:r>
    </w:p>
    <w:p>
      <w:pPr>
        <w:spacing w:after="0" w:line="14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exchange ratio of 0.6966 of a share of Schlumberger common stock is fixed, which means that it will not change between now and the date of the merger, regardless of whether the market price of either Schlumberger or Smith common stock changes. Therefore, the value of the merger consideration will depend on the market price of Schlumberger common stock at the time Smith stockholders receive Schlumberger common stock in the merger. The market price of Schlumberger common stock will fluctuate prior to the merger, and the market price of Schlumberger common stock when received by Smith stockholders in connection with the merger could be greater or less than the current market price of Schlumberger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Meeting of Smith Stockholders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Smith annual meeting will be held at the Hotel du Pont, 11</w:t>
      </w:r>
      <w:r>
        <w:rPr>
          <w:rFonts w:ascii="Arial" w:cs="Arial" w:eastAsia="Arial" w:hAnsi="Arial"/>
          <w:sz w:val="10"/>
          <w:szCs w:val="10"/>
          <w:color w:val="auto"/>
        </w:rPr>
        <w:t>th</w:t>
      </w:r>
      <w:r>
        <w:rPr>
          <w:rFonts w:ascii="Arial" w:cs="Arial" w:eastAsia="Arial" w:hAnsi="Arial"/>
          <w:sz w:val="16"/>
          <w:szCs w:val="16"/>
          <w:color w:val="auto"/>
        </w:rPr>
        <w:t xml:space="preserve"> and Market Streets, Wilmington, Delaware, on [—], 2010 at [—], local time. At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Smith annual meeting, Smith stockholders will be asked to vote on the following proposals:</w:t>
      </w:r>
    </w:p>
    <w:p>
      <w:pPr>
        <w:spacing w:after="0" w:line="84" w:lineRule="exact"/>
        <w:rPr>
          <w:sz w:val="20"/>
          <w:szCs w:val="20"/>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elect three Class III directors: James R. Gibbs, Duane C. Radtke and John Yearwood, each for a term of three years ending at the 2013 annual meeting of stockholders or until their respective successors have been duly elected and qualified;</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approve the Smith International, Inc. 1989 Long-Term Incentive Compensation Plan, as amended and restated;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840" w:right="14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adjourn the Smith annual meeting, if necessary, to solicit additional proxies if there are not sufficient votes to adopt the merger agreement at the time of the Smith annual meeting.</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90" w:lineRule="exact"/>
        <w:rPr>
          <w:sz w:val="20"/>
          <w:szCs w:val="20"/>
          <w:color w:val="auto"/>
        </w:rPr>
      </w:pPr>
    </w:p>
    <w:p>
      <w:pPr>
        <w:ind w:left="200" w:right="280" w:firstLine="443"/>
        <w:spacing w:after="0" w:line="268" w:lineRule="auto"/>
        <w:rPr>
          <w:sz w:val="20"/>
          <w:szCs w:val="20"/>
          <w:color w:val="auto"/>
        </w:rPr>
      </w:pPr>
      <w:r>
        <w:rPr>
          <w:rFonts w:ascii="Arial" w:cs="Arial" w:eastAsia="Arial" w:hAnsi="Arial"/>
          <w:sz w:val="18"/>
          <w:szCs w:val="18"/>
          <w:color w:val="auto"/>
        </w:rPr>
        <w:t>Only Smith stockholders of record at the close of business on [—],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As of the record date, there were [—] shares of Smith common stock outstanding and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13"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90" w:lineRule="exact"/>
        <w:rPr>
          <w:sz w:val="20"/>
          <w:szCs w:val="20"/>
          <w:color w:val="auto"/>
        </w:rPr>
      </w:pPr>
    </w:p>
    <w:p>
      <w:pPr>
        <w:ind w:left="200" w:right="120" w:firstLine="443"/>
        <w:spacing w:after="0" w:line="294" w:lineRule="auto"/>
        <w:rPr>
          <w:sz w:val="20"/>
          <w:szCs w:val="20"/>
          <w:color w:val="auto"/>
        </w:rPr>
      </w:pPr>
      <w:r>
        <w:rPr>
          <w:rFonts w:ascii="Arial" w:cs="Arial" w:eastAsia="Arial" w:hAnsi="Arial"/>
          <w:sz w:val="16"/>
          <w:szCs w:val="16"/>
          <w:color w:val="auto"/>
        </w:rPr>
        <w:t>To adopt the merger agreement, holders of a majority of the shares of Smith common stock outstanding on the record date must vote in favor of adoption of the merger agreement. Smith cannot complete the merger unless its stockholders adopt the merger agreement. Because approval is based on the affirmative vote of a majority of the outstanding shares of Smith common stock, a Smith stockholder’s failure to vote, an abstention from voting or the failure of an Smith stockholder who holds his or her shares in “street name” through a broker or other nominee to give voting instructions to such broker or other nominee will all have the same effect as a vote “AGAINST” adoption of the merger agreement.</w:t>
      </w:r>
    </w:p>
    <w:p>
      <w:pPr>
        <w:spacing w:after="0" w:line="11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116"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Approval of the 1989 Long-Term Incentive Compensation Plan, as amended and restated, requires the affirmative vote of a majority of the shares represented at the meeting and entitled to vote on such proposal, provided that at least a majority of the outstanding shares of Smith common stock vote on such proposal.</w:t>
      </w:r>
    </w:p>
    <w:p>
      <w:pPr>
        <w:spacing w:after="0" w:line="140" w:lineRule="exact"/>
        <w:rPr>
          <w:sz w:val="20"/>
          <w:szCs w:val="20"/>
          <w:color w:val="auto"/>
        </w:rPr>
      </w:pPr>
    </w:p>
    <w:p>
      <w:pPr>
        <w:jc w:val="both"/>
        <w:ind w:left="200" w:right="300" w:firstLine="443"/>
        <w:spacing w:after="0" w:line="259" w:lineRule="auto"/>
        <w:rPr>
          <w:sz w:val="20"/>
          <w:szCs w:val="20"/>
          <w:color w:val="auto"/>
        </w:rPr>
      </w:pPr>
      <w:r>
        <w:rPr>
          <w:rFonts w:ascii="Arial" w:cs="Arial" w:eastAsia="Arial" w:hAnsi="Arial"/>
          <w:sz w:val="18"/>
          <w:szCs w:val="18"/>
          <w:color w:val="auto"/>
        </w:rPr>
        <w:t>Approval of each of the ratification of the appointment of Deloitte &amp; Touche LLP as Smith’s independent registered public accounting firm for the 2010 fiscal year and the adjournment of the Smith annual meeting requires the affirmative vote of a majority of the shares represented at the meeting and entitled to vote on such proposal.</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Smith Board of Directors</w:t>
      </w:r>
    </w:p>
    <w:p>
      <w:pPr>
        <w:spacing w:after="0" w:line="84" w:lineRule="exact"/>
        <w:rPr>
          <w:sz w:val="20"/>
          <w:szCs w:val="20"/>
          <w:color w:val="auto"/>
        </w:rPr>
      </w:pPr>
    </w:p>
    <w:p>
      <w:pPr>
        <w:jc w:val="both"/>
        <w:ind w:left="200" w:right="260" w:firstLine="443"/>
        <w:spacing w:after="0" w:line="262" w:lineRule="auto"/>
        <w:rPr>
          <w:sz w:val="20"/>
          <w:szCs w:val="20"/>
          <w:color w:val="auto"/>
        </w:rPr>
      </w:pPr>
      <w:r>
        <w:rPr>
          <w:rFonts w:ascii="Arial" w:cs="Arial" w:eastAsia="Arial" w:hAnsi="Arial"/>
          <w:sz w:val="18"/>
          <w:szCs w:val="18"/>
          <w:b w:val="1"/>
          <w:bCs w:val="1"/>
          <w:color w:val="auto"/>
        </w:rPr>
        <w:t>The Smith board of directors unanimously recommends that Smith stockholders vote “FOR” the proposal to adopt the merger agreement. For the factors considered by the Smith board of directors in reaching its decision to approve the merger agreement, see “The Merger—Smith’s Reasons for the Merger; Recommendation of the Smith Board of Directors.”</w:t>
      </w:r>
    </w:p>
    <w:p>
      <w:pPr>
        <w:spacing w:after="0" w:line="132" w:lineRule="exact"/>
        <w:rPr>
          <w:sz w:val="20"/>
          <w:szCs w:val="20"/>
          <w:color w:val="auto"/>
        </w:rPr>
      </w:pPr>
    </w:p>
    <w:p>
      <w:pPr>
        <w:ind w:left="200" w:firstLine="443"/>
        <w:spacing w:after="0" w:line="275" w:lineRule="auto"/>
        <w:rPr>
          <w:sz w:val="20"/>
          <w:szCs w:val="20"/>
          <w:color w:val="auto"/>
        </w:rPr>
      </w:pPr>
      <w:r>
        <w:rPr>
          <w:rFonts w:ascii="Arial" w:cs="Arial" w:eastAsia="Arial" w:hAnsi="Arial"/>
          <w:sz w:val="18"/>
          <w:szCs w:val="18"/>
          <w:color w:val="auto"/>
        </w:rPr>
        <w:t>The Smith board of directors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each of the director nominees and “</w:t>
      </w:r>
      <w:r>
        <w:rPr>
          <w:rFonts w:ascii="Arial" w:cs="Arial" w:eastAsia="Arial" w:hAnsi="Arial"/>
          <w:sz w:val="18"/>
          <w:szCs w:val="18"/>
          <w:b w:val="1"/>
          <w:bCs w:val="1"/>
          <w:color w:val="auto"/>
        </w:rPr>
        <w:t>FOR</w:t>
      </w:r>
      <w:r>
        <w:rPr>
          <w:rFonts w:ascii="Arial" w:cs="Arial" w:eastAsia="Arial" w:hAnsi="Arial"/>
          <w:sz w:val="18"/>
          <w:szCs w:val="18"/>
          <w:color w:val="auto"/>
        </w:rPr>
        <w:t>” all of the other proposals set forth above.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 (page [—])</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Smith’s Directors and Executive Officers (page [—])</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As of the record date, directors and executive officers of Smith and their affiliates owned and were entitled to vote [—] shares of Smith common stock, or approximately [—]% of the shares of Smith common stock outstanding on that date. It is currently expected that Smith’s directors and executive officers will vote their shares in favor of the adoption of the merger agreement and each of the other Smith proposals described in this proxy statement/prospectus, although none of them have entered into any agreements obligating them to do so.</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18"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Smith’s Financial Advisor (page [—])</w:t>
      </w:r>
    </w:p>
    <w:p>
      <w:pPr>
        <w:spacing w:after="0" w:line="96"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On February 20, 2010, at a meeting of Smith’s board of directors held to evaluate the proposed merger, UBS Securities LLC, referred to as UBS, delivered to Smith’s board of directors an oral opinion, which opinion was confirmed by delivery of a written opinion, dated February 20, 2010, to the effect that, as of that date and based on and subject to various assumptions, matters considered and limitations described in its opinion, the exchange ratio provided for in the merger was fair, from a financial point of view, to holders of Smith common stock other than Schlumberger and its affiliates.</w:t>
      </w:r>
    </w:p>
    <w:p>
      <w:pPr>
        <w:spacing w:after="0" w:line="113"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6"/>
          <w:szCs w:val="16"/>
          <w:b w:val="1"/>
          <w:bCs w:val="1"/>
          <w:color w:val="auto"/>
        </w:rPr>
        <w:t>Holders of Smith</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 are 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 (page [—])</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Based on the number of shares of Smith common stock and Smith restricted stock units outstanding as of [—], 2010, Schlumberger expects to issue approximately [—] shares of its common stock to Smith stockholders pursuant to the merger and reserve for issuance approximately [—] additional shares of Schlumberger common stock in connection with the exercise or conversion of Smith’s outstanding equity awards. The actual number of shares of Schlumberger common stock to be issued and reserved for issuance pursuant to the merger will be determined at the completion of the merger based on the exchange ratio of 0.6966 and the number of shares of Smith common stock, options and restricted stock units outstanding at such time. Immediately after completion of the merger, it is expected that former Smith stockholders will own approximately [12.8%] of Schlumberger’s outstanding common stock, based on the number of shares of Smith and Schlumberger common stock outstanding, on a fully diluted basis, as of [—], 2010.</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Smith’s Directors and Officers in the Merger (page [—])</w:t>
      </w:r>
    </w:p>
    <w:p>
      <w:pPr>
        <w:spacing w:after="0" w:line="96"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color w:val="auto"/>
        </w:rPr>
        <w:t>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Smith stockholders that the merger agreement be adopted.</w:t>
      </w:r>
    </w:p>
    <w:p>
      <w:pPr>
        <w:spacing w:after="0" w:line="107"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Certain of Smith’s executive officers, including each of its named executive officers, are party to change of control agreements with Smith that provide severance and other benefits in the case of qualifying terminations of employment in connection with or following a change of control, including completion of the merger.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equity compensation plans and award agreements generally provide for the vesting of stock-based awards upon completion of the merger.</w:t>
      </w:r>
    </w:p>
    <w:p>
      <w:pPr>
        <w:spacing w:after="0" w:line="194"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In addition, under the terms of the merger agreement, Smith may establish a retention program with a retention pool in an aggregate amount up to $74.3 million. Of this amount, up to $16 million may be allocated to persons who are executive officers of Smith or who are party to change of control employment agreements with Smith. Smith separately recently allocated approximately $15 million in retention payments to certain employees who are not executive officers, and may make additional allocations.</w:t>
      </w:r>
    </w:p>
    <w:p>
      <w:pPr>
        <w:spacing w:after="0" w:line="143"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Please see “The Merger—Interests of Smith’s Directors and Officers in the Merger” beginning on page [—] of this proxy statement/prospectus for additional information about those financial interests.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 (page [—])</w:t>
      </w:r>
    </w:p>
    <w:p>
      <w:pPr>
        <w:spacing w:after="0" w:line="96" w:lineRule="exact"/>
        <w:rPr>
          <w:sz w:val="20"/>
          <w:szCs w:val="20"/>
          <w:color w:val="auto"/>
        </w:rPr>
      </w:pPr>
    </w:p>
    <w:p>
      <w:pPr>
        <w:ind w:left="200" w:right="320" w:firstLine="443"/>
        <w:spacing w:after="0" w:line="306" w:lineRule="auto"/>
        <w:rPr>
          <w:sz w:val="20"/>
          <w:szCs w:val="20"/>
          <w:color w:val="auto"/>
        </w:rPr>
      </w:pPr>
      <w:r>
        <w:rPr>
          <w:rFonts w:ascii="Arial" w:cs="Arial" w:eastAsia="Arial" w:hAnsi="Arial"/>
          <w:sz w:val="16"/>
          <w:szCs w:val="16"/>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Securities Exchange Act of 1934, as amended, which is referred to in this proxy statement/prospectus as the Exchange Act.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Delaware law, Smith stockholders will not have appraisal rights in connection with the merger.</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51" w:lineRule="exact"/>
        <w:rPr>
          <w:sz w:val="20"/>
          <w:szCs w:val="20"/>
          <w:color w:val="auto"/>
        </w:rPr>
      </w:pPr>
    </w:p>
    <w:p>
      <w:pPr>
        <w:ind w:left="6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adoption of the merger agreement by Smith’s stockholders;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right="40" w:hanging="211"/>
        <w:spacing w:after="0" w:line="306"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 the termination or expiration of any waiting period under the Hart-Scott-Rodino Antitrust Improvements Act of 1976, which is referred to as the HSR Act, and (2) the issuance by the European Commission of a decision under Council Regulation No. 4064/89 of the European Community, which is referred to as the EC Merger Regulation, declaring the merger compatible with the common market;</w:t>
      </w:r>
    </w:p>
    <w:p>
      <w:pPr>
        <w:spacing w:after="0" w:line="25" w:lineRule="exact"/>
        <w:rPr>
          <w:rFonts w:ascii="Arial" w:cs="Arial" w:eastAsia="Arial" w:hAnsi="Arial"/>
          <w:sz w:val="16"/>
          <w:szCs w:val="16"/>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expiration, lapse or termination of all applicable waiting or other time periods under antitrust laws in other specified jurisdictions;</w:t>
      </w:r>
    </w:p>
    <w:p>
      <w:pPr>
        <w:spacing w:after="0" w:line="113" w:lineRule="exact"/>
        <w:rPr>
          <w:rFonts w:ascii="Arial" w:cs="Arial" w:eastAsia="Arial" w:hAnsi="Arial"/>
          <w:sz w:val="16"/>
          <w:szCs w:val="16"/>
          <w:color w:val="auto"/>
        </w:rPr>
      </w:pPr>
    </w:p>
    <w:p>
      <w:pPr>
        <w:ind w:left="840" w:right="80" w:hanging="211"/>
        <w:spacing w:after="0" w:line="268"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effectiveness of the registration statement that includes this prospectus, and the absence of any stop order or proceeding seeking a stop order;</w:t>
      </w:r>
    </w:p>
    <w:p>
      <w:pPr>
        <w:spacing w:after="0" w:line="113" w:lineRule="exact"/>
        <w:rPr>
          <w:rFonts w:ascii="Arial" w:cs="Arial" w:eastAsia="Arial" w:hAnsi="Arial"/>
          <w:sz w:val="16"/>
          <w:szCs w:val="16"/>
          <w:color w:val="auto"/>
        </w:rPr>
      </w:pPr>
    </w:p>
    <w:p>
      <w:pPr>
        <w:ind w:left="840" w:hanging="211"/>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90" w:lineRule="exact"/>
        <w:rPr>
          <w:rFonts w:ascii="Arial" w:cs="Arial" w:eastAsia="Arial" w:hAnsi="Arial"/>
          <w:sz w:val="18"/>
          <w:szCs w:val="18"/>
          <w:color w:val="auto"/>
        </w:rPr>
      </w:pPr>
    </w:p>
    <w:p>
      <w:pPr>
        <w:ind w:left="840" w:right="400" w:hanging="211"/>
        <w:spacing w:after="0" w:line="332"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in all material respects by each of Schlumberger and Merger Sub, on the one hand, and Smith, on the other hand, of its respective covenants and agreements required to be performed by it under the merger agreement at or prior to the closing date;</w:t>
      </w:r>
    </w:p>
    <w:p>
      <w:pPr>
        <w:spacing w:after="0" w:line="4" w:lineRule="exact"/>
        <w:rPr>
          <w:rFonts w:ascii="Arial" w:cs="Arial" w:eastAsia="Arial" w:hAnsi="Arial"/>
          <w:sz w:val="16"/>
          <w:szCs w:val="16"/>
          <w:color w:val="auto"/>
        </w:rPr>
      </w:pPr>
    </w:p>
    <w:p>
      <w:pPr>
        <w:ind w:left="840" w:right="40" w:hanging="211"/>
        <w:spacing w:after="0" w:line="332"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representations and warranties of Schlumberger and Merger Sub, on the one hand, and Smith, on the other hand, contained in the merger agreement being true and correct as of the date of the merger agreement and as of the closing date, subject to certain materiality thresholds; and</w:t>
      </w:r>
    </w:p>
    <w:p>
      <w:pPr>
        <w:spacing w:after="0" w:line="4" w:lineRule="exact"/>
        <w:rPr>
          <w:rFonts w:ascii="Arial" w:cs="Arial" w:eastAsia="Arial" w:hAnsi="Arial"/>
          <w:sz w:val="16"/>
          <w:szCs w:val="16"/>
          <w:color w:val="auto"/>
        </w:rPr>
      </w:pPr>
    </w:p>
    <w:p>
      <w:pPr>
        <w:ind w:left="840" w:right="80" w:hanging="211"/>
        <w:spacing w:after="0" w:line="254"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an opinion by Schlumberger and Smith from their respective counsel, in form and substance reasonably satisfactory to Schlumberger and Smith, respectively, dated as of the closing date,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 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As of April 23, 2010, neither Schlumberger nor Smith had certified substantial compliance with the second request.</w:t>
      </w:r>
    </w:p>
    <w:p>
      <w:pPr>
        <w:spacing w:after="0" w:line="120"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prospectus, the parties have made antitrust filings in the European Union pursuant to the EC Merger Regulation, and in other jurisdictions.</w:t>
      </w:r>
    </w:p>
    <w:p>
      <w:pPr>
        <w:spacing w:after="0" w:line="171"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If the merger has not occurred on or before the “termination date” described below in “— Termination of the Merger Agreement” due to the failure to obtain regulatory clearances, or if an order, decree or ruling permanently prohibits the merger, the merger agreement may be terminated (subject in some circumstances to payment of a termination fee, as described below).</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Smith (page [—])</w:t>
      </w:r>
    </w:p>
    <w:p>
      <w:pPr>
        <w:spacing w:after="0" w:line="96" w:lineRule="exact"/>
        <w:rPr>
          <w:sz w:val="20"/>
          <w:szCs w:val="20"/>
          <w:color w:val="auto"/>
        </w:rPr>
      </w:pPr>
    </w:p>
    <w:p>
      <w:pPr>
        <w:ind w:left="200" w:right="500" w:firstLine="443"/>
        <w:spacing w:after="0" w:line="332" w:lineRule="auto"/>
        <w:rPr>
          <w:sz w:val="20"/>
          <w:szCs w:val="20"/>
          <w:color w:val="auto"/>
        </w:rPr>
      </w:pPr>
      <w:r>
        <w:rPr>
          <w:rFonts w:ascii="Arial" w:cs="Arial" w:eastAsia="Arial" w:hAnsi="Arial"/>
          <w:sz w:val="16"/>
          <w:szCs w:val="16"/>
          <w:color w:val="auto"/>
        </w:rPr>
        <w:t>Under the merger agreement, Smith has agreed not to (and to direct and use its reasonable best efforts to cause its officers, directors, employees, investment bankers, consultants, attorneys, accountants, advisors, agents and other representatives not to), among other things:</w:t>
      </w:r>
    </w:p>
    <w:p>
      <w:pPr>
        <w:spacing w:after="0" w:line="4" w:lineRule="exact"/>
        <w:rPr>
          <w:sz w:val="20"/>
          <w:szCs w:val="20"/>
          <w:color w:val="auto"/>
        </w:rPr>
      </w:pPr>
    </w:p>
    <w:p>
      <w:pPr>
        <w:ind w:left="840" w:hanging="211"/>
        <w:spacing w:after="0"/>
        <w:tabs>
          <w:tab w:leader="none" w:pos="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or participate in discussions regarding, any competing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nonpublic information regarding Smith or access to Smith’s properties, books or records to a third party in connection with a competing acquisition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 or recommend a competing acquisition proposal.</w:t>
      </w:r>
    </w:p>
    <w:p>
      <w:pPr>
        <w:spacing w:after="0" w:line="171"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However, before the adoption of the merger agreement by the Smith stockholders, Smith may, under certain circumstances, engage in negotiations with and provide information regarding Smith to a third party making an unsolicited, written acquisition proposal that Smith’s board of directors concludes in good faith is reasonably likely to be superior to the merger. Under the merger agreement, Smith is required to notify Schlumberger if it receives any competing acquisition proposal or request for information in connection with such a proposal. Additionally, before the adoption of the merger agreement by the Smith stockholders, the Smith board of directors may withdraw its recommendation of the merger if it determines in good faith, after consultation with its outside legal counsel and financial advisors, that a failure to change its recommendation would be inconsistent with its fiduciary duties.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Smith’s stockholders:</w:t>
      </w:r>
    </w:p>
    <w:p>
      <w:pPr>
        <w:spacing w:after="0" w:line="51" w:lineRule="exact"/>
        <w:rPr>
          <w:sz w:val="20"/>
          <w:szCs w:val="20"/>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1080" w:right="4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subject to specified conditions, at the option of either Schlumberger or Smith, be extended to a date not later than May 31, 2011;</w:t>
      </w:r>
    </w:p>
    <w:p>
      <w:pPr>
        <w:spacing w:after="0" w:line="50" w:lineRule="exact"/>
        <w:rPr>
          <w:rFonts w:ascii="Arial" w:cs="Arial" w:eastAsia="Arial" w:hAnsi="Arial"/>
          <w:sz w:val="18"/>
          <w:szCs w:val="18"/>
          <w:color w:val="auto"/>
        </w:rPr>
      </w:pPr>
    </w:p>
    <w:p>
      <w:pPr>
        <w:ind w:left="1080" w:hanging="221"/>
        <w:spacing w:after="0"/>
        <w:tabs>
          <w:tab w:leader="none" w:pos="10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Smith stockholders do not adopt the merger agreement at the annual meeting or any adjournment or postponement of the annual meeting; or</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4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ind w:left="1080" w:right="26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20" w:hanging="221"/>
        <w:spacing w:after="0" w:line="256"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superior to the merger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1080" w:right="14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Smith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78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there is a change in the Smith board of directors’ recommendation.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 and Expenses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merger agreement provides for the payment of termination fees by one party to the other if the agreement is terminated in specified circumstances.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Smith will be obligated to pay Schlumberger a $340 million termination fee if:</w:t>
      </w:r>
    </w:p>
    <w:p>
      <w:pPr>
        <w:spacing w:after="0" w:line="90" w:lineRule="exact"/>
        <w:rPr>
          <w:sz w:val="20"/>
          <w:szCs w:val="20"/>
          <w:color w:val="auto"/>
        </w:rPr>
      </w:pPr>
    </w:p>
    <w:p>
      <w:pPr>
        <w:ind w:left="840" w:hanging="21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1080" w:hanging="221"/>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1080" w:hanging="221"/>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 stockholders in order to enter into an agreement providing for a superior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Smith board of directors fails to recommend its approval of the merger or there is a change in the Smith board of directors’ recommendation.</w:t>
      </w:r>
    </w:p>
    <w:p>
      <w:pPr>
        <w:spacing w:after="0" w:line="194"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Schlumberger will be obligated to pay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but remain capable of satisfaction) have been satisfied or waived as of the date of such termination.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90"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Schlumberger has paid quarterly cash dividends of $0.210 per share since the first quarter of 2008. Prior to the first quarter of 2008, Schlumberger paid quarterly cash dividends of $0.175 per share. Schlumberger is not prohibited under the terms of the merger agreement from paying quarterly dividends consistent with past practice.</w:t>
      </w:r>
    </w:p>
    <w:p>
      <w:pPr>
        <w:spacing w:after="0" w:line="140"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 Schlumberger is not prohibited from making repurchases under the share repurchase program by the terms of the merger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w:t>
      </w:r>
    </w:p>
    <w:p>
      <w:pPr>
        <w:spacing w:after="0" w:line="9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Smith makes regular quarterly distributions under a cash dividend program. The Smith board of directors declared dividends of $0.12 per share, $0.12 per share and $0.10 per share for each quarter during the years ended December 31, 2009, 2008 and 2007, respectively. Under the terms of the merger agreement, during the period before the closing of the merger, Smith is prohibited from paying any dividends other than regular quarterly dividends not exceeding $0.12 per share without the consent of Schlumberger.</w:t>
      </w:r>
    </w:p>
    <w:p>
      <w:pPr>
        <w:spacing w:after="0" w:line="143"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The Smith board of directors approved a share repurchase program that allows for the purchase of up to 20 million shares of Smith common stock, subject to regulatory issues, market considerations and other relevant factors. Under the terms of the merger agreement, during the period before the closing of the merger, Smith is prohibited from making repurchases under the share repurchase program without the consent of Schlumberger.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Smith Stockholders Will Change as a Result of the Merger (page [—])</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Smith stockholders will have different rights once they become Schlumberger stockholders due to differences between Delaware corporate law and Netherlands Antilles law and the organizational documents of Schlumberger and Smith.</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intended to qualify as a reorganization within the meaning of Section 368(a) of the Internal Revenue Code and it is a condition to the completion of the merger that Smith and Schlumberger each receive a written opinion from its respective counsel, in form and substance reasonably satisfactory to Smith and Schlumberger, respectively, dated as of the date of completion of the merger,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 Accordingly, Schlumberger and Smith expect that, for U.S. federal income tax purposes, holders of Smith common stock generally will not recognize any gain or loss on the exchange of their shares of Smith common stock for Schlumberger common stock in the merger, except with respect to any cash received in lieu of a fractional share of Schlumberger common stock.</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25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28257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 ])</w:t>
      </w:r>
    </w:p>
    <w:p>
      <w:pPr>
        <w:spacing w:after="0" w:line="96"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w:t>
      </w:r>
    </w:p>
    <w:p>
      <w:pPr>
        <w:spacing w:after="0" w:line="96"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 with the Texas Action, the “Actions”). The plaintiff in the Texas Action has filed a First Amended Petition. The Actions variously allege that Smith’s directors breached their fiduciary duties by, among other things, causing Smith to enter into the merger agreement at an allegedly inadequate and unfair price and agreeing to transaction terms that improperly inhibit alternative transactions. The Texas Action separately alleges that Smith aided and abetted the directors’ breaches of fiduciary duties, and both Actions allege that Schlumberger aided and abetted the directors’ breaches of fiduciary duties. The complaints seek, among other things, an injunction barring defendants from consummating the proposed transaction, declaratory relief and attorneys’ fees.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Smith and Schlumberger believe that the lawsuits are without merit and intend to defend these lawsuits vigorously.</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65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3665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177" w:lineRule="exact"/>
        <w:rPr>
          <w:sz w:val="20"/>
          <w:szCs w:val="20"/>
          <w:color w:val="auto"/>
        </w:rPr>
      </w:pPr>
    </w:p>
    <w:p>
      <w:pPr>
        <w:ind w:left="200" w:right="260" w:firstLine="443"/>
        <w:spacing w:after="0" w:line="314" w:lineRule="auto"/>
        <w:rPr>
          <w:sz w:val="20"/>
          <w:szCs w:val="20"/>
          <w:color w:val="auto"/>
        </w:rPr>
      </w:pPr>
      <w:r>
        <w:rPr>
          <w:rFonts w:ascii="Arial" w:cs="Arial" w:eastAsia="Arial" w:hAnsi="Arial"/>
          <w:sz w:val="15"/>
          <w:szCs w:val="15"/>
          <w:color w:val="auto"/>
        </w:rPr>
        <w:t>The following table sets forth Schlumberger’s selected consolidated historical financial information that has been derived from Schlumberger’s consolidated financial statements as of December 31, 2009, 2008, 2007, 2006 and 2005 and for the years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Schlumberger’s Annual Report on Form 10-K for the year ended December 31, 2009 incorporated by reference in this document. See also the pro forma information set forth elsewhere in this proxy statement/prospectus regarding the proposed merger with Smith. Schlumberger’s historical results are not necessarily indicative of results to be expected in future periods.</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86"/>
              </w:rPr>
              <w:t>For the 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2005</w:t>
            </w:r>
          </w:p>
        </w:tc>
      </w:tr>
      <w:tr>
        <w:trPr>
          <w:trHeight w:val="142"/>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jc w:val="center"/>
              <w:ind w:right="420"/>
              <w:spacing w:after="0" w:line="142" w:lineRule="exact"/>
              <w:rPr>
                <w:sz w:val="20"/>
                <w:szCs w:val="20"/>
                <w:color w:val="auto"/>
              </w:rPr>
            </w:pPr>
            <w:r>
              <w:rPr>
                <w:rFonts w:ascii="Arial" w:cs="Arial" w:eastAsia="Arial" w:hAnsi="Arial"/>
                <w:sz w:val="14"/>
                <w:szCs w:val="14"/>
                <w:b w:val="1"/>
                <w:bCs w:val="1"/>
                <w:color w:val="auto"/>
                <w:w w:val="86"/>
              </w:rPr>
              <w:t>(In millions, except per share data)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22,702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27,163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23,277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19,230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14,309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02"/>
        </w:trPr>
        <w:tc>
          <w:tcPr>
            <w:tcW w:w="6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4,811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33,465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32,094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27,853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22,832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18,077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19,120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16,862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14,876</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10,420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bl>
    <w:p>
      <w:pPr>
        <w:spacing w:after="0" w:line="140" w:lineRule="exact"/>
        <w:rPr>
          <w:sz w:val="20"/>
          <w:szCs w:val="20"/>
          <w:color w:val="auto"/>
        </w:rPr>
      </w:pPr>
    </w:p>
    <w:p>
      <w:pPr>
        <w:ind w:left="620" w:right="120" w:hanging="423"/>
        <w:spacing w:after="0" w:line="370" w:lineRule="auto"/>
        <w:tabs>
          <w:tab w:leader="none" w:pos="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42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3442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Smith</w:t>
      </w:r>
    </w:p>
    <w:p>
      <w:pPr>
        <w:spacing w:after="0" w:line="177" w:lineRule="exact"/>
        <w:rPr>
          <w:sz w:val="20"/>
          <w:szCs w:val="20"/>
          <w:color w:val="auto"/>
        </w:rPr>
      </w:pPr>
    </w:p>
    <w:p>
      <w:pPr>
        <w:ind w:left="200" w:right="220" w:firstLine="443"/>
        <w:spacing w:after="0" w:line="291" w:lineRule="auto"/>
        <w:rPr>
          <w:sz w:val="20"/>
          <w:szCs w:val="20"/>
          <w:color w:val="auto"/>
        </w:rPr>
      </w:pPr>
      <w:r>
        <w:rPr>
          <w:rFonts w:ascii="Arial" w:cs="Arial" w:eastAsia="Arial" w:hAnsi="Arial"/>
          <w:sz w:val="16"/>
          <w:szCs w:val="16"/>
          <w:color w:val="auto"/>
        </w:rPr>
        <w:t>The following table sets forth Smith’s selected consolidated historical financial information that has been derived from Smith’s consolidated financial statements as of December 31, 2009, 2008, 2007, 2006 and 2005 and for the years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Smith’s Annual Report on Form 10-K for the year ended December 31, 2009 incorporated by reference in this document. See also the pro forma information set forth elsewhere in this proxy statement/prospectus regarding the proposed merger with Schlumberger. Smith’s historical results are not necessarily indicative of results to be expected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2006</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9"/>
          </w:tcPr>
          <w:p>
            <w:pPr>
              <w:ind w:left="80"/>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DATA</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10,771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8,764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7,334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5,579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2,856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2,344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1,370</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Smith</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Earnings per share — diluted basis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r>
      <w:tr>
        <w:trPr>
          <w:trHeight w:val="102"/>
        </w:trPr>
        <w:tc>
          <w:tcPr>
            <w:tcW w:w="2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10,739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10,816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6,062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5,335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4,060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Smith stockholders’ equity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2,595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1,987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1,579</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Cash dividends declared per common share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9"/>
                <w:szCs w:val="19"/>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40" w:type="dxa"/>
            <w:vAlign w:val="bottom"/>
          </w:tcPr>
          <w:p>
            <w:pPr>
              <w:jc w:val="right"/>
              <w:ind w:right="14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29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4129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77" w:lineRule="exact"/>
        <w:rPr>
          <w:sz w:val="20"/>
          <w:szCs w:val="20"/>
          <w:color w:val="auto"/>
        </w:rPr>
      </w:pPr>
    </w:p>
    <w:p>
      <w:pPr>
        <w:ind w:left="200" w:right="480" w:firstLine="443"/>
        <w:spacing w:after="0" w:line="306" w:lineRule="auto"/>
        <w:rPr>
          <w:sz w:val="20"/>
          <w:szCs w:val="20"/>
          <w:color w:val="auto"/>
        </w:rPr>
      </w:pPr>
      <w:r>
        <w:rPr>
          <w:rFonts w:ascii="Arial" w:cs="Arial" w:eastAsia="Arial" w:hAnsi="Arial"/>
          <w:sz w:val="16"/>
          <w:szCs w:val="16"/>
          <w:color w:val="auto"/>
        </w:rPr>
        <w:t>The unaudited pro forma condensed combined statement of income information of Schlumberger for the year ended December 31, 2009 has been prepared to give effect to the merger as if it had occurred on January 1, 2009. The unaudited pro forma condensed combined balance sheet information of Schlumberger as of December 31, 2009 has been prepared to give effect to the merger as if it had occurred on December 31, 2009.</w:t>
      </w:r>
    </w:p>
    <w:p>
      <w:pPr>
        <w:spacing w:after="0" w:line="107" w:lineRule="exact"/>
        <w:rPr>
          <w:sz w:val="20"/>
          <w:szCs w:val="20"/>
          <w:color w:val="auto"/>
        </w:rPr>
      </w:pPr>
    </w:p>
    <w:p>
      <w:pPr>
        <w:ind w:left="200" w:right="260" w:firstLine="443"/>
        <w:spacing w:after="0" w:line="253"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Year Ended</w:t>
            </w:r>
          </w:p>
        </w:tc>
      </w:tr>
      <w:tr>
        <w:trPr>
          <w:trHeight w:val="161"/>
        </w:trPr>
        <w:tc>
          <w:tcPr>
            <w:tcW w:w="20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31, 2009</w:t>
            </w:r>
          </w:p>
        </w:tc>
      </w:tr>
      <w:tr>
        <w:trPr>
          <w:trHeight w:val="129"/>
        </w:trPr>
        <w:tc>
          <w:tcPr>
            <w:tcW w:w="200" w:type="dxa"/>
            <w:vAlign w:val="bottom"/>
          </w:tcPr>
          <w:p>
            <w:pPr>
              <w:spacing w:after="0"/>
              <w:rPr>
                <w:sz w:val="11"/>
                <w:szCs w:val="11"/>
                <w:color w:val="auto"/>
              </w:rPr>
            </w:pPr>
          </w:p>
        </w:tc>
        <w:tc>
          <w:tcPr>
            <w:tcW w:w="9960" w:type="dxa"/>
            <w:vAlign w:val="bottom"/>
          </w:tcPr>
          <w:p>
            <w:pPr>
              <w:spacing w:after="0"/>
              <w:rPr>
                <w:sz w:val="11"/>
                <w:szCs w:val="11"/>
                <w:color w:val="auto"/>
              </w:rPr>
            </w:pPr>
          </w:p>
        </w:tc>
        <w:tc>
          <w:tcPr>
            <w:tcW w:w="11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 millions, except</w:t>
            </w:r>
          </w:p>
        </w:tc>
        <w:tc>
          <w:tcPr>
            <w:tcW w:w="200" w:type="dxa"/>
            <w:vAlign w:val="bottom"/>
          </w:tcPr>
          <w:p>
            <w:pPr>
              <w:spacing w:after="0"/>
              <w:rPr>
                <w:sz w:val="11"/>
                <w:szCs w:val="11"/>
                <w:color w:val="auto"/>
              </w:rPr>
            </w:pPr>
          </w:p>
        </w:tc>
      </w:tr>
      <w:tr>
        <w:trPr>
          <w:trHeight w:val="161"/>
        </w:trPr>
        <w:tc>
          <w:tcPr>
            <w:tcW w:w="20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per share amount)</w:t>
            </w:r>
          </w:p>
        </w:tc>
      </w:tr>
      <w:tr>
        <w:trPr>
          <w:trHeight w:val="216"/>
        </w:trPr>
        <w:tc>
          <w:tcPr>
            <w:tcW w:w="20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Schlumberger/Smith</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 attributable to Schlumberger/Smith</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9"/>
                <w:szCs w:val="19"/>
                <w:color w:val="auto"/>
              </w:rPr>
            </w:pPr>
          </w:p>
        </w:tc>
      </w:tr>
      <w:tr>
        <w:trPr>
          <w:trHeight w:val="346"/>
        </w:trPr>
        <w:tc>
          <w:tcPr>
            <w:tcW w:w="20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20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31, 2009</w:t>
            </w:r>
          </w:p>
        </w:tc>
      </w:tr>
      <w:tr>
        <w:trPr>
          <w:trHeight w:val="142"/>
        </w:trPr>
        <w:tc>
          <w:tcPr>
            <w:tcW w:w="200" w:type="dxa"/>
            <w:vAlign w:val="bottom"/>
          </w:tcPr>
          <w:p>
            <w:pPr>
              <w:spacing w:after="0"/>
              <w:rPr>
                <w:sz w:val="12"/>
                <w:szCs w:val="12"/>
                <w:color w:val="auto"/>
              </w:rPr>
            </w:pPr>
          </w:p>
        </w:tc>
        <w:tc>
          <w:tcPr>
            <w:tcW w:w="9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52,605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Net debt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32,365</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9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10160" w:type="dxa"/>
            <w:vAlign w:val="bottom"/>
            <w:gridSpan w:val="2"/>
          </w:tcPr>
          <w:p>
            <w:pPr>
              <w:jc w:val="right"/>
              <w:ind w:right="427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51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2851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177"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following table presents: (1) historical per share information for Schlumberger; (2) pro forma per share information of the combined company after giving effect to the merger; and (3) historical and equivalent pro forma per share information for Smith.</w:t>
      </w:r>
    </w:p>
    <w:p>
      <w:pPr>
        <w:spacing w:after="0" w:line="132"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The combined company pro forma per share information was derived by combining information from the historical consolidated financial statements of Schlumberger and Smith. You should read this table together with the historical consolidated financial statements of Schlumberger and Smith that are filed with the Securities and Exchange Commission and incorporated by reference into this proxy statement/prospectus. You should not rely on the pro forma per share information as being necessarily indicative of actual results had the merger occurred on January 1, 2009 for statement of operations purposes or December 31, 2009 for book value per share data. The equivalent pro forma per share information was derived by multiplying the combined company pro forma per share information by the exchange ratio of 0.6966.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 Ended December 31, 2009</w:t>
            </w: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rPr>
              <w:t>Schlumberger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97"/>
              </w:rPr>
              <w:t>Smith</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Historical</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Pro Forma</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Historical</w:t>
            </w:r>
          </w:p>
        </w:tc>
        <w:tc>
          <w:tcPr>
            <w:tcW w:w="5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9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2.63</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2.34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0.67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80" w:type="dxa"/>
            <w:vAlign w:val="bottom"/>
            <w:gridSpan w:val="3"/>
          </w:tcPr>
          <w:p>
            <w:pPr>
              <w:jc w:val="right"/>
              <w:ind w:right="600"/>
              <w:spacing w:after="0"/>
              <w:rPr>
                <w:sz w:val="20"/>
                <w:szCs w:val="20"/>
                <w:color w:val="auto"/>
              </w:rPr>
            </w:pPr>
            <w:r>
              <w:rPr>
                <w:rFonts w:ascii="Arial" w:cs="Arial" w:eastAsia="Arial" w:hAnsi="Arial"/>
                <w:sz w:val="18"/>
                <w:szCs w:val="18"/>
                <w:color w:val="auto"/>
              </w:rPr>
              <w:t>2.61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4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0.84</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4080" w:type="dxa"/>
            <w:vAlign w:val="bottom"/>
            <w:gridSpan w:val="3"/>
          </w:tcPr>
          <w:p>
            <w:pPr>
              <w:jc w:val="right"/>
              <w:ind w:right="600"/>
              <w:spacing w:after="0"/>
              <w:rPr>
                <w:sz w:val="20"/>
                <w:szCs w:val="20"/>
                <w:color w:val="auto"/>
              </w:rPr>
            </w:pPr>
            <w:r>
              <w:rPr>
                <w:rFonts w:ascii="Arial" w:cs="Arial" w:eastAsia="Arial" w:hAnsi="Arial"/>
                <w:sz w:val="18"/>
                <w:szCs w:val="18"/>
                <w:color w:val="auto"/>
              </w:rPr>
              <w:t>16.00</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23.45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00" w:type="dxa"/>
            <w:vAlign w:val="bottom"/>
          </w:tcPr>
          <w:p>
            <w:pPr>
              <w:jc w:val="right"/>
              <w:ind w:right="1152"/>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76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6676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177" w:lineRule="exact"/>
        <w:rPr>
          <w:sz w:val="20"/>
          <w:szCs w:val="20"/>
          <w:color w:val="auto"/>
        </w:rPr>
      </w:pPr>
    </w:p>
    <w:p>
      <w:pPr>
        <w:jc w:val="both"/>
        <w:ind w:left="200" w:right="160" w:firstLine="443"/>
        <w:spacing w:after="0" w:line="259"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Smith common stock as reported on the NYSE, which is the principal trading market for both Schlumberger and Smith common stock, and the cash dividends declared per share of Schlumberger and Smith common stock.</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0"/>
              </w:rPr>
              <w:t>Schlumberger Common Stock</w:t>
            </w:r>
          </w:p>
        </w:tc>
        <w:tc>
          <w:tcPr>
            <w:tcW w:w="100" w:type="dxa"/>
            <w:vAlign w:val="bottom"/>
          </w:tcPr>
          <w:p>
            <w:pPr>
              <w:spacing w:after="0"/>
              <w:rPr>
                <w:sz w:val="14"/>
                <w:szCs w:val="14"/>
                <w:color w:val="auto"/>
              </w:rPr>
            </w:pPr>
          </w:p>
        </w:tc>
        <w:tc>
          <w:tcPr>
            <w:tcW w:w="2080" w:type="dxa"/>
            <w:vAlign w:val="bottom"/>
            <w:gridSpan w:val="8"/>
          </w:tcPr>
          <w:p>
            <w:pPr>
              <w:ind w:left="340"/>
              <w:spacing w:after="0"/>
              <w:rPr>
                <w:sz w:val="20"/>
                <w:szCs w:val="20"/>
                <w:color w:val="auto"/>
              </w:rPr>
            </w:pPr>
            <w:r>
              <w:rPr>
                <w:rFonts w:ascii="Arial" w:cs="Arial" w:eastAsia="Arial" w:hAnsi="Arial"/>
                <w:sz w:val="14"/>
                <w:szCs w:val="14"/>
                <w:b w:val="1"/>
                <w:bCs w:val="1"/>
                <w:color w:val="auto"/>
              </w:rPr>
              <w:t>Smith Common Stock</w:t>
            </w:r>
          </w:p>
        </w:tc>
      </w:tr>
      <w:tr>
        <w:trPr>
          <w:trHeight w:val="129"/>
        </w:trPr>
        <w:tc>
          <w:tcPr>
            <w:tcW w:w="6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1"/>
              </w:rPr>
              <w:t>Cash</w:t>
            </w:r>
          </w:p>
        </w:tc>
        <w:tc>
          <w:tcPr>
            <w:tcW w:w="20" w:type="dxa"/>
            <w:vAlign w:val="bottom"/>
          </w:tcPr>
          <w:p>
            <w:pPr>
              <w:spacing w:after="0"/>
              <w:rPr>
                <w:sz w:val="11"/>
                <w:szCs w:val="11"/>
                <w:color w:val="auto"/>
              </w:rPr>
            </w:pPr>
          </w:p>
        </w:tc>
      </w:tr>
      <w:tr>
        <w:trPr>
          <w:trHeight w:val="149"/>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Dividends</w:t>
            </w:r>
          </w:p>
        </w:tc>
      </w:t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Low</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High</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Declared</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 (through [—], 2010)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59.42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45.32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27.17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48.13</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30.92</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22.12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39.11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32.44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20.50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35.05</w:t>
            </w:r>
          </w:p>
        </w:tc>
        <w:tc>
          <w:tcPr>
            <w:tcW w:w="1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29.45</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18.43</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9"/>
                <w:szCs w:val="19"/>
                <w:color w:val="auto"/>
              </w:rPr>
            </w:pPr>
          </w:p>
        </w:tc>
      </w:tr>
      <w:tr>
        <w:trPr>
          <w:trHeight w:val="102"/>
        </w:trPr>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37.07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57.82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111.95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75.53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88.40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54.69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110.11</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85.72</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85.67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62.59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102.71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72.30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76.89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53.39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87.42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76.99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58.91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108.75</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81.26</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74.35</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54.08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68.25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60.82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47.68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55.68</w:t>
            </w:r>
          </w:p>
        </w:tc>
        <w:tc>
          <w:tcPr>
            <w:tcW w:w="1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0.175</w:t>
            </w: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49.05</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36.13</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The following table sets forth the closing sale price per share of Schlumberger and Smith common stock as reported on the NYSE as of February 18, 2010, the last trading day before various news outlets began reporting on a possible transaction involving Smith and Schlumberger, as of February 19, 2010, the last trading date before the public announcement of the merger, and as of [—], 2010, the most recent practicable trading day prior to the date of this proxy statement/prospectus. The table also shows the implied value of the merger consideration proposed for each share of Smith common stock as of the same dates. This implied value was calculated by multiplying the closing sale price of Schlumberger common stock on the relevant date by the exchange ratio of 0.6966.</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Smith</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Equivalent</w:t>
            </w:r>
          </w:p>
        </w:tc>
      </w:t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Closing Price</w:t>
            </w: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82"/>
              </w:rPr>
              <w:t>Closing Price</w:t>
            </w:r>
          </w:p>
        </w:tc>
        <w:tc>
          <w:tcPr>
            <w:tcW w:w="86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 Value</w:t>
            </w:r>
          </w:p>
        </w:tc>
      </w:tr>
      <w:tr>
        <w:trPr>
          <w:trHeight w:val="20"/>
        </w:trPr>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February 18,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February 19, 2010</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market prices of Schlumberger and Smith common stock will fluctuate between the date of this proxy statement/prospectus and the completion of the merger. No assurance can be given concerning the market prices of Schlumberger or Smith common stock before the completion of the merger or Schlumberger common stock after the completion of the merger. Because the exchange ratio is fixed in the merger agreement, the market value of the Schlumberger common stock that Smith stockholders will receive in connection with the merger may vary significantly from the prices shown in the table above. Accordingly, Smith stockholders are advised to obtain current market quotations for Schlumberger and Smith common stock before deciding whether to vote for adoption of the merger agreement.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Smith’s or Schlumberger’s stock price.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closing of the merger, each share of Smith common stock (other than shares held by Smith or its subsidiaries) will be converted into the right to receive 0.6966 shares of Schlumberger common stock, with cash paid in lieu of fractional shares. This exchange ratio was fixed in the merger agreement and will not be adjusted for changes in the market price of either Smith common stock or Schlumberger common stock. Changes in the price of Schlumberger common stock prior to the merger will affect the market value that Smith stockholders will become entitled to receive on the date of the merger. Stock price changes may result from a variety of factors (many of which are beyond Smith’s or Schlumberger’s control), including the following factors:</w:t>
      </w:r>
    </w:p>
    <w:p>
      <w:pPr>
        <w:spacing w:after="0" w:line="35"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Smith’s and Schlumberger’s respective business, operations and prospects;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market assessments of the likelihood that the merger will be completed, including related considerations regarding regulatory approvals of the merger;</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Smith’s and Schlumberger’s common stock;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federal, state and local legislation, governmental regulation and legal developments in the businesses in which Smith and Schlumberger operate.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price of Schlumberger common stock at the closing of the merger may vary from its price on the date the merger agreement was executed, on the date of this proxy statement/prospectus and on the date of the Smith annual meeting. As a result, the market value represented by the exchange ratio will also vary. For example, based on the range of closing prices of Schlumberger common stock during the period from February 18, 2010 (the last trading day before various news outlets began reporting on a possible transaction between Smith and Schlumberger), through [—], 2010, the most recent practicable trading day before the date of this proxy statement/prospectus, the exchange ratio represented a market value ranging from a low of $[—] to a high of $[—] for each share of Smith common stock.</w:t>
      </w:r>
    </w:p>
    <w:p>
      <w:pPr>
        <w:spacing w:after="0" w:line="225" w:lineRule="exact"/>
        <w:rPr>
          <w:sz w:val="20"/>
          <w:szCs w:val="20"/>
          <w:color w:val="auto"/>
        </w:rPr>
      </w:pPr>
    </w:p>
    <w:p>
      <w:pPr>
        <w:ind w:left="240" w:right="320"/>
        <w:spacing w:after="0" w:line="357" w:lineRule="auto"/>
        <w:rPr>
          <w:sz w:val="20"/>
          <w:szCs w:val="20"/>
          <w:color w:val="auto"/>
        </w:rPr>
      </w:pPr>
      <w:r>
        <w:rPr>
          <w:rFonts w:ascii="Arial" w:cs="Arial" w:eastAsia="Arial" w:hAnsi="Arial"/>
          <w:sz w:val="15"/>
          <w:szCs w:val="15"/>
          <w:b w:val="1"/>
          <w:bCs w:val="1"/>
          <w:i w:val="1"/>
          <w:iCs w:val="1"/>
          <w:color w:val="auto"/>
        </w:rPr>
        <w:t>Because the date that the merger is completed may be later than the date of the Smith annual meeting, at the time of the Smith annual meeting, Smith stockholders may not know the exact market value of the Schlumberger common stock that they will receive upon completion of the merger.</w:t>
      </w:r>
    </w:p>
    <w:p>
      <w:pPr>
        <w:ind w:right="100" w:firstLine="456"/>
        <w:spacing w:after="0" w:line="318" w:lineRule="auto"/>
        <w:rPr>
          <w:sz w:val="20"/>
          <w:szCs w:val="20"/>
          <w:color w:val="auto"/>
        </w:rPr>
      </w:pPr>
      <w:r>
        <w:rPr>
          <w:rFonts w:ascii="Arial" w:cs="Arial" w:eastAsia="Arial" w:hAnsi="Arial"/>
          <w:sz w:val="15"/>
          <w:szCs w:val="15"/>
          <w:color w:val="auto"/>
        </w:rPr>
        <w:t>If the price of Schlumberger common stock declines between the date of the Smith annual meeting and the effective time of the merger, including for any of the reasons described above, Smith stockholders will receive shares of Schlumberger common stock that have a market value upon completion of the merger that is less than the market value calculated pursuant to the exchange ratio on the date of the Smith annual meeting. Therefore, while the number of shares of Schlumberger common stock to be issued in the merger is fixed, Smith stockholders cannot be sure of the market value of the Schlumberger common stock they will receive upon completion of the merger or the market value of Schlumberger common stock at any time after the completion of the merger.</w:t>
      </w:r>
    </w:p>
    <w:p>
      <w:pPr>
        <w:spacing w:after="0" w:line="181" w:lineRule="exact"/>
        <w:rPr>
          <w:sz w:val="20"/>
          <w:szCs w:val="20"/>
          <w:color w:val="auto"/>
        </w:rPr>
      </w:pPr>
    </w:p>
    <w:p>
      <w:pPr>
        <w:ind w:left="240" w:right="880"/>
        <w:spacing w:after="0" w:line="268" w:lineRule="auto"/>
        <w:rPr>
          <w:sz w:val="20"/>
          <w:szCs w:val="20"/>
          <w:color w:val="auto"/>
        </w:rPr>
      </w:pPr>
      <w:r>
        <w:rPr>
          <w:rFonts w:ascii="Arial" w:cs="Arial" w:eastAsia="Arial" w:hAnsi="Arial"/>
          <w:sz w:val="18"/>
          <w:szCs w:val="18"/>
          <w:b w:val="1"/>
          <w:bCs w:val="1"/>
          <w:i w:val="1"/>
          <w:iCs w:val="1"/>
          <w:color w:val="auto"/>
        </w:rPr>
        <w:t>Smith’s directors and executive officers have interests in the merger that may be different from, and in addition to, the interests of other Smith stockholders.</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Smith’s directors and executive officers are parties to agreements or participants in other arrangements that give them interests in the merger that may be different from, or in addition to, the interests of the other stockholders of Smith, which could create conflicts of interest in their determinations to recommend the merger.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Smith stockholders should consider these interests in voting on the merger. These different interests are described under “The Merger—Interests of Smith’s Directors and Officers in the Merger.”</w:t>
      </w:r>
    </w:p>
    <w:p>
      <w:pPr>
        <w:spacing w:after="0" w:line="213" w:lineRule="exact"/>
        <w:rPr>
          <w:sz w:val="20"/>
          <w:szCs w:val="20"/>
          <w:color w:val="auto"/>
        </w:rPr>
      </w:pPr>
    </w:p>
    <w:p>
      <w:pPr>
        <w:jc w:val="both"/>
        <w:ind w:left="240" w:right="40"/>
        <w:spacing w:after="0" w:line="259" w:lineRule="auto"/>
        <w:rPr>
          <w:sz w:val="20"/>
          <w:szCs w:val="20"/>
          <w:color w:val="auto"/>
        </w:rPr>
      </w:pPr>
      <w:r>
        <w:rPr>
          <w:rFonts w:ascii="Arial" w:cs="Arial" w:eastAsia="Arial" w:hAnsi="Arial"/>
          <w:sz w:val="18"/>
          <w:szCs w:val="18"/>
          <w:b w:val="1"/>
          <w:bCs w:val="1"/>
          <w:i w:val="1"/>
          <w:iCs w:val="1"/>
          <w:color w:val="auto"/>
        </w:rPr>
        <w:t>The ability of Smith and Schlumberger to complete the merger is subject to the approval of Smith stockholders, certain closing conditions and the receipt of consents and approvals from government entities, which may impose conditions that could adversely affect Smith or Schlumberger or cause the merger to be abandoned.</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merger agreement contains certain closing conditions, including approval of the merger by Smith stockholders, the absence of injunctions or other legal restrictions and that no material adverse effect shall have occurred with respect to either company. In addition, Smith and Schlumberger will be unable to complete the merger until approvals are received from the Antitrust Division, the European Commission and various other governmental entities. Regulatory entities may impose certain requirements or obligations as conditions for their approval. The merger agreement may require Smith and/or Schlumberger to accept conditions from these regulators that could adversely impact the combined company.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Smith and Schlumberger.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the merger is not completed, the ongoing businesses and the market price of the common stock of Smith and/or Schlumberger may be adversely affected and Smith and Schlumberger will be subject to several risks, including Smith being required, under certain circumstances, to pay Schlumberger a termination fee of $340 million or Schlumberger being required, under certain circumstances, to pay Smith a termination fee of $615 million; Smith or Schlumberger having to pay certain costs relating to the merger; and diverting the focus of management from pursuing other opportunities that could be beneficial to each of Smith and Schlumberger, in each case, without realizing any of the benefits which might have resulted had the merger been completed.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pendency of the merger could adversely affect Smith and Schlumberger.</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the pending merger, some of the customers of Smith and/or Schlumberger may delay or defer purchasing decisions, which could negatively impact revenues, earnings and cash flows regardless of whether the merger is completed. Additionally, Smith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Smith’s and Schlumberger’s financial condition, results of operations or cash flows.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may be unable to retain key employees during the pendency of the merger.</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pending merger, current and prospective employees of Smith may experience uncertainty about their future roles with the combined company following the merger, which may materially adversely affect the ability of Smith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Smith will be able to retain key employees to the same extent that Smith has been able to in the past.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Smith stockholders will have a significantly reduced ownership and voting interest after the merger and will exercise less influence over management.</w:t>
      </w:r>
    </w:p>
    <w:p>
      <w:pPr>
        <w:spacing w:after="0" w:line="125"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Immediately after the completion of the merger, it is expected that former Smith stockholders, who collectively own 100% of Smith, will own approximately [12.8]% of Schlumberger based on the number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shares of Smith and Schlumberger common stock outstanding, on a fully diluted basis, as of [—], 2010. Consequently, Smith stockholders will have less influence over the management and policies of Schlumberger than they currently have over the management and policies of Smith.</w:t>
      </w:r>
    </w:p>
    <w:p>
      <w:pPr>
        <w:spacing w:after="0" w:line="16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Multiple lawsuits have been filed against Smith challenging the merger, and an adverse ruling in any such lawsuit may prevent the merger from being completed.</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See “The Merger—Litigation Relating to the Merger” for more information about the lawsuits related to the merger that have been filed.</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timeframe.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Following the Merger</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Schlumberger and Smith are, and following completion of the merger, the combined company will continue to be, subject to the risks described in (a) Part I, Item 1A in Schlumberger’s Annual Report on Form 10-K for the year ended December 31, 2009, filed with the SEC on February 5, 2010 and (b) Part I, Item 1A in Smith’s Annual Report on Form 10-K for the year ended December 31, 2009, filed with the SEC on March 1, 2010, each of which is incorporated by reference into this proxy statement/prospectus. See “Where You Can Find More Information” beginning on page [—] of this proxy statement/prospectus. In addition, the business and operations of the combined company may be affected by the following additional risks: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combined company could incur substantial expenses related to the integration of Smith and Schlumberger.</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Smith and Schlumberger expect that the combined company will incur substantial expenses in connection with integrating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exceed the savings that Schlumberger expects to achieve from the elimination of duplicative expenses and the realization of economies of scale and cost savings and revenue enhancements related to the integration of the businesses following the completion of the merger. These integration expenses may result in the combined company taking significant charges against earnings following the completion of the merger.</w:t>
      </w:r>
    </w:p>
    <w:p>
      <w:pPr>
        <w:spacing w:after="0" w:line="199"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Smith’s and Schlumberger’s businesses and realize the anticipated benefits of the merger.</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merger involves the combination of two companies which currently operate as independent public companies. The combined company will be required to devote management attention and resources to integrating its business practices and operations. Potential difficulties the combined company may encounter in the integration process include the following:</w:t>
      </w:r>
    </w:p>
    <w:p>
      <w:pPr>
        <w:spacing w:after="0" w:line="59" w:lineRule="exact"/>
        <w:rPr>
          <w:sz w:val="20"/>
          <w:szCs w:val="20"/>
          <w:color w:val="auto"/>
        </w:rPr>
      </w:pPr>
    </w:p>
    <w:p>
      <w:pPr>
        <w:ind w:left="660" w:right="18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Smith and Schlumberger in a manner that permits the combined company to achieve the cost savings and operating synergies anticipated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80"/>
        <w:spacing w:after="0" w:line="268" w:lineRule="auto"/>
        <w:rPr>
          <w:sz w:val="20"/>
          <w:szCs w:val="20"/>
          <w:color w:val="auto"/>
        </w:rPr>
      </w:pPr>
      <w:r>
        <w:rPr>
          <w:rFonts w:ascii="Arial" w:cs="Arial" w:eastAsia="Arial" w:hAnsi="Arial"/>
          <w:sz w:val="18"/>
          <w:szCs w:val="18"/>
          <w:color w:val="auto"/>
        </w:rPr>
        <w:t>result from the merger, which would result in the anticipated benefits of the merger not being realized partly or wholly in the time frame currently anticipated or at all;</w:t>
      </w:r>
    </w:p>
    <w:p>
      <w:pPr>
        <w:spacing w:after="0" w:line="64" w:lineRule="exact"/>
        <w:rPr>
          <w:sz w:val="20"/>
          <w:szCs w:val="20"/>
          <w:color w:val="auto"/>
        </w:rPr>
      </w:pPr>
    </w:p>
    <w:p>
      <w:pPr>
        <w:ind w:left="660" w:right="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integrating personnel from the two companies while maintaining focus on providing consistent, high quality products and customer service;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the extent that either Schlumberger or Smith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Schlumberger’s performance following the merger could be adversely affected if the combined company is unable to retain certain key employees and skilled workers of Smith. The loss of the services of one or more of these key employees and skilled workers could adversely affect Schlumberger’s future operating results because of their experience and knowledge of Smith’s business. In addition, current and prospective employees of Schlumberger and Smith may experience uncertainty about their future roles with the company until after the merger is completed. This may adversely affect the ability of Schlumberger and Smith to attract and retain key personnel, which could adversely affect Schlumberger’s performance following the merger.</w:t>
      </w:r>
    </w:p>
    <w:p>
      <w:pPr>
        <w:spacing w:after="0" w:line="197"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Smith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 Under the terms of the merger agreement,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Please see “The Merger Agreement—Certain Additional Agreements—Filings” on page [—] for more information on the calculation of the detriment limit. If Schlumberger agrees to undertake divestitures or comply with operating restrictions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portion of the combined company’s revenue will be dependent on the activity level of natural gas exploration and production in North America.</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consummation of the merger, a portion of the combined company’s revenues will be derived from its North American operations. Because of the current economic environment and related decrease in demand for energy, natural gas exploration and production in North America have decreased significantly from their peak levels in the summer of 2008. Warmer than normal winters in North America, among other factors, may adversely impact demand for natural gas and, therefore, demand for oilfield services. If the economic conditions deteriorate further or do not improve, the decline in natural gas exploration and production could cause a decline in the demand for the services and products of the combined company. Such decline could result in a significant adverse effect on the operating results of the combined company and the expected benefits of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market value of Schlumberger common stock could decline if large amounts of its common stock are sold following the merger.</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Following the merger, stockholders of Schlumberger and former stockholders of Smith will own interests in a combined company operating an expanded business with more assets and a different mix of liabilities. Current stockholders of Schlumberger and Smith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Smith common stock is included. If, following the merger, large amounts of Schlumberger common stock are sold, the price of its common stock could decline.</w:t>
      </w:r>
    </w:p>
    <w:p>
      <w:pPr>
        <w:spacing w:after="0" w:line="197"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The merger will likely not be accretive, and may be dilutive, to Schlumberger’s earnings per share in the near term, which may negatively affect the market price of Schlumberger common stock.</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Schlumberger anticipates that the merger will not be accretive, and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59"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The shares of Schlumberger common stock to be received by Smith stockholders upon the completion of the merger will have different rights from shares of Smith common stock.</w:t>
      </w:r>
    </w:p>
    <w:p>
      <w:pPr>
        <w:spacing w:after="0" w:line="5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Upon completion of the merger, Smith stockholders will no longer be stockholders of Smith, a Delaware corporation, but will instead become shareholders of Schlumberger, a company organized under the laws of the Netherlands Antilles, and their rights as shareholders will be governed by Netherlands Antilles law and Schlumberger’s articles of incorporation and bylaws. Netherlands Antilles law and the terms of Schlumberger’s articles of incorporation and bylaws may be materially different than Delaware law and the terms of Smith’s restated certificate of incorporation and amended and restated bylaws, which currently govern the rights of Smith stockholders. Please see “Comparison of Shareholder Rights” for a discussion of the different rights associated with Schlumberger common stock.</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Smith and the combined company within the meaning of Section 27A of the Securities Act, Section 21E of the Exchange Act, and the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Schlumberger and Smith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Smith will not be able to retain key employees, expenses of the merger, and other risk factors.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80"/>
          </w:cols>
          <w:pgMar w:left="240" w:top="459" w:right="279" w:bottom="1440" w:gutter="0" w:footer="0" w:header="0"/>
        </w:sectPr>
      </w:pPr>
    </w:p>
    <w:p>
      <w:pPr>
        <w:spacing w:after="0" w:line="35" w:lineRule="exact"/>
        <w:rPr>
          <w:sz w:val="20"/>
          <w:szCs w:val="20"/>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90" w:lineRule="exact"/>
        <w:rPr>
          <w:rFonts w:ascii="Arial" w:cs="Arial" w:eastAsia="Arial" w:hAnsi="Arial"/>
          <w:sz w:val="18"/>
          <w:szCs w:val="18"/>
          <w:color w:val="auto"/>
        </w:rPr>
      </w:pPr>
    </w:p>
    <w:p>
      <w:pPr>
        <w:ind w:left="580" w:right="525" w:hanging="207"/>
        <w:spacing w:after="0" w:line="268"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 and Smith;</w:t>
      </w:r>
    </w:p>
    <w:p>
      <w:pPr>
        <w:spacing w:after="0" w:line="50" w:lineRule="exact"/>
        <w:rPr>
          <w:rFonts w:ascii="Arial" w:cs="Arial" w:eastAsia="Arial" w:hAnsi="Arial"/>
          <w:sz w:val="18"/>
          <w:szCs w:val="18"/>
          <w:color w:val="auto"/>
        </w:rPr>
      </w:pPr>
    </w:p>
    <w:p>
      <w:pPr>
        <w:ind w:left="580" w:right="25" w:hanging="207"/>
        <w:spacing w:after="0" w:line="259"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growth for Schlumberger, Smith and the combined company (and for specified products or geographic areas within each business segment);</w:t>
      </w:r>
    </w:p>
    <w:p>
      <w:pPr>
        <w:spacing w:after="0" w:line="59"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Schlumberger’s ability to integrate the operations of Smith;</w:t>
      </w:r>
    </w:p>
    <w:p>
      <w:pPr>
        <w:spacing w:after="0" w:line="90" w:lineRule="exact"/>
        <w:rPr>
          <w:rFonts w:ascii="Arial" w:cs="Arial" w:eastAsia="Arial" w:hAnsi="Arial"/>
          <w:sz w:val="18"/>
          <w:szCs w:val="18"/>
          <w:color w:val="auto"/>
        </w:rPr>
      </w:pPr>
    </w:p>
    <w:p>
      <w:pPr>
        <w:ind w:left="580" w:right="625" w:hanging="207"/>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and timing of any cost savings synergies or other efficiencies expected to result from the merger;</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oil and gas prices;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90" w:lineRule="exact"/>
        <w:rPr>
          <w:rFonts w:ascii="Arial" w:cs="Arial" w:eastAsia="Arial" w:hAnsi="Arial"/>
          <w:sz w:val="18"/>
          <w:szCs w:val="18"/>
          <w:color w:val="auto"/>
        </w:rPr>
      </w:pPr>
    </w:p>
    <w:p>
      <w:pPr>
        <w:ind w:left="580" w:right="85" w:hanging="207"/>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regulatory and operational risks arising from the international nature of Smith’s and Schlumberger’s operations;</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capital expenditures by the companies and the oil and gas industry;</w:t>
      </w:r>
    </w:p>
    <w:p>
      <w:pPr>
        <w:spacing w:after="0" w:line="113"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business strategies of customers;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to retain certain key employees and skilled workers;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global economic conditions;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pension and post-retirement funding;</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stock compensation costs;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political stability of oil-producing countries;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195" w:right="240" w:hanging="195"/>
        <w:spacing w:after="0" w:line="294" w:lineRule="auto"/>
        <w:tabs>
          <w:tab w:leader="none" w:pos="1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Smith as described under “The Merger —Smith’s Reasons for the Merger; Recommendation of the Smith Board of Directors” and under “The Merger—Schlumberger’s Reasons for the Merger”;</w:t>
      </w:r>
    </w:p>
    <w:p>
      <w:pPr>
        <w:spacing w:after="0" w:line="34" w:lineRule="exact"/>
        <w:rPr>
          <w:rFonts w:ascii="Arial" w:cs="Arial" w:eastAsia="Arial" w:hAnsi="Arial"/>
          <w:sz w:val="16"/>
          <w:szCs w:val="16"/>
          <w:color w:val="auto"/>
        </w:rPr>
      </w:pPr>
    </w:p>
    <w:p>
      <w:pPr>
        <w:ind w:left="195" w:right="2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5"/>
          <w:szCs w:val="15"/>
          <w:color w:val="auto"/>
        </w:rPr>
      </w:pPr>
      <w:r>
        <w:rPr>
          <w:rFonts w:ascii="Arial" w:cs="Arial" w:eastAsia="Arial" w:hAnsi="Arial"/>
          <w:sz w:val="15"/>
          <w:szCs w:val="15"/>
          <w:color w:val="auto"/>
        </w:rPr>
        <w:t>business strategy and other plans and objectives for future operations;</w:t>
      </w:r>
    </w:p>
    <w:p>
      <w:pPr>
        <w:spacing w:after="0" w:line="124" w:lineRule="exact"/>
        <w:rPr>
          <w:rFonts w:ascii="Arial" w:cs="Arial" w:eastAsia="Arial" w:hAnsi="Arial"/>
          <w:sz w:val="15"/>
          <w:szCs w:val="15"/>
          <w:color w:val="auto"/>
        </w:rPr>
      </w:pPr>
    </w:p>
    <w:p>
      <w:pPr>
        <w:ind w:left="195" w:right="6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 and</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00" w:lineRule="exact"/>
        <w:rPr>
          <w:sz w:val="20"/>
          <w:szCs w:val="20"/>
          <w:color w:val="auto"/>
        </w:rPr>
      </w:pPr>
    </w:p>
    <w:p>
      <w:pPr>
        <w:sectPr>
          <w:pgSz w:w="11900" w:h="16838" w:orient="portrait"/>
          <w:cols w:equalWidth="0" w:num="2">
            <w:col w:w="5465" w:space="720"/>
            <w:col w:w="5195"/>
          </w:cols>
          <w:pgMar w:left="240" w:top="459" w:right="279" w:bottom="1440" w:gutter="0" w:footer="0" w:header="0"/>
          <w:type w:val="continuous"/>
        </w:sectPr>
      </w:pP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projection or estimate by Smith that was furnished to its financial advisor, including those statements summarized herein, was made as of a date shortly before the date of the merger agreement and spoke only as of the date furnished and has not been updated. These estimates and projections were only intended to be used by such financial advisor for analysis of the merger and are not intended to provide guidance as to future results and should not be relied upon for that purpose.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Schlumberger or Smith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neither Schlumberger nor Smith undertakes any obligation to publicly update or revise any forward-looking statements except as required by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2009, Schlumberger employed approximately 77,000 people of over 140 nationalities operating in approximately 80 countries. Schlumberger consists of two business segments, Schlumberger Oilfield Services and WesternGeco. Schlumberger Oilfield Services provides the industry’s widest range of products and services from exploration to production, while WesternGeco is the world’s most technologically advanced surface seismic acquisition and processing company.</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Euronext Amsterdam, London and SIX Swiss stock exchanges.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International, Inc.</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 Smith’s business is segregated into three operating segments, M-I SWACO, Smith Oilfield and Distribution. Smith provides a comprehensive line of technologically-advanced products and engineering services, including drilling and completion fluid systems, solids-control and separation equipment, waste-management services, three-cone and diamond drill bits, borehole enlargement services, tubulars, directional systems, measurement-while-drilling and logging-while-drilling services, coiled tubing, cased-hole wireline and other complementary downhole tools and services. Smith also offers supply-chain management solutions through an extensive North American branch network providing pipe, valves and fittings as well as mill, safety and other maintenance products.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Smith’s common stock is listed on the NYSE, where it is traded under the symbol “SII.”</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Turnberry Merger Sub Inc.</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annual meeting of Smith stockholders will be held on [—], 2010, at [—], local time, at the Hotel du Pont, located at 11th and Market Streets, Wilmington, Delaware.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Smith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Smith annual meeting, Smith stockholders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until the 2013 annual meeting of stockholders or until their respective successors have been elected and qualified;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approve Smith’s 1989 Long-Term Incentive Compensation Plan, as amended and restated;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approve the adjournment of the Smith annual meeting, if necessary, to solicit additional proxies if there are not sufficient votes to adopt the merger agreement at the time of the annual meeting.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1 is required for the completion of the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Record Date; Stock Entitled to Vote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Smith stockholders of record at the close of business on [—],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As of the record date, there were [—] shares of Smith common stock outstanding and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the record date, directors and executive officers of Smith and their affiliates owned and were entitled to vote [—] shares of Smith common stock, or approximately [—]% of the shares of Smith common stock outstanding on that date. It is currently expected that Smith’s directors and executive officers will vote their shares in favor of the adoption of the merger agreement and each of the other proposals described in this proxy statement/prospectus, although none of them have entered into any agreements obligating them to do so.</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of the outstanding shares of Smith common stock entitled to vote constitutes a quorum for the transaction of business at the Smith annual meeting. If you have returned valid proxy instructions or attend the meeting in person, your Smith common stock will be counted for the purpose of determining whether there is a quorum, even if you wish to abstain from voting on some or all matters introduced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meeting. Broker non-votes are included in the calculation of the number of shares considered to be present at the Smith annual meeting.</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 of the record date, there were [—] shares of Smith common stock outstanding and entitled to vote at the Smith annual meeting. Accordingly, the presence, in person or by proxy, of holders of [—] shares of Smith common stock will be required in order to establish a quorum.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left="660" w:right="52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the shares of Smith common stock outstanding as of the record date and entitled to vote at the Smith annual meeting.</w:t>
      </w:r>
    </w:p>
    <w:p>
      <w:pPr>
        <w:spacing w:after="0" w:line="50"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3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Approval of Smith’s 1989 Long-Term Incentive Compensation Plan requires the affirmative vote of a majority of the shares represented at the meeting and entitled to vote on such proposal, provided that at least a majority of the outstanding shares of Smith common stock vote on such proposal.</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2010 fiscal year requires the affirmative vote of a majority of the shares represented at the meeting and entitled to vote on such proposal.</w:t>
      </w:r>
    </w:p>
    <w:p>
      <w:pPr>
        <w:spacing w:after="0" w:line="5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of the adjournment of the Smith annual meeting requires the affirmative vote of a majority of the shares represented at the meeting and entitled to vote on such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Abstentions, Not Voting and Incomplete Proxies</w:t>
      </w:r>
    </w:p>
    <w:p>
      <w:pPr>
        <w:spacing w:after="0" w:line="90"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merger proposal, an abstention or a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96"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election of directors, assuming a quorum is present, an abstention or a failure to vote will have no effect on the outcome of the election.</w:t>
      </w:r>
    </w:p>
    <w:p>
      <w:pPr>
        <w:spacing w:after="0" w:line="113" w:lineRule="exact"/>
        <w:rPr>
          <w:rFonts w:ascii="Arial" w:cs="Arial" w:eastAsia="Arial" w:hAnsi="Arial"/>
          <w:sz w:val="16"/>
          <w:szCs w:val="16"/>
          <w:color w:val="auto"/>
        </w:rPr>
      </w:pPr>
    </w:p>
    <w:p>
      <w:pPr>
        <w:ind w:left="660" w:right="3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incentive plan proposal, assuming a quorum is present and at least a majority of the outstanding shares of Smith common stock vote on such proposal,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Smith’s independent registered public accounting firm for the 2010 fiscal year, assuming a quorum is present,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approval of the adjournment of the Smith annual meeting, if necessary, assuming a quorum is present, a failure to vote will have no effect on the outcome of the vote for the proposal, while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such proposal.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proxy is received without indication as to how to vote on any particular proposal, the shares of Smith common stock represented by such proxy will be voted as recommended by the Smith board of directors with respect to that proposal.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Giving a proxy means that a Smith stockholder authorizes the persons named in the enclosed proxy card to vote its shares at the Smith annual meeting in the manner it directs. A Smith stockholder may vote by proxy or in person at the Smith annual meeting. If you hold your shares of Smith common stock in your name as a stockholder of record, to submit a proxy, you as a Smith stockholder may use one of the following methods:</w:t>
      </w:r>
    </w:p>
    <w:p>
      <w:pPr>
        <w:spacing w:after="0" w:line="20"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 by accessing the website specified on the proxy card and following the instructions on the proxy card;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Submit a proxy by telephone</w:t>
      </w:r>
      <w:r>
        <w:rPr>
          <w:rFonts w:ascii="Arial" w:cs="Arial" w:eastAsia="Arial" w:hAnsi="Arial"/>
          <w:sz w:val="16"/>
          <w:szCs w:val="16"/>
          <w:color w:val="auto"/>
        </w:rPr>
        <w:t>, by dialing the toll-free number specified on the proxy card and following the instructions on the proxy card; or</w:t>
      </w:r>
    </w:p>
    <w:p>
      <w:pPr>
        <w:spacing w:after="0" w:line="113" w:lineRule="exact"/>
        <w:rPr>
          <w:rFonts w:ascii="Arial" w:cs="Arial" w:eastAsia="Arial" w:hAnsi="Arial"/>
          <w:sz w:val="16"/>
          <w:szCs w:val="16"/>
          <w:color w:val="auto"/>
        </w:rPr>
      </w:pPr>
    </w:p>
    <w:p>
      <w:pPr>
        <w:ind w:left="660" w:hanging="206"/>
        <w:spacing w:after="0" w:line="275"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Submit a proxy by mail</w:t>
      </w:r>
      <w:r>
        <w:rPr>
          <w:rFonts w:ascii="Arial" w:cs="Arial" w:eastAsia="Arial" w:hAnsi="Arial"/>
          <w:sz w:val="18"/>
          <w:szCs w:val="18"/>
          <w:color w:val="auto"/>
        </w:rPr>
        <w:t>, by completing and returning the proxy card in the enclosed envelope. The envelope requires no additional postage if mailed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w:t>
      </w:r>
    </w:p>
    <w:p>
      <w:pPr>
        <w:spacing w:after="0" w:line="12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A signed proxy also confers discretionary authority to vote with respect to any matter presented at the Smith annual meeting, except as set forth in the proxy and except for matters proposed by a stockholder who notifies Smith not later than the close of business on the [—] day following the day on which the Smith Notice of Annual Meeting of Stockholders was mailed. At the date hereof, management has no knowledge of any business that will be presented for consideration at the Smith annual meeting and which would be required to be set forth in this proxy statement/prospectus or the related proxy card other than the matters set forth in the Smith Notice of Annual Meeting of Stockholders. If any other matter is properly presented at the Smith annual meeting for consideration, it is intended that the persons named in the enclosed form of proxy and acting thereunder will vote in accordance with their best judgment on such matter.</w:t>
      </w:r>
    </w:p>
    <w:p>
      <w:pPr>
        <w:spacing w:after="0" w:line="99"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b w:val="1"/>
          <w:bCs w:val="1"/>
          <w:color w:val="auto"/>
        </w:rPr>
        <w:t xml:space="preserve">Every Smith stockholder’s vote is important. Accordingly, each Smith stockholder should sign, date and return the enclosed proxy card, or submit a proxy via the internet or by telephone, whether or not it plans to attend the Smith annual meeting in person. Proxies must be received by </w:t>
      </w:r>
      <w:r>
        <w:rPr>
          <w:rFonts w:ascii="Arial" w:cs="Arial" w:eastAsia="Arial" w:hAnsi="Arial"/>
          <w:sz w:val="15"/>
          <w:szCs w:val="15"/>
          <w:color w:val="auto"/>
        </w:rPr>
        <w:t>[—]</w:t>
      </w:r>
      <w:r>
        <w:rPr>
          <w:rFonts w:ascii="Arial" w:cs="Arial" w:eastAsia="Arial" w:hAnsi="Arial"/>
          <w:sz w:val="15"/>
          <w:szCs w:val="15"/>
          <w:b w:val="1"/>
          <w:bCs w:val="1"/>
          <w:color w:val="auto"/>
        </w:rPr>
        <w:t>,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a Smith stockholder and your shares are held in “street name” in a stock brokerage account or by a bank or nominee, you must provide the record holder of your shares with instructions on how to vote the shares. Please follow the voting instructions provided by the bank or broker. You may not vote shares held in street name by returning a proxy card directly to Smith or by voting in person at the Smith annual meeting unless you provide a “legal proxy,” which you must obtain from your bank or broker. Further, brokers who hold shares of Smith common stock on behalf of their customers may not give a proxy to Smith to vote those shares with respect to the merger proposal, the Smith incentive plan proposal or the election of directors without specific instructions from their customers, as brokers do not have discretionary voting power on such matters.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if you are a Smith stockholder and you do not instruct your broker or other nominee on how to vote your shares:</w:t>
      </w:r>
    </w:p>
    <w:p>
      <w:pPr>
        <w:spacing w:after="0" w:line="90" w:lineRule="exact"/>
        <w:rPr>
          <w:sz w:val="20"/>
          <w:szCs w:val="20"/>
          <w:color w:val="auto"/>
        </w:rPr>
      </w:pPr>
    </w:p>
    <w:p>
      <w:pPr>
        <w:ind w:left="660" w:right="7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merger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for the election of directors, for which broker non-votes will have no effect on the outcome of the election.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incentive plan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vote your shares on the other Smith annual meeting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and Changes to a Smith Stockholder’s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Smith stockholder, you have the power to change your vote at any time before your shares are voted at the Smith annual meeting by:</w:t>
      </w:r>
    </w:p>
    <w:p>
      <w:pPr>
        <w:spacing w:after="0" w:line="113" w:lineRule="exact"/>
        <w:rPr>
          <w:sz w:val="20"/>
          <w:szCs w:val="20"/>
          <w:color w:val="auto"/>
        </w:rPr>
      </w:pPr>
    </w:p>
    <w:p>
      <w:pPr>
        <w:ind w:left="660" w:hanging="206"/>
        <w:spacing w:after="0" w:line="332"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submitting notice in writing to Smith’s Corporate Secretary at Smith International, Inc., 1310 Rankin Road, Houston, Texas 77073 that you are revoking your proxy (which, if you hold your shares in street name, you must do in accordance with instructions from your bank or broker);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executing and delivering a later-dated proxy card or submitting a later-dated proxy by telephone or on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voting in person at the Smith annual meeting.</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If you are a Smith stockholder of record, revocation of your proxy or voting instructions through the internet, by telephone or by mail must be received by [—], on [—], 2010, although you may also revoke your proxy by attending the Smith annual meeting and voting in person. </w:t>
      </w:r>
      <w:r>
        <w:rPr>
          <w:rFonts w:ascii="Arial" w:cs="Arial" w:eastAsia="Arial" w:hAnsi="Arial"/>
          <w:sz w:val="18"/>
          <w:szCs w:val="18"/>
          <w:b w:val="1"/>
          <w:bCs w:val="1"/>
          <w:color w:val="auto"/>
        </w:rPr>
        <w:t>However, if your shares are held in</w:t>
      </w:r>
      <w:r>
        <w:rPr>
          <w:rFonts w:ascii="Arial" w:cs="Arial" w:eastAsia="Arial" w:hAnsi="Arial"/>
          <w:sz w:val="18"/>
          <w:szCs w:val="18"/>
          <w:color w:val="auto"/>
        </w:rPr>
        <w:t xml:space="preserve"> </w:t>
      </w:r>
      <w:r>
        <w:rPr>
          <w:rFonts w:ascii="Arial" w:cs="Arial" w:eastAsia="Arial" w:hAnsi="Arial"/>
          <w:sz w:val="18"/>
          <w:szCs w:val="18"/>
          <w:b w:val="1"/>
          <w:bCs w:val="1"/>
          <w:color w:val="auto"/>
        </w:rPr>
        <w:t>street name by a bank or broker, you may revoke your instructions only by informing the bank or broker in accordance with any procedures it has established.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Smith’s Benefit Plans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Participants in the Smith International, Inc. 401(k) Retirement Plan, Wilson 401(k) Retirement Plan, M-I Retirement Plan or M-I L.L.C. Greybull Retirement Plan have received voting instruction cards in lieu of a proxy card. Only the trustees of these plans, in their capacity as directed trustees, can vote the plan shares at the Smith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solicitation of proxies from Smith stockholders is made on behalf of the Smith board of directors. Smith and Schlumberger will each bear their own costs and expenses, including with respect to printing and mailing this proxy statement/prospectus and payment of fees to the SEC. Smith will pay the costs of soliciting and obtaining proxies from Smith stockholders, including the cost of reimbursing brokers, banks and other financial institutions for forwarding proxy materials to their customers. Proxies may be solicited, without extra compensation, by Smith officers and employees by mail, telephone, fax, personal interviews or other methods of communication. Smith has engaged the firm of MacKenzie Partners, Inc. to assist Smith in the distribution and solicitation of proxies from Smith stockholders and will pay MacKenzie Partners, Inc. an estimated fee of $[—], as well as out-of-pocket expenses for its services.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Adoption of the Merger Agreement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Smith is asking its stockholders to vote on the proposal to adopt the merger agreement. For a detailed discussion of the terms and conditions of the merger, see “The Merger Agreement.” As discussed in the section entitled “The Merger—Smith’s Reasons for the Merger; Recommendation of the Smith Board of Directors,” after careful consideration, 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thereby.</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Adoption of the merger agreement requires the affirmative vote of holders of a majority of the voting power of the outstanding shares of Smith common stock. For purposes of this vote, an abstention or a failure to vote or to instruct a broker or nominee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unanimously recommends that Smith stockholders vote “FOR” the adoption of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Election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Smith annual meeting, stockholders will elect three persons as Class III directors to hold office until the 2013 annual meeting of Smith stockholders, or until they are succeeded by other qualified directors who have been appointed or elected. The nominees are James R. Gibbs, Duane C. Radtke and John Yearwood. It is not expected that the members of the Smith board of directors will continue to serve on the board of Smith or of the combined company following the completion of the merger.</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Directors must be elected by a majority of the votes cast at the meeting either for or against the election of such director. 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8"/>
          <w:szCs w:val="18"/>
          <w:b w:val="1"/>
          <w:bCs w:val="1"/>
          <w:color w:val="auto"/>
        </w:rPr>
        <w:t>FOR</w:t>
      </w:r>
      <w:r>
        <w:rPr>
          <w:rFonts w:ascii="Arial" w:cs="Arial" w:eastAsia="Arial" w:hAnsi="Arial"/>
          <w:sz w:val="18"/>
          <w:szCs w:val="18"/>
          <w:color w:val="auto"/>
        </w:rPr>
        <w:t>” the election of all of the nominees listed above.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of the nominees is a current member of the Smith board of directors and has consented to serve if elected. Although management does not contemplate the possibility, in the event any nominee is not a candidate or is unable to serve as a director at the time of the election, the proxies will vote for any nominee who is designated by the present Smith board of directors to fill the vacancy.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Smith board of directors recommends a vote “FOR” each of the director nominees named above.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“Election of Directors of Smith” for a brief biography of all directors, including the director nominees.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the 1989 Long-Term Incentive Compensation Plan, as Amended and Restated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the Smith annual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herein. On [—], 2010, the last reported closing price of Smith’s common stock on the New York Stock Exchange Composite Tape was $[—].</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affirmative vote of a majority of the shares represented at the Smith annual meeting and entitled to vote will be required to approve the plan, provided that the total votes cast on the proposal represent at least a majority of the outstanding shares of Smith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Ratification of the Appointment of Deloitte &amp; Touche LLP as Smith’s Independent Registered Public Accounting Firm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Approval of the Adjournment of the Smith Annual Meeting, if Necessary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Smith is asking its stockholders to vote on a proposal to approve the adjournment of the Smith annual meeting, if necessary, to solicit additional proxies if there are not sufficient votes to adopt the merger agreement at the time of the annual meeting.</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Adjournment of the Smith annual meeting, if necessary, to solicit additional proxies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recommends that the stockholders vote “FOR” approval to adjourn the Smith annual meeting, if necessary.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Smith board of directors does not intend to present any other business for action at the meeting, and Smith has not been advised of any other business intended to be presented by others.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Smith and Schlumberger periodically review and assess their industry and strategic alternatives available to enhance shareholder value. As leading companies in their respective lines of business, Smith and Schlumberger are generally familiar with each other’s business. Smith and Schlumberger have, from time to time, discussed and engaged in both commercial and strategic transactions with each other, and meet regularly at board meetings of and otherwise with respect to the operation of M-I SWACO, a joint venture between Smith and Schlumberger since 1999, of which Smith is a 60 percent owner and Schlumberger is a 40 percent owner. The terms of the M-I SWACO joint venture include a “buy/sell provision” pursuant to which either Smith or Schlumberger can offer to sell to the other its entire ownership interest in M-I SWACO in exchange for a cash purchase price per percentage interest specified by the offering party. If the initiating party’s offer to sell is not accepted, such party is obligated to purchase the other party’s interest at the same valuation per percentage interest. In addition, the terms of the M-I SWACO joint venture agreements require a party which is undergoing a change of control to offer to sell to the other its entire ownership interest in M-I SWACO in exchange for a cash purchase price per percentage interest specified by the offering party, and the non-offering party may either accept such offer, require the offering party to purchase the non-offering party’s interest at the same valuation per percentage interest or retain its ownership interest.</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late 2005, Schlumberger approached Smith and suggested that the parties discuss a potential business combination. In connection with these discussions, Smith and Schlumberger entered into a confidentiality agreement dated November 7, 2005, in which Smith and Schlumberger each agreed to a “standstill” provision providing that it would not, for a period of two years, acquire or seek, offer or propose to acquire any securities of the other party or undertake certain other transactions to control or influence the other party. Following the exchange of high-level due diligence information and preliminary discussions, Schlumberger proposed a business combination with consideration per share of Smith common stock consisting of 0.6824 shares of Schlumberger common stock (as adjusted for a 2006 split of the Schlumberger common stock) and $8.00 in cash. Schlumberger’s offer equated to a total enterprise value of approximately $9.8 billion, including $8.5 billion for the shares of Smith common stock, based on the number of outstanding shares as of the then-most recently available filings and including all of Smith’s debt and cash (including all of the debt and cash in Smith’s M-I SWACO joint venture and CE Franklin Ltd. subsidiary) and the book value of the noncontrolling interests in M-I SWACO and CE Franklin Ltd. The Smith board concluded that, in light of Smith’s prospects at the time and the trading multiples of each company’s shares relative to their historical levels, the financial terms of the proposed transaction were not acceptable, and discussions terminated in late November 2005.</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January 13, 2006, Mr. Doug Rock, then-Chairman of the Board, Chief Executive Officer, President and Chief Operating Officer of Smith, Mr. Loren Carroll, a Smith director, Mr. Andrew Gould, Chairman and Chief Executive Officer of Schlumberger, and Mr. Simon Ayat, currently Executive Vice President and Chief Financial Officer of Schlumberger, met to discuss a potential business combination. However, Smith and Schlumberger were unable to reach an agreement, and discussions did not proceed.</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and third quarter of 2007, Schlumberger and Smith engaged in discussions regarding the creation of a new joint venture that would have involved Smith’s drill bits business. Among other possibilities, the parties discussed reducing Schlumberger’s interest in M-I SWACO in connection with this new joint venture. Ultimately, the parties were unable to agree on the relative values of Smith Technologies and M-I SWACO and discussions terminated.</w:t>
      </w:r>
    </w:p>
    <w:p>
      <w:pPr>
        <w:spacing w:after="0" w:line="10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early February 2008, Mr. Ayat approached Mr. Yearwood regarding a potential business combination of Smith and Schlumberger. On February 8, 2008, Smith and Schlumberger entered into a new confidentiality</w:t>
      </w:r>
    </w:p>
    <w:p>
      <w:pPr>
        <w:spacing w:after="0"/>
        <w:rPr>
          <w:sz w:val="20"/>
          <w:szCs w:val="20"/>
          <w:color w:val="auto"/>
        </w:rPr>
      </w:pPr>
      <w:r>
        <w:rPr>
          <w:rFonts w:ascii="Arial" w:cs="Arial" w:eastAsia="Arial" w:hAnsi="Arial"/>
          <w:sz w:val="18"/>
          <w:szCs w:val="18"/>
          <w:color w:val="auto"/>
        </w:rPr>
        <w:t>agreement, which again provided for a standstill period extending for two years from the date of the agreement.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Prior to any material discussions regarding a business combination, Schlumberger advised Smith that it had decided not to make any proposals to Smith.</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late January 2009, Mr. Simon Ayat, Executive Vice President and Chief Financial Officer of Schlumberger, called Mr. John Yearwood, Chief Executive Officer, President and Chief Operating Officer of Smith, and suggested that they discuss the possibility of a business combination. Mr. Ayat did not present any specific proposal. Mr. Yearwood indicated that he would discuss the matter with the Smith board.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meetings in early February 2009, the Smith board considered the possibility of entering into business combination discussions with Schlumberger, but determined not to do so in view of Smith’s need to refinance debt which had impending maturities and the dislocation in the credit markets. The Smith board, while generally acknowledging the strategic logic of the combination, believed that the timing for a negotiation of a business combination with Schlumberger was inopportune. Accordingly, Mr. Yearwood met with Mr. Gould and informed him that Smith was not interested in discussing a business combination at that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Smith completed a public offering of $1 billion of senior notes in March 2009 to refinance certain of its impending debt maturities. Following this refinancing, Mr. Ayat again suggested to Mr. Yearwood that they discuss a business combination. On April 14, 2009, Smith and Schlumberger entered into a new confidentiality agreement, which again provided for a two-year standstill period, as well as an agreement that neither party would exercise its rights under the M-I SWACO buy/sell provisions for a period of 90 days after termination of negotiations between the parties. Following execution of the confidentiality agreement, Smith furnished due diligence information to Schlumberger and the parties conducted due diligence of Smith, which included meetings between members of Smith and Schlumberger management. Mr. Gould and Mr. Yearwood also had several discussions regarding the potential terms of a business combination.</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May 12, 2009, Schlumberger sent a letter to Smith proposing a business combination with consideration equivalent to 0.70 shares of Schlumberger common stock per share of Smith common stock, consisting of 85% in Schlumberger common stock and 15% in cash in a transaction intended to be taxable to Smith stockholders, which equated to a total enterprise value of approximately $12.4 billion, including $8.6 billion for the shares of Smith common stock, calculated on the same basis as described above.</w:t>
      </w:r>
    </w:p>
    <w:p>
      <w:pPr>
        <w:spacing w:after="0" w:line="14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late May and early June 2009, the Smith board met to consider the Schlumberger proposal, including the financial terms of the proposal, the likelihood that the transaction could be successfully completed, and potential responses to the proposal. Following these discussions, Mr. Yearwood sent a letter to</w:t>
      </w:r>
    </w:p>
    <w:p>
      <w:pPr>
        <w:ind w:right="180"/>
        <w:spacing w:after="0" w:line="290" w:lineRule="auto"/>
        <w:rPr>
          <w:sz w:val="20"/>
          <w:szCs w:val="20"/>
          <w:color w:val="auto"/>
        </w:rPr>
      </w:pPr>
      <w:r>
        <w:rPr>
          <w:rFonts w:ascii="Arial" w:cs="Arial" w:eastAsia="Arial" w:hAnsi="Arial"/>
          <w:sz w:val="16"/>
          <w:szCs w:val="16"/>
          <w:color w:val="auto"/>
        </w:rPr>
        <w:t>Mr. Gould on June 4, 2009 suggesting that Schlumberger increase the amount of the consideration to the equivalent of 0.775 shares of Schlumberger common stock per share of Smith common stock, which equated to a total enterprise value of approximately $13.8 billion, including $9.9 billion for the shares of Smith common stock, calculated on the same basis as described above. Mr. Yearwood also recommended, among other matters, that Schlumberger commit to take any actions necessary to obtain regulatory approvals and to pay a ticking fee if the transaction were not consummated by the end of 2009, and that Smith have the right to terminate the transaction to accept a superior proposal on payment of a break-up fee of 2.5% of Smith’s pre-signing equity value, in which case the M-I SWACO buy/sell provisions would be suspended for two years.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June 9, 2009, Mr. Ayat responded to Mr. Yearwood that Schlumberger was not prepared to increase the consideration or modify the provisions regarding regulatory approval, the ticking fee and the suspension of the M-I SWACO buy/sell provisions and he reiterated Schlumberger’s prior proposal.</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Smith board met on June 10 and 11, 2009, to discuss the Schlumberger response, including methods for allocating regulatory risks and the valuation of Smith. Following these discussions, the Smith board determined that it was prepared to consider a business combination with Schlumberger on revised terms, including consideration equivalent to 0.72 shares of Schlumberger common stock per share of Smith common stock in which Smith stockholders would receive 85% Schlumberger common stock and 15% cash in a fully taxable transaction, which equated to a total enterprise value of approximately $13.7 billion, including approximately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$9.8 billion for the shares of Smith common stock, calculated on the same basis as described above. On June 11, 2009, Mr. Yearwood sent to Mr. Gould a letter proposing this level of consideration as well as a requirement for Schlumberger to accept regulatory requirements to divest certain assets; a reverse termination fee of $600 million payable by Schlumberger if regulatory approvals were not obtained; a one-year suspension of the M-I SWACO buy/sell provisions upon such termination; a delayed ticking fee; and a Smith right to terminate the transaction to accept a superior proposal on payment of a break-up fee of 1% of Smith’s signing date equity value.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Later in the day on June 11, 2009, Mr. Gould sent to Mr. Yearwood a letter presenting what Mr. Gould characterized as Schlumberger’s best and final offer, expiring at the close of business on June 12, 2009. This proposal accepted Smith’s proposed consideration but increased the break-up fee payable by Smith to 3% of Smith’s signing date equity value and rejected the related suspension of the M-I SWACO buy/sell provisions which Smith had proposed, limited Schlumberger’s divestiture obligations to assets (other than W-H and Wilson assets) generating up to $250 million in revenues, reduced the reverse termination fee payable by Schlumberger to 3% of Smith’s signing date equity value, and eliminated the ticking fee.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a meeting on June 12, 2009, the Smith board met to discuss Schlumberger’s proposal. The Smith board reviewed each of the points in the Schlumberger letter in detail with management and its advisors. At the conclusion of its deliberations, the Smith board determined to proceed with the negotiation of a definitive merger agreement on the basis of the Schlumberger proposal. Mr. Yearwood informed Mr. Gould of the Smith board’s willingness to proceed on this basis. Later that evening, Schlumberger’s legal advisor, Baker Botts L.L.P., delivered a draft merger agreement to Smith’s legal advisor, Wachtell, Lipton, Rosen &amp; Katz. Over the next week, Wachtell, Lipton, Baker Botts and members of Smith’s and Schlumberger’s respective management teams negotiated the terms of the merger agreement and related documentation, while Schlumberger, Smith, and their respective advisors continued their due diligence efforts.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20, 2009, Mr. Gould informed Mr. Yearwood that the Schlumberger board was concerned about Smith’s anticipated financial results for the second quarter of 2009 as furnished to Schlumberger on the previous day. Mr. Gould suggested that merger agreement negotiations be suspended while due diligence efforts continued. Mr. Yearwood responded that it would not be appropriate to continue due diligence efforts if the parties were not actively pursuing a business combination, and Mr. Gould stated that Schlumberger would suspend further work on the business combination pending the expiry of at least three trading days following the announcement of Smith’s second-quarter earnings.</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August 6, 2009, after Smith’s July 28, 2009 earnings announcement, Mr. Gould called Mr. Yearwood to propose reengaging on the same terms as presented in the June 11, 2009 letter (including that consideration would be 85% in Schlumberger common stock and 15% in cash in a fully taxable transaction), except that consideration would be equal to a 35% premium over the average implied exchange ratio based on the closing prices of Schlumberger and Smith common stock from July 6, 2009 through the signing of the definitive merger agreement. Based on such prices through August 6, 2009, this proposal implied consideration equivalent to approximately 0.6206 shares of Schlumberger common stock per share of Smith common stock, which equated to a total enterprise value of approximately $10.9 billion, including $7.3 billion for the shares of Smith common stock, calculated on the same basis as described above.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a meeting on August 7, 2009, the Smith board reviewed Schlumberger’s revised proposal and internal and external developments in the Smith business since June 2009. The Smith board decided to reject Schlumberger’s proposal, and Mr. Yearwood sent to Mr. Gould a letter to that effect. By letters sent on September 2 and 3, 2009, Schlumberger and Smith officially terminated negotiations.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November 23, 2009, Mr. Gould and Mr. Yearwood met in response to Mr. Gould’s request to review the summer 2009 discussions and Smith’s positions on issues other than valuation. Following this meeting, Mr. Richard E. Chandler, Jr., Senior Vice President, General Counsel and Corporate Secretary of Smith, and Mr. Alex Juden, Secretary and General Counsel of Schlumberger, discussed regulatory approvals, the time and potential concessions that would be required to obtain such approvals and other issues related to closing certainty.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early February 2010, at the request of Mr. Gould, Mr. Rock, Chairman of the Board of Smith, and Mr. James Gibbs, Lead Director of Smith, met with Mr. Gould to discuss a potential business combination. At this meeting, Mr. Gould expressed his view that Schlumberger was interested in renewing prior discussions with a view to quickly completing a business combination with Smith, but if an agreement was not reached as a result of these discussions, that Schlumberger would proceed with other possible transactions. Mr. Gould suggested meeting through the weekend of February 13, 2010 until midday on Thursday, February 18, 2010 to permit the presentation and discussion of a business combination proposal.</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a meeting on February 6, 2010, the Smith board established a negotiation committee composed of Messrs. Rock, Carroll and Yearwood. On February 13, 2010, Messrs. Gould and Ayat met with Messrs. Rock, Carroll and Yearwood as well as Mr. William Restrepo, Smith’s Chief Financial Officer, to discuss the terms of a potential transaction. Mr. Gould proposed a transaction intended to be tax-free for U.S. federal income tax purposes for Smith stockholders, with consideration entirely in the form of Schlumberger common stock with a value equal to a 35% premium over the average closing price of Smith stock for the 10 trading days preceding the date of the definitive merger agreement, and otherwise on the same terms set forth in Schlumberger’s June 11, 2009 letter. For the 10 trading days preceding February 13, 2010, this was equivalent to consideration of approximately 0.6595 shares of Schlumberger common stock per share of Smith common stock, which equated to a total enterprise value of approximately $13.1 billion, including $10.5 billion for the shares of Smith common stock, calculated on the same basis as described above. The Smith representatives indicated that the proposed level of consideration was insufficient, and following negotiation, the Schlumberger representatives and Smith representatives reached agreement on a proposed valuation formula with a 40% premium over the 10-day trading period, which as of that day was equivalent to consideration of approximately 0.6839 shares of Schlumberger common stock per share of Smith common stock, which equated to a total enterprise value of approximately $13.5 billion, including $10.9 billion for the shares of Smith common stock, calculated on the same basis as described above. Messrs. Gould, Yearwood, Rock and Carroll then left the meeting, which was joined by Mr. Peter Pintar, Smith’s Vice President Corporate Strategy and Development and Mr. Simon Farrant, Schlumberger’s Portfolio Manager, Mr. Krishna Shivram, Schlumberger’s Manager, Mergers &amp; Acquisitions, and Messrs. Chandler and Juden, whereupon the parties confirmed various commercial and financial aspects of the proposed transaction in light of the agreements reached earlier in the meeting, and discussed next steps. On February 14, 2010, Messrs. Gould, Ayat, Shivram, Farrant and Juden met with Messrs. Yearwood, Restrepo, Pintar and Chandler to continue to confirm various aspects of the proposed transaction that had been discussed the previous day.</w:t>
      </w:r>
    </w:p>
    <w:p>
      <w:pPr>
        <w:spacing w:after="0" w:line="12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Smith board met on February 14, 2010 to review the Schlumberger proposal. Following this discussion, the Smith board authorized Smith management and advisors to continue the negotiations with Schlumberger, including negotiation of the terms of a merger agreement. Later that evening Baker Botts delivered a draft merger agreement to Wachtell, Lipton based on the draft agreement that had been discussed in June 2009, and Smith and Schlumberger recommenced due diligence efforts.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Smith board met again on February 16, 2010 to discuss the Schlumberger proposal in detail, including the financial aspects of the proposal, and further information from the ongoing negotiations and due diligence. The Smith board discussed the advisability of the proposed transaction, including among other things the valuation implied by the proposal, Smith’s business prospects and strategy, and the strategic benefits of a combination with Schlumberger. The Smith board determined to continue with negotiations. Over the next several days, Smith and Schlumberger continued their due diligence efforts, including management interviews of both Smith and Schlumberger officers, while Wachtell, Lipton and Baker Botts negotiated the terms of a merger agreement.</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18, 2010, the Schlumberger board met to consider the terms of the proposed transaction. Goldman, Sachs &amp; Co., Schlumberger’s financial advisor, reviewed with the Schlumberger board its preliminary financial analysis of the exchange ratio provided for in the proposed merger. Following discussion, the Schlumberger board unanimously approved the proposed merger agreement, the proposed merger, and the other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agreements and transactions contemplated by the proposed merger agreement, subject to the receipt by the finance committee of the Schlumberger board of Goldman Sachs’s final financial analysis of the exchange ratio provided for in the proposed merger, and the finance committee’s not recommending that the Schlumberger board’s approval be revised or withdrawn.</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After the close of trading on February 18, 2010, media reports regarding the proposed transaction began to circulate, causing significant shifts in the trading prices of both Smith and Schlumberger common stock on February 19, 2010. The Smith board met later that day to receive an update as to these reports and the effect on the proposed merger consideration. The Smith board authorized Mr. Yearwood to negotiate with Schlumberger adjustments to the calculation of the exchange ratio in response to these events. Mr. Yearwood and Mr. Ayat spoke later that day and agreed, in light of the media reports which had affected the trading prices of the Smith and Schlumberger common stock, to modify the proposed valuation formula by replacing the actual trading prices on February 19, 2010 with a second occurrence of the February 18, 2010 trading prices, which resulted in an exchange ratio of 0.6966 shares of Schlumberger common stock per share of Smith common stock and which equated to a total enterprise value of approximately $14.0 billion, including $11.4 billion for the shares of Smith common stock, based on the closing price of Smith and Schlumberger common stock on February 18, 2010, calculated on the same basis as described above. The terms of the proposed merger agreement, including the proposed exchange ratio of 0.6966 shares of Schlumberger common stock per share of Smith common stock, were finalized and submitted to the Smith board and the Schlumberger board for their consideration.</w:t>
      </w:r>
    </w:p>
    <w:p>
      <w:pPr>
        <w:spacing w:after="0" w:line="12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On February 20, 2010, the Smith board met to consider the terms of the proposed transaction, which had been negotiated. UBS Securities LLC, Smith’s financial advisor, reviewed with the Smith board its financial analysis of the exchange ratio provided for in the proposed merger. Wachtell, Lipton reviewed the legal terms of the proposed merger agreement, including the provisions relating to the allocation of regulatory risks. UBS delivered to the Smith board an oral opinion, which was confirmed by delivery of a written opinion dated February 20, 2010, attached hereto as Annex B, to the effect that, as of that date and subject to the factors and assumptions set forth in such opinion, the 0.6966 exchange ratio provided for in the proposed merger was fair, from a financial point of view, to Smith’s stockholders, other than Schlumberger and its affiliates, as more fully described below under the caption “—Opinion of Smith’s Financial Advisor.” Following discussion, the board unanimously determined that the proposed merger agreement, the proposed merger, and the other agreements and transactions contemplated by the proposed merger agreement are fair to and in the best interests of Smith and its stockholders, and approved and adopted and declared to be advisable the proposed merger agreement and the transactions contemplated by the proposed merger agreement, including the proposed merger.</w:t>
      </w:r>
    </w:p>
    <w:p>
      <w:pPr>
        <w:spacing w:after="0" w:line="10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February 21, 2010, the finance committee of the Schlumberger board met to consider the terms of the proposed transaction. Goldman Sachs reviewed with the finance committee its financial analysis of the exchange ratio provided for in the proposed merger. Following discussion, pursuant to the authority delegated to the committee by the Schlumberger board, the finance committee unanimously determined to proceed with the transaction.</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Later in the day on February 21, 2010, the merger agreement was executed by Smith, Schlumberger and Turnberry Merger Sub Inc., and Smith and Schlumberger issued a joint press release announcing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Smith’s Reasons for the Merger; Recommendation of the Smith Board of Directors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reaching its decision to approve the merger and the merger agreement and recommend adoption of the merger agreement by Smith stockholders, the Smith board of directors consulted with Smith senior management, as well as with Smith’s legal and financial advisors, and considered a number of factors, including the following material factors:</w:t>
      </w:r>
    </w:p>
    <w:p>
      <w:pPr>
        <w:spacing w:after="0" w:line="59" w:lineRule="exact"/>
        <w:rPr>
          <w:sz w:val="20"/>
          <w:szCs w:val="20"/>
          <w:color w:val="auto"/>
        </w:rPr>
      </w:pPr>
    </w:p>
    <w:p>
      <w:pPr>
        <w:ind w:left="660" w:right="40" w:hanging="20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the implied value of the proposed exchange ratio, based on the closing price of Schlumberger common stock on February 18, 2010 (the last trading day before various news outlets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color w:val="auto"/>
        </w:rPr>
        <w:t>began reporting on a possible transaction involving Smith and Schlumberger), represented a 37.5% premium to the closing price of Smith common stock on such date and a 40.6% premium to the average implied historical exchange ratio between the shares of common stock of the two companies for the 10 trading day period ended February 18, 2010.</w:t>
      </w:r>
    </w:p>
    <w:p>
      <w:pPr>
        <w:spacing w:after="0" w:line="73" w:lineRule="exact"/>
        <w:rPr>
          <w:sz w:val="20"/>
          <w:szCs w:val="20"/>
          <w:color w:val="auto"/>
        </w:rPr>
      </w:pPr>
    </w:p>
    <w:p>
      <w:pPr>
        <w:ind w:left="660" w:right="6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Smith stockholders immediately prior to the merger would own approximately 12.8% of the equity interests of Schlumberger immediately following the completion of the merger, which would give former Smith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62"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combined company would be a global leader in oil and natural gas supply and services, operating in a wide variety of areas such as drilling fluid systems, drill bits, wireline, directional drilling, tubular products, down-hole tools, coiled tubing, and waste management services, which it believed would benefit Smith and the combined company.</w:t>
      </w:r>
    </w:p>
    <w:p>
      <w:pPr>
        <w:spacing w:after="0" w:line="59" w:lineRule="exact"/>
        <w:rPr>
          <w:rFonts w:ascii="Arial" w:cs="Arial" w:eastAsia="Arial" w:hAnsi="Arial"/>
          <w:sz w:val="18"/>
          <w:szCs w:val="18"/>
          <w:color w:val="auto"/>
        </w:rPr>
      </w:pPr>
    </w:p>
    <w:p>
      <w:pPr>
        <w:ind w:left="660" w:right="240" w:hanging="206"/>
        <w:spacing w:after="0" w:line="357" w:lineRule="auto"/>
        <w:tabs>
          <w:tab w:leader="none" w:pos="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fact that the combined company would be able to offer an integrated suite of products and services to its customers, including in areas in which Smith does not currently operate, and would have enhanced capability to design and implement technological advances in equipment and operations.</w:t>
      </w:r>
    </w:p>
    <w:p>
      <w:pPr>
        <w:ind w:left="660" w:right="16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Smith board of directors’ knowledge of Smith’s business, operations, financial condition, earnings and prospects and of Schlumberger’s business, operations, financial condition, earnings and prospects, taking into account the results of Smith’s due diligence review of Schlumberger.</w:t>
      </w:r>
    </w:p>
    <w:p>
      <w:pPr>
        <w:spacing w:after="0" w:line="4" w:lineRule="exact"/>
        <w:rPr>
          <w:rFonts w:ascii="Arial" w:cs="Arial" w:eastAsia="Arial" w:hAnsi="Arial"/>
          <w:sz w:val="16"/>
          <w:szCs w:val="16"/>
          <w:color w:val="auto"/>
        </w:rPr>
      </w:pPr>
    </w:p>
    <w:p>
      <w:pPr>
        <w:ind w:left="660" w:right="8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prevailing macroeconomic conditions, and the economic environment of the industries in which Smith and Schlumberger operate, including Schlumberger’s strong performance in the recent challenging operating environment, which it viewed as supporting the rationale for seeking a strategic transaction that should create a global oil and natural gas supply and services company better positioned to respond to volatile macroeconomic and industry conditions than Smith on a standalone basis.</w:t>
      </w:r>
    </w:p>
    <w:p>
      <w:pPr>
        <w:spacing w:after="0" w:line="62"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financial profile of a combined Smith and Schlumberger would be more attractive than that of Smith as a standalone company, with a more diversified revenue base, both with respect to product/service offering and geography, and a greater free cash flow as well as the synergies anticipated to be achievable in connection with the merger.</w:t>
      </w:r>
    </w:p>
    <w:p>
      <w:pPr>
        <w:spacing w:after="0" w:line="59" w:lineRule="exact"/>
        <w:rPr>
          <w:rFonts w:ascii="Arial" w:cs="Arial" w:eastAsia="Arial" w:hAnsi="Arial"/>
          <w:sz w:val="18"/>
          <w:szCs w:val="18"/>
          <w:color w:val="auto"/>
        </w:rPr>
      </w:pPr>
    </w:p>
    <w:p>
      <w:pPr>
        <w:jc w:val="both"/>
        <w:ind w:left="660" w:right="24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strong strategic fit with Schlumberger, particularly with respect to integrated design of drilling assemblies, including drill bits and drilling fluids, distribution and supply-chain services, and product development programs, and increasing demand by exploration and development companies for a single source of oilfield supplies and services.</w:t>
      </w:r>
    </w:p>
    <w:p>
      <w:pPr>
        <w:spacing w:after="0" w:line="59" w:lineRule="exact"/>
        <w:rPr>
          <w:rFonts w:ascii="Arial" w:cs="Arial" w:eastAsia="Arial" w:hAnsi="Arial"/>
          <w:sz w:val="18"/>
          <w:szCs w:val="18"/>
          <w:color w:val="auto"/>
        </w:rPr>
      </w:pPr>
    </w:p>
    <w:p>
      <w:pPr>
        <w:ind w:left="660" w:right="20" w:hanging="206"/>
        <w:spacing w:after="0" w:line="25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longstanding relationship with Schlumberger through joint ownership and operation of M-I SWACO, as well as the terms of the M-I SWACO joint venture permitting either Smith or Schlumberger to initiate a purchase or sale of the parties’ interests in M-I SWACO, which terms create challenges for companies other than Schlumberger which may seek to engage in a business combination with Smith unless Schlumberger supports such transaction, as well as risks that Schlumberger could select a time for the exercise of the M-I SWACO buy/sell provisions which could prove to be inopportune to Smith.</w:t>
      </w:r>
    </w:p>
    <w:p>
      <w:pPr>
        <w:spacing w:after="0" w:line="61"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financial analyses and presentation of UBS, and its related written opinion, dated February 20, 2010, to the effect that, as of that date and based upon and subject to the factors and assumptions set forth in its opinion (a copy of which is attached to this proxy statement/prospectus as Annex B), the exchange ratio was fair, from a financial point of view, to the holders of shares of Smith common stock, other than Schlumberger and its affiliates. See “—Opinion of Smith’s Financial Advisor” and “—Financial Projections.”</w:t>
      </w:r>
    </w:p>
    <w:p>
      <w:pPr>
        <w:spacing w:after="0" w:line="62" w:lineRule="exact"/>
        <w:rPr>
          <w:rFonts w:ascii="Arial" w:cs="Arial" w:eastAsia="Arial" w:hAnsi="Arial"/>
          <w:sz w:val="18"/>
          <w:szCs w:val="18"/>
          <w:color w:val="auto"/>
        </w:rPr>
      </w:pPr>
    </w:p>
    <w:p>
      <w:pPr>
        <w:ind w:left="660" w:right="78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Smith board of directors after considering the advice of counsel, made it highly likely that the merger, once announced, would be completed.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right="580" w:hanging="206"/>
        <w:spacing w:after="0" w:line="259"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expectation that the merger will qualify as a reorganization for U.S. federal income tax purposes and that, as a result, the exchange by Smith stockholders of their shares of Smith common stock for shares of Schlumberger common stock in the merger generally will be tax-free to Smith stockholders.</w:t>
      </w:r>
    </w:p>
    <w:p>
      <w:pPr>
        <w:spacing w:after="0" w:line="59" w:lineRule="exact"/>
        <w:rPr>
          <w:rFonts w:ascii="Arial" w:cs="Arial" w:eastAsia="Arial" w:hAnsi="Arial"/>
          <w:sz w:val="18"/>
          <w:szCs w:val="18"/>
          <w:color w:val="auto"/>
        </w:rPr>
      </w:pPr>
    </w:p>
    <w:p>
      <w:pPr>
        <w:ind w:left="660" w:right="60" w:hanging="206"/>
        <w:spacing w:after="0" w:line="298"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fact that the merger agreement allows the Smith board of directors to change or withdraw its recommendation regarding the merger proposal if a superior transaction proposal is received from a third party or in response to certain material developments or changes in circumstances, if in either case the Smith board of directors determines that a failure to change its recommendation would result in a breach of its fiduciary duties under applicable law, subject to the payment of a termination fee upon termination under certain circumstances.</w:t>
      </w:r>
    </w:p>
    <w:p>
      <w:pPr>
        <w:spacing w:after="0" w:line="31"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merger agreement requires payment of a termination fee by Schlumberger upon termination of the merger agreement under certain circumstances. See “The Merger Agreement—Termination, Amendment and Waiver.”</w:t>
      </w:r>
    </w:p>
    <w:p>
      <w:pPr>
        <w:spacing w:after="0" w:line="50" w:lineRule="exact"/>
        <w:rPr>
          <w:rFonts w:ascii="Arial" w:cs="Arial" w:eastAsia="Arial" w:hAnsi="Arial"/>
          <w:sz w:val="18"/>
          <w:szCs w:val="18"/>
          <w:color w:val="auto"/>
        </w:rPr>
      </w:pPr>
    </w:p>
    <w:p>
      <w:pPr>
        <w:ind w:left="660" w:hanging="206"/>
        <w:spacing w:after="0" w:line="370"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fact that the combined company would have a highly experienced management team with extensive industry experience in most significant facets of the oil and natural gas supply and services industry, which experience and leadership were considered beneficial to Smith and the combined company.</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Smith board of directors also considered potential risks and potentially negative factors concerning the merger in connection with its deliberations of the proposed transaction, including:</w:t>
      </w:r>
    </w:p>
    <w:p>
      <w:pPr>
        <w:spacing w:after="0" w:line="51" w:lineRule="exact"/>
        <w:rPr>
          <w:sz w:val="20"/>
          <w:szCs w:val="20"/>
          <w:color w:val="auto"/>
        </w:rPr>
      </w:pPr>
    </w:p>
    <w:p>
      <w:pPr>
        <w:ind w:left="660" w:right="78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possibility that the merger may not be completed, or that completion may be unduly delayed, for reasons beyond the control of Smith and Schlumberger.</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projected to occur in connection with the merger.</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risks inherent in combining and integrating two companies, including that the companies may not be successfully integrated or that the synergies anticipated to be achievable from combining the two companies may not be realized.</w:t>
      </w:r>
    </w:p>
    <w:p>
      <w:pPr>
        <w:spacing w:after="0" w:line="50"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the possibility that Smith stockholders could be adversely affected by a decrease in the trading price of Schlumberger common stock before the closing of the merger, and the fact that the merger agreement does not provide Smith with a termination right based on the trading price of Schlumberger common stock or other similar protection.</w:t>
      </w:r>
    </w:p>
    <w:p>
      <w:pPr>
        <w:spacing w:after="0" w:line="62"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potential for diversion of management and employee attention and for increased employee attrition during the substantial period prior to the completion of the merger, and the potential effect of the merger on Smith’s business and relations with customers and suppliers.</w:t>
      </w:r>
    </w:p>
    <w:p>
      <w:pPr>
        <w:spacing w:after="0" w:line="4" w:lineRule="exact"/>
        <w:rPr>
          <w:rFonts w:ascii="Arial" w:cs="Arial" w:eastAsia="Arial" w:hAnsi="Arial"/>
          <w:sz w:val="16"/>
          <w:szCs w:val="16"/>
          <w:color w:val="auto"/>
        </w:rPr>
      </w:pPr>
    </w:p>
    <w:p>
      <w:pPr>
        <w:ind w:left="660" w:right="2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potential impact of the restrictions imposed by the merger agreement on Smith’s ability to take specified actions during the period prior to the completion of the merger (which may delay or prevent Smith from undertaking business opportunities that may arise pending completion of the merger).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transaction costs to be incurred in connection with the merger.</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potential that the termination payment provisions of the merger agreement and the provisions of the M-I SWACO joint venture could have the effect of discouraging a bona fide alternative business combination proposal for Smith.</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possibility that the fee that Schlumberger would be required to pay under the merger agreement upon termination of the merger agreement under certain circumstances would be insufficient to compensate Smith for its costs incurred in connection with the merger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206"/>
        <w:spacing w:after="0" w:line="33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interests of Smith executive officers and directors with respect to the merger apart from their interests as Smith stockholders, and the risk that these interests might influence their decision with respect to the merger (see “—Interests of Smith’s Directors and Officers in the Merger”).</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Smith board of directors concluded that the potentially negative factors associated with the proposed merger were outweighed by the potential benefits that it expected the Smith stockholders would achieve as a result of the merger.</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view of the wide variety of factors considered in connection with its evaluation of the merger and the complexity of these matters, the Smith board of directors did not find it useful and did not attempt to quantify or assign any relative or specific weights to the various factors that it considered in reaching its determination to approve the merger and the merger agreement and to recommend that Smith stockholders vote for the merger proposal. In addition, individual members of the Smith board of directors may have given differing weights to different factors. The Smith board of directors conducted an overall analysis of the factors described above, including through discussions with, and questioning of, Smith management and outside legal and financial advisors regarding certain of the matters described above.</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by the merger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Smith board of directors unanimously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explanation of Smith’s reasons for the merger and other information presented in this section is forward-looking in nature and, therefore, should be read in light of the factors described under “Cautionary Statement Regarding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51" w:lineRule="exact"/>
        <w:rPr>
          <w:sz w:val="20"/>
          <w:szCs w:val="20"/>
          <w:color w:val="auto"/>
        </w:rPr>
      </w:pPr>
    </w:p>
    <w:p>
      <w:pPr>
        <w:ind w:left="660" w:right="1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Smith’s operations complement and strengthen Schlumberger’s strategy to provide its customers with engineered drilling systems that optimize all the components of the drillstring, allowing customers to drill more economically in demanding conditions;</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increasing its interest in M-I SWACO from 40% to 100%, Schlumberger would increase its ability to design and deploy drillings fluids to, together with its bottom-hole assembly technologies, optimize the drilling system;</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Schlumberger believes that it can leverage Wilson’s core supply chain management competencies to improve Schlumberger’s existing supply chain and logistics systems;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certain Smith products fill gaps in Schlumberger’s current portfolio, enabling the combined company to offer a more complete offering to customers;</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merger is anticipated to provide Schlumberger with additional opportunities through new product development programs enabled by Smith’s assets and operations;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continued strength of the balance sheet of the combined company post-merger in order to maintain business flexibility;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2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Schlumberger’s expectation that the merger would result in meaningful cost savings and operational synergies, estimated to include approximately $160 million in 2011 and approximately $320 million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Smith’s Financial Advisor</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February 20, 2010, at a meeting of Smith’s board of directors held to evaluate the proposed merger, UBS delivered to Smith’s board of directors an oral opinion, which opinion was confirmed by delivery of a written opinion, dated February 20, 2010, to the effect that, as of that date and based on and subject to various assumptions, matters considered and limitations described in its opinion, the exchange ratio provided for in the merger was fair, from a financial point of view, to holders of Smith common stock other than Schlumberger and its affiliates.</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5"/>
          <w:szCs w:val="15"/>
          <w:b w:val="1"/>
          <w:bCs w:val="1"/>
          <w:color w:val="auto"/>
        </w:rPr>
        <w:t>Holders of Smith common stock are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 </w:t>
      </w:r>
      <w:r>
        <w:rPr>
          <w:rFonts w:ascii="Arial" w:cs="Arial" w:eastAsia="Arial" w:hAnsi="Arial"/>
          <w:sz w:val="15"/>
          <w:szCs w:val="15"/>
          <w:color w:val="auto"/>
        </w:rPr>
        <w:t>The following summary of UBS’ opinion is qualified in its entirety by reference to the full text of UBS’ opinion.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UBS, among other things:</w:t>
      </w:r>
    </w:p>
    <w:p>
      <w:pPr>
        <w:spacing w:after="0" w:line="90" w:lineRule="exact"/>
        <w:rPr>
          <w:sz w:val="20"/>
          <w:szCs w:val="20"/>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Smith and Schlumberger;</w:t>
      </w:r>
    </w:p>
    <w:p>
      <w:pPr>
        <w:spacing w:after="0" w:line="90"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Smith’s business and financial prospects that were not publicly available, including financial forecasts and estimates prepared by Smith’s management that Smith’s board of directors directed UBS to utilize for purposes of its analysis;</w:t>
      </w:r>
    </w:p>
    <w:p>
      <w:pPr>
        <w:spacing w:after="0" w:line="59" w:lineRule="exact"/>
        <w:rPr>
          <w:rFonts w:ascii="Arial" w:cs="Arial" w:eastAsia="Arial" w:hAnsi="Arial"/>
          <w:sz w:val="18"/>
          <w:szCs w:val="18"/>
          <w:color w:val="auto"/>
        </w:rPr>
      </w:pPr>
    </w:p>
    <w:p>
      <w:pPr>
        <w:ind w:left="660" w:right="400" w:hanging="206"/>
        <w:spacing w:after="0" w:line="306"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reviewed certain financial information and other data relating to the business and financial prospects of Schlumberger that were publicly available, including Wall Street consensus financial forecasts and estimates as published by Institutional Brokers’ Estimate System (“IBES”) for 2010 (“Schlumberger Street Estimates”) that Smith’s management directed UBS to utilize for purposes of its analysis;</w:t>
      </w:r>
    </w:p>
    <w:p>
      <w:pPr>
        <w:spacing w:after="0" w:line="25"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Smith and Schlumberger concerning the businesses and financial prospects of Smith and Schlumberger;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with respect to certain other companies UBS believed to be generally relevant;</w:t>
      </w:r>
    </w:p>
    <w:p>
      <w:pPr>
        <w:spacing w:after="0" w:line="113" w:lineRule="exact"/>
        <w:rPr>
          <w:rFonts w:ascii="Arial" w:cs="Arial" w:eastAsia="Arial" w:hAnsi="Arial"/>
          <w:sz w:val="16"/>
          <w:szCs w:val="16"/>
          <w:color w:val="auto"/>
        </w:rPr>
      </w:pPr>
    </w:p>
    <w:p>
      <w:pPr>
        <w:ind w:left="660" w:right="56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believed to be generally relevant;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current and historical market prices of Smith common stock and Schlumberger common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investigations, and considered such other information, as UBS deemed necessary or appropriate.</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its review, with the consent of Smith’s board of directors, UBS assumed and relied upon, without independent verification, the accuracy and completeness in all material respects of the information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provided to or reviewed by UBS for the purpose of its opinion. In addition, with the consent of Smith’s board of directors, UBS did not make any independent evaluation or appraisal of any of the assets or liabilities (contingent or otherwise) of Smith or Schlumberger, and was not furnished with any such evaluation or appraisal. With respect to the financial forecasts and estimates for Smith referred to above, UBS assumed, at the direction of Smith’s board of directors, that such forecasts and estimates were reasonably prepared on a basis reflecting the best currently available estimates and judgments of Smith’s management as to the future financial performance of Smith. UBS was not provided with any Schlumberger internal financial forecasts or estimates, nor with any forecasts or estimates regarding Schlumberger prepared by Smith, and therefore did not consider any such information in connection with its analysis or its opinion. Based on UBS’ discussions with Smith’s board of directors, UBS assumed, with the consent of Smith’s board of directors, that the Schlumberger Street Estimates that UBS reviewed were a reasonable basis upon which to evaluate the future performance of Schlumberger for 2010 and UBS used such forecasts and estimates for purposes of its analysis and its opinion. UBS assumed, with the consent of Smith’s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the direction of Smith’s board of directors, UBS was not asked to, and it did not, offer any opinion as to the terms, other than the exchange ratio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Schlumberger common stock would be when issued pursuant to the merger or the price at which Smith common stock or Schlumberger common stock would trade at any time. In rendering its opinion, UBS assumed, with the consent of Smith’s board of directors, that (i) the final executed form of the merger agreement would not differ in any material respect from the draft that UBS reviewed, (ii) Smith and Schlumberger would comply with all material terms of the merger agreement and (iii) the merger would be consummated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Smith, Schlumberger or the merger. UBS was not authorized to solicit and did not solicit indications of interest in a transaction with Smith from any party. Except as described above, Smith imposed no other instructions or limitations on UBS with respect to the investigations made or the procedures followed by UBS in rendering its opinion. The issuance of UBS’ opinion was approved by an authorized committee of UBS.</w:t>
      </w:r>
    </w:p>
    <w:p>
      <w:pPr>
        <w:spacing w:after="0" w:line="12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connection with rendering its opinion to Smith’s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Smith and Schlumberger and the selected transactions analysis summarized below, no company or transaction used as a comparison was identical to Smith, Schlumberger or the merger. These analyses necessarily involve complex considerations and judgments concerning financial and operating characteristics and other factors that could affect the public trading or acquisition values of the companies concerned.</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estimates of the future performance of Smith and Schlumberger provided by Smith or derived from public sources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Smith and Schlumberger. Estimates of the financial value of companies do not purport to be appraisals or necessarily reflect the prices at which businesses or securities actually may be sold or acquired.</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exchange ratio was determined through negotiation between Smith and Schlumberger and the decision by Smith to enter into the merger agreement was solely that of Smith’s board of directors. UBS’ opinion and financial analyses were only one of many factors considered by Smith’s board of directors in its evaluation of the merger and should not be viewed as determinative of the views of Smith’s board of directors or management with respect to the merger or the exchange ratio.</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following is a brief summary of the material financial analyses performed by UBS and reviewed with Smith’s board of directors on February 20, 2010 in connection with its opinion relating to the proposed merger. </w:t>
      </w:r>
      <w:r>
        <w:rPr>
          <w:rFonts w:ascii="Arial" w:cs="Arial" w:eastAsia="Arial" w:hAnsi="Arial"/>
          <w:sz w:val="16"/>
          <w:szCs w:val="16"/>
          <w:b w:val="1"/>
          <w:bCs w:val="1"/>
          <w:color w:val="auto"/>
        </w:rPr>
        <w:t>The financial analyses summarized below include information presented in tabular format.</w:t>
      </w:r>
    </w:p>
    <w:p>
      <w:pPr>
        <w:spacing w:after="0" w:line="315" w:lineRule="auto"/>
        <w:rPr>
          <w:sz w:val="20"/>
          <w:szCs w:val="20"/>
          <w:color w:val="auto"/>
        </w:rPr>
      </w:pPr>
      <w:r>
        <w:rPr>
          <w:rFonts w:ascii="Arial" w:cs="Arial" w:eastAsia="Arial" w:hAnsi="Arial"/>
          <w:sz w:val="15"/>
          <w:szCs w:val="15"/>
          <w:b w:val="1"/>
          <w:bCs w:val="1"/>
          <w:color w:val="auto"/>
        </w:rPr>
        <w:t xml:space="preserve">In order for UBS’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 </w:t>
      </w:r>
      <w:r>
        <w:rPr>
          <w:rFonts w:ascii="Arial" w:cs="Arial" w:eastAsia="Arial" w:hAnsi="Arial"/>
          <w:sz w:val="15"/>
          <w:szCs w:val="15"/>
          <w:color w:val="auto"/>
        </w:rPr>
        <w:t>For purposes of certain analyses described below, the term “implied per share value of the merger consideration” refers to the implied per share value of the merger consideration based on the merger exchange ratio of 0.6966 and the closing price of Schlumberger common stock on February 19, 2010 of $63.90.</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Financial Analyses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Enterprise value and transaction value for Smith were calculated as the aggregate value of Smith’s equity (based on, where indicated below, the unaffected market price or the implied per share value of the merger consideration) plus debt at book value and noncontrolling interests at book value, less cash and cash equivalents. Enterprise value and transaction value for Smith on a “net” basis were calculated as the aggregate value of Smith’s equity (based on, where indicated below, the unaffected market price or the implied per share value of the merger consideration) plus debt at book value, less cash and cash equivalent, less 40% of the net debt of M-I SWACO and less 45.4% of the net debt of CE Franklin Ltd. Earnings before interest, taxes, depreciation and amortization (“EBITDA”) for Smith on a net basis was calculated as EBITDA, less 40% of the EBITDA of M-I SWACO and less 45.4% of the EBITDA of CE Franklin Ltd. Cash flow for Smith was calculated as net income before deducting the noncontrolling interests in such income plus depreciation and amortization, less distributions to minority holders of M-I SWACO and CE Franklin Ltd. Cash flow for Smith on a net basis was calculated as net income after deducting such noncontrolling interests plus depreciation and amortization.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UBS compared selected financial and stock market data of Smith with corresponding data of the following six publicly traded oilfield services companies:</w:t>
      </w:r>
    </w:p>
    <w:p>
      <w:pPr>
        <w:spacing w:after="0" w:line="113" w:lineRule="exact"/>
        <w:rPr>
          <w:sz w:val="20"/>
          <w:szCs w:val="20"/>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Schlumberger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Halliburton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National Oilwell Varco, Inc.</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Baker Hughes Incorporated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Weatherford International Ltd.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UBS reviewed, among other things, the enterprise values of the selected companies, calculated as equity market value based on closing stock prices on February 19, 2010 (except for that of Schlumberger, which was based on its unaffected closing price on February 18, 2010, the last trading day before various news outlets began reporting on a possible transaction involving Smith and Schlumberger), plus debt at book value, preferred stock at liquidation value and noncontrolling interests at book value, less cash and cash equivalents, as multiples of latest 12 months (“LTM”) EBITDA. Historical balance sheet data were based on the most recent publicly available information as of February 19, 2010. UBS also reviewed closing stock prices of the selected companies on the dates referred to above as a multiple of (i) calendar years 2010 and 2011 estimated earnings per share (“EPS”) and (ii) calendar years 2010 and 2011 cash flow per share (“CFPS”). UBS then compared these multiples derived for the selected companies with corresponding multiples implied for Smith based both on the closing price of Smith common stock on February 18, 2010 and the implied per share value of the merger consideration. Financial data for the selected companies were based on IBES consensus estimates, public filings and other publicly available information. Estimated financial data for Smith were based on IBES consensus estimates and internal estimates of Smith’s management, referred to as “Smith Management Estimates.” This analysis indicated the following implied high, mean, median and low multiples for the selected companies, as compared to corresponding multiples implied for Smith:</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89"/>
              </w:rPr>
              <w:t>Enterprise Value/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1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Price/CFPS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EBITDA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2011E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2010E</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24.1x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Mean</w:t>
            </w:r>
          </w:p>
        </w:tc>
        <w:tc>
          <w:tcPr>
            <w:tcW w:w="46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6"/>
              </w:rPr>
              <w:t>20.8x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11.7x</w:t>
            </w:r>
          </w:p>
        </w:tc>
        <w:tc>
          <w:tcPr>
            <w:tcW w:w="480" w:type="dxa"/>
            <w:vAlign w:val="bottom"/>
          </w:tcPr>
          <w:p>
            <w:pPr>
              <w:jc w:val="right"/>
              <w:spacing w:after="0"/>
              <w:rPr>
                <w:sz w:val="20"/>
                <w:szCs w:val="20"/>
                <w:color w:val="auto"/>
              </w:rPr>
            </w:pPr>
            <w:r>
              <w:rPr>
                <w:rFonts w:ascii="Arial" w:cs="Arial" w:eastAsia="Arial" w:hAnsi="Arial"/>
                <w:sz w:val="18"/>
                <w:szCs w:val="18"/>
                <w:color w:val="auto"/>
              </w:rPr>
              <w:t>9.4x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9.0x</w:t>
            </w:r>
          </w:p>
        </w:tc>
        <w:tc>
          <w:tcPr>
            <w:tcW w:w="420" w:type="dxa"/>
            <w:vAlign w:val="bottom"/>
          </w:tcPr>
          <w:p>
            <w:pPr>
              <w:jc w:val="right"/>
              <w:spacing w:after="0"/>
              <w:rPr>
                <w:sz w:val="20"/>
                <w:szCs w:val="20"/>
                <w:color w:val="auto"/>
              </w:rPr>
            </w:pPr>
            <w:r>
              <w:rPr>
                <w:rFonts w:ascii="Arial" w:cs="Arial" w:eastAsia="Arial" w:hAnsi="Arial"/>
                <w:sz w:val="18"/>
                <w:szCs w:val="18"/>
                <w:color w:val="auto"/>
              </w:rPr>
              <w:t>7.3x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22.5x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Low</w:t>
            </w:r>
          </w:p>
        </w:tc>
        <w:tc>
          <w:tcPr>
            <w:tcW w:w="462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6"/>
              </w:rPr>
              <w:t>14.0x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7.8x</w:t>
            </w:r>
          </w:p>
        </w:tc>
        <w:tc>
          <w:tcPr>
            <w:tcW w:w="480" w:type="dxa"/>
            <w:vAlign w:val="bottom"/>
          </w:tcPr>
          <w:p>
            <w:pPr>
              <w:jc w:val="right"/>
              <w:spacing w:after="0"/>
              <w:rPr>
                <w:sz w:val="20"/>
                <w:szCs w:val="20"/>
                <w:color w:val="auto"/>
              </w:rPr>
            </w:pPr>
            <w:r>
              <w:rPr>
                <w:rFonts w:ascii="Arial" w:cs="Arial" w:eastAsia="Arial" w:hAnsi="Arial"/>
                <w:sz w:val="18"/>
                <w:szCs w:val="18"/>
                <w:color w:val="auto"/>
              </w:rPr>
              <w:t>5.9x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6.8x</w:t>
            </w:r>
          </w:p>
        </w:tc>
        <w:tc>
          <w:tcPr>
            <w:tcW w:w="420" w:type="dxa"/>
            <w:vAlign w:val="bottom"/>
          </w:tcPr>
          <w:p>
            <w:pPr>
              <w:jc w:val="right"/>
              <w:spacing w:after="0"/>
              <w:rPr>
                <w:sz w:val="20"/>
                <w:szCs w:val="20"/>
                <w:color w:val="auto"/>
              </w:rPr>
            </w:pPr>
            <w:r>
              <w:rPr>
                <w:rFonts w:ascii="Arial" w:cs="Arial" w:eastAsia="Arial" w:hAnsi="Arial"/>
                <w:sz w:val="18"/>
                <w:szCs w:val="18"/>
                <w:color w:val="auto"/>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2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220" w:type="dxa"/>
            <w:vAlign w:val="bottom"/>
            <w:gridSpan w:val="3"/>
          </w:tcPr>
          <w:p>
            <w:pPr>
              <w:spacing w:after="0"/>
              <w:rPr>
                <w:sz w:val="20"/>
                <w:szCs w:val="20"/>
                <w:color w:val="auto"/>
              </w:rPr>
            </w:pPr>
            <w:r>
              <w:rPr>
                <w:rFonts w:ascii="Arial" w:cs="Arial" w:eastAsia="Arial" w:hAnsi="Arial"/>
                <w:sz w:val="18"/>
                <w:szCs w:val="18"/>
                <w:color w:val="auto"/>
              </w:rPr>
              <w:t>Smith</w:t>
            </w:r>
          </w:p>
        </w:tc>
        <w:tc>
          <w:tcPr>
            <w:tcW w:w="462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6"/>
              </w:rPr>
              <w:t>30.6x</w:t>
            </w:r>
          </w:p>
        </w:tc>
        <w:tc>
          <w:tcPr>
            <w:tcW w:w="2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17.6x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13.0x</w:t>
            </w:r>
          </w:p>
        </w:tc>
        <w:tc>
          <w:tcPr>
            <w:tcW w:w="480" w:type="dxa"/>
            <w:vAlign w:val="bottom"/>
          </w:tcPr>
          <w:p>
            <w:pPr>
              <w:jc w:val="right"/>
              <w:spacing w:after="0"/>
              <w:rPr>
                <w:sz w:val="20"/>
                <w:szCs w:val="20"/>
                <w:color w:val="auto"/>
              </w:rPr>
            </w:pPr>
            <w:r>
              <w:rPr>
                <w:rFonts w:ascii="Arial" w:cs="Arial" w:eastAsia="Arial" w:hAnsi="Arial"/>
                <w:sz w:val="18"/>
                <w:szCs w:val="18"/>
                <w:color w:val="auto"/>
              </w:rPr>
              <w:t>9.7x</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11.4x</w:t>
            </w:r>
          </w:p>
        </w:tc>
        <w:tc>
          <w:tcPr>
            <w:tcW w:w="22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10.1x</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7.5x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 @ Offer</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40.8x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23.5x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17.4x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w w:val="89"/>
              </w:rPr>
              <w:t>Smith Management Estimates:</w:t>
            </w:r>
          </w:p>
        </w:tc>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Smith @ Offer</w:t>
            </w:r>
          </w:p>
        </w:tc>
        <w:tc>
          <w:tcPr>
            <w:tcW w:w="46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17.0x</w:t>
            </w:r>
          </w:p>
        </w:tc>
        <w:tc>
          <w:tcPr>
            <w:tcW w:w="480" w:type="dxa"/>
            <w:vAlign w:val="bottom"/>
          </w:tcPr>
          <w:p>
            <w:pPr>
              <w:jc w:val="right"/>
              <w:spacing w:after="0"/>
              <w:rPr>
                <w:sz w:val="20"/>
                <w:szCs w:val="20"/>
                <w:color w:val="auto"/>
              </w:rPr>
            </w:pPr>
            <w:r>
              <w:rPr>
                <w:rFonts w:ascii="Arial" w:cs="Arial" w:eastAsia="Arial" w:hAnsi="Arial"/>
                <w:sz w:val="18"/>
                <w:szCs w:val="18"/>
                <w:color w:val="auto"/>
              </w:rPr>
              <w:t>12.3x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12.3x</w:t>
            </w:r>
          </w:p>
        </w:tc>
        <w:tc>
          <w:tcPr>
            <w:tcW w:w="420" w:type="dxa"/>
            <w:vAlign w:val="bottom"/>
          </w:tcPr>
          <w:p>
            <w:pPr>
              <w:jc w:val="right"/>
              <w:spacing w:after="0"/>
              <w:rPr>
                <w:sz w:val="20"/>
                <w:szCs w:val="20"/>
                <w:color w:val="auto"/>
              </w:rPr>
            </w:pPr>
            <w:r>
              <w:rPr>
                <w:rFonts w:ascii="Arial" w:cs="Arial" w:eastAsia="Arial" w:hAnsi="Arial"/>
                <w:sz w:val="18"/>
                <w:szCs w:val="18"/>
                <w:color w:val="auto"/>
              </w:rPr>
              <w:t>9.0x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 (Net)</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Smith @ Offer (Net)</w:t>
            </w:r>
          </w:p>
        </w:tc>
        <w:tc>
          <w:tcPr>
            <w:tcW w:w="462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18.5x</w:t>
            </w:r>
          </w:p>
        </w:tc>
        <w:tc>
          <w:tcPr>
            <w:tcW w:w="480" w:type="dxa"/>
            <w:vAlign w:val="bottom"/>
          </w:tcPr>
          <w:p>
            <w:pPr>
              <w:jc w:val="right"/>
              <w:spacing w:after="0"/>
              <w:rPr>
                <w:sz w:val="20"/>
                <w:szCs w:val="20"/>
                <w:color w:val="auto"/>
              </w:rPr>
            </w:pPr>
            <w:r>
              <w:rPr>
                <w:rFonts w:ascii="Arial" w:cs="Arial" w:eastAsia="Arial" w:hAnsi="Arial"/>
                <w:sz w:val="18"/>
                <w:szCs w:val="18"/>
                <w:color w:val="auto"/>
              </w:rPr>
              <w:t>13.1x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14.7x</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10.5x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tcPr>
          <w:p>
            <w:pPr>
              <w:jc w:val="right"/>
              <w:ind w:right="952"/>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Transactions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UBS reviewed transaction values in the following fifteen selected transactions involving oilfield services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Announcement Date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Acquiror</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Target</w:t>
            </w:r>
          </w:p>
        </w:tc>
      </w:tr>
      <w:tr>
        <w:trPr>
          <w:trHeight w:val="201"/>
        </w:trPr>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2280" w:type="dxa"/>
            <w:vAlign w:val="bottom"/>
          </w:tcPr>
          <w:p>
            <w:pPr>
              <w:ind w:left="60"/>
              <w:spacing w:after="0" w:line="201" w:lineRule="exact"/>
              <w:rPr>
                <w:sz w:val="20"/>
                <w:szCs w:val="20"/>
                <w:color w:val="auto"/>
              </w:rPr>
            </w:pPr>
            <w:r>
              <w:rPr>
                <w:rFonts w:ascii="Arial" w:cs="Arial" w:eastAsia="Arial" w:hAnsi="Arial"/>
                <w:sz w:val="18"/>
                <w:szCs w:val="18"/>
                <w:color w:val="auto"/>
              </w:rPr>
              <w:t>August 31, 2009</w:t>
            </w:r>
          </w:p>
        </w:tc>
        <w:tc>
          <w:tcPr>
            <w:tcW w:w="120" w:type="dxa"/>
            <w:vAlign w:val="bottom"/>
          </w:tcPr>
          <w:p>
            <w:pPr>
              <w:spacing w:after="0"/>
              <w:rPr>
                <w:sz w:val="17"/>
                <w:szCs w:val="17"/>
                <w:color w:val="auto"/>
              </w:rPr>
            </w:pPr>
          </w:p>
        </w:tc>
        <w:tc>
          <w:tcPr>
            <w:tcW w:w="24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4220" w:type="dxa"/>
            <w:vAlign w:val="bottom"/>
          </w:tcPr>
          <w:p>
            <w:pPr>
              <w:ind w:left="60"/>
              <w:spacing w:after="0" w:line="201" w:lineRule="exact"/>
              <w:rPr>
                <w:sz w:val="20"/>
                <w:szCs w:val="20"/>
                <w:color w:val="auto"/>
              </w:rPr>
            </w:pPr>
            <w:r>
              <w:rPr>
                <w:rFonts w:ascii="Arial" w:cs="Arial" w:eastAsia="Arial" w:hAnsi="Arial"/>
                <w:sz w:val="18"/>
                <w:szCs w:val="18"/>
                <w:color w:val="auto"/>
              </w:rPr>
              <w:t>Baker Hughes Incorporated</w:t>
            </w:r>
          </w:p>
        </w:tc>
        <w:tc>
          <w:tcPr>
            <w:tcW w:w="10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3980" w:type="dxa"/>
            <w:vAlign w:val="bottom"/>
          </w:tcPr>
          <w:p>
            <w:pPr>
              <w:ind w:left="60"/>
              <w:spacing w:after="0" w:line="201" w:lineRule="exact"/>
              <w:rPr>
                <w:sz w:val="20"/>
                <w:szCs w:val="20"/>
                <w:color w:val="auto"/>
              </w:rPr>
            </w:pPr>
            <w:r>
              <w:rPr>
                <w:rFonts w:ascii="Arial" w:cs="Arial" w:eastAsia="Arial" w:hAnsi="Arial"/>
                <w:sz w:val="18"/>
                <w:szCs w:val="18"/>
                <w:color w:val="auto"/>
              </w:rPr>
              <w:t>BJ Services Company</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 2009</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Cameron International Corporation</w:t>
            </w: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NATCO Group Inc.</w:t>
            </w:r>
          </w:p>
        </w:tc>
      </w:tr>
      <w:tr>
        <w:trPr>
          <w:trHeight w:val="223"/>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13, 2008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Candover Investments plc</w:t>
            </w:r>
          </w:p>
        </w:tc>
        <w:tc>
          <w:tcPr>
            <w:tcW w:w="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Expro International Group Ltd.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2, 2008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Smith</w:t>
            </w: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W-H Energy Services,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19,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First Reserve Corporation</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Abbot Group Limited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17, 2007</w:t>
            </w:r>
          </w:p>
        </w:tc>
        <w:tc>
          <w:tcPr>
            <w:tcW w:w="12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  National Oilwell Varco, Inc.</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Grant Prideco,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5,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Universal Compression, Inc.</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Hanover Compressor Company</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September 5, 2006</w:t>
            </w:r>
          </w:p>
        </w:tc>
        <w:tc>
          <w:tcPr>
            <w:tcW w:w="12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  Compagnie Générale de Géophysique</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Veritas DGC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6, 2005</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Weatherford International Ltd.</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Precision Drilling Corporation</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August 12, 2004</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National-Oilwell, Inc.</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Varco International Incorporated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July 3, 2001</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Technip</w:t>
            </w: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Coflexip Stena Offshore Group S.A.</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19,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Schlumberger</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Camco International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May 11,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Baker Hughes Incorporated</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Western Atlas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March 4,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EVI, Inc.</w:t>
            </w: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Weatherford Enterra, Inc.</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26, 1998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Halliburton Company</w:t>
            </w: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Dresser Industries, Inc.</w:t>
            </w:r>
          </w:p>
        </w:tc>
      </w:tr>
    </w:tbl>
    <w:p>
      <w:pPr>
        <w:spacing w:after="0" w:line="15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UBS reviewed, among other things, transaction values in the selected transactions, calculated as the purchase price paid for the target company’s equity, plus debt at book value, preferred stock at liquidation value and noncontrolling interests at book value, less cash and cash equivalents, as multiples of estimated EBITDA for the fiscal year ending after the then current fiscal year at the time of announcement (“FY+1”). Historical balance sheet data were based on the most recent publicly available information at the time of announcement of the relevant transaction. UBS also reviewed the purchase price paid for the target company’s equity in the selected transactions as multiples of, to the extent publicly available, FY+1 estimated cash flow and FY+1 estimated net income. Estimated financial data for the targets listed in the Selected Transactions Analysis were based on IBES consensus estimates as of the time of announcement of the applicable transaction. UBS then compared these multiples derived for the selected transactions with corresponding multiples implied for Smith based on the implied per share value of the merger consideration. Multiples for the selected transactions were based on publicly available information at the time of announcement of the relevant transaction. Estimated financial data for Smith were based on internal estimates of Smith’s management. This analysis indicated the following implied high, median, mean and low multiples for the selected transactions, as compared to corresponding multiples implied for Smith: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3"/>
          </w:tcPr>
          <w:p>
            <w:pPr>
              <w:jc w:val="right"/>
              <w:ind w:right="2100"/>
              <w:spacing w:after="0"/>
              <w:rPr>
                <w:sz w:val="20"/>
                <w:szCs w:val="20"/>
                <w:color w:val="auto"/>
              </w:rPr>
            </w:pPr>
            <w:r>
              <w:rPr>
                <w:rFonts w:ascii="Arial" w:cs="Arial" w:eastAsia="Arial" w:hAnsi="Arial"/>
                <w:sz w:val="14"/>
                <w:szCs w:val="14"/>
                <w:b w:val="1"/>
                <w:bCs w:val="1"/>
                <w:color w:val="auto"/>
                <w:w w:val="93"/>
              </w:rPr>
              <w:t>Equity Value/</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Transaction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FY +1 Cash Flow</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FY +1 Net Income</w:t>
            </w:r>
          </w:p>
        </w:tc>
        <w:tc>
          <w:tcPr>
            <w:tcW w:w="9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FY +1 EBITDA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42.5x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Mean</w:t>
            </w:r>
          </w:p>
        </w:tc>
        <w:tc>
          <w:tcPr>
            <w:tcW w:w="4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25.8x</w:t>
            </w:r>
          </w:p>
        </w:tc>
        <w:tc>
          <w:tcPr>
            <w:tcW w:w="1100" w:type="dxa"/>
            <w:vAlign w:val="bottom"/>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23.6x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Low</w:t>
            </w:r>
          </w:p>
        </w:tc>
        <w:tc>
          <w:tcPr>
            <w:tcW w:w="4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13.4x</w:t>
            </w:r>
          </w:p>
        </w:tc>
        <w:tc>
          <w:tcPr>
            <w:tcW w:w="1100" w:type="dxa"/>
            <w:vAlign w:val="bottom"/>
          </w:tcPr>
          <w:p>
            <w:pPr>
              <w:jc w:val="right"/>
              <w:spacing w:after="0"/>
              <w:rPr>
                <w:sz w:val="20"/>
                <w:szCs w:val="20"/>
                <w:color w:val="auto"/>
              </w:rPr>
            </w:pPr>
            <w:r>
              <w:rPr>
                <w:rFonts w:ascii="Arial" w:cs="Arial" w:eastAsia="Arial" w:hAnsi="Arial"/>
                <w:sz w:val="18"/>
                <w:szCs w:val="18"/>
                <w:color w:val="auto"/>
              </w:rPr>
              <w:t>6.1x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2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4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30.6x</w:t>
            </w:r>
          </w:p>
        </w:tc>
        <w:tc>
          <w:tcPr>
            <w:tcW w:w="1100" w:type="dxa"/>
            <w:vAlign w:val="bottom"/>
          </w:tcPr>
          <w:p>
            <w:pPr>
              <w:jc w:val="right"/>
              <w:spacing w:after="0"/>
              <w:rPr>
                <w:sz w:val="20"/>
                <w:szCs w:val="20"/>
                <w:color w:val="auto"/>
              </w:rPr>
            </w:pPr>
            <w:r>
              <w:rPr>
                <w:rFonts w:ascii="Arial" w:cs="Arial" w:eastAsia="Arial" w:hAnsi="Arial"/>
                <w:sz w:val="18"/>
                <w:szCs w:val="18"/>
                <w:color w:val="auto"/>
              </w:rPr>
              <w:t>10.1x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 @ Offer</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40.8x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w w:val="89"/>
              </w:rPr>
              <w:t>Smith Management Estimates:</w:t>
            </w:r>
          </w:p>
        </w:tc>
        <w:tc>
          <w:tcPr>
            <w:tcW w:w="4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Smith @ Offer</w:t>
            </w:r>
          </w:p>
        </w:tc>
        <w:tc>
          <w:tcPr>
            <w:tcW w:w="4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12.3x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 (Net)</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Smith @ Offer (Net)</w:t>
            </w:r>
          </w:p>
        </w:tc>
        <w:tc>
          <w:tcPr>
            <w:tcW w:w="4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18.5x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14.7x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jc w:val="right"/>
              <w:ind w:right="432"/>
              <w:spacing w:after="0"/>
              <w:rPr>
                <w:sz w:val="20"/>
                <w:szCs w:val="20"/>
                <w:color w:val="auto"/>
              </w:rPr>
            </w:pPr>
            <w:r>
              <w:rPr>
                <w:rFonts w:ascii="Arial" w:cs="Arial" w:eastAsia="Arial" w:hAnsi="Arial"/>
                <w:sz w:val="18"/>
                <w:szCs w:val="18"/>
                <w:color w:val="auto"/>
              </w:rPr>
              <w:t>49</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UBS performed a discounted cash flow analysis of Smith using financial forecasts and estimates prepared by Smith’s management. UBS calculated a range of implied present values (as of December 31, 2009) of the standalone unlevered, after-tax free cash flows that Smith was forecasted to generate from 2010 through 2013 using discount rates ranging from 10.5% to 12.5%. UBS also calculated a range of implied terminal values for Smith by applying a range of EBITDA terminal value multiples of 7.0x to 9.0x to Smith’s mid-cycle EBITDA as estimated by Smith’s management that Smith’s board of directors directed UBS to use for purposes of its analysis. The implied terminal values were then discounted to present value using discount rates ranging from 10.5% to 12.5%. The discounted cash flow analysis resulted in a range of implied present values of approximately $27.50 to $37.50 per outstanding share of Smith common stock, as compared to the implied per share value of the merger consideration of $44.51.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Financial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UBS compared selected financial and stock market data of Schlumberger with corresponding data of the selected companies referred to above under “Smith Financial Analyses—Selected Companies Analysis”; with the difference that Smith was included as a selected company instead of Schlumberger.</w:t>
      </w:r>
    </w:p>
    <w:p>
      <w:pPr>
        <w:spacing w:after="0" w:line="62"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UBS reviewed, among other things, the enterprise values of the selected companies (based on closing stock prices on February 19, 2010, except for that of Smith, which was based on its unaffected closing price on February 18, 2010, the last trading day before various news outlets began reporting on a possible transaction involving Smith and Schlumberger) as multiples of LTM EBITDA, calendar year 2010 and calendar year 2011 estimated EBITDA. UBS also reviewed closing stock prices of the selected companies on the dates referred to above as a multiple of (i) calendar year 2010 and 2011 estimated EPS and</w:t>
      </w:r>
    </w:p>
    <w:p>
      <w:pPr>
        <w:spacing w:after="0" w:line="3" w:lineRule="exact"/>
        <w:rPr>
          <w:sz w:val="20"/>
          <w:szCs w:val="20"/>
          <w:color w:val="auto"/>
        </w:rPr>
      </w:pPr>
    </w:p>
    <w:p>
      <w:pPr>
        <w:ind w:right="20" w:firstLine="8"/>
        <w:spacing w:after="0" w:line="295" w:lineRule="auto"/>
        <w:tabs>
          <w:tab w:leader="none" w:pos="258" w:val="left"/>
        </w:tabs>
        <w:numPr>
          <w:ilvl w:val="0"/>
          <w:numId w:val="89"/>
        </w:numPr>
        <w:rPr>
          <w:rFonts w:ascii="Arial" w:cs="Arial" w:eastAsia="Arial" w:hAnsi="Arial"/>
          <w:sz w:val="16"/>
          <w:szCs w:val="16"/>
          <w:color w:val="auto"/>
        </w:rPr>
      </w:pPr>
      <w:r>
        <w:rPr>
          <w:rFonts w:ascii="Arial" w:cs="Arial" w:eastAsia="Arial" w:hAnsi="Arial"/>
          <w:sz w:val="16"/>
          <w:szCs w:val="16"/>
          <w:color w:val="auto"/>
        </w:rPr>
        <w:t>calendar year 2010 and 2011 CFPS. UBS then compared these multiples derived for the selected companies with corresponding multiples implied for Schlumberger based on the closing price of Schlumberger common stock on February 18, 2010. Financial data for the selected companies and Schlumberger were based on IBES consensus estimates, public filings and other publicly available information. This analysis indicated the following implied high, mean, median and low multiples for the selected companies, as compared to corresponding multiples implied for Schlumberger: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Price/CFPS</w:t>
            </w:r>
          </w:p>
        </w:tc>
        <w:tc>
          <w:tcPr>
            <w:tcW w:w="4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EV/ EBITDA</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2010E</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17.6x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10.1x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7.6x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Mean</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22.1x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14.8x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11.6x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10.0x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7.0x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Low</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14.0x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460" w:type="dxa"/>
            <w:vAlign w:val="bottom"/>
          </w:tcPr>
          <w:p>
            <w:pPr>
              <w:jc w:val="right"/>
              <w:spacing w:after="0"/>
              <w:rPr>
                <w:sz w:val="20"/>
                <w:szCs w:val="20"/>
                <w:color w:val="auto"/>
              </w:rPr>
            </w:pPr>
            <w:r>
              <w:rPr>
                <w:rFonts w:ascii="Arial" w:cs="Arial" w:eastAsia="Arial" w:hAnsi="Arial"/>
                <w:sz w:val="18"/>
                <w:szCs w:val="18"/>
                <w:color w:val="auto"/>
              </w:rPr>
              <w:t>7.8x</w:t>
            </w:r>
          </w:p>
        </w:tc>
        <w:tc>
          <w:tcPr>
            <w:tcW w:w="2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5.9x</w:t>
            </w:r>
          </w:p>
        </w:tc>
        <w:tc>
          <w:tcPr>
            <w:tcW w:w="46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9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13.7x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11.4x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12.5x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11.3x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Contribution Analysis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UBS reviewed the respective estimated contributions to the merger on the combined company’s estimated pro forma EBITDA, cash flow, and net income for fiscal year 2010. Estimated financial data for Schlumberger were based on Schlumberger Street Estimates. Estimated financial data for Smith were based on internal estimates of Smith’s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analysis indicated the following relative contributions of Smith and Schlumberger to the combined company’s pro forma estimated 2010 EBITDA, as compared to the enterprise values of each company, based on both the unaffected stock prices and on the implied per share value of the merger consideration: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2010E EBITDA</w:t>
            </w:r>
          </w:p>
        </w:tc>
        <w:tc>
          <w:tcPr>
            <w:tcW w:w="87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Enterprise Value at Unaffected Prices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Enterprise Value at Exchange Ratio</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UBS also reviewed the respective estimated contributions of Smith and Schlumberger to the combined company’s pro forma estimated 2010 net income and cash flow, as compared to the equity values of each company, based on both the unaffected stock prices and on the exchange ratio. This analysis indicated the following relative contributions of Smith and Schlumberger: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3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2010E Net Income</w:t>
            </w:r>
          </w:p>
        </w:tc>
        <w:tc>
          <w:tcPr>
            <w:tcW w:w="85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2010E Cash Flow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Ownership at Unaffected Prices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Pro Forma Ownership at Exchange Ratio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terms of UBS’ engagement, Smith agreed to pay UBS for its financial advisory services in connection with the merger an aggregate fee currently estimated to be approximately $[—], a portion of which was payable in connection with the delivery of UBS’ opinion and approximately $[—] of which is contingent upon consummation of the merger. In addition, Smith agreed to reimburse UBS for its reasonable expenses, including fees, disbursements and other charges of counsel, and to indemnify UBS and related parties against liabilities, including liabilities under federal securities laws, relating to, or arising out of, its engagement. In the past, UBS and its affiliates have provided investment banking services to Smith unrelated to the proposed merger, for which UBS and its affiliates received compensation. Specifically, during the past two years UBS acted as co-manager in Smith’s offering of Smith common stock in 2009. In the ordinary course of business, UBS and its affiliates may hold or trade, for their own accounts and the accounts of their customers, securities of Smith and Schlumberger, and, accordingly, may at any time hold a long or short position in such securities. Smith selected UBS as its financial advisor in connection with the merger because UBS is an internationally recognized investment banking firm with substantial experience in similar transactions and because of UBS’ familiarity with Smith, Schlumberger and their respective businesses.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Projections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Smith does not, as a matter of course, publicly disclose forecasts as to future performance, earnings or other results due to the unpredictability of the underlying assumptions and estimates. However, in connection with discussions concerning the merger, Smith provided Schlumberger and its financial advisors with certain non-public unaudited prospective financial information based on estimates by Smith management. These estimates were prepared with respect to prospective financial information in connection with due diligence, and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While the financial forecasts were prepared in good faith, no assurance can be made regarding future events. The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Smith and Schlumberger operate, and the risks and uncertainties described under “Risk Factors” and “Cautionary Statement Regarding Forward-Looking Statements,” all of which are difficult to predict and many of which are outside the control of Smith and Schlumberger and will be beyond the control of the combined company.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unaudited prospective financial information below should not be regarded as an indication that Smith, Schlumberger, or their respective boards of directors considered, or now considers, these projections and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None of the financial forecasts reflects any impact of the merger.</w:t>
      </w:r>
    </w:p>
    <w:p>
      <w:pPr>
        <w:spacing w:after="0" w:line="12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of the financial forecasts summarized in this section were prepared by the management of Smith. Deloitte &amp; Touche LLP (Smith’s independent registered public accounting firm) has not examined, compiled or otherwise performed any procedures with respect to the prospective financial information contained in these financial forecasts and, accordingly, Deloitte &amp; Touche LLP has not expressed any opinion or given any other form of assurance with respect thereto and they assume no responsibility for the prospective financial information. The Deloitte &amp; Touche LLP reports either incorporated by reference or included in this proxy statement/prospectus relate to the historical financial information of Smith. Such reports do not extend to the financial forecasts and should not be read to do so.</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By including in this proxy statement/prospectus a summary of certain financial forecasts, neither Smith nor any of its representatives has made or makes any representation to any person regarding the ultimate performance of Smith or Schlumberger compared to the information contained in the financial forecasts. The financial forecasts summarized in this section were prepared during the periods described above and have not been updated to reflect any changes since February 2010 or the actual 2009 results of operation of Smith, as set forth herein under “Selected Historical Financial Data of Smith.” Neither Smith, Schlumberger, nor, after completion of the merger, the combined company undertakes any obligation, except as required by law, to update or otherwise revise the financial forecasts or financial information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summary of the financial forecasts is not included in this proxy statement/prospectus in order to induce any stockholder to vote in favor of the merger proposal or any of the other proposals to be voted on at the Smith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select unaudited prospective financial data for the fiscal years ending 2010 through 2013 prepared by Smith’s management.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0"/>
              </w:rPr>
              <w:t>Fiscal 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2010E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2011E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2013E</w:t>
            </w:r>
          </w:p>
        </w:tc>
        <w:tc>
          <w:tcPr>
            <w:tcW w:w="2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(gross) (1)(2)</w:t>
            </w:r>
          </w:p>
        </w:tc>
        <w:tc>
          <w:tcPr>
            <w:tcW w:w="3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$1,128</w:t>
            </w:r>
          </w:p>
        </w:tc>
        <w:tc>
          <w:tcPr>
            <w:tcW w:w="10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$1,541</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$ 2,432</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EBITDA (net) (1)(3)</w:t>
            </w:r>
          </w:p>
        </w:tc>
        <w:tc>
          <w:tcPr>
            <w:tcW w:w="3800" w:type="dxa"/>
            <w:vAlign w:val="bottom"/>
            <w:gridSpan w:val="3"/>
          </w:tcPr>
          <w:p>
            <w:pPr>
              <w:jc w:val="right"/>
              <w:ind w:right="140"/>
              <w:spacing w:after="0"/>
              <w:rPr>
                <w:sz w:val="20"/>
                <w:szCs w:val="20"/>
                <w:color w:val="auto"/>
              </w:rPr>
            </w:pPr>
            <w:r>
              <w:rPr>
                <w:rFonts w:ascii="Arial" w:cs="Arial" w:eastAsia="Arial" w:hAnsi="Arial"/>
                <w:sz w:val="18"/>
                <w:szCs w:val="18"/>
                <w:color w:val="auto"/>
              </w:rPr>
              <w:t>843</w:t>
            </w:r>
          </w:p>
        </w:tc>
        <w:tc>
          <w:tcPr>
            <w:tcW w:w="1020" w:type="dxa"/>
            <w:vAlign w:val="bottom"/>
            <w:gridSpan w:val="3"/>
          </w:tcPr>
          <w:p>
            <w:pPr>
              <w:jc w:val="right"/>
              <w:ind w:right="172"/>
              <w:spacing w:after="0"/>
              <w:rPr>
                <w:sz w:val="20"/>
                <w:szCs w:val="20"/>
                <w:color w:val="auto"/>
              </w:rPr>
            </w:pPr>
            <w:r>
              <w:rPr>
                <w:rFonts w:ascii="Arial" w:cs="Arial" w:eastAsia="Arial" w:hAnsi="Arial"/>
                <w:sz w:val="18"/>
                <w:szCs w:val="18"/>
                <w:color w:val="auto"/>
              </w:rPr>
              <w:t>1,185</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1,562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8,599</w:t>
            </w:r>
          </w:p>
        </w:tc>
        <w:tc>
          <w:tcPr>
            <w:tcW w:w="10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9,673</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10,976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3"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Earnings before interest, income taxes, depreciation and amortization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EBITDA associated with noncontrolling interests.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Excludes EBITDA associated with noncontrolling interests.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Smith’s Directors and Officers in the Merger</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considering the recommendation of the Smith board of directors that you vote to adopt the merger agreement, you should be aware that some of 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the stockholders that the merger agreement be adopted. References in this section to Smith’s executive officers are to the following individuals: Malcolm W. Anderson, Richard E. Chandler, Jr., Bryan L. Dudman, John J. Kennedy, Norman A. Mckay, Peter J. Pintar, William Restrepo, Christopher I.S. Rivers, Doug Rock, Brian E. Taylor, Lee A. Turner, Geraldine D. Wilde and John Yearwood.</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For purposes of all of the Smith agreements and plans described below, completion of the merger will constitute a change of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Equity Compensation Awards</w:t>
      </w:r>
      <w:r>
        <w:rPr>
          <w:rFonts w:ascii="Arial" w:cs="Arial" w:eastAsia="Arial" w:hAnsi="Arial"/>
          <w:sz w:val="16"/>
          <w:szCs w:val="16"/>
          <w:color w:val="auto"/>
        </w:rPr>
        <w:t>. The terms of Smith’s equity compensation plans and the applicable award agreements provide that, for awards granted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the merger agreement, on the day prior to a change of control, all restrictions and conditions on any outstanding restricted stock units lapse, and all performance-based awards become fully vested and deemed earned in full at the specified 100% target amount. Based on Smith equity compensation holdings as of March 22, 2010, and assuming a closing date of November 15, 2010, (1) the number of time-based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0, 23,385, 12,453, 74,122, 12,453, 44,093 and 35,123, respectively, and (2) the number of performance-based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265,204, 27,989, 93,705, 61,555, 99,191, 161,738 and 0, respectively. Mr. Rock currently holds 24,324 restricted stock units which have been accelerated to vest on May 12, 2010 in connection with his retirement as an employee of Smith.</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merger agreement provides that, upon completion of the merger, (i) each then-outstanding Smith stock option will be converted into a Schlumberger stock option and (ii) each then-outstanding Smith restricted stock unit and performance-based restricted stock unit granted prior to the date of the merger agreement will be cancelled and converted into the right to receive the merger consideration. With respect to performance-based restricted stock unit awards, the total number of shares of Smith common stock subject to the award will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calculated based on the deemed attainment of performance goals at 100% of the target performance level. The treatment of outstanding Smith stock options and the cash settlement of other equity awards in the merger, including treatment of awards granted subsequent to the date of the merger agreement, are discussed in greater detail under “The Merger—Treatment of Equity Awards.”</w:t>
      </w:r>
    </w:p>
    <w:p>
      <w:pPr>
        <w:spacing w:after="0" w:line="14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Change of Control Employment Agreements</w:t>
      </w:r>
      <w:r>
        <w:rPr>
          <w:rFonts w:ascii="Arial" w:cs="Arial" w:eastAsia="Arial" w:hAnsi="Arial"/>
          <w:sz w:val="18"/>
          <w:szCs w:val="18"/>
          <w:color w:val="auto"/>
        </w:rPr>
        <w:t>. Smith is party to change of control employment agreements with each of Messrs. Yearwood, Anderson,</w:t>
      </w:r>
      <w:r>
        <w:rPr>
          <w:rFonts w:ascii="Arial" w:cs="Arial" w:eastAsia="Arial" w:hAnsi="Arial"/>
          <w:sz w:val="18"/>
          <w:szCs w:val="18"/>
          <w:i w:val="1"/>
          <w:iCs w:val="1"/>
          <w:color w:val="auto"/>
        </w:rPr>
        <w:t xml:space="preserve"> </w:t>
      </w:r>
      <w:r>
        <w:rPr>
          <w:rFonts w:ascii="Arial" w:cs="Arial" w:eastAsia="Arial" w:hAnsi="Arial"/>
          <w:sz w:val="18"/>
          <w:szCs w:val="18"/>
          <w:color w:val="auto"/>
        </w:rPr>
        <w:t>Chandler, Kennedy, Restrepo, Mckay, Dudman, Pintar and Rivers. The agreements provide for change of control severance benefits in the event of certain qualifying terminations of employment in connection with or following a change of control.</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the agreements, if Smith terminates the applicable executive’s employment without cause (as defined in the agreements) or the executive terminates employment for good reason (as defined in the agreements and summarized below) at any time during the three-year period commencing upon a change of control or within the 12-month period prior to a change of control but in anticipation thereof, the executive will be eligible to receive the following payments and benefits:</w:t>
      </w:r>
    </w:p>
    <w:p>
      <w:pPr>
        <w:spacing w:after="0" w:line="62" w:lineRule="exact"/>
        <w:rPr>
          <w:sz w:val="20"/>
          <w:szCs w:val="20"/>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900" w:hanging="217"/>
        <w:spacing w:after="0" w:line="294"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sum of (1) the executive’s annual base salary through the termination date (to the extent not already paid), (2) an annual bonus amount equal to the product of (a) the higher of (x) the highest annual bonus paid to the executive in the last three full fiscal years prior to the date of change of control and (y) the annual bonus paid for the most recently completed fiscal year during the post-change of control employment period (the “Highest Annual Bonus”) and (b) a fraction, the numerator of which is the number of days in the applicable fiscal year through the termination date, and the denominator of which is 365, and (3) any accrued and unpaid vacation pay;</w:t>
      </w:r>
    </w:p>
    <w:p>
      <w:pPr>
        <w:spacing w:after="0" w:line="34" w:lineRule="exact"/>
        <w:rPr>
          <w:rFonts w:ascii="Arial" w:cs="Arial" w:eastAsia="Arial" w:hAnsi="Arial"/>
          <w:sz w:val="16"/>
          <w:szCs w:val="16"/>
          <w:color w:val="auto"/>
        </w:rPr>
      </w:pPr>
    </w:p>
    <w:p>
      <w:pPr>
        <w:jc w:val="both"/>
        <w:ind w:left="900" w:right="180" w:hanging="217"/>
        <w:spacing w:after="0" w:line="306"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 amount equal to the product of (1) the “Termination Multiple” (three times for a termination during the first year following a change of control, two times for a termination during the second year following a change of control and one times for a termination during the third year following a change of control), and (2) the sum of (x) the executive’s annual base salary and (y) the Highest Annual Bonus; and</w:t>
      </w:r>
    </w:p>
    <w:p>
      <w:pPr>
        <w:spacing w:after="0" w:line="25" w:lineRule="exact"/>
        <w:rPr>
          <w:rFonts w:ascii="Arial" w:cs="Arial" w:eastAsia="Arial" w:hAnsi="Arial"/>
          <w:sz w:val="16"/>
          <w:szCs w:val="16"/>
          <w:color w:val="auto"/>
        </w:rPr>
      </w:pPr>
    </w:p>
    <w:p>
      <w:pPr>
        <w:ind w:left="900" w:right="180" w:hanging="217"/>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payment equal to the excess of (1) the actuarial equivalent of the Supplemental Executive Retirement Plan (“SERP”) benefit that the executive would have received had the executive’s employment continued for a number of years after the termination date equal to the Termination Multiple over (2) the actuarial equivalent of the executive’s actual SERP benefit;</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continued coverage under Smith healthcare and life insurance plans for a number of years equal to the Termination Multiple or such longer period as may be provided by the terms of the appropriate Smith plan;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outplacement benefits.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purposes of the change of control employment agreements, “good reason” is defined generally to include (1) certain diminutions in position, authority, duties, responsibilities, compensation, benefits, (2) certain relocations or (3) any failure by Smith to have a successor assume the agreements. Additionally, a termination by the executive for any reason during the 30-day period immediately following the first anniversary of the change of control will constitute termination for good reason for purposes of the agreements.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Summary of Estimated Value of Equity Awards and Severance Benefits</w:t>
      </w:r>
      <w:r>
        <w:rPr>
          <w:rFonts w:ascii="Arial" w:cs="Arial" w:eastAsia="Arial" w:hAnsi="Arial"/>
          <w:sz w:val="16"/>
          <w:szCs w:val="16"/>
          <w:color w:val="auto"/>
        </w:rPr>
        <w:t>. The chart below sets forth the number of outstanding equity awards that will vest</w:t>
      </w:r>
      <w:r>
        <w:rPr>
          <w:rFonts w:ascii="Arial" w:cs="Arial" w:eastAsia="Arial" w:hAnsi="Arial"/>
          <w:sz w:val="16"/>
          <w:szCs w:val="16"/>
          <w:i w:val="1"/>
          <w:iCs w:val="1"/>
          <w:color w:val="auto"/>
        </w:rPr>
        <w:t xml:space="preserve"> </w:t>
      </w:r>
      <w:r>
        <w:rPr>
          <w:rFonts w:ascii="Arial" w:cs="Arial" w:eastAsia="Arial" w:hAnsi="Arial"/>
          <w:sz w:val="16"/>
          <w:szCs w:val="16"/>
          <w:color w:val="auto"/>
        </w:rPr>
        <w:t>upon consummation of the merger for Smith’s executive officers and directors, as well as the estimated aggregate value of such awards. The chart also includes the estimated amount of cash severance payments and the estimated value of other severance benefits that the executive officers would receive. The chart assumes that the merger is completed on November 15, 2010 and each executive officer experiences a severance-qualifying termination immediately thereafter.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Estimated</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5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Estimated Value of</w:t>
            </w:r>
          </w:p>
        </w:tc>
        <w:tc>
          <w:tcPr>
            <w:tcW w:w="10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Value of Other</w:t>
            </w:r>
          </w:p>
        </w:tc>
      </w:tr>
      <w:tr>
        <w:trPr>
          <w:trHeight w:val="149"/>
        </w:trPr>
        <w:tc>
          <w:tcPr>
            <w:tcW w:w="536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Restricted</w:t>
            </w:r>
          </w:p>
        </w:tc>
        <w:tc>
          <w:tcPr>
            <w:tcW w:w="420" w:type="dxa"/>
            <w:vAlign w:val="bottom"/>
          </w:tcPr>
          <w:p>
            <w:pPr>
              <w:spacing w:after="0"/>
              <w:rPr>
                <w:sz w:val="12"/>
                <w:szCs w:val="12"/>
                <w:color w:val="auto"/>
              </w:rPr>
            </w:pPr>
          </w:p>
        </w:tc>
        <w:tc>
          <w:tcPr>
            <w:tcW w:w="19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0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2"/>
              </w:rPr>
              <w:t>Severance</w:t>
            </w: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Severance</w:t>
            </w:r>
          </w:p>
        </w:tc>
      </w:tr>
      <w:tr>
        <w:trPr>
          <w:trHeight w:val="161"/>
        </w:trPr>
        <w:tc>
          <w:tcPr>
            <w:tcW w:w="53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Stock Units</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Units(1)</w:t>
            </w:r>
          </w:p>
        </w:tc>
        <w:tc>
          <w:tcPr>
            <w:tcW w:w="8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Payments(2)</w:t>
            </w: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Benefits(3)</w:t>
            </w:r>
          </w:p>
        </w:tc>
        <w:tc>
          <w:tcPr>
            <w:tcW w:w="20" w:type="dxa"/>
            <w:vAlign w:val="bottom"/>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Doug Rock</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John Yearwood</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265,204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w w:val="97"/>
              </w:rPr>
              <w:t>13,428,831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4,221,765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William Restrepo</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51,374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2,601,366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1,615,283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Christopher I.S. Rivers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106,158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5,375,401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3,889,741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Norman A. Mckay</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135,677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6,870,121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2,955,763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Bryan L. Dudman</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111,644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5,653,189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4,254,165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executive officers, as a group</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205,831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7"/>
              </w:rPr>
              <w:t>10,422,428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6"/>
              </w:rPr>
              <w:t>11,889,503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409,543</w:t>
            </w:r>
          </w:p>
        </w:tc>
        <w:tc>
          <w:tcPr>
            <w:tcW w:w="20" w:type="dxa"/>
            <w:vAlign w:val="bottom"/>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Other non-employee directors, as a group</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39,671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2,008,775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the closing price of Schlumberger common stock as of April 23,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Cash severance payments include prorated annual bonus, lump-sum cash severance payment, and the SERP equalization payment.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severance benefits include welfare benefit continuation and outplacement benefits.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Employment Agreement with Doug Rock</w:t>
      </w:r>
      <w:r>
        <w:rPr>
          <w:rFonts w:ascii="Arial" w:cs="Arial" w:eastAsia="Arial" w:hAnsi="Arial"/>
          <w:sz w:val="18"/>
          <w:szCs w:val="18"/>
          <w:color w:val="auto"/>
        </w:rPr>
        <w:t>. Effective January 1, 2009, Smith entered into an employment agreement with Mr. Rock, which superseded a prior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and a prior change of control agreement and provides that Mr. Rock will serve as a Special Executive Advisor to the chief executive officer of Smith. The 2009 employment agreement provides for the payment of certain severance benefits in the event of termination of Mr. Rock’s employment by Smith without cause (as defined in his agreement) or upon a change of control (in which case his employment terminates automatically). However, because Mr. Rock has resigned from employment, effective May 12, 2010, Mr. Rock will not receive any change of control related benefits in connection with this transaction.</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Deferred Compensation Plans</w:t>
      </w:r>
      <w:r>
        <w:rPr>
          <w:rFonts w:ascii="Arial" w:cs="Arial" w:eastAsia="Arial" w:hAnsi="Arial"/>
          <w:sz w:val="16"/>
          <w:szCs w:val="16"/>
          <w:color w:val="auto"/>
        </w:rPr>
        <w:t>. Smith currently maintains the Post-2004 Supplemental Executive Retirement Plan (the “Post-2004 SERP”), the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Executive Retirement Plan (the “SERP”) and non-qualified deferred compensation plans for, the benefit of officers and certain other eligible Smith employees. Under the terms of the plan, upon the date of an employee’s separation from service, his or her account balance generally becomes distributable in the form of payment as elected by the participant. If such separation from service occurs within the 12-month period following a change of control, all distributions are automatically made in a lump sum within 30 days of the separation from service. The SERP and Post-2004 SERP benefits are paid from a rabbi trust. Upon the occurrence of a change of control, these trusts become irrevocable and must be fully funded.</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Retention Program</w:t>
      </w:r>
      <w:r>
        <w:rPr>
          <w:rFonts w:ascii="Arial" w:cs="Arial" w:eastAsia="Arial" w:hAnsi="Arial"/>
          <w:sz w:val="16"/>
          <w:szCs w:val="16"/>
          <w:color w:val="auto"/>
        </w:rPr>
        <w:t>. Under the terms of the merger agreement and subsequent agreements between Smith and Schlumberger, Smith may establish a</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program with a retention pool in an aggregate amount up to $74.3 million. Of this aggregate amount, up to $16 million may be allocated to persons who are executive officers of Smith or who are party to change of control employment agreements, and any allocations to such individuals will be made by Smith’s lead independent director in consultation with the chief executive officer of Schlumberger, and shall be payable at the closing if the applicable employee is employed by Smith or its subsidiaries at such time. See also “The Merger—Certain Additional Agreements—Employee Matters.” In addition, Smith recently allocated approximately $15 million in retention payments to certain employees who are not executive officers, and may make additional allocations.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Relevant state law may, under certain circumstances, give stockholders of a corporation appraisal or dissenters’ rights in connection with a proposed merger. However, Smith stockholders will not have such rights in connection with the merger.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262 of the Delaware General Corporation Law, appraisal rights are not available for shares of stock if (1) such shares were, at the record date fixed to determine the stockholders entitled to receive notice of and to vote on the agreement of merger, either (a) listed on a national securities exchange, such as the NYSE, or (b) held of record by more than 2,000 holders, and (2) the holders of such shares will receive shares of stock of another corporation that are listed on a national securities exchange. Because Smith common stock will be listed on the NYSE on the applicable record date and will, upon the completion of the merger, be converted into the right to receive Schlumberger common stock, which will also be listed on the NYSE, Smith stockholders will not have appraisal rights in connection with the merger. The foregoing discussion is not a complete statement of law pertaining to appraisal rights under Delaware law and is qualified in its entirety by reference to Delaware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Shares of Schlumberger common stock issued in the merger will not be subject to any restrictions on transfer arising under the Securities Act or the Exchange Act, except for shares of Schlumberger common stock issued to any Smith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Smith at their respective fair values at the date of the completion of the merger. Any excess of the purchase price, which will equal the market value at the date of the completion of the merger, of the Schlumberger common stock issued as consideration for the merger over the net fair value of such assets and liabilities will be recorded as goodwill.</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financial condition and results of operations of Schlumberger after completion of the merger will reflect Smith’s balances and results after completion of the transaction but will not be restated retroactively to reflect the historical financial condition or results of operations of Smith. The earnings of Schlumberger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is a discussion of the material U.S. federal income tax consequences to U.S. holders and non-U.S. holders (each as defined below) of Smith common stock (1) of the merger and (2) related to the ownership and disposition of Schlumberger common stock received in the merger. This discussion is based on the Internal Revenue Code of 1986, as amended, which is referred to as the Code, existing and proposed Treasury regulations promulgated thereunder, judicial decisions, published rulings, administrative pronouncements and all other applicable authorities, all as in effect on the date of this proxy statement/prospectus and all of which are subject to change, possibly with retroactive effect. Any such change could affect the accuracy and conclusions set forth in this document. This discussion does not address any aspects of state, local or non-U.S. laws or federal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laws other than those pertaining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the holder’s particular circumstances. In addition, this discussion does not address the tax consequences of the ownership and disposition of Schlumberger common stock arising under the unearned income Medicare contribution tax pursuant to the Health Care and Education Reconciliation Act of 2010. In particular, this discussion addresses only holders that hold their shares of Smith common stock and will hold their shares of Schlumberger common stock as capital assets within the meaning of Section 1221 of the Code (generally, property held for investment) and does not address all aspects of U.S. federal income taxation that may be relevant to holders subject to special treatment under U.S. federal income tax law, including, for example, the following:</w:t>
      </w:r>
    </w:p>
    <w:p>
      <w:pPr>
        <w:spacing w:after="0" w:line="37" w:lineRule="exact"/>
        <w:rPr>
          <w:sz w:val="20"/>
          <w:szCs w:val="20"/>
          <w:color w:val="auto"/>
        </w:rPr>
      </w:pPr>
    </w:p>
    <w:p>
      <w:pPr>
        <w:ind w:left="660" w:right="6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holder of Smith shares who, at any time within the five-year period ending on the date of the merger has owned, actually and/or constructively, 5% or more of the stock of Smith;</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person who, immediately after the merger, owns, actually and/or constructively, at least 5% of either the total voting power or the total value of the stock of Schlumberger or who, at any time after the merger, owns, actually and/or constructively, 10% or more of the total combined voting power of all classes of stock entitled to vote of Schlumberger;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person holding shares through a partnership or other pass-through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broker-dealer or trader in securities or currencies;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U.S. holder whose “functional currency” is not the U.S. dollar;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 and</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holder who received Smith common stock through the exercise of employee stock options, through a tax qualified retirement plan, or otherwise as compensation.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purposes of this discussion, a “U.S. holder” is any beneficial owner of Smith common stock or, after the completion of the merger, Schlumberger common stock that, for U.S. federal income tax purposes, is:</w:t>
      </w:r>
    </w:p>
    <w:p>
      <w:pPr>
        <w:spacing w:after="0" w:line="51" w:lineRule="exact"/>
        <w:rPr>
          <w:sz w:val="20"/>
          <w:szCs w:val="20"/>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individual citizen or resident alien of the United States;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or any state thereof or the District of Columbia;</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 “non-U.S. holder” of Smith common stock or, after the completion of the merger, Schlumberger common stock, is a holder, other than an entity or arrangement treated as a partnership for U.S. federal income tax purposes, that is not a U.S. holder. For purposes of this discussion, “holder” or “shareholder” means either a U.S. holder or a non-U.S. holder or both, as the context may require.</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a partnership (including any entity or arrangement treated as a partnership for U.S. federal income tax purposes) is a beneficial owner of Smith common stock or Schlumberger common stock, the tax treatment of a partner in that partnership generally will depend on the status of the partner and the activities of the partnership. Holders of Smith common stock or Schlumberger common stock that are partnerships or partners in these partnerships should consult their tax advisors regarding the U.S. federal income tax consequences to them of the merger and the ownership and disposition of Schlumberger common stock.</w:t>
      </w:r>
    </w:p>
    <w:p>
      <w:pPr>
        <w:spacing w:after="0" w:line="9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ALL HOLDERS OF SMITH COMMON STOCK SHOULD CONSULT A TAX ADVISOR REGARDING THE PARTICULAR FEDERAL, STATE, LOCAL AND NON-U.S. TAX CONSEQUENCES TO THEM OF THE MERGER AND THE OWNERSHIP AND DISPOSITION OF SCHLUMBERGER COMMON STOCK RECEIVED IN THE MERGER.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Schlumberger receive a written opinion from its counsel, Baker Botts L.L.P., and that Smith receive a written opinion from its counsel, Wachtell, Lipton, Rosen &amp; Katz, in form and substance reasonably satisfactory to Schlumberger and Smith, respectively, dated as of the date of completion of the merger, to the effect that (1) the merger will be treated as a reorganization within the meaning of Section 368(a) of the Code and (2) each transfer of Smith stock to Schlumberger by a stockholder of Smith pursuant to the merger (other than a stockholder of Smith that is a “five percent transferee shareholder” of Schlumberger, as defined in Treasury regulations promulgated under Section 367(a) of the Code) will not be subject to Section 367(a)(1) of the Code.</w:t>
      </w:r>
    </w:p>
    <w:p>
      <w:pPr>
        <w:spacing w:after="0" w:line="12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opinions of counsel will be based on representations and assumptions set forth or referred to in the opinions. If any such representation or assumption is inaccurate, the tax consequences of the merger to holders of Smith common stock could differ materially from those described below. An opinion of counsel represents counsel’s best legal judgment and is not binding on the United States Internal Revenue Service, which is referred to as the IRS, or any court.</w:t>
      </w:r>
    </w:p>
    <w:p>
      <w:pPr>
        <w:spacing w:after="0" w:line="8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No ruling will be requested from the IRS on any aspect of the merger. Accordingly, there can be no assurance that the IRS will not disagree with or successfully challenge any of the conclusions described in the following discussion.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is a discussion of the material U.S. federal income tax consequences of the merger to U.S. holders and non-U.S. holders of Smith common stock. Assuming that (1) the merger will be treated as a reorganization within the meaning of Section 368(a) of the Code, and (2) the transfer of Smith stock to Schlumberger by a stockholder of Smith pursuant to the merger will not be subject to Section 367(a)(1) of the Code, the material U.S. federal income tax consequences of the merger to such holder of Smith common stock are, in general,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 U.S. holder will not recognize gain or loss upon the exchange of shares of Smith common stock for shares of Schlumberger common stock in the merger, except with respect to cash received in lieu of a fractional share of Schlumberger common stock, as discussed below. The aggregate basis of the shares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Schlumberger common stock received in exchange for shares of Smith common stock in the merger (including any fractional share of Schlumberger common stock deemed received and exchanged for cash) will be equal to the basis of the shares of Smith common stock exchanged. The holding period of the shares of Schlumberger common stock received in exchange for shares of Smith common stock in the merger (including any fractional share of Schlumberger common stock deemed received and exchanged for cash) will include the holding period of the shares of Smith common stock exchanged. Shareholders who hold shares of Smith common stock with differing bases or holding periods should consult their tax advisors as to the determination of the bases and holding periods of the shares of Schlumberger common stock received in the merger.</w:t>
      </w:r>
    </w:p>
    <w:p>
      <w:pPr>
        <w:spacing w:after="0" w:line="12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 U.S. holder who receives cash in lieu of a fractional share of Schlumberger common stock generally will recognize capital gain or loss in an amount equal to the difference between the cash received and the tax basis allocated to such fractional share of Schlumberger common stock. Such capital gain or loss will be long-term capital gain or loss if, as of the date of the merger, the U.S. holder’s holding period for the fractional share of Schlumberger common stock (including the holding period for the Smith common stock surrendered therefor) exceeds one year.</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A U.S. holder who is a “five percent transferee shareholder” of Schlumberger, as defined in Treasury regulations promulgated under Section 367(a) of the Code (i.e., a U.S. holder that owns, actually and/or constructively, at least 5% of the total voting power or the total value of the stock of Schlumberger immediately after the merger), will qualify for non-recognition of gain, as described above, only if the U.S. holder files with the IRS a “gain recognition agreement,” as defined in such Treasury regulations. Other considerations not here described may apply to such a holder. Any such U.S. holder should consult his tax advisor concerning the decision to file a gain recognition agreement, the procedures to be followed in connection with that filing, and other applicable considerations.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general, a non-U.S. holder will not recognize gain or loss upon the exchange of shares of Smith common stock for shares of Schlumberger common stock in the merger, except with respect to cash received in lieu of a fractional share of Schlumberger common stock. The amount of a non-U.S. holder’s gain or loss from the receipt of cash in lieu of a fractional share of Schlumberger common stock will be determined in the same manner as that of a U.S. holder. However, a non-U.S. holder generally will not be subject to U.S. federal income tax on any such gain unless (1) the gain is effectively connected with a U.S. trade or business of the non-U.S. holder (and, if an income tax treaty applies, is attributable to a U.S. permanent establishment), or (2) the holder is an individual who has been present in the United States for 183 days or more during the taxable year of the disposition and certain other conditions are satisfied.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Payments of cash made to a U.S. holder or non-U.S. holder of shares of Smith common stock in connection with the merger, under certain circumstances, may be subject to information reporting and backup withholding (currently, at a rate of 28%), unless such holder provides proof of an applicable exemption or furnishes its taxpayer identification number, and otherwise complies with all applicable requirements of the backup withholding rules. Any amounts withheld under the backup withholding rules are not additional tax and may be allowed as a refund or credit against the holder’s U.S. federal income tax liability, provided the required information is furnished to the IRS in a timely manner.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and Disposition of Shares of Schlumberger Common Stock Received in the Merger</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is a discussion of the material U.S. federal income tax consequences of the ownership and disposition by U.S. holders and non-U.S. holders of Schlumberger common stock received in the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Subject to the discussion below relating to the potential application of the passive foreign investment company, or “PFIC,” rules, distributions, if any, made with respect to shares of Schlumberger common stock will constitute dividends for U.S. federal income tax purposes to the extent of Schlumberger’s current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and certain other exceptions, dividends received before January 1, 2011 by U.S. holders who are individuals and certain other non-corporate U.S. holders generally will be subject to U.S. federal income taxation at a maximum rate of 15% if the dividends are “qualified dividends.” Dividends paid by Schlumberger on the Schlumberger common stock will be treated as qualified dividends as long as the Schlumberger common stock is listed on the New York Stock Exchange and Schlumberger was not, at any relevant time prior to the year in which the dividend is paid, and is not in the year in which the dividend is paid, a PFIC. As described below, Schlumberger believes that it has not been a PFIC in any prior year, will not be a PFIC for the taxable year in which the merger occurs, and will not become a PFIC in the future. U.S. holders of Schlumberger common stock should consult their own tax advisors regarding the availability to them of the reduced dividend tax rate in light of their particular circumstances.</w:t>
      </w:r>
    </w:p>
    <w:p>
      <w:pPr>
        <w:spacing w:after="0" w:line="12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To the extent that a distribution exceeds Schlumberger’s current or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 Shareholders who hold shares of Smith common stock with differing bases or holding periods should consult their tax advisors as to the application of these rules to shares of Schlumberger common stock received in the merger.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Disposition of Schlumberger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relating to the potential application of the PFIC rules, upon a sale or other disposition of Schlumberger common stock,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generally will recognize capital gain or loss in an amount equal to the difference, if any, between the amount realized on the disposition and the 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holder’s tax basis. Such capital gain or loss will be long-term capital gain or loss if the U.S. holder’s holding period for the Schlumberger shares exceeds one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Long-term capital gain recognized by U.S. holders who are individuals and certain other non-corporate U.S. holders is generally eligible for reduced rates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taxation. There are limitations on the deductibility of capital losses.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general, a foreign corporation, such as Schlumberger, will be classified as a PFIC for any taxable year in which either (1) 75% or more of its gross income is passive income (such as, for example, dividends, interest, rents, royalties or gains from the disposition of investment assets) or (2) at least 50% of the average value of its assets consists of assets that produce, or that are held for the production of, passive income. For purposes of applying the tests in the preceding sentence, the foreign corporation is deemed to own its proportionate share of the assets of and to receive directly its proportionate share of the income of any other corporation in which the foreign corporation owns, directly or indirectly, at least 25% by value of the stock.</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Classification of a foreign corporation as a PFIC can have various adverse consequences to the shareholders of the corporation who are “United States persons,” as defined in the Code. These include taxation of gain on a sale or other disposition of the stock of the corporation and taxation of distributions (including distributions that would otherwise be treated as “qualified dividends”) at the maximum ordinary income rates and the imposition of an interest charge on such gain and distributions.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believes that it has not been a PFIC in any prior taxable year, will not be a PFIC in the taxable year in which the merger occurs, and will not become a PFIC in the future. Because the tests for determining PFIC status are applied annually, and it is difficult to accurately predict future income and assets relevant to this determination, there can be no assurance that Schlumberger will not become a PFIC. U.S. holders of Schlumberger shares should consult their own tax advisors about the PFIC rules, including the availability of certain shareholder elections.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a non-U.S. holder of Schlumberger common stock will not be subject to U.S. federal income or, subject to the discussion below under the heading “Information Reporting and Backup Withholding,” withholding tax on any dividends received on Schlumberger common stock or any gain recognized on a sale or other disposition of Schlumberger common stock (including, any distribution to the extent it exceeds the adjusted basis in the non-U.S. holder’s shares of Schlumberger common stock) unless:</w:t>
      </w:r>
    </w:p>
    <w:p>
      <w:pPr>
        <w:spacing w:after="0" w:line="62" w:lineRule="exact"/>
        <w:rPr>
          <w:sz w:val="20"/>
          <w:szCs w:val="20"/>
          <w:color w:val="auto"/>
        </w:rPr>
      </w:pPr>
    </w:p>
    <w:p>
      <w:pPr>
        <w:ind w:left="900" w:right="26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dividend or gain is effectively connected with the conduct by the holder of a trade or business within the United States (and, if an income tax treaty applies, is attributable to a U.S. permanent establishment); or</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gain only, the non-U.S. holder is present in the United States for 183 days or more in the taxable year of disposition and certain other conditions are satisfied.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(currently, at a rate of 28%) unless such holder provides proof of an applicable exemption or furnishes its taxpayer identification number, and otherwise complies with all applicable requirements of the backup withholding rules.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amounts withheld under the backup withholding rules are not additional tax and may be allowed as a refund or a credit against the holder’s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liability, provided the required information is furnished to the IRS in a timely manner.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 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As of April 23, 2010, neither Schlumberger nor Smith had certified substantial compliance with the second request.</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statement/prospectus, the parties have made antitrust filings in the European Commission pursuant to the EC Merger Regulation, and in other jurisdictions.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Please see “The Merger Agreement—Certain Additional Agreements— Filings” on page [—] for more information about the detriment limit. If the merger has not occurred on or before the termination date due to the failure to obtain regulatory clearances, or if an order, decree or ruling permanently prohibits the merger, the merger agreement may be terminated (subject in some circumstance to payment of a termination fee, as described in “The Merger Agreement—Termination, Amendment and Waiver” on page [—]).</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Smith are currently working to evaluate and comply in all material respects with these requirements, as appropriate, and do not currently anticipate that they will hinder, delay or restrict completion of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 with the Texas Action, the “Actions”). The plaintiff in the Texas Action has filed a First Amended Petition. The Actions variously allege that Smith’s directors breached their fiduciary duties by, among other things, causing Smith to enter into the merger agreement at an allegedly inadequate and unfair price and agreeing to transaction terms that improperly inhibit alternative transactions. The Texas Action separately alleges that Smith aided and abetted the directors’ breaches of fiduciary duties, and both Actions allege that Schlumberger aided and abetted the directors’ breaches of fiduciary duties. The complaints seek, among other things, an injunction barring defendants from consummating the proposed transaction, declaratory relief and attorneys’ fees.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Smith and Schlumberger believe that the lawsuits are without merit and intend to defend these lawsuits vigorously.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you are encouraged to read it carefully in its entirety for a more complete understanding of the merger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Representations, Warranties and Covenants in the Merger Agreement Are Not Intended to Function or Be Relied on as Public Disclosures</w:t>
      </w:r>
    </w:p>
    <w:p>
      <w:pPr>
        <w:spacing w:after="0" w:line="11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Smith. The merger agreement contains representations and warranties by each of the parties to the merger agreement. These representations and warranties have been made solely for the benefit of the other parties to the merger agreement and:</w:t>
      </w:r>
    </w:p>
    <w:p>
      <w:pPr>
        <w:spacing w:after="0" w:line="26" w:lineRule="exact"/>
        <w:rPr>
          <w:sz w:val="20"/>
          <w:szCs w:val="20"/>
          <w:color w:val="auto"/>
        </w:rPr>
      </w:pPr>
    </w:p>
    <w:p>
      <w:pPr>
        <w:ind w:left="660" w:hanging="206"/>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13" w:lineRule="exact"/>
        <w:rPr>
          <w:rFonts w:ascii="Arial" w:cs="Arial" w:eastAsia="Arial" w:hAnsi="Arial"/>
          <w:sz w:val="16"/>
          <w:szCs w:val="16"/>
          <w:color w:val="auto"/>
        </w:rPr>
      </w:pPr>
    </w:p>
    <w:p>
      <w:pPr>
        <w:ind w:left="660" w:right="700" w:hanging="206"/>
        <w:spacing w:after="0" w:line="26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foregoing reasons, the representations, warranties and covenants or any descriptions of those provisions should not be read alone or relied upon as characterizations of the actual state of facts or condition of Schlumberger, Smith or any of their respective subsidiaries or affiliates. Instead, such provisions or descriptions should be read only in conjunction with the other information provided elsewhere in this document or incorporated by reference into this proxy statement/prospectus.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merger agreement contemplates a merger whereby Merger Sub will be merged with and into Smith, with Smith continuing as the surviving corporation. Upon completion of the merger, Smith will be a wholly owned subsidiary of Schlumberger and Smith common stock will no longer be publicly traded. Upon effectiveness of the merger, each Smith stockholder will have the right to receive the merger consideration as described below under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Smith designate in the certificate of merger. The merger 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merger agreement provides that at the effective time of the merger, Smith stockholders will receive, for each share of Smith common stock that they own, 0.6966 shares of Schlumberger common stock and the cash payable in lieu of any fractional shares as described under “—Fractional Shares.” In this discussion, the number of shares of Schlumberger common stock to be received for each share of Smith common stock is referred to as the “exchange ratio” and the Schlumberger common stock issuable based on the exchange ratio and the cash payable in lieu of any fractional shares is referred to as the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fractional shares of Schlumberger common stock will be issued to any holder of Smith common stock upon completion of the merger. For each fractional share that would otherwise be issued,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Equity awards granted in the ordinary course of business after February 21, 2010 may provide for accelerated vesting on a severance-qualifying termination following the effective time of the merger, but no accelerated vesting will occur for such awards made to 10 executives party to change-in-control agreements unless the executive remains employed until May 31, 2011. Upon a severance-qualifying termination of such an executive following May 31, 2011, an award held by the executive may provide for accelerated vesting with respect to the installment next scheduled to vest following such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conversion of Smith common stock into the right to receive the merger consideration will occur automatically at the effective time of the merger. Schlumberger will deposit with a commercial bank or trust company, as the exchange agent for the merger, the number of shares of Schlumberger common stock to be issued pursuant to the merger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Promptly after the effective time of the merger, Schlumberger will cause the exchange agent to send to each holder of record of Smith common stock at the effective time of the merger a letter of transmittal and instructions for effecting the exchange of Smith common stock for the merger consideration the holder is entitled to receive under the merger agreement. Upon surrender of the certificates or book-entry shares for cancellation along with the executed letter of transmittal and other documents, a Smith stockholder will receive some or all of the following: (1) one or more shares of Schlumberger common stock; (2) cash in lieu of fractional shares of Schlumberger common stock; and (3) any unpaid dividends and distributions declared and paid in respect of Schlumberger common stock after completion of the merger.</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Six months after the effective time of the merger, the exchange agent will return any shares of Schlumberger common stock remaining in the exchange fund and any cash that remains unclaimed. Holders of Smith common stock who have not exchanged their certificates representing such stock prior to that time may thereafter look only to Schlumberger to exchange their stock certificates or to pay amounts to which they are entitled pursuant to the merger agreement. None of Schlumberger, Smith, Merger Sub, the surviving corporation or the exchange agent will be liable to any holder of Smith common stock certificates for any merger consideration delivered to a public official pursuant to applicable abandoned property, escheat or similar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Schlumberger, the surviving corporation and the exchange agent will be entitled to deduct and withhold from consideration payable to any Smith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merger agreement contains representations and warranties made by each of the parties regarding aspects of their respective businesses, financial condition and structure, as well as other facts pertinent to the merger. Smith, on the one hand, and Schlumberger and Merger Sub, on the other hand, have made representations and warranties in the merger agreement with respect to the following subject matters:</w:t>
      </w:r>
    </w:p>
    <w:p>
      <w:pPr>
        <w:spacing w:after="0" w:line="26" w:lineRule="exact"/>
        <w:rPr>
          <w:sz w:val="20"/>
          <w:szCs w:val="20"/>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requisite power and authorization to enter into and carry out the obligations of the merger agreement and the enforceability of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absence of any conflict or violation of organizational documents, third party agreements or laws as a result of the merger or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a material adverse effect or, with respect to Smith, other specified changes or events;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ownership of the other party’s capital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compliance with export controls;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compliance with Foreign Corrupt Practices Act and other anticorruption and antibribery laws;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tax treatment of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Smith has made additional representations and warranties to Schlumberger in the merger agreement with respect to the following subject matters:</w:t>
      </w:r>
    </w:p>
    <w:p>
      <w:pPr>
        <w:spacing w:after="0" w:line="113"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inapplicability of Smith’s stockholder rights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Smith’s certificate of incorporation.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and Merger Sub have made additional representations and warranties to Smith in the merger agreement with respect to the following subject matters:</w:t>
      </w:r>
    </w:p>
    <w:p>
      <w:pPr>
        <w:spacing w:after="0" w:line="51"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accuracy of information provided for inclusion in this proxy statement/prospectus;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Schlumberger stockholder approval required in connection with the merger;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status of Merger Sub.</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Certain representations and warranties of Schlumberger and Smith are qualified as to materiality or as to “material adverse effect,” which when used with respect to Schlumberger or Smith means, as the case may be, 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26"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changes or conditions affecting the economy or financial markets in general;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w:t>
      </w:r>
    </w:p>
    <w:p>
      <w:pPr>
        <w:spacing w:after="0" w:line="90" w:lineRule="exact"/>
        <w:rPr>
          <w:rFonts w:ascii="Arial" w:cs="Arial" w:eastAsia="Arial" w:hAnsi="Arial"/>
          <w:sz w:val="18"/>
          <w:szCs w:val="18"/>
          <w:color w:val="auto"/>
        </w:rPr>
      </w:pPr>
    </w:p>
    <w:p>
      <w:pPr>
        <w:ind w:left="660" w:right="460" w:hanging="206"/>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Smith and/or its directors or officers relating to the transactions contemplated by the merger agreement;</w:t>
      </w:r>
    </w:p>
    <w:p>
      <w:pPr>
        <w:spacing w:after="0" w:line="59"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or Merger Sub, in the case of Smith, or of Smith, in the case of Schlumberger or Merger Sub;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or terrorism.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Schlumberger otherwise consents in writing (which consent may not be unreasonably withheld, conditioned or delayed), or as contemplated by the merger agreement or required by law, Smith has agreed that, prior to the effective time of the merger, it will:</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conduct its business in the ordinary course;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use reasonable best efforts to preserve its business organization intact;</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maintain existing relationships and goodwill with governmental entities, customers, suppliers, distributors, creditors, lessors, employees and business associates;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keep available the services of present employees and agents.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merger agreement places specific restrictions on the ability of Smith and its subsidiaries to, among other things:</w:t>
      </w:r>
    </w:p>
    <w:p>
      <w:pPr>
        <w:spacing w:after="0" w:line="90"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 or Smith’s stockholder rights agreement;</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merge or consolidate Smith or any of its subsidiaries with any other person, except transactions among wholly owned subsidiaries of Smith that are not obligors or guarantors of third-party indebtedness or in connection with a permitted acquisition;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February 21, 2010 or as required by law:</w:t>
      </w:r>
    </w:p>
    <w:p>
      <w:pPr>
        <w:spacing w:after="0" w:line="90" w:lineRule="exact"/>
        <w:rPr>
          <w:rFonts w:ascii="Arial" w:cs="Arial" w:eastAsia="Arial" w:hAnsi="Arial"/>
          <w:sz w:val="18"/>
          <w:szCs w:val="18"/>
          <w:color w:val="auto"/>
        </w:rPr>
      </w:pPr>
    </w:p>
    <w:p>
      <w:pPr>
        <w:ind w:left="900" w:right="20" w:hanging="217"/>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increase the compensation or fringe benefits of any directors, executive officers or employees, except in the ordinary course of business to employees who are not party to change of control agreements (this limitation does not apply to ordinary course operation of the annual bonus and equity award program);</w:t>
      </w:r>
    </w:p>
    <w:p>
      <w:pPr>
        <w:spacing w:after="0" w:line="59" w:lineRule="exact"/>
        <w:rPr>
          <w:rFonts w:ascii="Arial" w:cs="Arial" w:eastAsia="Arial" w:hAnsi="Arial"/>
          <w:sz w:val="18"/>
          <w:szCs w:val="18"/>
          <w:color w:val="auto"/>
        </w:rPr>
      </w:pPr>
    </w:p>
    <w:p>
      <w:pPr>
        <w:ind w:left="900" w:right="180" w:hanging="217"/>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and except in ordinary course of business consistent with past practice;</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make new equity awards to any director, officer or employee, except in the ordinary course of business consistent with past practice;</w:t>
      </w:r>
    </w:p>
    <w:p>
      <w:pPr>
        <w:spacing w:after="0" w:line="113" w:lineRule="exact"/>
        <w:rPr>
          <w:rFonts w:ascii="Arial" w:cs="Arial" w:eastAsia="Arial" w:hAnsi="Arial"/>
          <w:sz w:val="16"/>
          <w:szCs w:val="16"/>
          <w:color w:val="auto"/>
        </w:rPr>
      </w:pPr>
    </w:p>
    <w:p>
      <w:pPr>
        <w:ind w:left="900" w:right="100" w:hanging="217"/>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in the ordinary course of business (except with respect to employees party to a change-in-control agreement or their direct reports);</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establish or materially amend any benefit plan, except as contemplated by the merger agreement;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13" w:lineRule="exact"/>
        <w:rPr>
          <w:rFonts w:ascii="Arial" w:cs="Arial" w:eastAsia="Arial" w:hAnsi="Arial"/>
          <w:sz w:val="16"/>
          <w:szCs w:val="16"/>
          <w:color w:val="auto"/>
        </w:rPr>
      </w:pPr>
    </w:p>
    <w:p>
      <w:pPr>
        <w:ind w:left="900" w:right="140" w:hanging="217"/>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0" w:lineRule="exact"/>
        <w:rPr>
          <w:rFonts w:ascii="Arial" w:cs="Arial" w:eastAsia="Arial" w:hAnsi="Arial"/>
          <w:sz w:val="18"/>
          <w:szCs w:val="18"/>
          <w:color w:val="auto"/>
        </w:rPr>
      </w:pPr>
    </w:p>
    <w:p>
      <w:pPr>
        <w:ind w:left="900" w:right="40" w:hanging="217"/>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 or</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expect in the ordinary course of business;</w:t>
      </w:r>
    </w:p>
    <w:p>
      <w:pPr>
        <w:spacing w:after="0" w:line="90" w:lineRule="exact"/>
        <w:rPr>
          <w:rFonts w:ascii="Arial" w:cs="Arial" w:eastAsia="Arial" w:hAnsi="Arial"/>
          <w:sz w:val="18"/>
          <w:szCs w:val="18"/>
          <w:color w:val="auto"/>
        </w:rPr>
      </w:pPr>
    </w:p>
    <w:p>
      <w:pPr>
        <w:jc w:val="both"/>
        <w:ind w:left="660" w:right="60" w:hanging="206"/>
        <w:spacing w:after="0" w:line="259"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declare or pay any dividend or other distributions, except for certain intercompany distributions, pro rata dividends from the M-I SWACO joint venture, regular quarterly dividends on shares of Smith common stock not exceeding $0.12 per share per quarter, required dividends or dividends paid by certain Smith subsidiaries;</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redeem or purchase any of Smith’s or its subsidiaries’ stock, except for transactions pursuant to benefit plans and cashless exercises thereunder, and intercompany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32"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sell, encumber or dispose of any assets or properties having a value in excess of $10 million for one asset, and $50 million in the aggregate in 2010 and $25 million in the aggregate in 2011, except for sales of surplus or obsolete equipment, inventory sales and intercompany transactions;</w:t>
      </w:r>
    </w:p>
    <w:p>
      <w:pPr>
        <w:spacing w:after="0" w:line="4"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 any business, entity or division (1) for consideration in excess of $30 million for one acquisition or $100 million in the aggregate in 2010 and $30 million in the aggregate in 2011, or (2) where an antitrust or competition filing is required;</w:t>
      </w:r>
    </w:p>
    <w:p>
      <w:pPr>
        <w:spacing w:after="0" w:line="50" w:lineRule="exact"/>
        <w:rPr>
          <w:rFonts w:ascii="Arial" w:cs="Arial" w:eastAsia="Arial" w:hAnsi="Arial"/>
          <w:sz w:val="18"/>
          <w:szCs w:val="18"/>
          <w:color w:val="auto"/>
        </w:rPr>
      </w:pPr>
    </w:p>
    <w:p>
      <w:pPr>
        <w:ind w:left="660" w:right="76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 in 2010 and $15 million in the aggregate in 2011;</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sell, transfer, license or modify any rights to any material intellectual property, or distribute, license or co-promote products or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change accounting policies or procedures, except as required by changes in GAAP or applicable law;</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Smith and its subsidiaries that is material;</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settle or waive any claim, litigation or controversy for amounts in excess of $5 million individually, or $25 million in the aggregate in 2010 and $12.5 million in the aggregate in 2011;</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incur any indebtedness except (1) for borrowings under Smith’s existing credit facilities, (2) other debt not in excess of $50 million in the aggregate in 2010 and $25 million in the aggregate in 2011 and (3) intercompany debt in the ordinary course of business;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make any unbudgeted capital expenditures exceeding $25 million in the aggregate in 2010 and $12.5 million in the aggregate in 2011;</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compete in any line of business or geographic area;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Smith’s capital stock or purchase any of Schlumberger’s capital stock;</w:t>
      </w:r>
    </w:p>
    <w:p>
      <w:pPr>
        <w:spacing w:after="0" w:line="50"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release any person from, waive any right under, fail to enforce any provision of, or grant any consent or make any election under, any confidentiality, “standstill” or similar agreement or take any action to exempt any person other than Merger Sub and its affiliates from the restrictions on “business combinations” contained in the Delaware General Corporation Law or the effects set forth in Smith’s shareholder rights plan;</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5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Smith otherwise consents in writing (which consent may not be unreasonably withheld, conditioned or delayed), or as contemplated by the merger agreement or required by law, prior to the effective time of the merger, the merger agreement places specific restrictions on the ability of Schlumberger, its subsidiaries and Merger Sub to, among other things:</w:t>
      </w:r>
    </w:p>
    <w:p>
      <w:pPr>
        <w:spacing w:after="0" w:line="59" w:lineRule="exact"/>
        <w:rPr>
          <w:sz w:val="20"/>
          <w:szCs w:val="20"/>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acquisition of Smith;</w:t>
      </w:r>
    </w:p>
    <w:p>
      <w:pPr>
        <w:spacing w:after="0" w:line="5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Smith common stock relative to a holder of Schlumberger common stock or delay or impede the merger;</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quarterly dividends with declaration, record and payment dates reasonably consistent with Schlumberger’s past practice; or</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Stockholders Meeting. </w:t>
      </w:r>
      <w:r>
        <w:rPr>
          <w:rFonts w:ascii="Arial" w:cs="Arial" w:eastAsia="Arial" w:hAnsi="Arial"/>
          <w:sz w:val="18"/>
          <w:szCs w:val="18"/>
          <w:color w:val="auto"/>
        </w:rPr>
        <w:t>Unless the merger agreement is earlier terminated, the Smith board of directors must submit the merger agreement for approval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Smith stockholders meeting, even if it changes its recommendation with regard to the merger agreement.</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i w:val="1"/>
          <w:iCs w:val="1"/>
          <w:color w:val="auto"/>
        </w:rPr>
        <w:t xml:space="preserve">No Solicitation; Recommendation. </w:t>
      </w:r>
      <w:r>
        <w:rPr>
          <w:rFonts w:ascii="Arial" w:cs="Arial" w:eastAsia="Arial" w:hAnsi="Arial"/>
          <w:sz w:val="16"/>
          <w:szCs w:val="16"/>
          <w:color w:val="auto"/>
        </w:rPr>
        <w:t>Smith and its subsidiaries will not, and Smith and its subsidiaries will direct their respective officers,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investment bankers, consultants, attorneys, accountants, advisors, agents and other representatives not to, directly or indirectly:</w:t>
      </w:r>
    </w:p>
    <w:p>
      <w:pPr>
        <w:spacing w:after="0" w:line="4" w:lineRule="exact"/>
        <w:rPr>
          <w:sz w:val="20"/>
          <w:szCs w:val="20"/>
          <w:color w:val="auto"/>
        </w:rPr>
      </w:pPr>
    </w:p>
    <w:p>
      <w:pPr>
        <w:ind w:left="660" w:right="220" w:hanging="206"/>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inquiry or the making, submission or announcement of any acquisition proposal (as defined below);</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participate, engage in or continue discussions or negotiations with, or furnish any non-public information relating to Smith or any of its subsidiaries or afford access to the properties, books or records of Smith or any of its subsidiaries to, any person that has made an acquisition proposal or to any person considering an acquisition proposal;</w:t>
      </w:r>
    </w:p>
    <w:p>
      <w:pPr>
        <w:spacing w:after="0" w:line="59"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enter into any letter of intent, agreement in principle, merger agreement or other agreement relating to an acquisition proposal;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event Smith receives an acquisition proposal, or any request for nonpublic information relating to Smith or for access to its properties, books or records by any person that has made or, to the knowledge of Smith, would reasonably be expected to make, an acquisition proposal, Smith will promptly (and in no event later than 24 hours after receipt of any acquisition proposal or request) notify Schlumberger of the identity of the person making the request and of its material terms and keep Schlumberger informed of the status and material terms of the acquisition proposal or request.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term “acquisition proposal” means any bona fide written offer or proposal for, or any bona fide written indication of interest in, any (1) direct or indirect acquisition or purchase of any business or assets of Smith or any of its subsidiaries that, individually or in the aggregate, constitutes 20% or more of the net revenues, net income or assets of Smith and its subsidiaries, taken as a whole, (2) direct or indirect acquisition or purchase of 20% or more of any class of equity securities of Smith, (3) tender offer or exchange offer that, if consummated, would result in any person beneficially owning 20% or more of any class of equity securities of Smith, (4)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(5) the declaration or payment of an extraordinary dividend (whether in cash or in property) by Smith, other than the transactions contemplated by the merger agreement.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obtaining stockholder approval of the merger, however, Smith or its representatives may (1) furnish information and access, but only in response to a written request, to any person making an acquisition proposal that was not solicited, initiated, knowingly encouraged or knowingly facilitated by Smith or any of its subsidiaries, affiliates or representatives on or after February 21, 2010 and (2) participate in discussions and negotiate with such person concerning an unsolicited acquisition proposal, in each case if:</w:t>
      </w:r>
    </w:p>
    <w:p>
      <w:pPr>
        <w:spacing w:after="0" w:line="62" w:lineRule="exact"/>
        <w:rPr>
          <w:sz w:val="20"/>
          <w:szCs w:val="20"/>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Smith has not materially breached the non-solicitation provisions of the merger agreement with respect to the acquisition proposal;</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Smith board of directors concludes in good faith (after receipt of advice of a financial advisor of nationally recognized reputation) that such proposal is reasonably likely to result in a superior proposal (as defined below); and</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Smith receives from such person an executed confidentiality agreement the material provisions of which are materially no less favorable to Smith and no less restrictive to such person as those contained in the confidentiality agreement between Smith and Schlumberger.</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Smith board of directors may not effect a recommendation change (as defined below) unless the change occurs before stockholder approval of the merger and only if:</w:t>
      </w:r>
    </w:p>
    <w:p>
      <w:pPr>
        <w:spacing w:after="0" w:line="51" w:lineRule="exact"/>
        <w:rPr>
          <w:sz w:val="20"/>
          <w:szCs w:val="20"/>
          <w:color w:val="auto"/>
        </w:rPr>
      </w:pPr>
    </w:p>
    <w:p>
      <w:pPr>
        <w:ind w:left="660" w:right="26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Smith board of directors determines in good faith (after consultation with its outside legal counsel) that failure to make a recommendation change would be inconsistent with the directors’ fiduciary duties to Smith stockholders under applicable law;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before taking any such action, Smith gives Schlumberger three business days written notice.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term “superior proposal” means any bona fide written acquisition proposal for or in respect of at least a majority of the outstanding shares of Smith common stock or all or substantially all of Smith’s and its subsidiaries’ assets (1) on terms that the Smith board of directors determines in its good faith judgment (after consultation with a financial advisor of nationally recognized reputation) are more favorable to Smith and its stockholders than the merger and (2) that constitutes a transaction that is reasonably likely to be consummated on the terms so proposed, taking into account all legal, financial, regulatory and other aspects of such proposal.</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“recommendation change” would occur if the Smith board of directors fails to make, withdraws, modifies or qualifies, or proposes publicly to withhold, withdraw, modify or qualify, in any manner adverse to Schlumberger or its affiliates, the merger or approval of the merger agreement, or approves, endorses, or recommends, or publicly proposes to approve, endorse or recommend, an acquisition proposal.</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Coordination of Dividends. </w:t>
      </w:r>
      <w:r>
        <w:rPr>
          <w:rFonts w:ascii="Arial" w:cs="Arial" w:eastAsia="Arial" w:hAnsi="Arial"/>
          <w:sz w:val="18"/>
          <w:szCs w:val="18"/>
          <w:color w:val="auto"/>
        </w:rPr>
        <w:t>Smith will coordinate with Schlumberger to designate the record dates for Smith’s quarterly dividends to coincide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dates for Schlumberger’s quarterly dividends.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Rights Agreement. </w:t>
      </w:r>
      <w:r>
        <w:rPr>
          <w:rFonts w:ascii="Arial" w:cs="Arial" w:eastAsia="Arial" w:hAnsi="Arial"/>
          <w:sz w:val="18"/>
          <w:szCs w:val="18"/>
          <w:color w:val="auto"/>
        </w:rPr>
        <w:t>Prior to the effective time of the merger, the Smith board of directors will take any action necessary to prevent the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from causing the rights granted under Smith’s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stockholder rights agreement from becoming exercisable. Smith may extend the expiration of its shareholder rights plan, or replace the plan prior to its expiration, and will do so upon Schlumberger’s request.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After the effective time of the merger, Schlumberger and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 or its subsidiaries against all expenses and liability reasonably incurred as a result of such person’s service to Smith or its subsidiaries, to the fullest extent permitted by law, and (2) advance expenses incurred to the same extent.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the effective time of the merger, Smith may purchase a tail directors’ and officers’ liability insurance policy for at least six years after the effective time of the merger. If Smith does not purchase such a policy, then for a period of six years after the effective time of the merger, the surviving corporation will maintain directors’ and officers’ liability insurance policies with terms substantially no less advantageous to the indemnified parties than Smith’s existing policies. The surviving corporation will not be required to spend more than 300% of what Smith currently spends to maintain current insurance coverage.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Smith has agreed to:</w:t>
      </w:r>
    </w:p>
    <w:p>
      <w:pPr>
        <w:spacing w:after="0" w:line="90" w:lineRule="exact"/>
        <w:rPr>
          <w:sz w:val="20"/>
          <w:szCs w:val="20"/>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its respective required filings under the HSR Act, the EC Merger Regulation and any other competition laws;</w:t>
      </w:r>
    </w:p>
    <w:p>
      <w:pPr>
        <w:spacing w:after="0" w:line="9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use its reasonable best efforts to cooperate with the other party to determine which filings, consents, approvals, permits and authorizations are required to be made or obtained from any governmental entity prior to the effective time of the merger, and to timely make such filings;</w:t>
      </w:r>
    </w:p>
    <w:p>
      <w:pPr>
        <w:spacing w:after="0" w:line="4"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59"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 agree to participate in any meeting or substantive discussion with any governmental entity related to any filings or investigation concerning the merger agreement or the merger unless it consults with the other party in advance and, unless prohibited by the governmental entity, invites the other party to attend;</w:t>
      </w:r>
    </w:p>
    <w:p>
      <w:pPr>
        <w:spacing w:after="0" w:line="59" w:lineRule="exact"/>
        <w:rPr>
          <w:rFonts w:ascii="Arial" w:cs="Arial" w:eastAsia="Arial" w:hAnsi="Arial"/>
          <w:sz w:val="18"/>
          <w:szCs w:val="18"/>
          <w:color w:val="auto"/>
        </w:rPr>
      </w:pPr>
    </w:p>
    <w:p>
      <w:pPr>
        <w:ind w:left="660" w:right="96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furnish to the other party draft copies prior to submission of all correspondence, filings and communications that it intends to submit to any governmental entity;</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deliver to the other party’s outside counsel complete copies of all documents furnished to any governmental entity as part of any filing.</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In calculating revenue of Schlumberger or Smith for purposes of the detriment limit, the lower of Schlumberger’s or Smith’s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revenues from the overlapping assets, business or product line will be used, regardless of which overlapping assets, business or product line Schlumberger actually divests or holds separate. If the merger has not occurred on or before the termination date due to the failure to obtain regulatory clearances, or if an order, decree or ruling permanently prohibits the merger, the merger agreement may be terminated (subject in some circumstances to payment of a termination fee). Please see “The Merger Agreement—Termination, Amendment and Waiver” for more information on the termination date and termination fee.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Smith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in accordance with their terms as in effect immediately prior to the effective time of the merger. For a period of one year after the effective time of the merger, Schlumberger will provide to each current and former employee of Smith and its subsidiaries:</w:t>
      </w:r>
    </w:p>
    <w:p>
      <w:pPr>
        <w:spacing w:after="0" w:line="59" w:lineRule="exact"/>
        <w:rPr>
          <w:sz w:val="20"/>
          <w:szCs w:val="20"/>
          <w:color w:val="auto"/>
        </w:rPr>
      </w:pPr>
    </w:p>
    <w:p>
      <w:pPr>
        <w:ind w:left="660" w:hanging="206"/>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compensation and benefits that are no less favorable, in the aggregate, than the compensation and benefits provided to each such employee immediately prior to the effective time of the merger, excluding for purposes of comparison any equity-based compensation (so long as Schlumberger provides equity compensation substantially comparable to similarly situated employees of Schlumberger);</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severance benefits to terminated employees in accordance with the applicable severance plans and arrangements of Smith in effect immediately prior to the effective time of the merger with full service credit for years of service with Smith and its subsidiaries; and</w:t>
      </w:r>
    </w:p>
    <w:p>
      <w:pPr>
        <w:spacing w:after="0" w:line="5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for those Smith employees who are eligible for retiree welfare benefits immediately prior to the effective time of the merger, retiree welfare benefits that are no less favorable than those provided pursuant to the arrangements of Smith in effect immediately prior to the effective time of the merger.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vesting, eligibility to participate and benefit accrual (other than for purposes of benefit accrual under any defined benefit pension plan, severance plan or eligibility under a retiree welfare plan sponsored by Schlumberger or its subsidiaries) under the employee benefit plans of Schlumberger, Smith employees will be credited with their years of service with Smith prior to the effective time of the merger to the same extent the Smith employee was entitled to such credited service prior to the effective time of the merger under the corresponding Smith plans. Following the first anniversary of the effective time of the merger, Smith employees will be treated as new hires as of the effective time of the merger in any retiree medical arrangement made available to them by Schlumberger. Over the four-year period commencing on the first anniversary of the effective time of the merger, the severance benefits of Smith employees will transition to the Schlumberger severance plan. Specifically, between the first and third anniversary of the effective time of the merger, Smith employees will be eligible for severance based on the sum of the amounts payable under the Smith severance plan (with respect to service prior to the effective time of the merger) and the Schlumberger severance plan (with respect to service on or after the effective the of the merger). From and after the third anniversary of the effective time of the merger, Smith employees will be transitioned over a two-year period to severance based on full past service credit under a Schlumberger severance plan, with full past service credit in place as of the fifth anniversary of the effective time of the merger.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employees will be eligible to participate in the surviving corporation’s medical, dental, pharmaceutical and/or vision plans without any waiting period or pre-existing condition exclusions, except to the extent such waiting period or exclusion applied in the applicable Smith plan. Smith employees will receive credit for amounts paid under the Smith medical plans in the year in which the merger occurs for satisfying deductibles, coinsurance and maximum out of pocket requirements under the surviving corporation’s plans.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period prior to the effective date of the merger, Smith may set and pay performance-based short-term incentive bonuses in the ordinary course of business consistent with past practice. If a short-term incentive bonus participant incurs a severance-qualifying termination prior to the end of the performance period, such participant shall receive a pro-rata bonus to be paid at the same time the bonus for the performance period is generally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Schlumberger agreed to consider in good faith, and to consult with Smith in good faith in respect of, design alternatives with respect to equitable treatment under (x) the retiree medical programs of Schlumberger of Smith employees who have turned 40 prior to the effective time of the merger, and (y) the defined benefit pension plans of Schlumberger of Smith employees who were previously employed by Schlumberger participated in such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and Smith acknowledge that a change in control will occur for purposes of Smith’s benefit plans at the time of the merger.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merger agreement, Smith may establish a retention program with a retention pool of up to $50 million for Smith employees who are not executive officers. The parties have since agreed to increase the maximum size of this pool to approximately $58.3 million. Retention bonuses will be allocated by Smith’s CEO in consultation with Schlumberger’s CEO. Half of each employee’s award generally will be payable at the effective time of the merger, and half will be payable on the first anniversary of such date. Forfeited retention awards may be reallocated to other employees. In addition, Smith may establish a retention program for Smith executive officers or employees with change of control agreements with a retention pool of up to $16 million. Any such retention bonuses will be allocated by Smith’s lead independent director in consultation with Schlumberger’s CEO. All amounts payable under the executive officer pool will be payable at the effective time of the merger.</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Reorganization. </w:t>
      </w:r>
      <w:r>
        <w:rPr>
          <w:rFonts w:ascii="Arial" w:cs="Arial" w:eastAsia="Arial" w:hAnsi="Arial"/>
          <w:sz w:val="18"/>
          <w:szCs w:val="18"/>
          <w:color w:val="auto"/>
        </w:rPr>
        <w:t>Schlumberger and Smith have agreed not to take any action that would (1) prevent the merger from qualifying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Internal Revenue Code or (2) cause the stockholders to recognize gain pursuant to Section 367(a) of the Internal Revenue Code.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Smith have agreed to use their reasonable best efforts to take all actions and to assist and cooperate to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including the obtaining of authorizations, clearances, consents and approvals from governmental entities or third parties, the defending of lawsuits challenging the merger, the delivery of officer’s certificates to tax counsel to support any tax opinion, and the execution and delivery of additional instruments necessary to consummate the merger.</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reserved for issuance upon exercise of options on Smith common stock to be approved for listing on the NYSE, subject to official notice of issuance, prior to the effective time of the merger.</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have agreed to consult with each other before issuing any press release or public statement with respect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neither Schlumberger nor Smith will issue any press release or otherwise make any public statement or disclosure concerning the other party or the other party’s business, financial condition or results of operations without the consent of the other party.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Stockholder Litigation</w:t>
      </w:r>
      <w:r>
        <w:rPr>
          <w:rFonts w:ascii="Arial" w:cs="Arial" w:eastAsia="Arial" w:hAnsi="Arial"/>
          <w:sz w:val="18"/>
          <w:szCs w:val="18"/>
          <w:color w:val="auto"/>
        </w:rPr>
        <w:t>. Smith has agreed to give Schlumberger the opportunity to participate in the defense or settlement of any stockholder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Smith and/or its directors or officers relating to the transactions contemplated by the merger agreement. Smith has further agreed that it will not settle or offer to settle any litigation against Smith or any of its directors or officers by any stockholder of Smith relating to the merger without the prior written consent of Schlumberger (not to be unreasonably withheld, conditioned or delayed).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13" w:lineRule="exact"/>
        <w:rPr>
          <w:sz w:val="20"/>
          <w:szCs w:val="20"/>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adoption of the merger agreement by Smith’s stockholders;</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the termination or expiration of any waiting period under the HSR Act and (2) the issuance by the European Commission of a decision under the EC Merger Regulation declaring the merger compatible with the common market;</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Additional Conditions to the Obligations of Smith</w:t>
      </w:r>
      <w:r>
        <w:rPr>
          <w:rFonts w:ascii="Arial" w:cs="Arial" w:eastAsia="Arial" w:hAnsi="Arial"/>
          <w:sz w:val="18"/>
          <w:szCs w:val="18"/>
          <w:color w:val="auto"/>
        </w:rPr>
        <w:t>. Unless waived by Smith, the obligation of Smith to effect the merger is subject to the satisfaction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closing date of the following additional conditions:</w:t>
      </w:r>
    </w:p>
    <w:p>
      <w:pPr>
        <w:spacing w:after="0" w:line="51" w:lineRule="exact"/>
        <w:rPr>
          <w:sz w:val="20"/>
          <w:szCs w:val="20"/>
          <w:color w:val="auto"/>
        </w:rPr>
      </w:pPr>
    </w:p>
    <w:p>
      <w:pPr>
        <w:ind w:left="660" w:right="6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and Merger Sub of its respective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and Merger Sub contained in the merger agreement that are qualified as to a material adverse effect being true and correct as of the date of the merger agreement and as of the closing date;</w:t>
      </w:r>
    </w:p>
    <w:p>
      <w:pPr>
        <w:spacing w:after="0" w:line="50" w:lineRule="exact"/>
        <w:rPr>
          <w:rFonts w:ascii="Arial" w:cs="Arial" w:eastAsia="Arial" w:hAnsi="Arial"/>
          <w:sz w:val="18"/>
          <w:szCs w:val="18"/>
          <w:color w:val="auto"/>
        </w:rPr>
      </w:pPr>
    </w:p>
    <w:p>
      <w:pPr>
        <w:jc w:val="both"/>
        <w:ind w:left="660" w:right="160" w:hanging="206"/>
        <w:spacing w:after="0" w:line="306"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other representations and warranties of Schlumberger and Merger Sub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receipt by Smith of a certificate signed on behalf of Schlumberger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20" w:hanging="206"/>
        <w:spacing w:after="0" w:line="305" w:lineRule="auto"/>
        <w:tabs>
          <w:tab w:leader="none" w:pos="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receipt of an opinion by Smith from its counsel, in form and substance reasonably satisfactory to Smith, dated as of the closing date, to the effect that for federal income tax purposes (1) the merger will be treated as a reorganization within the meaning of Section 368(a) of the Internal Revenue Code and</w:t>
      </w:r>
    </w:p>
    <w:p>
      <w:pPr>
        <w:ind w:left="660" w:right="20"/>
        <w:spacing w:after="0" w:line="261" w:lineRule="auto"/>
        <w:rPr>
          <w:rFonts w:ascii="Arial" w:cs="Arial" w:eastAsia="Arial" w:hAnsi="Arial"/>
          <w:sz w:val="15"/>
          <w:szCs w:val="15"/>
          <w:color w:val="auto"/>
        </w:rPr>
      </w:pPr>
      <w:r>
        <w:rPr>
          <w:rFonts w:ascii="Arial" w:cs="Arial" w:eastAsia="Arial" w:hAnsi="Arial"/>
          <w:sz w:val="18"/>
          <w:szCs w:val="18"/>
          <w:color w:val="auto"/>
        </w:rPr>
        <w:t>(2) each transfer of Smith stock to Schlumberger by a stockholder of Smith pursuant to the merger (other than certain 5% shareholders of Schlumberger) will not be subject to Section 367(a)(1) of the Internal Revenue Code.</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Additional Conditions to the Obligations of Schlumberger. </w:t>
      </w:r>
      <w:r>
        <w:rPr>
          <w:rFonts w:ascii="Arial" w:cs="Arial" w:eastAsia="Arial" w:hAnsi="Arial"/>
          <w:sz w:val="18"/>
          <w:szCs w:val="18"/>
          <w:color w:val="auto"/>
        </w:rPr>
        <w:t>Unless waived by Schlumberger, the obligations of Schlumberger and Merger Sub to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are subject to the satisfaction on or prior to the closing date of the following additional conditions:</w:t>
      </w:r>
    </w:p>
    <w:p>
      <w:pPr>
        <w:spacing w:after="0" w:line="51" w:lineRule="exact"/>
        <w:rPr>
          <w:sz w:val="20"/>
          <w:szCs w:val="20"/>
          <w:color w:val="auto"/>
        </w:rPr>
      </w:pPr>
    </w:p>
    <w:p>
      <w:pPr>
        <w:ind w:left="660" w:right="320" w:hanging="206"/>
        <w:spacing w:after="0" w:line="26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performance in all material respects by Smith of all of its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representations and warranties of Smith contained in the merger agreement that are qualified as to a material adverse effect being true and correct as of the date of the merger agreement and as of the closing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306"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other representations and warranties of Smith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40" w:hanging="206"/>
        <w:spacing w:after="0" w:line="268"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receipt by Schlumberger of a certificate signed on behalf of Smith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receipt of an opinion by Schlumberger from its counsel, in form and substance reasonably satisfactory to Schlumberger, dated as of the closing date, to the effect that for federal income tax purposes (1) the merger will be treated as a reorganization within the meaning of Section 368(a) of the Internal Revenue Code and (2) each transfer of Smith stock to Schlumberger by a stockholder of Smith pursuant to the merger (other than certain 5% shareholders of Schlumberger) will not be subject to Section 367(a)(1) of the Internal Revenue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Smith’s stockholders:</w:t>
      </w:r>
    </w:p>
    <w:p>
      <w:pPr>
        <w:spacing w:after="0" w:line="51" w:lineRule="exact"/>
        <w:rPr>
          <w:sz w:val="20"/>
          <w:szCs w:val="20"/>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900" w:right="80" w:hanging="217"/>
        <w:spacing w:after="0" w:line="256"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if certain other conditions are satisfied and at the option of either Schlumberger or Smith, be extended to a date not later than May 31, 2011;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Smith stockholders do not adopt the merger agreement at the annual meeting or any adjournment or postponement of the annual meeting; or</w:t>
      </w:r>
    </w:p>
    <w:p>
      <w:pPr>
        <w:spacing w:after="0" w:line="113" w:lineRule="exact"/>
        <w:rPr>
          <w:rFonts w:ascii="Arial" w:cs="Arial" w:eastAsia="Arial" w:hAnsi="Arial"/>
          <w:sz w:val="16"/>
          <w:szCs w:val="16"/>
          <w:color w:val="auto"/>
        </w:rPr>
      </w:pPr>
    </w:p>
    <w:p>
      <w:pPr>
        <w:ind w:left="900" w:right="280" w:hanging="217"/>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jc w:val="both"/>
        <w:ind w:left="900" w:right="20" w:hanging="217"/>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provided, that Smith will have no right to terminate the merger agreement under this provision if Smith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56"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a superior proposal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900" w:right="160" w:hanging="217"/>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Smith is in breach of the merger agreement such that the conditions set forth in the merger agreement would not be satisfied and such breach is not 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that Schlumberger will have no right to terminate the merger agreement under this provision if Schlumberger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withdraws, modifies or qualifies (or publicly proposes to do any of the foregoing) its recommendation.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termination fees by one party to the other if the agreement is terminated in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will be obligated to pay Schlumberger a $340 million termination fee (net of any expense reimbursement as described below) if:</w:t>
      </w:r>
    </w:p>
    <w:p>
      <w:pPr>
        <w:spacing w:after="0" w:line="90" w:lineRule="exact"/>
        <w:rPr>
          <w:sz w:val="20"/>
          <w:szCs w:val="20"/>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900" w:hanging="217"/>
        <w:spacing w:after="0"/>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Smith’s stockholders in order to enter into an agreement providing for a superior proposal; or</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Smith board of directors fails to recommend its approval of the merger or withdraws, modifies or qualifies (or publicly proposes to do any of the foregoing) its recommendation.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Schlumberger will be obligated to pay Smith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have been satisfied or waived as of the date of such termination.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Smith will be required to reimburse Schlumberger for its expenses of up to $10 million if:</w:t>
      </w:r>
    </w:p>
    <w:p>
      <w:pPr>
        <w:spacing w:after="0" w:line="51" w:lineRule="exact"/>
        <w:rPr>
          <w:sz w:val="20"/>
          <w:szCs w:val="20"/>
          <w:color w:val="auto"/>
        </w:rPr>
      </w:pPr>
    </w:p>
    <w:p>
      <w:pPr>
        <w:ind w:left="660" w:right="20" w:hanging="206"/>
        <w:spacing w:after="0" w:line="26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agreement is terminated because Smith’s stockholders do not adopt the merger agreement at the annual meeting or any adjournment or postponement of the annual meeting, and no termination fee is yet payable by Smith,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merger agreement is terminated by Schlumberger because Smith has willfully and materially breached the agreement.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merger agreement is terminated by Smith because Schlumberger has willfully and materially breached the merger agreement, then Schlumberger will reimburse Smith for its expenses of up to $10 million.</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been approved by Smith’s stockholders, then no amendment can be made that by law requires the further approval of stockholders without receipt of such further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Smith may:</w:t>
      </w:r>
    </w:p>
    <w:p>
      <w:pPr>
        <w:spacing w:after="0" w:line="90" w:lineRule="exact"/>
        <w:rPr>
          <w:sz w:val="20"/>
          <w:szCs w:val="20"/>
          <w:color w:val="auto"/>
        </w:rPr>
      </w:pPr>
    </w:p>
    <w:p>
      <w:pPr>
        <w:ind w:left="660" w:hanging="20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unaudited pro forma condensed combined statement of income for the year ended December 31, 2009 combines the historical consolidated statements of income of Schlumberger and Smith, giving effect to the merger as if it had occurred on January 1, 2009. The unaudited pro forma condensed combined balance sheet as of December 31, 2009 combines the historical consolidated balance sheets of Schlumberger and Smith, giving effect to the merger as if it had occurred on December 31, 2009. The historical consolidated financial information has been adjusted in the unaudited pro forma condensed combined financial statements to give effect to pro forma events that are (1) directly attributable to the merger, (2) factually supportable, and (3) with respect to the statement of income, expected to have a continuing impact on the combined results. The unaudited pro forma condensed combined financial information should be read in conjunction with the accompanying notes to the unaudited pro forma condensed combined financial statements. In addition, the unaudited pro forma condensed combined financial information was based on and should be read in conjunction with the:</w:t>
      </w:r>
    </w:p>
    <w:p>
      <w:pPr>
        <w:spacing w:after="0" w:line="37" w:lineRule="exact"/>
        <w:rPr>
          <w:sz w:val="20"/>
          <w:szCs w:val="20"/>
          <w:color w:val="auto"/>
        </w:rPr>
      </w:pPr>
    </w:p>
    <w:p>
      <w:pPr>
        <w:ind w:left="900" w:right="820" w:hanging="325"/>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2009 and the related notes included in Schlumberger’s Annual Report on Form 10-K for the year ended December 31, 2009, which is incorporated by reference into this proxy statement/prospectus; and</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Separate historical financial statements of Smith as of and for the year ended December 31, 2009 and the related notes included in Smith’s Annual Report on Form 10-K for the year ended December 31, 2009, which is incorporated by reference into this proxy statement/prospectus.</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under U.S. generally accepted accounting principles, and the regulations of the SEC. All material transactions between Schlumberger and Smith during the periods presented in the unaudited pro forma condensed combined financial statement have been eliminated. Schlumberger has been treated as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this unaudited pro forma condensed combined financial information.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of December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8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1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Smith</w:t>
            </w:r>
          </w:p>
        </w:tc>
        <w:tc>
          <w:tcPr>
            <w:tcW w:w="3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8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1,792</w:t>
            </w:r>
          </w:p>
        </w:tc>
        <w:tc>
          <w:tcPr>
            <w:tcW w:w="36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4"/>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(A)</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60" w:type="dxa"/>
            <w:vAlign w:val="bottom"/>
            <w:shd w:val="clear" w:color="auto" w:fill="CCEEFF"/>
          </w:tcPr>
          <w:p>
            <w:pPr>
              <w:ind w:left="80"/>
              <w:spacing w:after="0"/>
              <w:rPr>
                <w:sz w:val="20"/>
                <w:szCs w:val="20"/>
                <w:color w:val="auto"/>
              </w:rPr>
            </w:pPr>
            <w:r>
              <w:rPr>
                <w:rFonts w:ascii="Arial" w:cs="Arial" w:eastAsia="Arial" w:hAnsi="Arial"/>
                <w:sz w:val="11"/>
                <w:szCs w:val="11"/>
                <w:color w:val="auto"/>
              </w:rPr>
              <w:t>(B)</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13,650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18,709</w:t>
            </w: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Investments in Affiliated Companies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4"/>
              <w:spacing w:after="0"/>
              <w:rPr>
                <w:sz w:val="20"/>
                <w:szCs w:val="20"/>
                <w:color w:val="auto"/>
              </w:rPr>
            </w:pPr>
            <w:r>
              <w:rPr>
                <w:rFonts w:ascii="Arial" w:cs="Arial" w:eastAsia="Arial" w:hAnsi="Arial"/>
                <w:sz w:val="18"/>
                <w:szCs w:val="18"/>
                <w:color w:val="auto"/>
              </w:rPr>
              <w:t>(1,410)</w:t>
            </w:r>
            <w:r>
              <w:rPr>
                <w:rFonts w:ascii="Arial" w:cs="Arial" w:eastAsia="Arial" w:hAnsi="Arial"/>
                <w:sz w:val="11"/>
                <w:szCs w:val="11"/>
                <w:color w:val="auto"/>
              </w:rPr>
              <w:t>(C)</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Assets, less accumulated depreciation</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60" w:type="dxa"/>
            <w:vAlign w:val="bottom"/>
            <w:shd w:val="clear" w:color="auto" w:fill="CCEEFF"/>
          </w:tcPr>
          <w:p>
            <w:pPr>
              <w:ind w:left="80"/>
              <w:spacing w:after="0"/>
              <w:rPr>
                <w:sz w:val="20"/>
                <w:szCs w:val="20"/>
                <w:color w:val="auto"/>
              </w:rPr>
            </w:pPr>
            <w:r>
              <w:rPr>
                <w:rFonts w:ascii="Arial" w:cs="Arial" w:eastAsia="Arial" w:hAnsi="Arial"/>
                <w:sz w:val="11"/>
                <w:szCs w:val="11"/>
                <w:color w:val="auto"/>
              </w:rPr>
              <w:t>(D)</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11,733</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(3,069)</w:t>
            </w:r>
            <w:r>
              <w:rPr>
                <w:rFonts w:ascii="Arial" w:cs="Arial" w:eastAsia="Arial" w:hAnsi="Arial"/>
                <w:sz w:val="11"/>
                <w:szCs w:val="11"/>
                <w:color w:val="auto"/>
              </w:rPr>
              <w:t>(E)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13,020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7,715</w:t>
            </w:r>
          </w:p>
        </w:tc>
        <w:tc>
          <w:tcPr>
            <w:tcW w:w="860" w:type="dxa"/>
            <w:vAlign w:val="bottom"/>
          </w:tcPr>
          <w:p>
            <w:pPr>
              <w:ind w:left="80"/>
              <w:spacing w:after="0"/>
              <w:rPr>
                <w:sz w:val="20"/>
                <w:szCs w:val="20"/>
                <w:color w:val="auto"/>
              </w:rPr>
            </w:pPr>
            <w:r>
              <w:rPr>
                <w:rFonts w:ascii="Arial" w:cs="Arial" w:eastAsia="Arial" w:hAnsi="Arial"/>
                <w:sz w:val="11"/>
                <w:szCs w:val="11"/>
                <w:color w:val="auto"/>
              </w:rPr>
              <w:t>(F)</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(614)</w:t>
            </w:r>
            <w:r>
              <w:rPr>
                <w:rFonts w:ascii="Arial" w:cs="Arial" w:eastAsia="Arial" w:hAnsi="Arial"/>
                <w:sz w:val="11"/>
                <w:szCs w:val="11"/>
                <w:color w:val="auto"/>
              </w:rPr>
              <w:t>(G)</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5,385</w:t>
            </w:r>
          </w:p>
        </w:tc>
        <w:tc>
          <w:tcPr>
            <w:tcW w:w="860" w:type="dxa"/>
            <w:vAlign w:val="bottom"/>
          </w:tcPr>
          <w:p>
            <w:pPr>
              <w:ind w:left="8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10,739</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52,605</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178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5,003</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941</w:t>
            </w:r>
          </w:p>
        </w:tc>
        <w:tc>
          <w:tcPr>
            <w:tcW w:w="36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4"/>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Convertible debentures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1,411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60" w:type="dxa"/>
            <w:vAlign w:val="bottom"/>
            <w:shd w:val="clear" w:color="auto" w:fill="CCEEFF"/>
          </w:tcPr>
          <w:p>
            <w:pPr>
              <w:ind w:left="80"/>
              <w:spacing w:after="0"/>
              <w:rPr>
                <w:sz w:val="20"/>
                <w:szCs w:val="20"/>
                <w:color w:val="auto"/>
              </w:rPr>
            </w:pPr>
            <w:r>
              <w:rPr>
                <w:rFonts w:ascii="Arial" w:cs="Arial" w:eastAsia="Arial" w:hAnsi="Arial"/>
                <w:sz w:val="11"/>
                <w:szCs w:val="11"/>
                <w:color w:val="auto"/>
              </w:rPr>
              <w:t>(J)</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(294)</w:t>
            </w:r>
            <w:r>
              <w:rPr>
                <w:rFonts w:ascii="Arial" w:cs="Arial" w:eastAsia="Arial" w:hAnsi="Arial"/>
                <w:sz w:val="11"/>
                <w:szCs w:val="11"/>
                <w:color w:val="auto"/>
              </w:rPr>
              <w:t>(K)</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1,911</w:t>
            </w:r>
          </w:p>
        </w:tc>
        <w:tc>
          <w:tcPr>
            <w:tcW w:w="860" w:type="dxa"/>
            <w:vAlign w:val="bottom"/>
          </w:tcPr>
          <w:p>
            <w:pPr>
              <w:ind w:left="80"/>
              <w:spacing w:after="0"/>
              <w:rPr>
                <w:sz w:val="20"/>
                <w:szCs w:val="20"/>
                <w:color w:val="auto"/>
              </w:rPr>
            </w:pPr>
            <w:r>
              <w:rPr>
                <w:rFonts w:ascii="Arial" w:cs="Arial" w:eastAsia="Arial" w:hAnsi="Arial"/>
                <w:sz w:val="11"/>
                <w:szCs w:val="11"/>
                <w:color w:val="auto"/>
              </w:rPr>
              <w:t>(L)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60" w:type="dxa"/>
            <w:vAlign w:val="bottom"/>
            <w:shd w:val="clear" w:color="auto" w:fill="CCEEFF"/>
          </w:tcPr>
          <w:p>
            <w:pPr>
              <w:ind w:left="80"/>
              <w:spacing w:after="0"/>
              <w:rPr>
                <w:sz w:val="20"/>
                <w:szCs w:val="20"/>
                <w:color w:val="auto"/>
              </w:rPr>
            </w:pPr>
            <w:r>
              <w:rPr>
                <w:rFonts w:ascii="Arial" w:cs="Arial" w:eastAsia="Arial" w:hAnsi="Arial"/>
                <w:sz w:val="11"/>
                <w:szCs w:val="11"/>
                <w:color w:val="auto"/>
              </w:rPr>
              <w:t>(M)</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20,240</w:t>
            </w: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(2,974)</w:t>
            </w:r>
            <w:r>
              <w:rPr>
                <w:rFonts w:ascii="Arial" w:cs="Arial" w:eastAsia="Arial" w:hAnsi="Arial"/>
                <w:sz w:val="11"/>
                <w:szCs w:val="11"/>
                <w:color w:val="auto"/>
              </w:rPr>
              <w:t>(N)</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16,514</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11,737</w:t>
            </w:r>
          </w:p>
        </w:tc>
        <w:tc>
          <w:tcPr>
            <w:tcW w:w="860" w:type="dxa"/>
            <w:vAlign w:val="bottom"/>
          </w:tcPr>
          <w:p>
            <w:pPr>
              <w:ind w:left="80"/>
              <w:spacing w:after="0"/>
              <w:rPr>
                <w:sz w:val="20"/>
                <w:szCs w:val="20"/>
                <w:color w:val="auto"/>
              </w:rPr>
            </w:pPr>
            <w:r>
              <w:rPr>
                <w:rFonts w:ascii="Arial" w:cs="Arial" w:eastAsia="Arial" w:hAnsi="Arial"/>
                <w:sz w:val="11"/>
                <w:szCs w:val="11"/>
                <w:color w:val="auto"/>
              </w:rPr>
              <w:t>(O)</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(5,002)</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4"/>
              <w:spacing w:after="0"/>
              <w:rPr>
                <w:sz w:val="20"/>
                <w:szCs w:val="20"/>
                <w:color w:val="auto"/>
              </w:rPr>
            </w:pPr>
            <w:r>
              <w:rPr>
                <w:rFonts w:ascii="Arial" w:cs="Arial" w:eastAsia="Arial" w:hAnsi="Arial"/>
                <w:sz w:val="18"/>
                <w:szCs w:val="18"/>
                <w:color w:val="auto"/>
              </w:rPr>
              <w:t>(2,925)</w:t>
            </w:r>
            <w:r>
              <w:rPr>
                <w:rFonts w:ascii="Arial" w:cs="Arial" w:eastAsia="Arial" w:hAnsi="Arial"/>
                <w:sz w:val="11"/>
                <w:szCs w:val="11"/>
                <w:color w:val="auto"/>
              </w:rPr>
              <w:t>(N)</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23,288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4"/>
              <w:spacing w:after="0"/>
              <w:rPr>
                <w:sz w:val="20"/>
                <w:szCs w:val="20"/>
                <w:color w:val="auto"/>
              </w:rPr>
            </w:pPr>
            <w:r>
              <w:rPr>
                <w:rFonts w:ascii="Arial" w:cs="Arial" w:eastAsia="Arial" w:hAnsi="Arial"/>
                <w:sz w:val="18"/>
                <w:szCs w:val="18"/>
                <w:color w:val="auto"/>
              </w:rPr>
              <w:t>(115)</w:t>
            </w:r>
            <w:r>
              <w:rPr>
                <w:rFonts w:ascii="Arial" w:cs="Arial" w:eastAsia="Arial" w:hAnsi="Arial"/>
                <w:sz w:val="11"/>
                <w:szCs w:val="11"/>
                <w:color w:val="auto"/>
              </w:rPr>
              <w:t>(I)</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1,384</w:t>
            </w:r>
          </w:p>
        </w:tc>
        <w:tc>
          <w:tcPr>
            <w:tcW w:w="860" w:type="dxa"/>
            <w:vAlign w:val="bottom"/>
          </w:tcPr>
          <w:p>
            <w:pPr>
              <w:ind w:left="80"/>
              <w:spacing w:after="0"/>
              <w:rPr>
                <w:sz w:val="20"/>
                <w:szCs w:val="20"/>
                <w:color w:val="auto"/>
              </w:rPr>
            </w:pPr>
            <w:r>
              <w:rPr>
                <w:rFonts w:ascii="Arial" w:cs="Arial" w:eastAsia="Arial" w:hAnsi="Arial"/>
                <w:sz w:val="11"/>
                <w:szCs w:val="11"/>
                <w:color w:val="auto"/>
              </w:rPr>
              <w:t>(M)</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income/(loss)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(24)</w:t>
            </w:r>
            <w:r>
              <w:rPr>
                <w:rFonts w:ascii="Arial" w:cs="Arial" w:eastAsia="Arial" w:hAnsi="Arial"/>
                <w:sz w:val="11"/>
                <w:szCs w:val="11"/>
                <w:color w:val="auto"/>
              </w:rPr>
              <w:t>(N)</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(2,651)</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60" w:type="dxa"/>
            <w:vAlign w:val="bottom"/>
          </w:tcPr>
          <w:p>
            <w:pPr>
              <w:ind w:left="80"/>
              <w:spacing w:after="0"/>
              <w:rPr>
                <w:sz w:val="20"/>
                <w:szCs w:val="20"/>
                <w:color w:val="auto"/>
              </w:rPr>
            </w:pPr>
            <w:r>
              <w:rPr>
                <w:rFonts w:ascii="Arial" w:cs="Arial" w:eastAsia="Arial" w:hAnsi="Arial"/>
                <w:sz w:val="11"/>
                <w:szCs w:val="11"/>
                <w:color w:val="auto"/>
              </w:rPr>
              <w:t>(M)</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Schlumberger/Smith stockholders’ equity</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32,149</w:t>
            </w:r>
          </w:p>
        </w:tc>
        <w:tc>
          <w:tcPr>
            <w:tcW w:w="0" w:type="dxa"/>
            <w:vAlign w:val="bottom"/>
          </w:tcPr>
          <w:p>
            <w:pPr>
              <w:spacing w:after="0"/>
              <w:rPr>
                <w:sz w:val="1"/>
                <w:szCs w:val="1"/>
                <w:color w:val="auto"/>
              </w:rPr>
            </w:pPr>
          </w:p>
        </w:tc>
      </w:tr>
      <w:tr>
        <w:trPr>
          <w:trHeight w:val="223"/>
        </w:trPr>
        <w:tc>
          <w:tcPr>
            <w:tcW w:w="634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24"/>
              <w:spacing w:after="0"/>
              <w:rPr>
                <w:sz w:val="20"/>
                <w:szCs w:val="20"/>
                <w:color w:val="auto"/>
              </w:rPr>
            </w:pPr>
            <w:r>
              <w:rPr>
                <w:rFonts w:ascii="Arial" w:cs="Arial" w:eastAsia="Arial" w:hAnsi="Arial"/>
                <w:sz w:val="18"/>
                <w:szCs w:val="18"/>
                <w:color w:val="auto"/>
              </w:rPr>
              <w:t>(1,282)</w:t>
            </w:r>
            <w:r>
              <w:rPr>
                <w:rFonts w:ascii="Arial" w:cs="Arial" w:eastAsia="Arial" w:hAnsi="Arial"/>
                <w:sz w:val="11"/>
                <w:szCs w:val="11"/>
                <w:color w:val="auto"/>
              </w:rPr>
              <w:t>(P)</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33,465</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10,739</w:t>
            </w:r>
          </w:p>
        </w:tc>
        <w:tc>
          <w:tcPr>
            <w:tcW w:w="36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8,401</w:t>
            </w:r>
          </w:p>
        </w:tc>
        <w:tc>
          <w:tcPr>
            <w:tcW w:w="8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52,605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year ended December 31, 2009</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Pro Forma</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6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Smith</w:t>
            </w:r>
          </w:p>
        </w:tc>
        <w:tc>
          <w:tcPr>
            <w:tcW w:w="62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Reclassifications (AA)</w:t>
            </w:r>
          </w:p>
        </w:tc>
        <w:tc>
          <w:tcPr>
            <w:tcW w:w="6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Combined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8,218</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(131)</w:t>
            </w:r>
            <w:r>
              <w:rPr>
                <w:rFonts w:ascii="Arial" w:cs="Arial" w:eastAsia="Arial" w:hAnsi="Arial"/>
                <w:sz w:val="11"/>
                <w:szCs w:val="11"/>
                <w:color w:val="auto"/>
              </w:rPr>
              <w:t>(CC)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17,395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5,969</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7"/>
              </w:rPr>
              <w:t>(52)</w:t>
            </w:r>
            <w:r>
              <w:rPr>
                <w:rFonts w:ascii="Arial" w:cs="Arial" w:eastAsia="Arial" w:hAnsi="Arial"/>
                <w:sz w:val="11"/>
                <w:szCs w:val="11"/>
                <w:color w:val="auto"/>
                <w:w w:val="97"/>
              </w:rPr>
              <w:t>(DD)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 xml:space="preserve">229 </w:t>
            </w:r>
            <w:r>
              <w:rPr>
                <w:rFonts w:ascii="Arial" w:cs="Arial" w:eastAsia="Arial" w:hAnsi="Arial"/>
                <w:sz w:val="11"/>
                <w:szCs w:val="11"/>
                <w:color w:val="auto"/>
                <w:w w:val="98"/>
              </w:rPr>
              <w:t>(EE)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1"/>
                <w:szCs w:val="11"/>
                <w:color w:val="auto"/>
              </w:rPr>
              <w:t>(FF)</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2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general &amp; administrative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1,651</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(1,651)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5"/>
              </w:rPr>
              <w:t>(56)</w:t>
            </w:r>
            <w:r>
              <w:rPr>
                <w:rFonts w:ascii="Arial" w:cs="Arial" w:eastAsia="Arial" w:hAnsi="Arial"/>
                <w:sz w:val="11"/>
                <w:szCs w:val="11"/>
                <w:color w:val="auto"/>
                <w:w w:val="95"/>
              </w:rPr>
              <w:t>(GG)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taxes</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451</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1"/>
                <w:szCs w:val="11"/>
                <w:color w:val="auto"/>
              </w:rPr>
              <w:t>(CC)</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(46)</w:t>
            </w:r>
            <w:r>
              <w:rPr>
                <w:rFonts w:ascii="Arial" w:cs="Arial" w:eastAsia="Arial" w:hAnsi="Arial"/>
                <w:sz w:val="11"/>
                <w:szCs w:val="11"/>
                <w:color w:val="auto"/>
                <w:w w:val="97"/>
              </w:rPr>
              <w:t>(HH)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 xml:space="preserve">150 </w:t>
            </w:r>
            <w:r>
              <w:rPr>
                <w:rFonts w:ascii="Arial" w:cs="Arial" w:eastAsia="Arial" w:hAnsi="Arial"/>
                <w:sz w:val="11"/>
                <w:szCs w:val="11"/>
                <w:color w:val="auto"/>
                <w:w w:val="99"/>
              </w:rPr>
              <w:t>(CC)</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w:t>
            </w: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Schlumberger/Smith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attributable to Schlumberger/Smith:</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0.66</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r>
              <w:rPr>
                <w:rFonts w:ascii="Arial" w:cs="Arial" w:eastAsia="Arial" w:hAnsi="Arial"/>
                <w:sz w:val="13"/>
                <w:szCs w:val="13"/>
                <w:color w:val="auto"/>
              </w:rPr>
              <w:t>(II)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21, 2010, Schlumberger and Smith entered into a merger agreement pursuant to which, subject to the terms and conditions set forth in the merger agreement, Smith will become a wholly owned subsidiary of Schlumberger. At the effective time of the merger, shares of Smith common stock issued and outstanding immediately prior to the effective time of the merger will be converted into the right to receive 0.6966 shares of Schlumberger common stock, with cash paid in lieu of fractional shares.</w:t>
      </w:r>
    </w:p>
    <w:p>
      <w:pPr>
        <w:spacing w:after="0" w:line="14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At the effective time of the merger, each outstanding option to purchase Smith common stock will be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will be determined by multiplying the number of shares of Smith common stock underlying such Smith stock options by the 0.6966 exchange ratio, and rounding down to the nearest whole share. The exercise price per share of each converted Smith stock option will be determined by dividing the per share exercise price of such stock option by the 0.6966 exchange ratio, and rounding up to the nearest whole cent (each option, as so adjusted, an “adjusted option”).</w:t>
      </w:r>
    </w:p>
    <w:p>
      <w:pPr>
        <w:spacing w:after="0" w:line="12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Smith stock options, whether or not then vested and exercisable, will become fully vested and exercisable (except for options granted between the date of the merger agreement and closing, which will not automatically vest) and assumed by Schlumberger at the effective date of the merger in accordance with preexisting change-in-control provisions. Smith stock options granted between the date of the merger agreement and closing will continue to vest and become exercisable for Schlumberger common stock according to their original terms, subject to the adjustments described in the paragraph above. The fair value of the adjusted options, whether vested or unvested, will be recorded as part of the purchase consideration transferred, to the extent that pre-acquisition services have been rendered. The remainder of the fair value of the unvested options, if any, will be recorded as compensation expense over the future vesting period in the periods following the merger completion date.</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At the effective time of the merger, Smith restricted stock units, whether or not then vested, will become fully vested (except for grants between the date of the merger agreement and closing, which will not automatically vest) and converted into shares of Schlumberger common stock in connection with the merger, in an amount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 To the extent the fair value is attributable to pre-acquisition services, it will be recorded as part of the purchase consideration transferred, and the remainder, if any, will be recorded as compensation expense over the future vesting period in the periods following the merger completion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merger is reflected in the unaudited pro forma condensed combined financial statements as being accounted for under the acquisition method of accounting. Under the acquisition method, the total estimated purchase price as described in Note 3 will be measured at the closing date of the merger using the market price of Schlumberger common stock at that time. Therefore, this may result in a per-share equity value that is different from that assumed for purposes of preparing these unaudited pro forma condensed combined financial statements. The assets and liabilities of Smith have been measured at fair value based on various preliminary estimates using assumptions that Schlumberger management believes are reasonable utilizing information currently available. Use of different estimates and judgments could yield materially different results. There are limitations on the type of information that can be exchanged between Schlumberger and Smith at this time. Until the merger is complete, Schlumberger will not have complete access to all relevant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Smith as of the effective date of the merger will be allocated to goodwill. The purchase price allocation is subject to finalization of Schlumberger’s analysis of the fair value of the assets and liabilities of Smith as of the effective date of the merger. Accordingly, the purchase price allocation in the unaudited pro forma condensed combined financial statements is preliminary and will be adjusted upon completion of the final valuation. Such adjustments could be material.</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Smith or the costs necessary to achieve these cost savings, operating synergies and revenue enhancements.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completion of the merger, Schlumberger will perform a detailed review of Smith’s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reclassifications have been made to the historical presentation of Smith to conform to the presentation used in the unaudited pro forma condensed combined statement of income. Upon consummation of the merger, further review of Smith’s financial statements may result in additional revisions to Smith’s classifications to conform to Schlumberger’s presentation.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Smith.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exchange ratio and per share amounts)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February 28, 2010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0" w:type="dxa"/>
            <w:vAlign w:val="bottom"/>
            <w:gridSpan w:val="3"/>
          </w:tcPr>
          <w:p>
            <w:pPr>
              <w:spacing w:after="0"/>
              <w:rPr>
                <w:sz w:val="20"/>
                <w:szCs w:val="20"/>
                <w:color w:val="auto"/>
              </w:rPr>
            </w:pPr>
            <w:r>
              <w:rPr>
                <w:rFonts w:ascii="Arial" w:cs="Arial" w:eastAsia="Arial" w:hAnsi="Arial"/>
                <w:sz w:val="18"/>
                <w:szCs w:val="18"/>
                <w:color w:val="auto"/>
              </w:rPr>
              <w:t>Number of Smith unvested restricted stock units outstanding as of February 28, 2010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0" w:type="dxa"/>
            <w:vAlign w:val="bottom"/>
            <w:gridSpan w:val="3"/>
          </w:tcPr>
          <w:p>
            <w:pPr>
              <w:spacing w:after="0"/>
              <w:rPr>
                <w:sz w:val="20"/>
                <w:szCs w:val="20"/>
                <w:color w:val="auto"/>
              </w:rPr>
            </w:pPr>
            <w:r>
              <w:rPr>
                <w:rFonts w:ascii="Arial" w:cs="Arial" w:eastAsia="Arial" w:hAnsi="Arial"/>
                <w:sz w:val="18"/>
                <w:szCs w:val="18"/>
                <w:color w:val="auto"/>
              </w:rPr>
              <w:t>Multiplied by the exchange ratio</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0.6966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Equivalent new Schlumberger shares of common stock to be issued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0" w:type="dxa"/>
            <w:vAlign w:val="bottom"/>
            <w:gridSpan w:val="3"/>
          </w:tcPr>
          <w:p>
            <w:pPr>
              <w:spacing w:after="0"/>
              <w:rPr>
                <w:sz w:val="20"/>
                <w:szCs w:val="20"/>
                <w:color w:val="auto"/>
              </w:rPr>
            </w:pPr>
            <w:r>
              <w:rPr>
                <w:rFonts w:ascii="Arial" w:cs="Arial" w:eastAsia="Arial" w:hAnsi="Arial"/>
                <w:sz w:val="18"/>
                <w:szCs w:val="18"/>
                <w:color w:val="auto"/>
              </w:rPr>
              <w:t>Schlumberger common stock share price on April 9, 2010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0" w:type="dxa"/>
            <w:vAlign w:val="bottom"/>
            <w:gridSpan w:val="3"/>
          </w:tcPr>
          <w:p>
            <w:pPr>
              <w:spacing w:after="0"/>
              <w:rPr>
                <w:sz w:val="20"/>
                <w:szCs w:val="20"/>
                <w:color w:val="auto"/>
              </w:rPr>
            </w:pPr>
            <w:r>
              <w:rPr>
                <w:rFonts w:ascii="Arial" w:cs="Arial" w:eastAsia="Arial" w:hAnsi="Arial"/>
                <w:sz w:val="18"/>
                <w:szCs w:val="18"/>
                <w:color w:val="auto"/>
              </w:rPr>
              <w:t>Fair value of Schlumberger equivalent stock options to be issued (a)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 (b)</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as of April 9, 2010 using the Black-Scholes valuation model utilizing the following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$66.53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9"/>
              </w:rPr>
              <w:t>$16.87-$55.68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8"/>
              </w:rPr>
              <w:t>37%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6"/>
              </w:rPr>
              <w:t>1.25%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6"/>
              </w:rPr>
              <w:t>0.40%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term</w:t>
            </w:r>
          </w:p>
        </w:tc>
        <w:tc>
          <w:tcPr>
            <w:tcW w:w="4000" w:type="dxa"/>
            <w:vAlign w:val="bottom"/>
          </w:tcPr>
          <w:p>
            <w:pPr>
              <w:ind w:left="3040"/>
              <w:spacing w:after="0"/>
              <w:rPr>
                <w:sz w:val="20"/>
                <w:szCs w:val="20"/>
                <w:color w:val="auto"/>
              </w:rPr>
            </w:pPr>
            <w:r>
              <w:rPr>
                <w:rFonts w:ascii="Arial" w:cs="Arial" w:eastAsia="Arial" w:hAnsi="Arial"/>
                <w:sz w:val="18"/>
                <w:szCs w:val="18"/>
                <w:color w:val="auto"/>
              </w:rPr>
              <w:t>1 year</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$37.74</w:t>
            </w:r>
          </w:p>
        </w:tc>
      </w:tr>
    </w:tbl>
    <w:p>
      <w:pPr>
        <w:spacing w:after="0" w:line="73" w:lineRule="exact"/>
        <w:rPr>
          <w:sz w:val="20"/>
          <w:szCs w:val="20"/>
          <w:color w:val="auto"/>
        </w:rPr>
      </w:pPr>
    </w:p>
    <w:p>
      <w:pPr>
        <w:ind w:left="460" w:right="40" w:hanging="452"/>
        <w:spacing w:after="0" w:line="255"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This requirement will likely result in a per-share equity component different from what has been assumed in these unaudited pro forma condensed combined financial statements and that difference may be material.</w:t>
      </w:r>
    </w:p>
    <w:p>
      <w:pPr>
        <w:spacing w:after="0" w:line="61"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Assuming a $1.00 change in Schlumberger’s closing common stock price, the estimated consideration transferred would increase or decrease by approximately $177 million, which would be reflected in these unaudited pro forma condensed combined financial statements as an increase or decrease to goodwill. Furthermore, for every 10% change in Schlumberger’s stock price, the estimated consideration transferred would increase or decrease by approximately $1.2 billion, which would result in a corresponding increase or decrease in goodwill.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in the merger, reconciled to the estimate of consideration expected to be transferred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December 31, 2009</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noncontrolling interest balance relating to M-I SWACO</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Smith historical goodwill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historical intangible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Smith historical deferred tax liabilities relating to intangible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Surviving postcombination noncontrolling interests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the value of inventory</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value of fixed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5,385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book value of long-term debt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(1,911)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7,715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Gain on investment in affiliate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discussion of the adjustments made to Smith’s assets and liabilities in connection with the preparation of these unaudited pro forma condensed combined financial statements.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estimated adjustment to write up inventories to fair value is comprised of two components, approximately $115 million for inventories</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at FIFO cost and $175 million for inventories carried at LIFO cost. With regard to the $115 million adjustment to FIFO inventories, cost of revenue will reflect this increased valuation as this inventory is sold. Accordingly, Schlumberger margins will be temporarily reduced in the initial periods subsequent to merger. With regard to the $175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Fixed Assets: </w:t>
      </w:r>
      <w:r>
        <w:rPr>
          <w:rFonts w:ascii="Arial" w:cs="Arial" w:eastAsia="Arial" w:hAnsi="Arial"/>
          <w:sz w:val="16"/>
          <w:szCs w:val="16"/>
          <w:color w:val="auto"/>
        </w:rPr>
        <w:t>For purposes of these unaudited pro forma condensed combined financial statements, Schlumberger has estimated that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increase fixed assets to their fair value would approximate $150 million. This estimate of fair value is preliminary and subject to change once Schlumberger has sufficient information as to the specific types, nature, age, condition and location of Smith’s fixed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fair value of identifiable intangible assets is determined primarily using the “income approach,” which requires a forecast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and the assessment of the asset’s life cycle, as well as other factors. However, for purposes of these unaudited pro forma condensed combined financial statements, using certain high-level assumptions, the fair value of the identifiable intangible assets and their weighted-average useful lives have been estimated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Annual</w:t>
            </w:r>
          </w:p>
        </w:tc>
      </w:tr>
      <w:tr>
        <w:trPr>
          <w:trHeight w:val="149"/>
        </w:trPr>
        <w:tc>
          <w:tcPr>
            <w:tcW w:w="68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Estimated</w:t>
            </w:r>
          </w:p>
        </w:tc>
        <w:tc>
          <w:tcPr>
            <w:tcW w:w="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78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61"/>
        </w:trPr>
        <w:tc>
          <w:tcPr>
            <w:tcW w:w="68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Expense</w:t>
            </w:r>
          </w:p>
        </w:tc>
      </w:tr>
      <w:tr>
        <w:trPr>
          <w:trHeight w:val="142"/>
        </w:trPr>
        <w:tc>
          <w:tcPr>
            <w:tcW w:w="688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7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78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Technology / Technical Know-How</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Tradenames / Trademarks</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22"/>
        </w:trPr>
        <w:tc>
          <w:tcPr>
            <w:tcW w:w="68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5,385</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r>
      <w:tr>
        <w:trPr>
          <w:trHeight w:val="20"/>
        </w:trPr>
        <w:tc>
          <w:tcPr>
            <w:tcW w:w="6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$22 million, assuming an overall weighted-average useful life of 24 years. Once Schlumberger has full access to the specifics of Smith’s intangible assets, additional insight will be gained that could impact: (i) the estimated total value assigned to intangible assets and (ii) the estimated weighted average useful life of each category of intangible assets. The estimated intangible asset values and their useful lives could be impacted by a variety of factors that may become known to Schlumberger only upon access to the additional information and/or changes in such factors that may occur prior to the effective time of the merger.</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The carrying value of Smith’s long-term debt will be remeasured to its fair value as of the closing of the merger. The ultimate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long-term debt may vary significantly at the merger completion date based on market conditions at that time.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Deferred tax liabilities: </w:t>
      </w:r>
      <w:r>
        <w:rPr>
          <w:rFonts w:ascii="Arial" w:cs="Arial" w:eastAsia="Arial" w:hAnsi="Arial"/>
          <w:sz w:val="16"/>
          <w:szCs w:val="16"/>
          <w:color w:val="auto"/>
        </w:rPr>
        <w:t>As of the effective date of the merger, adjustments will be made for deferred taxes as part of the accounting for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This adjustment reflects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Gain on investment in affiliates: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M-I SWACO, a drilling fluids joint venture that is 40% owned by Schlumberger and 60% owned by Smith.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M-I SWACO,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a difference in basis between Smith’s noncontrolling interest balance relating to M-I SWACO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M-I SWACO.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96"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in connection with Smith revenue relating to Schlumberger.</w:t>
      </w:r>
    </w:p>
    <w:p>
      <w:pPr>
        <w:spacing w:after="0" w:line="211"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adjust acquired inventory to an estimate of fair value. Schlumberger’s cost of revenue will reflect the increased valuation of Smith’s inventory as the acquired inventory is sold. This adjustment does not have a continuing impact on the combined operating results and as such, it is not included in the unaudited pro forma condensed combined statement of income.</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eliminate Schlumberger’s investment in M-I SWACO.</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adjust for the estimated differences between the carrying value and fair value of the fixed assets. See Note 4 for further details.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eliminate Smith’s historical goodwill.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eliminate Smith’s historical intangible assets.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record the estimated fair value of identifiable intangible assets. See Note 4 for further details.</w:t>
      </w:r>
    </w:p>
    <w:p>
      <w:pPr>
        <w:spacing w:after="0" w:line="211"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Reflects an estimate of Schlumberger’s merger-related transaction costs including advisory and legal fees as well as amounts relating to employee benefits such as change in control payments and retention bonuses. These amounts will be expensed as incurred and are not reflected in the unaudited pro forma condensed combined statement of income because they will not have a continuing impact. No adjustment has been made for merger-related costs to be incurred by Smith, which are estimated to be approximately $65 million.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Reflects an adjustment to increase the carrying value of Smith’s long-term debt to its estimated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Represents an adjustment to eliminate deferred tax liabilities associated with Smith’s preacquisition intangible assets and goodwill.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3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adjustment to deferred tax liabilities represents the estimated deferred tax liability based on the U.S. federal statutory tax rate of 35% multiplied by the fair value adjustments made to assets acquired and liabilities assumed, excluding goodwill, as calculated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Establish deferred tax liabilities (assets) for the following (in millions):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Identified intangible assets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$5,385</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inventory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Increase in the basis of fixed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long-term debt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200" w:type="dxa"/>
            <w:vAlign w:val="bottom"/>
          </w:tcPr>
          <w:p>
            <w:pPr>
              <w:spacing w:after="0"/>
              <w:rPr>
                <w:sz w:val="19"/>
                <w:szCs w:val="19"/>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 statutory tax rate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$ 1,911</w:t>
            </w:r>
          </w:p>
        </w:tc>
        <w:tc>
          <w:tcPr>
            <w:tcW w:w="2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220" w:hanging="446"/>
        <w:spacing w:after="0" w:line="306"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Represents the preliminary fair value adjustment associated with Schlumberger’s previously held equity interest in the M-I SWACO joint venture, resulting in an estimated after-tax gain of $1.407 billion, net of deferred taxes of $45 million. Because this adjustment will not have a continuing impact, it is excluded from the unaudited pro forma condensed combined statement of income. See Note 4 for further details.</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Reflects adjustments to eliminate Smith’s historical equity balances.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record merger consideration at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eliminate Smith’s noncontrolling interest balance relating to the M-I SWACO joint venture with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Income Statement</w:t>
      </w:r>
    </w:p>
    <w:p>
      <w:pPr>
        <w:spacing w:after="0" w:line="96" w:lineRule="exact"/>
        <w:rPr>
          <w:sz w:val="20"/>
          <w:szCs w:val="20"/>
          <w:color w:val="auto"/>
        </w:rPr>
      </w:pPr>
    </w:p>
    <w:p>
      <w:pPr>
        <w:ind w:left="1020" w:right="20" w:hanging="566"/>
        <w:spacing w:after="0" w:line="268"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Certain reclassifications have been made to Smith’s historical statement of income to conform to Schlumberger’s presentation, primarily relating to selling and research and engineering expenses.</w:t>
      </w:r>
    </w:p>
    <w:p>
      <w:pPr>
        <w:spacing w:after="0" w:line="172" w:lineRule="exact"/>
        <w:rPr>
          <w:rFonts w:ascii="Arial" w:cs="Arial" w:eastAsia="Arial" w:hAnsi="Arial"/>
          <w:sz w:val="18"/>
          <w:szCs w:val="18"/>
          <w:color w:val="auto"/>
        </w:rPr>
      </w:pPr>
    </w:p>
    <w:p>
      <w:pPr>
        <w:ind w:left="1020" w:hanging="566"/>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Reflects the elimination of revenue and cost of revenue in connection with Smith sales to Schlumberger.</w:t>
      </w:r>
    </w:p>
    <w:p>
      <w:pPr>
        <w:spacing w:after="0" w:line="211" w:lineRule="exact"/>
        <w:rPr>
          <w:rFonts w:ascii="Arial" w:cs="Arial" w:eastAsia="Arial" w:hAnsi="Arial"/>
          <w:sz w:val="18"/>
          <w:szCs w:val="18"/>
          <w:color w:val="auto"/>
        </w:rPr>
      </w:pPr>
    </w:p>
    <w:p>
      <w:pPr>
        <w:ind w:left="1020" w:hanging="566"/>
        <w:spacing w:after="0" w:line="294" w:lineRule="auto"/>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Reflects the elimination of Schlumberger’s equity earnings relating to the M-I SWACO joint venture as well as Smith’s corresponding noncontrolling interest in the net income of the venture, respectively. This joint venture is structured as a partnership in the U.S. Smith consolidates the results of M-I SWACO and, as such, has reflected the pretax income of the entire joint venture (including the U.S. partnership), and has appropriately not recorded income taxes associated with Schlumberger’s 40% interest in the U.S. partnership. Therefore, an adjustment is required to reclassify these additional taxes which were previously reflected as a component of Schlumberger’s equity income.</w:t>
      </w:r>
    </w:p>
    <w:p>
      <w:pPr>
        <w:spacing w:after="0" w:line="156" w:lineRule="exact"/>
        <w:rPr>
          <w:rFonts w:ascii="Arial" w:cs="Arial" w:eastAsia="Arial" w:hAnsi="Arial"/>
          <w:sz w:val="16"/>
          <w:szCs w:val="16"/>
          <w:color w:val="auto"/>
        </w:rPr>
      </w:pPr>
    </w:p>
    <w:p>
      <w:pPr>
        <w:ind w:left="1020" w:hanging="566"/>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eliminate Smith’s historical intangible asset amortization expense.</w:t>
      </w:r>
    </w:p>
    <w:p>
      <w:pPr>
        <w:spacing w:after="0" w:line="211" w:lineRule="exact"/>
        <w:rPr>
          <w:rFonts w:ascii="Arial" w:cs="Arial" w:eastAsia="Arial" w:hAnsi="Arial"/>
          <w:sz w:val="18"/>
          <w:szCs w:val="18"/>
          <w:color w:val="auto"/>
        </w:rPr>
      </w:pPr>
    </w:p>
    <w:p>
      <w:pPr>
        <w:ind w:left="1020" w:hanging="566"/>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211" w:lineRule="exact"/>
        <w:rPr>
          <w:rFonts w:ascii="Arial" w:cs="Arial" w:eastAsia="Arial" w:hAnsi="Arial"/>
          <w:sz w:val="18"/>
          <w:szCs w:val="18"/>
          <w:color w:val="auto"/>
        </w:rPr>
      </w:pPr>
    </w:p>
    <w:p>
      <w:pPr>
        <w:ind w:left="1020" w:right="100" w:hanging="566"/>
        <w:spacing w:after="0" w:line="268"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incremental depreciation expense associated with the estimated fair value adjustment related to Smith’s fixed assets over the estimated remaining useful life of 15 years.</w:t>
      </w:r>
    </w:p>
    <w:p>
      <w:pPr>
        <w:spacing w:after="0" w:line="172" w:lineRule="exact"/>
        <w:rPr>
          <w:rFonts w:ascii="Arial" w:cs="Arial" w:eastAsia="Arial" w:hAnsi="Arial"/>
          <w:sz w:val="18"/>
          <w:szCs w:val="18"/>
          <w:color w:val="auto"/>
        </w:rPr>
      </w:pPr>
    </w:p>
    <w:p>
      <w:pPr>
        <w:ind w:left="1020" w:right="360" w:hanging="566"/>
        <w:spacing w:after="0" w:line="268"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amortization associated with the fair value adjustment to increase Smith’s fixed rate long-term debt, over the weighted-average remaining term of the obligations.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566"/>
        <w:spacing w:after="0" w:line="306" w:lineRule="auto"/>
        <w:tabs>
          <w:tab w:leader="none" w:pos="10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9020" w:type="dxa"/>
            <w:vAlign w:val="bottom"/>
          </w:tcPr>
          <w:p>
            <w:pPr>
              <w:ind w:left="420"/>
              <w:spacing w:after="0"/>
              <w:rPr>
                <w:sz w:val="20"/>
                <w:szCs w:val="20"/>
                <w:color w:val="auto"/>
              </w:rPr>
            </w:pPr>
            <w:r>
              <w:rPr>
                <w:rFonts w:ascii="Arial" w:cs="Arial" w:eastAsia="Arial" w:hAnsi="Arial"/>
                <w:sz w:val="18"/>
                <w:szCs w:val="18"/>
                <w:color w:val="auto"/>
              </w:rPr>
              <w:t>The tax impact of the pro forma adjustments has been calculated as follows (in millions):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5"/>
        </w:trPr>
        <w:tc>
          <w:tcPr>
            <w:tcW w:w="9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Smith's historical amortization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Amortization expense associated with intangible assets</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229</w:t>
            </w:r>
          </w:p>
        </w:tc>
        <w:tc>
          <w:tcPr>
            <w:tcW w:w="2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relating to fixed asset fair value adjustment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Amortization of debt fair value adjustment</w:t>
            </w:r>
          </w:p>
        </w:tc>
        <w:tc>
          <w:tcPr>
            <w:tcW w:w="8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incremental expenses</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w:t>
            </w:r>
          </w:p>
        </w:tc>
        <w:tc>
          <w:tcPr>
            <w:tcW w:w="200" w:type="dxa"/>
            <w:vAlign w:val="bottom"/>
            <w:shd w:val="clear" w:color="auto" w:fill="CCEEFF"/>
          </w:tcPr>
          <w:p>
            <w:pPr>
              <w:spacing w:after="0"/>
              <w:rPr>
                <w:sz w:val="18"/>
                <w:szCs w:val="18"/>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U.S. federal statutory tax rate</w:t>
            </w:r>
          </w:p>
        </w:tc>
        <w:tc>
          <w:tcPr>
            <w:tcW w:w="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hanging="566"/>
        <w:spacing w:after="0"/>
        <w:tabs>
          <w:tab w:leader="none" w:pos="10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Represents the adjusted weighted-average shares outstanding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2"/>
              </w:rPr>
              <w:t>Assuming</w:t>
            </w:r>
          </w:p>
        </w:tc>
      </w:tr>
      <w:tr>
        <w:trPr>
          <w:trHeight w:val="161"/>
        </w:trPr>
        <w:tc>
          <w:tcPr>
            <w:tcW w:w="812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Basic</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Dilution</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Schlumberger historical shares outstanding</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1,198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176</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8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r>
      <w:tr>
        <w:trPr>
          <w:trHeight w:val="216"/>
        </w:trPr>
        <w:tc>
          <w:tcPr>
            <w:tcW w:w="8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1,374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0"/>
        </w:trPr>
        <w:tc>
          <w:tcPr>
            <w:tcW w:w="8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dilutive effect of Smith stock options that will be converted into Schlumberger stock options is not significant.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As a result of the merger, holders of Smith common stock will become stockholders of Schlumberger, and the rights of the former stockholders of Smith will thereafter be governed by Schlumberger’s articles of incorporation and amended and restated bylaws and the Commercial Code of the Netherlands Antilles, which is referred to in this discussion as Netherlands Antilles law. The rights of Smith stockholders are currently governed by Smith’s restated certificate of incorporation and amended and restated bylaws and the Delaware General Corporation Law, which is referred to in this discussion as Delaware law.</w:t>
      </w:r>
    </w:p>
    <w:p>
      <w:pPr>
        <w:spacing w:after="0" w:line="9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summarizes certain differences between the current rights of Smith stockholders and the current rights of Schlumberger stockholders. These differences arise in part from the differences between Netherlands Antilles law and Delaware law. Additional differences arise from the governing instruments of the two companies.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Netherlands Antilles law and Delaware law and Schlumberger’s and Smith’s governing instruments differ with respect to stockholder rights, the following discussion summarizes the material differences between them. This summary is not intended to be complete, and it is qualified in its entirety by reference to Netherlands Antilles law, Delaware law, Schlumberger’s articles of incorporation and amended and restated bylaws and Smith’s restated certificate of incorporation and amended and restated bylaws. You are encouraged to carefully read this entire proxy statement/prospectus, the relevant provisions of Netherlands Antilles law and Delaware law and the other documents to which Schlumberger and Smith refer in this proxy statement/prospectus for a more complete understanding of the differences between the rights of a Schlumberger stockholder and the rights of a Smith stockholder. Schlumberger and Smith have filed with the Securities and Exchange Commission their respective governing documents referenced in this comparison of shareholder rights. See “Where You Can Find More Information.”</w:t>
      </w:r>
    </w:p>
    <w:p>
      <w:pPr>
        <w:sectPr>
          <w:pgSz w:w="11900" w:h="16838" w:orient="portrait"/>
          <w:cols w:equalWidth="0" w:num="1">
            <w:col w:w="11400"/>
          </w:cols>
          <w:pgMar w:left="240" w:top="459" w:right="259" w:bottom="1440" w:gutter="0" w:footer="0" w:header="0"/>
        </w:sectPr>
      </w:pP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13"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Authorized Stock</w:t>
      </w:r>
      <w:r>
        <w:rPr>
          <w:sz w:val="20"/>
          <w:szCs w:val="20"/>
          <w:color w:val="auto"/>
        </w:rPr>
        <w:tab/>
      </w:r>
      <w:r>
        <w:rPr>
          <w:rFonts w:ascii="Arial" w:cs="Arial" w:eastAsia="Arial" w:hAnsi="Arial"/>
          <w:sz w:val="15"/>
          <w:szCs w:val="15"/>
          <w:color w:val="auto"/>
        </w:rPr>
        <w:t>The authorized capital stock of Smith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-130175</wp:posOffset>
            </wp:positionV>
            <wp:extent cx="28213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 w:lineRule="exact"/>
        <w:rPr>
          <w:sz w:val="20"/>
          <w:szCs w:val="20"/>
          <w:color w:val="auto"/>
        </w:rPr>
      </w:pPr>
    </w:p>
    <w:p>
      <w:pPr>
        <w:ind w:left="2780" w:hanging="246"/>
        <w:spacing w:after="0"/>
        <w:tabs>
          <w:tab w:leader="none" w:pos="2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500,000,000 shares of Smith common stock and</w:t>
      </w:r>
    </w:p>
    <w:p>
      <w:pPr>
        <w:spacing w:after="0" w:line="9" w:lineRule="exact"/>
        <w:rPr>
          <w:rFonts w:ascii="Arial" w:cs="Arial" w:eastAsia="Arial" w:hAnsi="Arial"/>
          <w:sz w:val="18"/>
          <w:szCs w:val="18"/>
          <w:color w:val="auto"/>
        </w:rPr>
      </w:pPr>
    </w:p>
    <w:p>
      <w:pPr>
        <w:ind w:left="2780" w:hanging="246"/>
        <w:spacing w:after="0"/>
        <w:tabs>
          <w:tab w:leader="none" w:pos="2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5,000,000 shares of preferred stock.</w:t>
      </w:r>
    </w:p>
    <w:p>
      <w:pPr>
        <w:spacing w:after="0" w:line="111" w:lineRule="exact"/>
        <w:rPr>
          <w:sz w:val="20"/>
          <w:szCs w:val="20"/>
          <w:color w:val="auto"/>
        </w:rPr>
      </w:pPr>
    </w:p>
    <w:p>
      <w:pPr>
        <w:ind w:left="2540"/>
        <w:spacing w:after="0" w:line="286" w:lineRule="auto"/>
        <w:rPr>
          <w:sz w:val="20"/>
          <w:szCs w:val="20"/>
          <w:color w:val="auto"/>
        </w:rPr>
      </w:pPr>
      <w:r>
        <w:rPr>
          <w:rFonts w:ascii="Arial" w:cs="Arial" w:eastAsia="Arial" w:hAnsi="Arial"/>
          <w:sz w:val="16"/>
          <w:szCs w:val="16"/>
          <w:color w:val="auto"/>
        </w:rPr>
        <w:t>Smith’s board of directors has the authority to issue shares of preferred stock in one or more classes or series and to fix</w:t>
      </w:r>
    </w:p>
    <w:p>
      <w:pPr>
        <w:ind w:left="2540" w:right="60" w:hanging="6"/>
        <w:spacing w:after="0" w:line="292" w:lineRule="auto"/>
        <w:tabs>
          <w:tab w:leader="none" w:pos="277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designations, powers, preferences privileges, (b) the relative participating, optional or special rights and (c) the qualifications, limitations or restrictions, including dividend rights, conversion rights, voting rights, terms of redemption and liquidation preferences of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Schlumberger may issue (a) 3,000,000,000 shares of Schlumberger common stock and (b) 200,000,000 shares of preferred stock.</w:t>
      </w:r>
    </w:p>
    <w:p>
      <w:pPr>
        <w:spacing w:after="0" w:line="8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Schlumberger’s board of directors has the authority to issue shares of preferred stock in one or more series and to fix</w:t>
      </w:r>
    </w:p>
    <w:p>
      <w:pPr>
        <w:ind w:right="80" w:firstLine="5"/>
        <w:spacing w:after="0" w:line="286" w:lineRule="auto"/>
        <w:tabs>
          <w:tab w:leader="none" w:pos="23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designations,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 require Schlumberger to purchase such shares, (f) any sinking fund provisions and (g) other terms that are not inconsistent with Schlumberger’s articles of incorporation and Netherlands Antilles law.</w:t>
      </w:r>
    </w:p>
    <w:p>
      <w:pPr>
        <w:sectPr>
          <w:pgSz w:w="11900" w:h="16838" w:orient="portrait"/>
          <w:cols w:equalWidth="0" w:num="2">
            <w:col w:w="6820" w:space="260"/>
            <w:col w:w="4320"/>
          </w:cols>
          <w:pgMar w:left="240" w:top="459" w:right="259" w:bottom="1440" w:gutter="0" w:footer="0" w:header="0"/>
          <w:type w:val="continuous"/>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1"/>
              </w:rPr>
              <w:t>As of the date of this proxy statement/prospectus, there were</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 shares of preferred stock outstanding.</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Voting Rights</w:t>
            </w:r>
          </w:p>
        </w:tc>
        <w:tc>
          <w:tcPr>
            <w:tcW w:w="4440" w:type="dxa"/>
            <w:vAlign w:val="bottom"/>
          </w:tcPr>
          <w:p>
            <w:pPr>
              <w:spacing w:after="0"/>
              <w:rPr>
                <w:sz w:val="20"/>
                <w:szCs w:val="20"/>
                <w:color w:val="auto"/>
              </w:rPr>
            </w:pPr>
            <w:r>
              <w:rPr>
                <w:rFonts w:ascii="Arial" w:cs="Arial" w:eastAsia="Arial" w:hAnsi="Arial"/>
                <w:sz w:val="18"/>
                <w:szCs w:val="18"/>
                <w:color w:val="auto"/>
                <w:w w:val="92"/>
              </w:rPr>
              <w:t>Smith stockholders are entitled to one vote for each share of</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Smith common stock they hold.</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Stockholder Meetings</w:t>
            </w:r>
          </w:p>
        </w:tc>
        <w:tc>
          <w:tcPr>
            <w:tcW w:w="4440" w:type="dxa"/>
            <w:vAlign w:val="bottom"/>
          </w:tcPr>
          <w:p>
            <w:pPr>
              <w:spacing w:after="0"/>
              <w:rPr>
                <w:sz w:val="20"/>
                <w:szCs w:val="20"/>
                <w:color w:val="auto"/>
              </w:rPr>
            </w:pPr>
            <w:r>
              <w:rPr>
                <w:rFonts w:ascii="Arial" w:cs="Arial" w:eastAsia="Arial" w:hAnsi="Arial"/>
                <w:sz w:val="18"/>
                <w:szCs w:val="18"/>
                <w:color w:val="auto"/>
                <w:w w:val="90"/>
              </w:rPr>
              <w:t>Smith’s bylaws provide that general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7"/>
              </w:rPr>
              <w:t>can be held wherever the Smith board of directors dictates and,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pursuant to Delaware law, a stockholder meeting must be held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no more than 13 months from the date of the last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meeting.</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Smith’s bylaws provide that special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may be called by a majority of the board of directors,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of the board of directors, the Chief Executive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Officer, the President, the Secretary or any two other officers</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of Smith.</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8"/>
          <w:szCs w:val="18"/>
          <w:color w:val="auto"/>
        </w:rPr>
        <w:t>As of the date of this proxy statement/prospectus, there were no shares of preferred stock outstanding.</w:t>
      </w:r>
    </w:p>
    <w:p>
      <w:pPr>
        <w:spacing w:after="0" w:line="7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Schlumberger stockholders are entitled to one vote for each share of Schlumberger common or preferred stock they hold.</w:t>
      </w:r>
    </w:p>
    <w:p>
      <w:pPr>
        <w:spacing w:after="0" w:line="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Schlumberger’s articles of incorporation and Netherlands Antilles law provide that all general meetings of Schlumberger stockholders must be held in the Netherlands Antilles, and a general stockholder meeting is required to be held once a year under Netherlands Antilles law.</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64" w:lineRule="exact"/>
        <w:rPr>
          <w:sz w:val="20"/>
          <w:szCs w:val="20"/>
          <w:color w:val="auto"/>
        </w:rPr>
      </w:pPr>
    </w:p>
    <w:p>
      <w:pPr>
        <w:sectPr>
          <w:pgSz w:w="11900" w:h="16838" w:orient="portrait"/>
          <w:cols w:equalWidth="0" w:num="2">
            <w:col w:w="6980" w:space="10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Stockholder Action By Written</w:t>
      </w:r>
      <w:r>
        <w:rPr>
          <w:sz w:val="20"/>
          <w:szCs w:val="20"/>
          <w:color w:val="auto"/>
        </w:rPr>
        <w:tab/>
      </w:r>
      <w:r>
        <w:rPr>
          <w:rFonts w:ascii="Arial" w:cs="Arial" w:eastAsia="Arial" w:hAnsi="Arial"/>
          <w:sz w:val="16"/>
          <w:szCs w:val="16"/>
          <w:color w:val="auto"/>
        </w:rPr>
        <w:t>Smith’s certificate of incorporation specifically denies</w:t>
      </w:r>
    </w:p>
    <w:p>
      <w:pPr>
        <w:spacing w:after="0" w:line="21"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Consent</w:t>
      </w:r>
      <w:r>
        <w:rPr>
          <w:sz w:val="20"/>
          <w:szCs w:val="20"/>
          <w:color w:val="auto"/>
        </w:rPr>
        <w:tab/>
      </w:r>
      <w:r>
        <w:rPr>
          <w:rFonts w:ascii="Arial" w:cs="Arial" w:eastAsia="Arial" w:hAnsi="Arial"/>
          <w:sz w:val="18"/>
          <w:szCs w:val="18"/>
          <w:color w:val="auto"/>
        </w:rPr>
        <w:t>stockholders the right to act by written consent.</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Under Netherlands Antilles law, stockholders may not act by written consent without a meeting, unless all stockholders entitled to vote on the matter have cast a vote.</w:t>
      </w:r>
    </w:p>
    <w:p>
      <w:pPr>
        <w:spacing w:after="0" w:line="47" w:lineRule="exact"/>
        <w:rPr>
          <w:sz w:val="20"/>
          <w:szCs w:val="20"/>
          <w:color w:val="auto"/>
        </w:rPr>
      </w:pPr>
    </w:p>
    <w:p>
      <w:pPr>
        <w:sectPr>
          <w:pgSz w:w="11900" w:h="16838" w:orient="portrait"/>
          <w:cols w:equalWidth="0" w:num="2">
            <w:col w:w="6360" w:space="72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Board of Directors</w:t>
      </w:r>
      <w:r>
        <w:rPr>
          <w:sz w:val="20"/>
          <w:szCs w:val="20"/>
          <w:color w:val="auto"/>
        </w:rPr>
        <w:tab/>
      </w:r>
      <w:r>
        <w:rPr>
          <w:rFonts w:ascii="Arial" w:cs="Arial" w:eastAsia="Arial" w:hAnsi="Arial"/>
          <w:sz w:val="16"/>
          <w:szCs w:val="16"/>
          <w:color w:val="auto"/>
        </w:rPr>
        <w:t>Under Smith’s certificate of incorporation, the Smith board of</w:t>
      </w:r>
    </w:p>
    <w:p>
      <w:pPr>
        <w:spacing w:after="0" w:line="21" w:lineRule="exact"/>
        <w:rPr>
          <w:sz w:val="20"/>
          <w:szCs w:val="20"/>
          <w:color w:val="auto"/>
        </w:rPr>
      </w:pPr>
    </w:p>
    <w:p>
      <w:pPr>
        <w:ind w:left="2540"/>
        <w:spacing w:after="0" w:line="261" w:lineRule="auto"/>
        <w:rPr>
          <w:sz w:val="20"/>
          <w:szCs w:val="20"/>
          <w:color w:val="auto"/>
        </w:rPr>
      </w:pPr>
      <w:r>
        <w:rPr>
          <w:rFonts w:ascii="Arial" w:cs="Arial" w:eastAsia="Arial" w:hAnsi="Arial"/>
          <w:sz w:val="18"/>
          <w:szCs w:val="18"/>
          <w:color w:val="auto"/>
        </w:rPr>
        <w:t>directors is divided into three classes, only one of which stands for reelection each year.</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br w:type="column"/>
      </w:r>
    </w:p>
    <w:p>
      <w:pPr>
        <w:ind w:right="640"/>
        <w:spacing w:after="0" w:line="259" w:lineRule="auto"/>
        <w:rPr>
          <w:sz w:val="20"/>
          <w:szCs w:val="20"/>
          <w:color w:val="auto"/>
        </w:rPr>
      </w:pPr>
      <w:r>
        <w:rPr>
          <w:rFonts w:ascii="Arial" w:cs="Arial" w:eastAsia="Arial" w:hAnsi="Arial"/>
          <w:sz w:val="18"/>
          <w:szCs w:val="18"/>
          <w:color w:val="auto"/>
        </w:rPr>
        <w:t>Under Schlumberger’s articles of incorporation, Schlumberger’s entire Board of Directors stands for reelection each year.</w:t>
      </w:r>
    </w:p>
    <w:p>
      <w:pPr>
        <w:sectPr>
          <w:pgSz w:w="11900" w:h="16838" w:orient="portrait"/>
          <w:cols w:equalWidth="0" w:num="2">
            <w:col w:w="6960" w:space="120"/>
            <w:col w:w="4280"/>
          </w:cols>
          <w:pgMar w:left="240" w:top="459" w:right="299" w:bottom="1440" w:gutter="0" w:footer="0" w:header="0"/>
          <w:type w:val="continuous"/>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140"/>
        <w:spacing w:after="0" w:line="254" w:lineRule="auto"/>
        <w:rPr>
          <w:sz w:val="20"/>
          <w:szCs w:val="20"/>
          <w:color w:val="auto"/>
        </w:rPr>
      </w:pPr>
      <w:r>
        <w:rPr>
          <w:rFonts w:ascii="Arial" w:cs="Arial" w:eastAsia="Arial" w:hAnsi="Arial"/>
          <w:sz w:val="18"/>
          <w:szCs w:val="18"/>
          <w:color w:val="auto"/>
        </w:rPr>
        <w:t>Under Smith’s bylaws, in uncontested elections, directors are elected by a</w:t>
      </w:r>
    </w:p>
    <w:p>
      <w:pPr>
        <w:ind w:left="2540"/>
        <w:spacing w:after="0" w:line="309" w:lineRule="auto"/>
        <w:rPr>
          <w:sz w:val="20"/>
          <w:szCs w:val="20"/>
          <w:color w:val="auto"/>
        </w:rPr>
      </w:pPr>
      <w:r>
        <w:rPr>
          <w:rFonts w:ascii="Arial" w:cs="Arial" w:eastAsia="Arial" w:hAnsi="Arial"/>
          <w:sz w:val="15"/>
          <w:szCs w:val="15"/>
          <w:color w:val="auto"/>
        </w:rPr>
        <w:t>majority of the votes cast at a meeting for the election of each director. A majority of the votes cast is defined in Smith’s bylaws to mean that the number of shares voted “for” a director’s election exceeds 50% of the number of votes cast with respect to that director’s election. Votes cast includes votes to withhold authority in each case and excludes abstentions with respect to that director’s election. In contested elections, directors are elected by a plurality of the votes cast.</w:t>
      </w:r>
    </w:p>
    <w:p>
      <w:pPr>
        <w:spacing w:after="0" w:line="67" w:lineRule="exact"/>
        <w:rPr>
          <w:sz w:val="20"/>
          <w:szCs w:val="20"/>
          <w:color w:val="auto"/>
        </w:rPr>
      </w:pPr>
    </w:p>
    <w:p>
      <w:pPr>
        <w:ind w:left="2540" w:right="60"/>
        <w:spacing w:after="0" w:line="332" w:lineRule="auto"/>
        <w:rPr>
          <w:sz w:val="20"/>
          <w:szCs w:val="20"/>
          <w:color w:val="auto"/>
        </w:rPr>
      </w:pPr>
      <w:r>
        <w:rPr>
          <w:rFonts w:ascii="Arial" w:cs="Arial" w:eastAsia="Arial" w:hAnsi="Arial"/>
          <w:sz w:val="16"/>
          <w:szCs w:val="16"/>
          <w:color w:val="auto"/>
        </w:rPr>
        <w:t>The number of directors on Smith’s board of directors is set at between six and 15 by Smith’s certificate of incorporation.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8"/>
          <w:szCs w:val="18"/>
          <w:color w:val="auto"/>
        </w:rPr>
        <w:t>Under Schlumberger’s articles of incorporation, directors are elected at a</w:t>
      </w:r>
    </w:p>
    <w:p>
      <w:pPr>
        <w:ind w:right="180"/>
        <w:spacing w:after="0" w:line="261" w:lineRule="auto"/>
        <w:rPr>
          <w:sz w:val="20"/>
          <w:szCs w:val="20"/>
          <w:color w:val="auto"/>
        </w:rPr>
      </w:pPr>
      <w:r>
        <w:rPr>
          <w:rFonts w:ascii="Arial" w:cs="Arial" w:eastAsia="Arial" w:hAnsi="Arial"/>
          <w:sz w:val="18"/>
          <w:szCs w:val="18"/>
          <w:color w:val="auto"/>
        </w:rPr>
        <w:t>general meeting of stockholders by a majority of votes cast by stockholders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number of directors on Schlumberger’s board is set at between five and 24 by Schlumberger’s articles of incorporation.</w:t>
      </w:r>
    </w:p>
    <w:p>
      <w:pPr>
        <w:spacing w:after="0" w:line="86" w:lineRule="exact"/>
        <w:rPr>
          <w:sz w:val="20"/>
          <w:szCs w:val="20"/>
          <w:color w:val="auto"/>
        </w:rPr>
      </w:pPr>
    </w:p>
    <w:p>
      <w:pPr>
        <w:sectPr>
          <w:pgSz w:w="11900" w:h="16838" w:orient="portrait"/>
          <w:cols w:equalWidth="0" w:num="2">
            <w:col w:w="6960" w:space="120"/>
            <w:col w:w="4340"/>
          </w:cols>
          <w:pgMar w:left="240" w:top="459" w:right="239" w:bottom="1440" w:gutter="0" w:footer="0" w:header="0"/>
          <w:type w:val="continuous"/>
        </w:sectPr>
      </w:pPr>
    </w:p>
    <w:p>
      <w:pPr>
        <w:ind w:left="2540"/>
        <w:spacing w:after="0"/>
        <w:tabs>
          <w:tab w:leader="none" w:pos="7060" w:val="left"/>
        </w:tabs>
        <w:rPr>
          <w:sz w:val="20"/>
          <w:szCs w:val="20"/>
          <w:color w:val="auto"/>
        </w:rPr>
      </w:pPr>
      <w:r>
        <w:rPr>
          <w:rFonts w:ascii="Arial" w:cs="Arial" w:eastAsia="Arial" w:hAnsi="Arial"/>
          <w:sz w:val="18"/>
          <w:szCs w:val="18"/>
          <w:color w:val="auto"/>
        </w:rPr>
        <w:t>Smith’s certificate of incorporation provides that a director</w:t>
      </w:r>
      <w:r>
        <w:rPr>
          <w:sz w:val="20"/>
          <w:szCs w:val="20"/>
          <w:color w:val="auto"/>
        </w:rPr>
        <w:tab/>
      </w:r>
      <w:r>
        <w:rPr>
          <w:rFonts w:ascii="Arial" w:cs="Arial" w:eastAsia="Arial" w:hAnsi="Arial"/>
          <w:sz w:val="16"/>
          <w:szCs w:val="16"/>
          <w:color w:val="auto"/>
        </w:rPr>
        <w:t>Schlumberger’s articles of incorporation and Netherlands</w:t>
      </w:r>
    </w:p>
    <w:p>
      <w:pPr>
        <w:spacing w:after="0" w:line="15"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may be removed only for cause, by holders of a majority of</w:t>
      </w:r>
      <w:r>
        <w:rPr>
          <w:sz w:val="20"/>
          <w:szCs w:val="20"/>
          <w:color w:val="auto"/>
        </w:rPr>
        <w:tab/>
      </w:r>
      <w:r>
        <w:rPr>
          <w:rFonts w:ascii="Arial" w:cs="Arial" w:eastAsia="Arial" w:hAnsi="Arial"/>
          <w:sz w:val="16"/>
          <w:szCs w:val="16"/>
          <w:color w:val="auto"/>
        </w:rPr>
        <w:t>Antilles law provide that a director may be removed at any</w:t>
      </w:r>
    </w:p>
    <w:p>
      <w:pPr>
        <w:spacing w:after="0" w:line="9"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shares entitled to vote on the election of directors.</w:t>
      </w:r>
      <w:r>
        <w:rPr>
          <w:sz w:val="20"/>
          <w:szCs w:val="20"/>
          <w:color w:val="auto"/>
        </w:rPr>
        <w:tab/>
      </w:r>
      <w:r>
        <w:rPr>
          <w:rFonts w:ascii="Arial" w:cs="Arial" w:eastAsia="Arial" w:hAnsi="Arial"/>
          <w:sz w:val="16"/>
          <w:szCs w:val="16"/>
          <w:color w:val="auto"/>
        </w:rPr>
        <w:t>general meeting of stockholders by a majority vote of the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votes cast at that meeting.</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Smith’s certificate of incorporation, the board of directors has the authority to appoint directors to fill any vacancies on the board to hold office until the expiration of the term of the class of directors to which such director is appointed.</w:t>
      </w:r>
    </w:p>
    <w:p>
      <w:pPr>
        <w:spacing w:after="0" w:line="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Smith’s bylaws generally permit stockholders to nominate director candidates or propose other proper business if the stockholder intending to make such nomination or proposal gives timely notice thereof in writing in proper form. To be timely, Smith’s bylaws require, subject to certain limited exceptions, that written notice of an intention to nominate a director candidate or to propose other proper business be received by Smith’s Secretary not earlier than 90 days and not later than 60 days prior to the first anniversary of the previous year’s annual meeting.</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None of Schlumberger’s articles of incorporation and bylaws, nor Netherlands Antilles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pacing w:after="0" w:line="490" w:lineRule="exact"/>
        <w:rPr>
          <w:sz w:val="20"/>
          <w:szCs w:val="20"/>
          <w:color w:val="auto"/>
        </w:rPr>
      </w:pPr>
    </w:p>
    <w:p>
      <w:pPr>
        <w:sectPr>
          <w:pgSz w:w="11900" w:h="16838" w:orient="portrait"/>
          <w:cols w:equalWidth="0" w:num="3">
            <w:col w:w="2400" w:space="140"/>
            <w:col w:w="4420" w:space="120"/>
            <w:col w:w="4340"/>
          </w:cols>
          <w:pgMar w:left="240" w:top="459" w:right="23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Amendment of Governing Documents</w:t>
      </w:r>
    </w:p>
    <w:p>
      <w:pPr>
        <w:spacing w:after="0" w:line="20" w:lineRule="exact"/>
        <w:rPr>
          <w:sz w:val="20"/>
          <w:szCs w:val="20"/>
          <w:color w:val="auto"/>
        </w:rPr>
      </w:pPr>
      <w:r>
        <w:rPr>
          <w:sz w:val="20"/>
          <w:szCs w:val="20"/>
          <w:color w:val="auto"/>
        </w:rPr>
        <w:br w:type="column"/>
      </w:r>
    </w:p>
    <w:p>
      <w:pPr>
        <w:spacing w:after="0"/>
        <w:tabs>
          <w:tab w:leader="none" w:pos="4520" w:val="left"/>
        </w:tabs>
        <w:rPr>
          <w:sz w:val="20"/>
          <w:szCs w:val="20"/>
          <w:color w:val="auto"/>
        </w:rPr>
      </w:pPr>
      <w:r>
        <w:rPr>
          <w:rFonts w:ascii="Arial" w:cs="Arial" w:eastAsia="Arial" w:hAnsi="Arial"/>
          <w:sz w:val="18"/>
          <w:szCs w:val="18"/>
          <w:color w:val="auto"/>
        </w:rPr>
        <w:t>Under Smith’s certificate of incorporation, a vote of 75% or</w:t>
      </w:r>
      <w:r>
        <w:rPr>
          <w:sz w:val="20"/>
          <w:szCs w:val="20"/>
          <w:color w:val="auto"/>
        </w:rPr>
        <w:tab/>
      </w:r>
      <w:r>
        <w:rPr>
          <w:rFonts w:ascii="Arial" w:cs="Arial" w:eastAsia="Arial" w:hAnsi="Arial"/>
          <w:sz w:val="16"/>
          <w:szCs w:val="16"/>
          <w:color w:val="auto"/>
        </w:rPr>
        <w:t>None of Schlumberger’s articles of incorporation and bylaws</w:t>
      </w:r>
    </w:p>
    <w:p>
      <w:pPr>
        <w:spacing w:after="0" w:line="1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more of the outstanding voting stock of Smith is</w:t>
      </w:r>
      <w:r>
        <w:rPr>
          <w:sz w:val="20"/>
          <w:szCs w:val="20"/>
          <w:color w:val="auto"/>
        </w:rPr>
        <w:tab/>
      </w:r>
      <w:r>
        <w:rPr>
          <w:rFonts w:ascii="Arial" w:cs="Arial" w:eastAsia="Arial" w:hAnsi="Arial"/>
          <w:sz w:val="16"/>
          <w:szCs w:val="16"/>
          <w:color w:val="auto"/>
        </w:rPr>
        <w:t>nor Netherlands Antilles law require a supermajority vote</w:t>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90</w:t>
      </w:r>
    </w:p>
    <w:p>
      <w:pPr>
        <w:sectPr>
          <w:pgSz w:w="11900" w:h="16838" w:orient="portrait"/>
          <w:cols w:equalWidth="0" w:num="2">
            <w:col w:w="1960" w:space="580"/>
            <w:col w:w="8880"/>
          </w:cols>
          <w:pgMar w:left="240" w:top="459" w:right="239" w:bottom="1440" w:gutter="0" w:footer="0" w:header="0"/>
          <w:type w:val="continuous"/>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necessary to amend Smith’s certificate of incorporation to</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change the provisions of Smith’s certificate of incorporation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described under “Special Vote Required for Certain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7"/>
              </w:rPr>
              <w:t>Combinations with Interested Stockholders,” unless such</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change is recommended by the board of directors, all of whom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5"/>
              </w:rPr>
              <w:t>would be “continuing directors” under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incorporation. All other amendments to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9"/>
              </w:rPr>
              <w:t>incorporation require a vote of 50% or more of the outstanding</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voting stock of Smith under Delaware law.</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Smith’s bylaws may be amended by either an 75%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vote or the vote of a majority of the board of directors.</w:t>
            </w:r>
          </w:p>
        </w:tc>
      </w:tr>
      <w:tr>
        <w:trPr>
          <w:trHeight w:val="312"/>
        </w:trPr>
        <w:tc>
          <w:tcPr>
            <w:tcW w:w="25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4440" w:type="dxa"/>
            <w:vAlign w:val="bottom"/>
          </w:tcPr>
          <w:p>
            <w:pPr>
              <w:spacing w:after="0"/>
              <w:rPr>
                <w:sz w:val="20"/>
                <w:szCs w:val="20"/>
                <w:color w:val="auto"/>
              </w:rPr>
            </w:pPr>
            <w:r>
              <w:rPr>
                <w:rFonts w:ascii="Arial" w:cs="Arial" w:eastAsia="Arial" w:hAnsi="Arial"/>
                <w:sz w:val="18"/>
                <w:szCs w:val="18"/>
                <w:color w:val="auto"/>
                <w:w w:val="89"/>
              </w:rPr>
              <w:t>Smith is not required to seek stockholder approval for financial</w:t>
            </w:r>
          </w:p>
        </w:tc>
      </w:t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4440" w:type="dxa"/>
            <w:vAlign w:val="bottom"/>
          </w:tcPr>
          <w:p>
            <w:pPr>
              <w:spacing w:after="0"/>
              <w:rPr>
                <w:sz w:val="20"/>
                <w:szCs w:val="20"/>
                <w:color w:val="auto"/>
              </w:rPr>
            </w:pPr>
            <w:r>
              <w:rPr>
                <w:rFonts w:ascii="Arial" w:cs="Arial" w:eastAsia="Arial" w:hAnsi="Arial"/>
                <w:sz w:val="18"/>
                <w:szCs w:val="18"/>
                <w:color w:val="auto"/>
              </w:rPr>
              <w:t>statements or proposed dividends.</w:t>
            </w:r>
          </w:p>
        </w:tc>
      </w:tr>
      <w:tr>
        <w:trPr>
          <w:trHeight w:val="750"/>
        </w:trPr>
        <w:tc>
          <w:tcPr>
            <w:tcW w:w="2540" w:type="dxa"/>
            <w:vAlign w:val="bottom"/>
          </w:tcPr>
          <w:p>
            <w:pPr>
              <w:spacing w:after="0"/>
              <w:rPr>
                <w:sz w:val="20"/>
                <w:szCs w:val="20"/>
                <w:color w:val="auto"/>
              </w:rPr>
            </w:pPr>
            <w:r>
              <w:rPr>
                <w:rFonts w:ascii="Arial" w:cs="Arial" w:eastAsia="Arial" w:hAnsi="Arial"/>
                <w:sz w:val="18"/>
                <w:szCs w:val="18"/>
                <w:b w:val="1"/>
                <w:bCs w:val="1"/>
                <w:color w:val="auto"/>
              </w:rPr>
              <w:t>Change of Domicile</w:t>
            </w:r>
          </w:p>
        </w:tc>
        <w:tc>
          <w:tcPr>
            <w:tcW w:w="4440" w:type="dxa"/>
            <w:vAlign w:val="bottom"/>
          </w:tcPr>
          <w:p>
            <w:pPr>
              <w:spacing w:after="0"/>
              <w:rPr>
                <w:sz w:val="20"/>
                <w:szCs w:val="20"/>
                <w:color w:val="auto"/>
              </w:rPr>
            </w:pPr>
            <w:r>
              <w:rPr>
                <w:rFonts w:ascii="Arial" w:cs="Arial" w:eastAsia="Arial" w:hAnsi="Arial"/>
                <w:sz w:val="18"/>
                <w:szCs w:val="18"/>
                <w:color w:val="auto"/>
                <w:w w:val="92"/>
              </w:rPr>
              <w:t>Under Delaware law, approval of all stockholders is required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in connection with a change in a corporation’s domicile from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Delaware or conversion of the corporation into a legal entity</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under the laws of another jurisdiction. However, a Delaware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corporation may effectively change its domicile with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4"/>
              </w:rPr>
              <w:t>approval of a majority of its stockholders by merging with a</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subsidiary incorporated under the laws of another jurisdiction.</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0"/>
        <w:spacing w:after="0" w:line="259" w:lineRule="auto"/>
        <w:rPr>
          <w:sz w:val="20"/>
          <w:szCs w:val="20"/>
          <w:color w:val="auto"/>
        </w:rPr>
      </w:pPr>
      <w:r>
        <w:rPr>
          <w:rFonts w:ascii="Arial" w:cs="Arial" w:eastAsia="Arial" w:hAnsi="Arial"/>
          <w:sz w:val="18"/>
          <w:szCs w:val="18"/>
          <w:color w:val="auto"/>
        </w:rPr>
        <w:t>to approve such transactions. The vote of a majority of the outstanding voting stock will suffice to approve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7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Netherlands Antilles law and Schlumberger’s articles of incorporation, Schlumberger is required to present annually its financial statements and proposed dividends to its stockholders for inspection and approval.</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58" w:lineRule="exact"/>
        <w:rPr>
          <w:sz w:val="20"/>
          <w:szCs w:val="20"/>
          <w:color w:val="auto"/>
        </w:rPr>
      </w:pPr>
    </w:p>
    <w:p>
      <w:pPr>
        <w:sectPr>
          <w:pgSz w:w="11900" w:h="16838" w:orient="portrait"/>
          <w:cols w:equalWidth="0" w:num="2">
            <w:col w:w="6980" w:space="100"/>
            <w:col w:w="4300"/>
          </w:cols>
          <w:pgMar w:left="240" w:top="459" w:right="279" w:bottom="1440" w:gutter="0" w:footer="0" w:header="0"/>
          <w:type w:val="continuous"/>
        </w:sectPr>
      </w:pPr>
    </w:p>
    <w:p>
      <w:pPr>
        <w:ind w:left="2540" w:hanging="2525"/>
        <w:spacing w:after="0" w:line="256" w:lineRule="auto"/>
        <w:tabs>
          <w:tab w:leader="none" w:pos="2520" w:val="left"/>
        </w:tabs>
        <w:rPr>
          <w:sz w:val="20"/>
          <w:szCs w:val="20"/>
          <w:color w:val="auto"/>
        </w:rPr>
      </w:pPr>
      <w:r>
        <w:rPr>
          <w:rFonts w:ascii="Arial" w:cs="Arial" w:eastAsia="Arial" w:hAnsi="Arial"/>
          <w:sz w:val="18"/>
          <w:szCs w:val="18"/>
          <w:b w:val="1"/>
          <w:bCs w:val="1"/>
          <w:color w:val="auto"/>
        </w:rPr>
        <w:t>Short-Form Merger; Buy-Out</w:t>
      </w:r>
      <w:r>
        <w:rPr>
          <w:sz w:val="20"/>
          <w:szCs w:val="20"/>
          <w:color w:val="auto"/>
        </w:rPr>
        <w:tab/>
      </w:r>
      <w:r>
        <w:rPr>
          <w:rFonts w:ascii="Arial" w:cs="Arial" w:eastAsia="Arial" w:hAnsi="Arial"/>
          <w:sz w:val="18"/>
          <w:szCs w:val="18"/>
          <w:color w:val="auto"/>
        </w:rPr>
        <w:t>Under Delaware law, the owner of 90% of a corporation’s outstanding equity may effect a “short-form” merger without the vote of the acquired corporation’s board of directors 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ind w:right="60"/>
        <w:spacing w:after="0" w:line="288"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In order to effect a compulsory share transfer, the owner or owners of 90% of Schlumberger’s outstanding equity would have to institute an action in a</w:t>
      </w:r>
    </w:p>
    <w:p>
      <w:pPr>
        <w:sectPr>
          <w:pgSz w:w="11900" w:h="16838" w:orient="portrait"/>
          <w:cols w:equalWidth="0" w:num="2">
            <w:col w:w="6820" w:space="260"/>
            <w:col w:w="4300"/>
          </w:cols>
          <w:pgMar w:left="240" w:top="459" w:right="27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Schlumberger Stockholder Rights</w:t>
            </w:r>
          </w:p>
        </w:tc>
      </w:tr>
      <w:tr>
        <w:trPr>
          <w:trHeight w:val="201"/>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Netherlands Antilles court and pay the transferring</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6"/>
              </w:rPr>
              <w:t>stockholders the value of the shares to be transferred as</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8"/>
              </w:rPr>
              <w:t>determined by the judge (based on the advice of one or three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9"/>
              </w:rPr>
              <w:t>experts). A judge can deny a request for a compulsory share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transfer if a stockholder would suffer serious material</w:t>
            </w:r>
          </w:p>
        </w:tc>
      </w:tr>
      <w:tr>
        <w:trPr>
          <w:trHeight w:val="222"/>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damage through the transfer.</w:t>
            </w:r>
          </w:p>
        </w:tc>
      </w:tr>
      <w:tr>
        <w:trPr>
          <w:trHeight w:val="318"/>
        </w:trPr>
        <w:tc>
          <w:tcPr>
            <w:tcW w:w="4440" w:type="dxa"/>
            <w:vAlign w:val="bottom"/>
          </w:tcPr>
          <w:p>
            <w:pPr>
              <w:spacing w:after="0"/>
              <w:rPr>
                <w:sz w:val="20"/>
                <w:szCs w:val="20"/>
                <w:color w:val="auto"/>
              </w:rPr>
            </w:pPr>
            <w:r>
              <w:rPr>
                <w:rFonts w:ascii="Arial" w:cs="Arial" w:eastAsia="Arial" w:hAnsi="Arial"/>
                <w:sz w:val="18"/>
                <w:szCs w:val="18"/>
                <w:color w:val="auto"/>
              </w:rPr>
              <w:t>Smith is subject to the provisions of Section 203 of the</w:t>
            </w:r>
          </w:p>
        </w:tc>
        <w:tc>
          <w:tcPr>
            <w:tcW w:w="1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Schlumberger is not subject to such a provision.</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88"/>
              </w:rPr>
              <w:t>Delaware General Corporation Law. Under Section 203, Smith</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generally would be prohibited from engaging in any business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5"/>
              </w:rPr>
              <w:t>combination with any interested stockholder for a period of</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0"/>
              </w:rPr>
              <w:t>three years following the time that the stockholder became an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interested stockholder unless:</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440" w:type="dxa"/>
            <w:vAlign w:val="bottom"/>
          </w:tcPr>
          <w:p>
            <w:pPr>
              <w:ind w:left="100"/>
              <w:spacing w:after="0"/>
              <w:rPr>
                <w:sz w:val="20"/>
                <w:szCs w:val="20"/>
                <w:color w:val="auto"/>
              </w:rPr>
            </w:pPr>
            <w:r>
              <w:rPr>
                <w:rFonts w:ascii="Arial" w:cs="Arial" w:eastAsia="Arial" w:hAnsi="Arial"/>
                <w:sz w:val="18"/>
                <w:szCs w:val="18"/>
                <w:color w:val="auto"/>
                <w:w w:val="94"/>
              </w:rPr>
              <w:t>•  prior to this time, the Smith board of directors approved</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either the business combination or the transaction that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9"/>
              </w:rPr>
              <w:t>resulted in the stockholder becoming an interested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91"/>
              </w:rPr>
              <w:t>•  upon consummation of the transaction that resulted in the</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stockholder becoming an interested stockholder,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interested stockholder owned at least 85% of Smith’s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8"/>
              </w:rPr>
              <w:t>voting stock outstanding at the time the transaction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commenced, excluding shares owned by persons who</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are directors and also officers, and by employee stock</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plans in which employee participants do not have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right to determine confidentially whether shares held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rPr>
              <w:t>subject to the plan will be tendered in a tender or</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exchange offer; or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89"/>
              </w:rPr>
              <w:t>•  at or subsequent to such time, the business combination is</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89"/>
              </w:rPr>
              <w:t>approved by the Smith board of directors and authorized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at an annual or special meeting of Smith stockholders,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and not by written consent, by the affirmative vote of 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least 662/3% of the outstanding voting stock that is not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owned by the interested 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8"/>
        </w:trPr>
        <w:tc>
          <w:tcPr>
            <w:tcW w:w="4440" w:type="dxa"/>
            <w:vAlign w:val="bottom"/>
          </w:tcPr>
          <w:p>
            <w:pPr>
              <w:ind w:left="30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-5520690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2060" w:space="480"/>
            <w:col w:w="8880"/>
          </w:cols>
          <w:pgMar w:left="240" w:top="459"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8"/>
          <w:szCs w:val="18"/>
          <w:color w:val="auto"/>
        </w:rPr>
        <w:t>Under Section 203, a “business combination” includes:</w:t>
      </w:r>
    </w:p>
    <w:p>
      <w:pPr>
        <w:spacing w:after="0" w:line="90" w:lineRule="exact"/>
        <w:rPr>
          <w:sz w:val="20"/>
          <w:szCs w:val="20"/>
          <w:color w:val="auto"/>
        </w:rPr>
      </w:pPr>
    </w:p>
    <w:p>
      <w:pPr>
        <w:ind w:left="2960" w:right="40" w:hanging="318"/>
        <w:spacing w:after="0" w:line="268" w:lineRule="auto"/>
        <w:tabs>
          <w:tab w:leader="none" w:pos="28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0" w:lineRule="exact"/>
        <w:rPr>
          <w:rFonts w:ascii="Arial" w:cs="Arial" w:eastAsia="Arial" w:hAnsi="Arial"/>
          <w:sz w:val="18"/>
          <w:szCs w:val="18"/>
          <w:color w:val="auto"/>
        </w:rPr>
      </w:pPr>
    </w:p>
    <w:p>
      <w:pPr>
        <w:ind w:left="2960" w:right="220" w:hanging="318"/>
        <w:spacing w:after="0" w:line="259" w:lineRule="auto"/>
        <w:tabs>
          <w:tab w:leader="none" w:pos="28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a corporation’s assets involving the interested stockholder;</w:t>
      </w:r>
    </w:p>
    <w:p>
      <w:pPr>
        <w:spacing w:after="0" w:line="59" w:lineRule="exact"/>
        <w:rPr>
          <w:rFonts w:ascii="Arial" w:cs="Arial" w:eastAsia="Arial" w:hAnsi="Arial"/>
          <w:sz w:val="18"/>
          <w:szCs w:val="18"/>
          <w:color w:val="auto"/>
        </w:rPr>
      </w:pPr>
    </w:p>
    <w:p>
      <w:pPr>
        <w:ind w:left="2960" w:right="200" w:hanging="318"/>
        <w:spacing w:after="0" w:line="306" w:lineRule="auto"/>
        <w:tabs>
          <w:tab w:leader="none" w:pos="282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transaction that results in the issuance or transfer by the corporation of any of its stock to the interested stockholder, subject to limited exceptions;</w:t>
      </w:r>
    </w:p>
    <w:p>
      <w:pPr>
        <w:spacing w:after="0" w:line="25" w:lineRule="exact"/>
        <w:rPr>
          <w:rFonts w:ascii="Arial" w:cs="Arial" w:eastAsia="Arial" w:hAnsi="Arial"/>
          <w:sz w:val="16"/>
          <w:szCs w:val="16"/>
          <w:color w:val="auto"/>
        </w:rPr>
      </w:pPr>
    </w:p>
    <w:p>
      <w:pPr>
        <w:ind w:left="2960" w:right="140" w:hanging="318"/>
        <w:spacing w:after="0" w:line="323" w:lineRule="auto"/>
        <w:tabs>
          <w:tab w:leader="none" w:pos="282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any transaction involving the corporation that has the effect of increasing the proportionate share of the stock of any class or series of the corporation’s capital stock beneficially owned by the interested stockholder; or</w:t>
      </w:r>
    </w:p>
    <w:p>
      <w:pPr>
        <w:spacing w:after="0" w:line="16" w:lineRule="exact"/>
        <w:rPr>
          <w:rFonts w:ascii="Arial" w:cs="Arial" w:eastAsia="Arial" w:hAnsi="Arial"/>
          <w:sz w:val="15"/>
          <w:szCs w:val="15"/>
          <w:color w:val="auto"/>
        </w:rPr>
      </w:pPr>
    </w:p>
    <w:p>
      <w:pPr>
        <w:ind w:left="2960" w:right="180" w:hanging="318"/>
        <w:spacing w:after="0" w:line="256" w:lineRule="auto"/>
        <w:tabs>
          <w:tab w:leader="none" w:pos="28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ind w:left="2540"/>
        <w:spacing w:after="0" w:line="255"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corporation’s outstanding voting stock and any entity or person affiliated with or controlling or controlled by such entity or person.</w:t>
      </w:r>
    </w:p>
    <w:p>
      <w:pPr>
        <w:spacing w:after="0" w:line="96"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Limitation of Liability and</w:t>
      </w:r>
      <w:r>
        <w:rPr>
          <w:sz w:val="20"/>
          <w:szCs w:val="20"/>
          <w:color w:val="auto"/>
        </w:rPr>
        <w:tab/>
      </w:r>
      <w:r>
        <w:rPr>
          <w:rFonts w:ascii="Arial" w:cs="Arial" w:eastAsia="Arial" w:hAnsi="Arial"/>
          <w:sz w:val="16"/>
          <w:szCs w:val="16"/>
          <w:color w:val="auto"/>
        </w:rPr>
        <w:t>Smith’s certificate of incorporation provides that a director of</w:t>
      </w:r>
    </w:p>
    <w:p>
      <w:pPr>
        <w:spacing w:after="0" w:line="21" w:lineRule="exact"/>
        <w:rPr>
          <w:sz w:val="20"/>
          <w:szCs w:val="20"/>
          <w:color w:val="auto"/>
        </w:rPr>
      </w:pPr>
    </w:p>
    <w:p>
      <w:pPr>
        <w:ind w:left="2540" w:right="40" w:hanging="2539"/>
        <w:spacing w:after="0" w:line="255" w:lineRule="auto"/>
        <w:tabs>
          <w:tab w:leader="none" w:pos="2520" w:val="left"/>
        </w:tabs>
        <w:rPr>
          <w:sz w:val="20"/>
          <w:szCs w:val="20"/>
          <w:color w:val="auto"/>
        </w:rPr>
      </w:pPr>
      <w:r>
        <w:rPr>
          <w:rFonts w:ascii="Arial" w:cs="Arial" w:eastAsia="Arial" w:hAnsi="Arial"/>
          <w:sz w:val="18"/>
          <w:szCs w:val="18"/>
          <w:b w:val="1"/>
          <w:bCs w:val="1"/>
          <w:color w:val="auto"/>
        </w:rPr>
        <w:t>Indemnification</w:t>
      </w:r>
      <w:r>
        <w:rPr>
          <w:sz w:val="20"/>
          <w:szCs w:val="20"/>
          <w:color w:val="auto"/>
        </w:rPr>
        <w:tab/>
      </w:r>
      <w:r>
        <w:rPr>
          <w:rFonts w:ascii="Arial" w:cs="Arial" w:eastAsia="Arial" w:hAnsi="Arial"/>
          <w:sz w:val="18"/>
          <w:szCs w:val="18"/>
          <w:color w:val="auto"/>
        </w:rPr>
        <w:t>Smith will not be personally liable to Smith or its stockholders for monetary damages for breach of any fiduciary duty as a director, except:</w:t>
      </w:r>
    </w:p>
    <w:p>
      <w:pPr>
        <w:spacing w:after="0" w:line="63" w:lineRule="exact"/>
        <w:rPr>
          <w:sz w:val="20"/>
          <w:szCs w:val="20"/>
          <w:color w:val="auto"/>
        </w:rPr>
      </w:pPr>
    </w:p>
    <w:p>
      <w:pPr>
        <w:ind w:left="2960" w:right="460" w:hanging="318"/>
        <w:spacing w:after="0" w:line="268" w:lineRule="auto"/>
        <w:tabs>
          <w:tab w:leader="none" w:pos="282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50" w:lineRule="exact"/>
        <w:rPr>
          <w:rFonts w:ascii="Arial" w:cs="Arial" w:eastAsia="Arial" w:hAnsi="Arial"/>
          <w:sz w:val="18"/>
          <w:szCs w:val="18"/>
          <w:color w:val="auto"/>
        </w:rPr>
      </w:pPr>
    </w:p>
    <w:p>
      <w:pPr>
        <w:jc w:val="right"/>
        <w:ind w:left="2960" w:right="240" w:hanging="318"/>
        <w:spacing w:after="0" w:line="332" w:lineRule="auto"/>
        <w:tabs>
          <w:tab w:leader="none" w:pos="282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Schlumberger’s bylaws provide that to the fullest extent permitted by applicable law, Schlumberger shall indemnify any current or former director or officer who was or is a party or is threatened to be made a party to any threatened, pending or completed action, suit or proceedings, whether civil, criminal, administrative or investigative (other than an action by or in the right of Schlumberger) by reason of the fact that such person is or was a director or officer, of Schlumberger, if such person acted in good faith and in a manner such person reasonably believed</w:t>
      </w:r>
    </w:p>
    <w:p>
      <w:pPr>
        <w:sectPr>
          <w:pgSz w:w="11900" w:h="16838" w:orient="portrait"/>
          <w:cols w:equalWidth="0" w:num="2">
            <w:col w:w="6980" w:space="100"/>
            <w:col w:w="4340"/>
          </w:cols>
          <w:pgMar w:left="240" w:top="459" w:right="23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960" w:right="20" w:hanging="318"/>
        <w:spacing w:after="0" w:line="332" w:lineRule="auto"/>
        <w:tabs>
          <w:tab w:leader="none" w:pos="282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for liability of directors for unlawful payment of dividends or unlawful stock purchases or redemptions; or</w:t>
      </w:r>
    </w:p>
    <w:p>
      <w:pPr>
        <w:spacing w:after="0" w:line="4" w:lineRule="exact"/>
        <w:rPr>
          <w:rFonts w:ascii="Arial" w:cs="Arial" w:eastAsia="Arial" w:hAnsi="Arial"/>
          <w:sz w:val="16"/>
          <w:szCs w:val="16"/>
          <w:color w:val="auto"/>
        </w:rPr>
      </w:pPr>
    </w:p>
    <w:p>
      <w:pPr>
        <w:ind w:left="2960" w:right="480" w:hanging="318"/>
        <w:spacing w:after="0" w:line="268" w:lineRule="auto"/>
        <w:tabs>
          <w:tab w:leader="none" w:pos="282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any transaction from which a director derived an improper personal benefit.</w:t>
      </w:r>
    </w:p>
    <w:p>
      <w:pPr>
        <w:spacing w:after="0" w:line="200" w:lineRule="exact"/>
        <w:rPr>
          <w:sz w:val="20"/>
          <w:szCs w:val="20"/>
          <w:color w:val="auto"/>
        </w:rPr>
      </w:pPr>
    </w:p>
    <w:p>
      <w:pPr>
        <w:spacing w:after="0" w:line="324" w:lineRule="exact"/>
        <w:rPr>
          <w:sz w:val="20"/>
          <w:szCs w:val="20"/>
          <w:color w:val="auto"/>
        </w:rPr>
      </w:pPr>
    </w:p>
    <w:p>
      <w:pPr>
        <w:ind w:left="2540"/>
        <w:spacing w:after="0" w:line="259" w:lineRule="auto"/>
        <w:rPr>
          <w:sz w:val="20"/>
          <w:szCs w:val="20"/>
          <w:color w:val="auto"/>
        </w:rPr>
      </w:pPr>
      <w:r>
        <w:rPr>
          <w:rFonts w:ascii="Arial" w:cs="Arial" w:eastAsia="Arial" w:hAnsi="Arial"/>
          <w:sz w:val="18"/>
          <w:szCs w:val="18"/>
          <w:color w:val="auto"/>
        </w:rPr>
        <w:t>Smith’s certificate of incorporation and bylaws provide for indemnification of its directors and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40"/>
        <w:spacing w:after="0" w:line="305" w:lineRule="auto"/>
        <w:rPr>
          <w:sz w:val="20"/>
          <w:szCs w:val="20"/>
          <w:color w:val="auto"/>
        </w:rPr>
      </w:pPr>
      <w:r>
        <w:rPr>
          <w:rFonts w:ascii="Arial" w:cs="Arial" w:eastAsia="Arial" w:hAnsi="Arial"/>
          <w:sz w:val="15"/>
          <w:szCs w:val="15"/>
          <w:color w:val="auto"/>
        </w:rPr>
        <w:t>Delaware law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w:t>
      </w:r>
    </w:p>
    <w:p>
      <w:pPr>
        <w:spacing w:after="0" w:line="3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8"/>
          <w:szCs w:val="18"/>
          <w:color w:val="auto"/>
        </w:rPr>
        <w:t>to be in or not opposed to the best interest of Schlumberger and with respect to any criminal action or proceeding, had no reasonable cause to believe that such person’s conduct was unlawful.</w:t>
      </w:r>
    </w:p>
    <w:p>
      <w:pPr>
        <w:spacing w:after="0" w:line="6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Netherlands Antilles law enables a corporation to indemnify a director as provided for in Schlumberger’s bylaws.</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Schlumberger’s articles of incorporation permits (but do not require) the indemnification of its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Schlumberger’s bylaws contain mandatory indemnification for current and former directors and officers.</w:t>
      </w:r>
    </w:p>
    <w:p>
      <w:pPr>
        <w:spacing w:after="0" w:line="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Netherlands Antilles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w:t>
      </w:r>
    </w:p>
    <w:p>
      <w:pPr>
        <w:sectPr>
          <w:pgSz w:w="11900" w:h="16838" w:orient="portrait"/>
          <w:cols w:equalWidth="0" w:num="2">
            <w:col w:w="6980" w:space="100"/>
            <w:col w:w="434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40"/>
        <w:spacing w:after="0" w:line="254" w:lineRule="auto"/>
        <w:rPr>
          <w:sz w:val="20"/>
          <w:szCs w:val="20"/>
          <w:color w:val="auto"/>
        </w:rPr>
      </w:pPr>
      <w:r>
        <w:rPr>
          <w:rFonts w:ascii="Arial" w:cs="Arial" w:eastAsia="Arial" w:hAnsi="Arial"/>
          <w:sz w:val="18"/>
          <w:szCs w:val="18"/>
          <w:color w:val="auto"/>
        </w:rPr>
        <w:t>reasonable cause to believe that the person’s conduct was unlawful. Where an officer or director is successful on the merits or otherwise in the defense of any action referred to above, the corporation must indemnify him against the expenses that such officer or director actually and reasonably incurred.</w:t>
      </w:r>
    </w:p>
    <w:p>
      <w:pPr>
        <w:spacing w:after="0" w:line="90" w:lineRule="exact"/>
        <w:rPr>
          <w:sz w:val="20"/>
          <w:szCs w:val="20"/>
          <w:color w:val="auto"/>
        </w:rPr>
      </w:pPr>
    </w:p>
    <w:p>
      <w:pPr>
        <w:ind w:left="2540"/>
        <w:spacing w:after="0" w:line="294" w:lineRule="auto"/>
        <w:rPr>
          <w:sz w:val="20"/>
          <w:szCs w:val="20"/>
          <w:color w:val="auto"/>
        </w:rPr>
      </w:pPr>
      <w:r>
        <w:rPr>
          <w:rFonts w:ascii="Arial" w:cs="Arial" w:eastAsia="Arial" w:hAnsi="Arial"/>
          <w:sz w:val="16"/>
          <w:szCs w:val="16"/>
          <w:color w:val="auto"/>
        </w:rPr>
        <w:t>A Delaware corporation may indemnify officers and directors in an action by or in the right of the corporation under the same conditions, except that no indemnification is permitted without judicial approval if the officer or director is adjudged to be liable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40" w:right="200"/>
        <w:spacing w:after="0" w:line="294" w:lineRule="auto"/>
        <w:rPr>
          <w:sz w:val="20"/>
          <w:szCs w:val="20"/>
          <w:color w:val="auto"/>
        </w:rPr>
      </w:pPr>
      <w:r>
        <w:rPr>
          <w:rFonts w:ascii="Arial" w:cs="Arial" w:eastAsia="Arial" w:hAnsi="Arial"/>
          <w:sz w:val="16"/>
          <w:szCs w:val="16"/>
          <w:color w:val="auto"/>
        </w:rPr>
        <w:t>The indemnification permitted under Delaware law is not exclusive, and a corporation is empowered to purchase and maintain insurance against liabilities, whether or not indemnification would be permitted by statute. Smith maintains liability insurance for its directors and officers.</w:t>
      </w:r>
    </w:p>
    <w:p>
      <w:pPr>
        <w:spacing w:after="0" w:line="27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5"/>
          <w:szCs w:val="15"/>
          <w:color w:val="auto"/>
        </w:rPr>
        <w:t>Smith has a shareholder rights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40"/>
        <w:spacing w:after="0" w:line="254" w:lineRule="auto"/>
        <w:rPr>
          <w:sz w:val="20"/>
          <w:szCs w:val="20"/>
          <w:color w:val="auto"/>
        </w:rPr>
      </w:pPr>
      <w:r>
        <w:rPr>
          <w:rFonts w:ascii="Arial" w:cs="Arial" w:eastAsia="Arial" w:hAnsi="Arial"/>
          <w:sz w:val="18"/>
          <w:szCs w:val="18"/>
          <w:color w:val="auto"/>
        </w:rPr>
        <w:t>believe that such person’s conduct was unlawful. The Registrant is required to indemnify any present or former officer or director of the Registrant to the fullest extent allowed by the preceding paragraphs in the event of a change of control of Schlumberger (as defined in the articles of incorporation).</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 Schlumberger maintains liability insurance for its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has no such rights plan.</w:t>
      </w:r>
    </w:p>
    <w:p>
      <w:pPr>
        <w:sectPr>
          <w:pgSz w:w="11900" w:h="16838" w:orient="portrait"/>
          <w:cols w:equalWidth="0" w:num="2">
            <w:col w:w="6880" w:space="200"/>
            <w:col w:w="434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DESCRIPTION OF SCHLUMBERGER CAPITAL STOCK</w:t>
      </w:r>
    </w:p>
    <w:p>
      <w:pPr>
        <w:spacing w:after="0" w:line="1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2009, and are incorporated in this proxy statement/prospectus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96"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Schlumberger may issue an aggregate of 3,000,000,000 shares of common stock, par value $0.01 per share. As of March 31, 2010, 1,334,212,164 shares of Schlumberger common stock were issued, of which 1,192,808,544 shares were outstanding and 141,403,620 shares were held by Schlumberger as treasury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outstanding shares of Schlumberger common stock (i.e., shares not held by Schlumberger)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(i.e., Schlumberger’s net asset value) at least equals the nominal capital (i.e., the aggregate par value of Schlumberger’s outstanding shares) and as a result of the distribution will not fall below the nominal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one vote for each share registered in that holder’s name. Voting rights may be exercised in person or by proxy.</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No action may be taken at any general meeting of Schlumberger stockholders unless a quorum consisting of the holders of at least one-half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abstentions) at any meeting at which a quorum is present (subject to the quorum exception described above).</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shares of Schlumberger common stock do not carry any preferential, preemptive or conversion rights, and there are no redemption provisions with respect to the Schlumberger common stock. The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Smith common stock will be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applicable law, all general meetings of Schlumberger stockholders must be held in the Netherlands Antilles. The annual general meeting of Schlumberger stockholders is held on a date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Schlumberger’s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the event of liquidation, each share of Schlumberger common stock is entitled to equal rights after satisfaction of any preferred stock liquidation preference.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Schlumberger common stock is listed for trading on the NYSE, Euronext Paris, Euronext Amsterdam, the London Stock Exchange and the SIX Swiss Exchange. The transfer agent and registrar for Schlumberger common stock is Computershare Trust Company, N.A., Canton, Massachusetts.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 OF SMITH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to be elected to Class III for a term expiring in 2013:</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James R. Gibbs</w:t>
      </w:r>
      <w:r>
        <w:rPr>
          <w:rFonts w:ascii="Arial" w:cs="Arial" w:eastAsia="Arial" w:hAnsi="Arial"/>
          <w:sz w:val="16"/>
          <w:szCs w:val="16"/>
          <w:color w:val="auto"/>
        </w:rPr>
        <w:t>, 65, has been a director since 1990. He served as President and Chief Executive Officer of Frontier Oil Corporation from April 1992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2008 and President and Chief Operating Officer of Frontier from January 1987 to April 1992. He joined Frontier Oil in February 1982 as Vice President of Finance and Administration and was appointed Executive Vice President in September 1985. He has served as a director of Frontier Oil, an independent oil refining and marketing company, since 1985 and as their Chairman of the Board since 1999. The Smith board of directors selected Mr. Gibbs to serve as a director because he has extensive direct knowledge of the oil and gas industry, having served in leadership roles in the industry for over 25 years, in particular as President of Frontier Oil for most of those years. In addition, Mr. Gibbs has a PhD in Economics and taught full time at Southern Methodist University. He also has intimate knowledge of Smith and its technology, market segment and management, gained through his 20-year tenure on Smith’s board of directors. With these characteristics, Mr. Gibbs provides a valuable perspective to his board service. The Smith board of directors believes that Mr. Gibbs is well regarded in the industry and among his peers, making him an effective independent lead director. Mr. Gibbs also serves as the Chairman of Smith’s Nominating and Corporate Governance Committee and a member of Smith’s Compensation and Benefits Committee.</w:t>
      </w:r>
    </w:p>
    <w:p>
      <w:pPr>
        <w:spacing w:after="0" w:line="11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Duane C. Radtke</w:t>
      </w:r>
      <w:r>
        <w:rPr>
          <w:rFonts w:ascii="Arial" w:cs="Arial" w:eastAsia="Arial" w:hAnsi="Arial"/>
          <w:sz w:val="16"/>
          <w:szCs w:val="16"/>
          <w:color w:val="auto"/>
        </w:rPr>
        <w:t>, 61, has been a director since 2009. He currently serves as the President and Chief Executive Officer of Valiant Exploration LLC and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Non-Executive Chairman of NFR Energy LLC, a private exploration and production company, a position he has held since August 2009. Mr. Radtke has served on the board of NFR Energy since June 2008. From April 2001 until December 2007, Mr. Radtke served as the President and Chief Executive Officer of Dominion Exploration and Production (“Dominion E&amp;P”) and Executive Vice President of Dominion Resources, Inc., the parent company of Dominion E&amp;P. The Smith board of directors selected Mr. Radtke to serve as a director because he has over 20 years of experience leading companies in the oil and gas industry. The Smith board of directors believes that Mr. Radtke is highly respected in the industry and among his peers, bringing extensive management and oversight expertise to the Smith board of directors.</w:t>
      </w:r>
    </w:p>
    <w:p>
      <w:pPr>
        <w:spacing w:after="0" w:line="113"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b w:val="1"/>
          <w:bCs w:val="1"/>
          <w:color w:val="auto"/>
        </w:rPr>
        <w:t>John Yearwood</w:t>
      </w:r>
      <w:r>
        <w:rPr>
          <w:rFonts w:ascii="Arial" w:cs="Arial" w:eastAsia="Arial" w:hAnsi="Arial"/>
          <w:sz w:val="16"/>
          <w:szCs w:val="16"/>
          <w:color w:val="auto"/>
        </w:rPr>
        <w:t>, 50, has been a director since 2006. He has served as Smith’s Chief Executive Officer, President and Chief Operating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2009. He served as Executive Vice President and President Smith Completions and Production from August 2008 until December 2008. He served as a Senior Advisor to the Chief Executive Officer of Schlumberger from March 2006 until May 2008. From 1980 to March 2006, he served in a variety of positions at Schlumberger, much of which included responsibilities for businesses primarily focused outside of the United States, most recently as President—North and South America, Oilfield Services. The Smith board of directors selected Mr. Yearwood to serve as a director because he is Smith’s Chief Executive Officer and has over 20 years of leadership experience in the oilfield services industry, particularly concentrated on the international market. While at Schlumberger,</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Yearwood served as a charter member of the M-I SWACO executive committee, thus enhancing the Smith board of directors with his intimate knowledge and unique perspective of the M-I SWACO joint venture. A native of Trinidad &amp; Tobago, Mr. Yearwood also brings a strong international perspective and relationships to the Smith board of directors, which is especially relevant as Smith continues to expand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 directors to continue in office until 2011:</w:t>
      </w:r>
    </w:p>
    <w:p>
      <w:pPr>
        <w:spacing w:after="0" w:line="84"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Loren K. Carroll</w:t>
      </w:r>
      <w:r>
        <w:rPr>
          <w:rFonts w:ascii="Arial" w:cs="Arial" w:eastAsia="Arial" w:hAnsi="Arial"/>
          <w:sz w:val="16"/>
          <w:szCs w:val="16"/>
          <w:color w:val="auto"/>
        </w:rPr>
        <w:t>, 66, has been a director since 1987. From April 2006 until April 2008, he served as an advisor to Smith. From March 1994 until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2006, Mr. Carroll served as President and Chief Executive Officer of M-I SWACO. From 1992 (when he rejoined Smith) until 1994, he served as Smith’s Executive Vice President and Chief Financial Officer. He joined Smith in December 1984 and served as Vice President and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Chief Financial Officer until January 1988 and then Executive Vice President and Chief Financial Officer until March 1989. He serves as a director of KBR, Inc. (since 2007), an engineering, construction and services company; CGG - Veritas (since 2007), a geophysical services and equipment provider; Forest Oil Corporation (since 2006), an exploration and production company; and Fleetwood Enterprises, Inc. (since 1999), a manufacturer of motor homes. The Smith board of directors selected Mr. Carroll to serve as a director because he has direct and intimate knowledge of Smith and its M-I SWACO joint venture, its products and current technology as well as future technological needs. He also brings valuable management and finance expertise to the Smith board of directors. As a director at various other public companies, Mr. Carroll also provides direct and valuable experience in strategy, risk management and other corporate governance issues.</w:t>
      </w:r>
    </w:p>
    <w:p>
      <w:pPr>
        <w:spacing w:after="0" w:line="14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Dod A. Fraser</w:t>
      </w:r>
      <w:r>
        <w:rPr>
          <w:rFonts w:ascii="Arial" w:cs="Arial" w:eastAsia="Arial" w:hAnsi="Arial"/>
          <w:sz w:val="16"/>
          <w:szCs w:val="16"/>
          <w:color w:val="auto"/>
        </w:rPr>
        <w:t>, 59, has been a director since 2004. Mr. Fraser is the President of Sackett Partners Incorporated, a consulting company, and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corporate boards. Mr. Fraser established Sackett Partners in 2000 upon retiring from a 27-year career in investment banking. From 1995 to 2000, Mr. Fraser was with The Chase Manhattan Bank, now JP Morgan Chase, where he was Managing Director, Group Executive of the global oil and gas group. Prior to that, Mr. Fraser was General Partner of Lazard Freres &amp; Co., which he joined in 1978. He serves as a director of Forest Oil Corporation (since 2000), an exploration and production company, and Acergy SA (since 2009), a subsea engineering and construction services company. He served as a director of Terra Industries, Inc., a producer of nitrogen products for agricultural, industrial and environmental markets, from 2003 until 2010. The Smith board of directors selected Mr. Fraser to serve as a director because he has valuable investment banking and financial expertise, including extensive experience with capital markets transactions and investments. The Smith board of directors also benefits from his service on the audit committees of other public companies. He serves as the Chairman of the Smith Audit Committee and as a member of the Smith Compensation and Benefits Committee.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II directors to continue in office until 2012:</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Robert Kelley</w:t>
      </w:r>
      <w:r>
        <w:rPr>
          <w:rFonts w:ascii="Arial" w:cs="Arial" w:eastAsia="Arial" w:hAnsi="Arial"/>
          <w:sz w:val="16"/>
          <w:szCs w:val="16"/>
          <w:color w:val="auto"/>
        </w:rPr>
        <w:t>, 64, has been a director since 2005. Since 2001, Mr. Kelley has served as the President of Kellco Investments, a private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1986 to 2001, Mr. Kelley served in several senior management roles including Chairman, President and Chief Executive Officer of Noble Affiliates, Inc. Prior to 1986, he was President and Chief Executive Officer of Samedan Oil Corporation, a subsidiary of Noble Energy Inc. He serves as a director of Cabot Oil &amp; Gas Corporation (since 2003), an exploration and production company, and OGE Energy Corp. (since 1996), an electric utility. The Smith board of directors selected Mr. Kelley to serve as a director because he has over 30 years of executive leadership experience. His tenure as a public company director, both within and outside Smith’s industry, equips him with valuable experience for many of the same issues that the Smith board of directors faces, such as executive compensation and succession planning. He serves as Chairman of the Smith Compensation and Benefits Committee and as a member of the Smith Audit Committee and Nominating and Corporate Governance Committee.</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Luiz Rodolfo Landim Machado</w:t>
      </w:r>
      <w:r>
        <w:rPr>
          <w:rFonts w:ascii="Arial" w:cs="Arial" w:eastAsia="Arial" w:hAnsi="Arial"/>
          <w:sz w:val="16"/>
          <w:szCs w:val="16"/>
          <w:color w:val="auto"/>
        </w:rPr>
        <w:t>, 53, has been a director since 2008. Mr. Landim has served as advisor to the President of the EBX Group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2009 and served as Chief Executive Officer of OSX Brasil S/A from June 2009 until April 2010. He served as Chief Executive Officer of OGX Petroleo e Gas S.A. from April 2008 until April 2009. From May 2006 until April 2008, he served as a member of the Board, the Executive President and the head of Investor Relations of MMX - Mineracao e Metalicos S.A. Prior to joining MMX, Mr. Landim served in various positions at Petroleo Brasileiro S.A. (Petrobras) from 1980 until April 2006, most recently as Chief Executive Officer of BR Distribuidora, a subsidiary of Petrobras. He serves as a director of the subsidiaries of the EBX Group, which include OGX Petroleo e Gas S.A. (since 2008), an exploration and production company; MMX - Mineracao e Matalicos S.A. (since 2006), a mining company; LLX Logistica S.A. (since 2007), a logistics company; and MPX Energia S.A. (since 2007), a power generation company. Mr. Landim served on the Board of Globex Utilidades S.A., a retail department store chain, from 2006 until 2009. The Smith board of directors selected Mr. Landim to serve as a director because he brings an international oil and gas industry perspective to the Smith board of directors. A native of Brazil, his intimate knowledge of the Brazilian exploration and production industry as well as his understanding of and experience in the Brazilian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international markets enable him to make meaningful contributions to Smith as it continues its international expansion. He serves as a member of the Smith Audit Committee and the Smith Nominating and Corporate Governance Committee.</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Doug Rock</w:t>
      </w:r>
      <w:r>
        <w:rPr>
          <w:rFonts w:ascii="Arial" w:cs="Arial" w:eastAsia="Arial" w:hAnsi="Arial"/>
          <w:sz w:val="16"/>
          <w:szCs w:val="16"/>
          <w:color w:val="auto"/>
        </w:rPr>
        <w:t>, 63, has been a director since 1987 and has been Smith’s Chairman of the Board since 1991. Mr. Rock is currently Chairman of the Smith</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a Special Executive Advisor to the Chief Executive Officer. Mr. Rock has been with Smith since 1974 and served as Chief Executive Officer, President and Chief Operating Officer from March 1989 until December 2008. He served as a director of Moneygram International, Inc. (from 2004 until 2009), a payment services company, and CE Franklin Ltd. (from 1999 until 2008), an oilfield distribution company, of which Smith owns 53%. The Smith board of directors selected Mr. Rock to serve as a director because of his many years of service as Chairman of the Board, President and Chief Executive Officer of Smith. Mr. Rock’s intimate and extensive knowledge of Smith and its employees, culture, technology, customers and market are a valuable asset to the Smith board of directors, particularly as the industry emerges from the recent economic crisis.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 shows, as of [—], 2010, certain information about stock ownership of all persons known to Smith to own of record or beneficially more than 5% of Smith’s outstanding common stock. This information is based upon information furnished to Smith by these persons and statements filed with the SEC. The number and percentage of shares beneficially owned is determined under SEC rules, and the information is not necessarily indicative of beneficial ownership for any other purpose. Under such rules, beneficial ownership includes any shares which the individual has the right to acquire within 60 days of [—], 2010 through the exercise of any stock option or any other right. Unless otherwise indicated in the footnotes, each person has sole voting and investment power (or shares such powers with his or her spouse) with respect to the shares shown as beneficially owned.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7"/>
              </w:rPr>
              <w:t>Amount and Nature of</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40" w:type="dxa"/>
            <w:vAlign w:val="bottom"/>
          </w:tcPr>
          <w:p>
            <w:pPr>
              <w:spacing w:after="0"/>
              <w:rPr>
                <w:sz w:val="14"/>
                <w:szCs w:val="14"/>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8"/>
              </w:rPr>
              <w:t>Beneficial Ownership</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7"/>
              </w:rPr>
              <w:t>T. Rowe Price Associates, Inc.</w:t>
            </w:r>
          </w:p>
        </w:tc>
        <w:tc>
          <w:tcPr>
            <w:tcW w:w="4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18,335,302(1)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100 East Pratt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Baltimore, Maryland 21202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16,908,065(2)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82 Devonshire St.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Boston, MA 02109</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36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14,736,712(3)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 East 52nd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Growth Fund</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12,697,098(4)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333 South Hope Street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Los Angeles, California 90071</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40" w:hanging="452"/>
        <w:spacing w:after="0" w:line="254"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11, 2010. Such filing indicates that T. Rowe Price Associates, Inc. (“Price Associates”) has sole voting power over 4,872,222 shares of Smith common stock and sole dispositive power over 18,335,302 shares of Smith common stock. These securities are owned by various individual and institutional investors for which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the beneficial owner of such securities.</w:t>
      </w:r>
    </w:p>
    <w:p>
      <w:pPr>
        <w:spacing w:after="0" w:line="63"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on February 16, 2010. Such filing indicates that FMR LLC has sole voting power over 257,616 shares of Smith common stock and sole dispositive power over 16,908,065 shares of Smith common stock.</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29, 2010.</w:t>
      </w:r>
    </w:p>
    <w:p>
      <w:pPr>
        <w:spacing w:after="0" w:line="90"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the statement on Schedule 13G filed with the SEC on February 12, 2010. Such filing indicates that The Growth Fund has sole voting power over 12,697,098 shares of Smith common stock and sole dispositive power over no shares of Smith common stock. Such filing also indicates that The Growth Fund is advised by CRMC which manages equity assets for various investment companies through two divisions, Capital Research Global Investors and Capital World Investors. These divisions generally function separately from each other with respect to investment research activities and they make investment decisions and proxy voting decisions for the investment companies on a separate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table shows the number of shares of Smith common stock beneficially owned as of April 22, 2010 by each director or nominee for director, the executive officers named in the summary compensation table included in this proxy statement/prospectus, and all directors and executive officers as a group. Except as otherwise indicated, the persons listed below have sole voting power and investment power relating to the shares shown.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5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1"/>
              </w:rPr>
              <w:t>Amount and Nature of</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Percent of</w:t>
            </w:r>
          </w:p>
        </w:tc>
      </w:tr>
      <w:tr>
        <w:trPr>
          <w:trHeight w:val="161"/>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6"/>
              </w:rPr>
              <w:t>Beneficial Ownership (1)</w:t>
            </w: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66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193,662</w:t>
            </w:r>
          </w:p>
        </w:tc>
        <w:tc>
          <w:tcPr>
            <w:tcW w:w="1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440" w:type="dxa"/>
            <w:vAlign w:val="bottom"/>
          </w:tcPr>
          <w:p>
            <w:pPr>
              <w:jc w:val="right"/>
              <w:spacing w:after="0"/>
              <w:rPr>
                <w:sz w:val="20"/>
                <w:szCs w:val="20"/>
                <w:color w:val="auto"/>
              </w:rPr>
            </w:pPr>
            <w:r>
              <w:rPr>
                <w:rFonts w:ascii="Arial" w:cs="Arial" w:eastAsia="Arial" w:hAnsi="Arial"/>
                <w:sz w:val="18"/>
                <w:szCs w:val="18"/>
                <w:color w:val="auto"/>
              </w:rPr>
              <w:t>27,179</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 (2)(3)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46,207</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Robert Kelley (4)</w:t>
            </w:r>
          </w:p>
        </w:tc>
        <w:tc>
          <w:tcPr>
            <w:tcW w:w="2540" w:type="dxa"/>
            <w:vAlign w:val="bottom"/>
            <w:gridSpan w:val="2"/>
          </w:tcPr>
          <w:p>
            <w:pPr>
              <w:jc w:val="right"/>
              <w:ind w:right="1100"/>
              <w:spacing w:after="0"/>
              <w:rPr>
                <w:sz w:val="20"/>
                <w:szCs w:val="20"/>
                <w:color w:val="auto"/>
              </w:rPr>
            </w:pPr>
            <w:r>
              <w:rPr>
                <w:rFonts w:ascii="Arial" w:cs="Arial" w:eastAsia="Arial" w:hAnsi="Arial"/>
                <w:sz w:val="18"/>
                <w:szCs w:val="18"/>
                <w:color w:val="auto"/>
              </w:rPr>
              <w:t>11,994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1440" w:type="dxa"/>
            <w:vAlign w:val="bottom"/>
          </w:tcPr>
          <w:p>
            <w:pPr>
              <w:jc w:val="right"/>
              <w:spacing w:after="0"/>
              <w:rPr>
                <w:sz w:val="20"/>
                <w:szCs w:val="20"/>
                <w:color w:val="auto"/>
              </w:rPr>
            </w:pPr>
            <w:r>
              <w:rPr>
                <w:rFonts w:ascii="Arial" w:cs="Arial" w:eastAsia="Arial" w:hAnsi="Arial"/>
                <w:sz w:val="18"/>
                <w:szCs w:val="18"/>
                <w:color w:val="auto"/>
              </w:rPr>
              <w:t>20,463</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Restrepo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Christopher I. S. Rivers (5)</w:t>
            </w:r>
          </w:p>
        </w:tc>
        <w:tc>
          <w:tcPr>
            <w:tcW w:w="1440" w:type="dxa"/>
            <w:vAlign w:val="bottom"/>
          </w:tcPr>
          <w:p>
            <w:pPr>
              <w:jc w:val="right"/>
              <w:spacing w:after="0"/>
              <w:rPr>
                <w:sz w:val="20"/>
                <w:szCs w:val="20"/>
                <w:color w:val="auto"/>
              </w:rPr>
            </w:pPr>
            <w:r>
              <w:rPr>
                <w:rFonts w:ascii="Arial" w:cs="Arial" w:eastAsia="Arial" w:hAnsi="Arial"/>
                <w:sz w:val="18"/>
                <w:szCs w:val="18"/>
                <w:color w:val="auto"/>
              </w:rPr>
              <w:t>108,796</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L. Dudman (5)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74,261</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Norman A. Mckay</w:t>
            </w: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K. Dorman</w:t>
            </w:r>
          </w:p>
        </w:tc>
        <w:tc>
          <w:tcPr>
            <w:tcW w:w="25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Doug Rock</w:t>
            </w:r>
          </w:p>
        </w:tc>
        <w:tc>
          <w:tcPr>
            <w:tcW w:w="1440" w:type="dxa"/>
            <w:vAlign w:val="bottom"/>
          </w:tcPr>
          <w:p>
            <w:pPr>
              <w:jc w:val="right"/>
              <w:spacing w:after="0"/>
              <w:rPr>
                <w:sz w:val="20"/>
                <w:szCs w:val="20"/>
                <w:color w:val="auto"/>
              </w:rPr>
            </w:pPr>
            <w:r>
              <w:rPr>
                <w:rFonts w:ascii="Arial" w:cs="Arial" w:eastAsia="Arial" w:hAnsi="Arial"/>
                <w:sz w:val="18"/>
                <w:szCs w:val="18"/>
                <w:color w:val="auto"/>
              </w:rPr>
              <w:t>844,605</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Yearwood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40" w:type="dxa"/>
            <w:vAlign w:val="bottom"/>
          </w:tcPr>
          <w:p>
            <w:pPr>
              <w:jc w:val="right"/>
              <w:spacing w:after="0"/>
              <w:rPr>
                <w:sz w:val="20"/>
                <w:szCs w:val="20"/>
                <w:color w:val="auto"/>
              </w:rPr>
            </w:pPr>
            <w:r>
              <w:rPr>
                <w:rFonts w:ascii="Arial" w:cs="Arial" w:eastAsia="Arial" w:hAnsi="Arial"/>
                <w:sz w:val="18"/>
                <w:szCs w:val="18"/>
                <w:color w:val="auto"/>
              </w:rPr>
              <w:t>1,596,466</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50"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amounts reported include shares of Smith common stock that could be acquired within 60 days of April 22, 2010 through the exercise of stock options as follows: Mr. Carroll: 59,000 shares; Mr. Dudman: 4,800 shares; Mr. Rivers: 60,340 shares; Mr. Rock: 21,500 shares; and all directors and executive officers as a group: 180,290 shares.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amounts reported do not include 24,000 restricted stock units held by Mr. Gibbs. Each such restricted stock unit represents a contingent right to receive one share of Smith common stock and was granted to Mr. Gibbs in 1999 in connection with the termination of the Directors’ Retirement Plan. The shares will not be issued until the restricted stock units vest upon retirement after ten years of service as a director. Mr. Gibbs currently has no voting or investment power with respect to the related shares of Smith common stock.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amounts reported include 2,000 shares held by Mr. Gibbs’ spouse.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amounts reported do not include 15,671 shares, the receipt of which were deferred by Mr. Kelley until his retirement from the Smith board of directors.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amounts reported include shares of Smith common stock allocated to accounts under a 401(k) plan as follows: Mr. Dudman: 24,107 shares; Mr. Rivers:</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7,152 shares; and all directors and executive officers as a group: 31,976 shares.</w:t>
      </w:r>
    </w:p>
    <w:p>
      <w:pPr>
        <w:spacing w:after="0" w:line="9"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Ms. Dorman resigned from her position with Smith, effective October 16, 2009. Smith is not reasonably able to determine at this time how many shares of Smith common stock are owned by Ms. Dorman.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Smith’s Corporate Governance Guidelines outline the functions of the Smith board of directors, director qualifications and responsibilities, and various processes and procedures designed to ensure effective and responsive governance. The full text of the guidelines is published on Smith’s website at </w:t>
      </w:r>
      <w:r>
        <w:rPr>
          <w:rFonts w:ascii="Arial" w:cs="Arial" w:eastAsia="Arial" w:hAnsi="Arial"/>
          <w:sz w:val="16"/>
          <w:szCs w:val="16"/>
          <w:i w:val="1"/>
          <w:iCs w:val="1"/>
          <w:color w:val="auto"/>
        </w:rPr>
        <w:t xml:space="preserve">www.smith.com </w:t>
      </w:r>
      <w:r>
        <w:rPr>
          <w:rFonts w:ascii="Arial" w:cs="Arial" w:eastAsia="Arial" w:hAnsi="Arial"/>
          <w:sz w:val="16"/>
          <w:szCs w:val="16"/>
          <w:color w:val="auto"/>
        </w:rPr>
        <w:t>under the “Investor Relations” caption and link to “Governance.” Smith stockholders may also obtain a free copy upon request by contacting</w:t>
      </w:r>
      <w:r>
        <w:rPr>
          <w:rFonts w:ascii="Arial" w:cs="Arial" w:eastAsia="Arial" w:hAnsi="Arial"/>
          <w:sz w:val="16"/>
          <w:szCs w:val="16"/>
          <w:i w:val="1"/>
          <w:iCs w:val="1"/>
          <w:color w:val="auto"/>
        </w:rPr>
        <w:t xml:space="preserve"> </w:t>
      </w:r>
      <w:r>
        <w:rPr>
          <w:rFonts w:ascii="Arial" w:cs="Arial" w:eastAsia="Arial" w:hAnsi="Arial"/>
          <w:sz w:val="16"/>
          <w:szCs w:val="16"/>
          <w:color w:val="auto"/>
        </w:rPr>
        <w:t>Smith’s Corporate Secretary, Smith International, Inc., 1310 Rankin Road, Houston, Texas 77073.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Role in Risk Management</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Smith’s board of directors currently consists of eight directors. Board agendas include regularly scheduled sessions for the independent directors to meet without management present. The independent board members have determined that a leadership structure in which Mr. Rock continues his service as Chairman provides the continuity required during a period in which Smith’s senior-most leadership has changed for the first time in over twenty years. The Smith board of directors has also determined that strong corporate governance requires an independent lead director to chair executive sessions of the non-management directors and to execute the responsibilities outlined below. The Smith board of directors has designated Mr. Gibbs as its Lead Director. As such his responsibilities are to:</w:t>
      </w:r>
    </w:p>
    <w:p>
      <w:pPr>
        <w:spacing w:after="0" w:line="19" w:lineRule="exact"/>
        <w:rPr>
          <w:sz w:val="20"/>
          <w:szCs w:val="20"/>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call meetings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serve as principal liaison on board-wide issues between the independent directors and the Chairman;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be available for consultation and director communication, if requested by any major stockholder.</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NYSE requirements, Smith’s Audit Committee is responsible for overseeing Smith’s financial reporting and internal operating controls, which includes Smith’s risk assessment and risk management policies, as discussed in more detail in the section titled “Audit Committee.” The Audit Committee receives reports at each regularly scheduled meeting from the Director of Internal Audit, Chief Ethics Officer and General Counsel, including updates on Smith’s Code of Business Conduct and Ethics and other relevant compliance matters. The Audit Committee also receives regular updates from management and the independent auditors. Material violations of Smith’s policies are identified to the Audit Committee promptly upon discovery, with full reports at the next regularly scheduled meetings. The Audit Committee approves Smith’s Internal Audit Plan, which includes an annual risk assessment, and receives regular updates on the status of the audit.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Annual Meetings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Smith board of directors and its committees meet throughout the year on a set schedule, and also hold special meetings and act by written consent from time to time as appropriate. The Smith board of directors held fourteen meetings during 2009. All directors attended at least 75% of the meetings of the board of directors and of all committees on which they served. Smith does not have a policy regarding directors’ attendance at the annual meeting of stockholders. Although no directors attended the 2009 annual meeting in person, all were available telephonically.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Smith board of directors annually evaluates the independence of the directors of Smith and has affirmatively determined that all directors are independent except Messrs. Rock and Yearwood, who are employees of Smith, and Mr. Carroll, who was an employee of Smith within the past three years.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board of directors’ determination regarding independence and financial expertise of its members is based on applicable laws and regulations, Smith’s Corporate Governance Guidelines, the rules of the SEC and NYSE and a review of any direct or indirect relationship between each director or his immediate family and Smith. To be considered independent, the Smith board of directors must affirmatively determine that a director has no material relationship with Smith. In each case, the Smith board of directors broadly considers all relevant facts and circumstances, including the director’s commercial, industrial, consulting, legal, accounting, charitable and familial relationships and such other criteria as the Smith board of directors may determine from time to time. In evaluating the independence of each non-employee director, the board considered that in the ordinary course of business Smith’s subsidiaries buy from or sell to companies with which its directors have relationships as follows:</w:t>
      </w:r>
    </w:p>
    <w:p>
      <w:pPr>
        <w:spacing w:after="0" w:line="37" w:lineRule="exact"/>
        <w:rPr>
          <w:sz w:val="20"/>
          <w:szCs w:val="20"/>
          <w:color w:val="auto"/>
        </w:rPr>
      </w:pPr>
    </w:p>
    <w:p>
      <w:pPr>
        <w:ind w:left="1480" w:hanging="567"/>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Gibbs is Chairman of the Board, and former President and Chief Executive Officer, of Frontier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Fraser is a director of Forest Oil Corporation and Terra Industries.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Kelley is a director of Cabot Oil &amp; Gas Corporation and OGE Energy Corp.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Landim is a director of Globex Utilidades S.A.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Carroll is a director of Forest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Radtke is a director of NFR Energy; 35% owner of Juniper Exploration LLP and 100% owner of Valiant Exploration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companies expect to continue their business relationship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Stockholders and interested parties who wish to communicate with the non-management directors as a group, the Lead Director, or with any individual director, may do so by contacting Smith’s Corporate Secretary at 1310 Rankin Road, Houston, Texas 77073. Smith’s Corporate Secretary will then relay all communications to the appropriate director or group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The Smith board of directors has delegated various responsibilities and authority to different board committees as described in this section of this Proxy Statement. The Smith board of directors has determined that all committee members are independent and satisfy the relevant additional independence requirements for the members of such committees imposed by the SEC, the NYSE or Smith. Each committee operates under a formal charter adopted by the Smith board of directors, the full text of which may be found on Smith’s website at </w:t>
      </w:r>
      <w:r>
        <w:rPr>
          <w:rFonts w:ascii="Arial" w:cs="Arial" w:eastAsia="Arial" w:hAnsi="Arial"/>
          <w:sz w:val="18"/>
          <w:szCs w:val="18"/>
          <w:i w:val="1"/>
          <w:iCs w:val="1"/>
          <w:color w:val="auto"/>
        </w:rPr>
        <w:t>www.smith.com</w:t>
      </w:r>
      <w:r>
        <w:rPr>
          <w:rFonts w:ascii="Arial" w:cs="Arial" w:eastAsia="Arial" w:hAnsi="Arial"/>
          <w:sz w:val="18"/>
          <w:szCs w:val="18"/>
          <w:color w:val="auto"/>
        </w:rPr>
        <w:t xml:space="preserve"> under the “Investor Relations” caption and link to “Governance.” Smith stockholders may also obtain a free copy upon request by contacting Smith’s Corporate Secretary, Smith International, Inc., 1310 Rankin Road, Houston, Texas 77073.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Smith Board of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0" w:type="dxa"/>
            <w:vAlign w:val="bottom"/>
          </w:tcPr>
          <w:p>
            <w:pPr>
              <w:spacing w:after="0"/>
              <w:rPr>
                <w:sz w:val="12"/>
                <w:szCs w:val="12"/>
                <w:color w:val="auto"/>
              </w:rPr>
            </w:pPr>
          </w:p>
        </w:tc>
        <w:tc>
          <w:tcPr>
            <w:tcW w:w="7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and</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Audit</w:t>
            </w: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Committee</w:t>
            </w:r>
          </w:p>
        </w:tc>
        <w:tc>
          <w:tcPr>
            <w:tcW w:w="10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10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Rock</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John Yearwood</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02"/>
        </w:trPr>
        <w:tc>
          <w:tcPr>
            <w:tcW w:w="116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35"/>
        </w:trPr>
        <w:tc>
          <w:tcPr>
            <w:tcW w:w="7160" w:type="dxa"/>
            <w:vAlign w:val="bottom"/>
            <w:gridSpan w:val="2"/>
          </w:tcPr>
          <w:p>
            <w:pPr>
              <w:spacing w:after="0"/>
              <w:rPr>
                <w:sz w:val="20"/>
                <w:szCs w:val="20"/>
                <w:color w:val="auto"/>
              </w:rPr>
            </w:pPr>
            <w:r>
              <w:rPr>
                <w:rFonts w:ascii="Arial" w:cs="Arial" w:eastAsia="Arial" w:hAnsi="Arial"/>
                <w:sz w:val="18"/>
                <w:szCs w:val="18"/>
                <w:color w:val="auto"/>
              </w:rPr>
              <w:t>*  Committee Chairman</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5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During 2009, the Audit Committee met ten times, including telephone meetings, to discuss relevant accounting, auditing, internal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disclosure matters. The Audit Committee’s responsibilities, discussed in detail in the charter include, among other duties, the responsibility to:</w:t>
      </w:r>
    </w:p>
    <w:p>
      <w:pPr>
        <w:spacing w:after="0" w:line="4" w:lineRule="exact"/>
        <w:rPr>
          <w:sz w:val="20"/>
          <w:szCs w:val="20"/>
          <w:color w:val="auto"/>
        </w:rPr>
      </w:pPr>
    </w:p>
    <w:p>
      <w:pPr>
        <w:ind w:left="660" w:hanging="20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assist the Smith board of directors in its general oversight of Smith’s auditing, financial reporting and internal control functions;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appoint, compensate and oversee the work of Smith’s independent registered public accounting firm;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Smith’s compliance with corporate governance standards;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the work and performance of Smith’s internal audit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Smith board of directors has determined that all members are financially literate and that all members qualify as audit committee financial experts.</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Committee. </w:t>
      </w:r>
      <w:r>
        <w:rPr>
          <w:rFonts w:ascii="Arial" w:cs="Arial" w:eastAsia="Arial" w:hAnsi="Arial"/>
          <w:sz w:val="18"/>
          <w:szCs w:val="18"/>
          <w:color w:val="auto"/>
        </w:rPr>
        <w:t>During 2009, the Compensation and Benefits Committee met ten times. The Compensation and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charter permits the Compensation and Benefits Committee to delegate its authority to sub-committees. The Compensation and Benefits Committee’s responsibilities, discussed in detail in the charter include, among other duties, the responsibility to:</w:t>
      </w:r>
    </w:p>
    <w:p>
      <w:pPr>
        <w:spacing w:after="0" w:line="59" w:lineRule="exact"/>
        <w:rPr>
          <w:sz w:val="20"/>
          <w:szCs w:val="20"/>
          <w:color w:val="auto"/>
        </w:rPr>
      </w:pPr>
    </w:p>
    <w:p>
      <w:pPr>
        <w:ind w:left="660" w:right="120" w:hanging="206"/>
        <w:spacing w:after="0" w:line="26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 Smith’s executive compensation program, including approving corporate goals and objectives relating to Chief Executive Officer compensation and evaluating Chief Executive Officer performance in light of such goals and objectives;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review Smith’s employee benefits and incentive compensation plans and programs, including their establishment, modification and administration;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 and make recommendations to the Smith board of directors with respect to director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review and discuss with management the “Compensation Discussion and Analysis” and recommend its inclusion in this proxy statement/prospectus.</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During 2009, the Nominating and Corporate Governance Committee met five times. The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Corporate Governance Committee’s responsibilities, discussed in detail in the charter include, among other duties, the responsibility to:</w:t>
      </w:r>
    </w:p>
    <w:p>
      <w:pPr>
        <w:spacing w:after="0" w:line="4" w:lineRule="exact"/>
        <w:rPr>
          <w:sz w:val="20"/>
          <w:szCs w:val="20"/>
          <w:color w:val="auto"/>
        </w:rPr>
      </w:pPr>
    </w:p>
    <w:p>
      <w:pPr>
        <w:ind w:left="660" w:right="180" w:hanging="206"/>
        <w:spacing w:after="0" w:line="268"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monitor developments in corporate governance principles and standards and develop and recommend to the Smith board of directors a set of corporate governance guidelines;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identify and review the qualifications of director candidates and make recommendations for board membership and structure;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 and evaluate the effectiveness of Smith’s management succession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administer a process to measure the effectiveness of the Smith board of directors and its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Nominations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Nominating and Corporate Governance Committee will consider nominees proposed by stockholders. To recommend a prospective nominee for the Nominating and Corporate Governance Committee’s consideration, you may submit the candidate’s name and qualifications to Smith’s Corporate Secretary at 1310 Rankin Road, Houston, Texas 77073. Recommendations from stockholders for nominees must be received by Smith’s Corporate Secretary within the parameters set forth under the section “Stockholders’ Proposals.”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for identifying and evaluating director nominees includes the following steps:</w:t>
      </w:r>
    </w:p>
    <w:p>
      <w:pPr>
        <w:spacing w:after="0" w:line="90" w:lineRule="exact"/>
        <w:rPr>
          <w:sz w:val="20"/>
          <w:szCs w:val="20"/>
          <w:color w:val="auto"/>
        </w:rPr>
      </w:pPr>
    </w:p>
    <w:p>
      <w:pPr>
        <w:ind w:left="1480" w:right="200" w:hanging="567"/>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Chairman of the Board or other board members identify a need to fill vacancies or add newly created directorships;</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Chairman of the Nominating and Corporate Governance Committee initiates a search and seeks input from board members and senior management and, if necessary, hires a search firm or obtains advice from legal or other advisors;</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director candidates, including any candidates properly proposed by stockholders in accordance with Smith’s bylaws, are identified and presented to the Nominating and Corporate Governance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initial interviews of candidates are conducted by the Chairman of the Nominating and Corporate Governance Committee;</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meets to consider and approve final candidate(s) and conduct further interviews as necessary; and</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makes recommendations to the full board for inclusion in the slate of directors at the annual meeting.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evaluation process will be the same whether the nominee is recommended by a stockholder or by a member of the Smith board of directors. The Nominating and Corporate Governance Committee is responsible for establishing the selection criteria for candidates from time to time and reviewing with the board such criteria and the appropriate skills and characteristics required of board members in the context of the then current make-up of the Smith board of directors. Annually, the Nominating and Corporate Governance Committee evaluates the directors that are then up for election and, at least annually, evaluates the then current needs and composition of the Smith board of directors, including the effectiveness of the board’s diversity initiative. At a minimum, the Nominating and Corporate Governance Committee must be satisfied that each nominee for director has the necessary business and/or professional knowledge and experience relevant to Smith, its business and the goals and perspectives of its stockholders; is well regarded in the community, with a long term, good reputation for high ethical standards; has good common sense and judgment; has a positive record of accomplishment in present and prior positions; has an excellent reputation for preparation, attendance, participation, interest and initiative on other boards on which he or she may serve; and has the time, energy, interest and willingness to become involved in Smith and its future. In addition, the Smith board of directors believes that an important component of a board of directors is diversity, including background, skills, experience, expertise, gender, race and culture. In considering individuals as candidates for board membership, the Nominating and Corporate Governance Committee seeks to attain such diversity in board composition. Any search firm retained to assist the Nominating and Corporate Governance Committee is advised to seek to include diverse candidates from traditional and nontraditional pools.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During 2009, Messrs. Gibbs, Fraser and Kelley served as members of Smith’s Compensation and Benefits Committee. None of the Compensation and Benefits Committee members has served as an employee or officer of Smith, and none of Smith’s executive officers has served as a director or member of the compensation committee of another entity, which has an executive officer serving as a member of the Smith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All of Smith’s officers, employees and directors are required to comply with Smith’s Code of Business Conduct and Ethics to help ensure that Smith’s business is conducted in accordance with the highest standards of ethical behavior. Smith’s Code of Business Conduct and Ethics covers all areas of professional conduct, including customer relationships, conflicts of interest, insider trading, financial disclosure, intellectual property and confidential information, as well as requiring strict adherence to all laws and regulations applicable to Smith’s business. Employees may report any violations or suspected violations of the Code by using Smith’s ethics hotline. The Code includes an anti-retaliation statement. The full text of the Code of Business Conduct and Ethics, as well as any waiver of a provision of the Code granted to any senior officer or director or material amendment to the Code, if any, is published on Smith’s website at </w:t>
      </w:r>
      <w:r>
        <w:rPr>
          <w:rFonts w:ascii="Arial" w:cs="Arial" w:eastAsia="Arial" w:hAnsi="Arial"/>
          <w:sz w:val="16"/>
          <w:szCs w:val="16"/>
          <w:i w:val="1"/>
          <w:iCs w:val="1"/>
          <w:color w:val="auto"/>
        </w:rPr>
        <w:t>www.smith.com</w:t>
      </w:r>
      <w:r>
        <w:rPr>
          <w:rFonts w:ascii="Arial" w:cs="Arial" w:eastAsia="Arial" w:hAnsi="Arial"/>
          <w:sz w:val="16"/>
          <w:szCs w:val="16"/>
          <w:color w:val="auto"/>
        </w:rPr>
        <w:t xml:space="preserve"> under the “Investor Relations” caption and link to “Governance.” Stockholders may also obtain a free copy upon request by contacting the Smith Corporate Secretary, Smith International, Inc., 1310 Rankin Road, Houston, Texas 77073.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Objectives. </w:t>
      </w:r>
      <w:r>
        <w:rPr>
          <w:rFonts w:ascii="Arial" w:cs="Arial" w:eastAsia="Arial" w:hAnsi="Arial"/>
          <w:sz w:val="18"/>
          <w:szCs w:val="18"/>
          <w:color w:val="auto"/>
        </w:rPr>
        <w:t>Smith has designed its executive compensation program to reward its executives based on Smith, business unit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general objectives of Smith’s executive compensation program are to:</w:t>
      </w:r>
    </w:p>
    <w:p>
      <w:pPr>
        <w:spacing w:after="0" w:line="51" w:lineRule="exact"/>
        <w:rPr>
          <w:sz w:val="20"/>
          <w:szCs w:val="20"/>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Attract and retain the best available individuals to serve on Smith’s executive team;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Motivate Smith’s executives to achieve Smith’s short- and long-term financial and operational goals;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Align Smith’s executives’ interests with those of its other stockholders.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Philosophy. </w:t>
      </w:r>
      <w:r>
        <w:rPr>
          <w:rFonts w:ascii="Arial" w:cs="Arial" w:eastAsia="Arial" w:hAnsi="Arial"/>
          <w:sz w:val="18"/>
          <w:szCs w:val="18"/>
          <w:color w:val="auto"/>
        </w:rPr>
        <w:t>The Compensation and Benefits Committee (referred to as the “Compensation Committee”) bases its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on the following principles:</w:t>
      </w:r>
    </w:p>
    <w:p>
      <w:pPr>
        <w:spacing w:after="0" w:line="51" w:lineRule="exact"/>
        <w:rPr>
          <w:sz w:val="20"/>
          <w:szCs w:val="20"/>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significant portion of executive compensation should be variable and dependent on company and business unit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principal measures of performance should be annual financial measures versus specified goals.</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Of the at-risk portion, a significant amount should be paid in equity with vesting restrictions (i) to align executive interests with those of Smith’s other stockholders and (ii) to promote long-term retention of Smith’s executives.</w:t>
      </w:r>
    </w:p>
    <w:p>
      <w:pPr>
        <w:spacing w:after="0" w:line="50" w:lineRule="exact"/>
        <w:rPr>
          <w:rFonts w:ascii="Arial" w:cs="Arial" w:eastAsia="Arial" w:hAnsi="Arial"/>
          <w:sz w:val="18"/>
          <w:szCs w:val="18"/>
          <w:color w:val="auto"/>
        </w:rPr>
      </w:pPr>
    </w:p>
    <w:p>
      <w:pPr>
        <w:ind w:left="660" w:right="140" w:hanging="206"/>
        <w:spacing w:after="0" w:line="332" w:lineRule="auto"/>
        <w:tabs>
          <w:tab w:leader="none" w:pos="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Corporate executives’ incentive compensation plans should be tied to overall corporate performance whereas business unit executives’ plans should be tied in part to overall corporate performance and in part to the business unit performance for which they are responsible.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aftermath of the economic crisis, the Compensation Committee conducted an extensive review of Smith’s compensation policies to ensure that performance goals were aligned not only with long-term stockholder interests but also with Smith’s need to weather the crisis. In addition to emphasizing stockholder value objectives such as earnings per share and return on net capital employed, the Compensation Committee added specific identifiable goals related to cash flow, day-sales-outstanding and inventory reduction objectives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that are crucial to Smith in a downturn. The Compensation Committee anticipates that it will continue using personal objectives in setting annual compensation goals, such as participation in quality, heath, environmental and safety initiatives or other types of activities requiring personal involvement of the executive officers that support the business success of Smith.</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Decision Process. </w:t>
      </w:r>
      <w:r>
        <w:rPr>
          <w:rFonts w:ascii="Arial" w:cs="Arial" w:eastAsia="Arial" w:hAnsi="Arial"/>
          <w:sz w:val="16"/>
          <w:szCs w:val="16"/>
          <w:color w:val="auto"/>
        </w:rPr>
        <w:t>The Compensation Committee makes all executive compensation decisions. The Compensation Committee retained Pearl Meyer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(referred to in this section as “Pearl Meyer”), an independent compensation consultant, to assist it in the decision making process. Pearl Meyer works for the Compensation Committee and does not undertake assignments for management that exceed $120,000 per year.</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October of each year, the Compensation Committee reviews preliminary recommendations from Pearl Meyer based on current and comparative compensation data, including benchmarking results as discussed below. For all executive officers other than the Chief Executive Officer, the Compensation Committee reviews recommendations and comparative data provided by Pearl Meyer and, in conjunction with additional input from the Chief Executive Officer and Senior Vice President of Human Resources, especially as to individual executive performance, makes its decision. For the Chief Executive Officer, the Compensation Committee uses recommendations and comparative data provided by Pearl Meyer in making its decision.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Generally, the Compensation Committee makes final compensation decisions and sets performance targets in December of each year to correspond with the business plan for Smith’s upcoming fiscal year and with their evaluation of executive performance for the current year. Executive compensation decisions become effective January 1 of the upcoming fiscal year. With the exception of equity incentive awards for new hires or promotions, which are typically granted at the next Compensation Committee meeting after the hire or promotion date, Smith grants equity incentive awards only in December.</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Benchmarking Group. </w:t>
      </w:r>
      <w:r>
        <w:rPr>
          <w:rFonts w:ascii="Arial" w:cs="Arial" w:eastAsia="Arial" w:hAnsi="Arial"/>
          <w:sz w:val="16"/>
          <w:szCs w:val="16"/>
          <w:color w:val="auto"/>
        </w:rPr>
        <w:t>The worldwide energy industry is a competitive environment for executive talent. To attract and retain a high level of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Smith must remain competitive with the pay of companies with whom it competes for executive talent. Pearl Meyer provides Smith with general compensation information related to Smith’s industry and specific compensation information related to a group of companies in Smith’s industry whose executives have similar duties and responsibilities. The following companies compose Smith’s benchmarking group:</w:t>
      </w:r>
    </w:p>
    <w:p>
      <w:pPr>
        <w:sectPr>
          <w:pgSz w:w="11900" w:h="16838" w:orient="portrait"/>
          <w:cols w:equalWidth="0" w:num="1">
            <w:col w:w="11420"/>
          </w:cols>
          <w:pgMar w:left="240" w:top="459" w:right="239" w:bottom="1440" w:gutter="0" w:footer="0" w:header="0"/>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•Baker Hughes Incorporated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•Halliburton Company</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•BJ Services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Oilwell Varco, Inc.</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•Cameron International Corporation</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color w:val="auto"/>
        </w:rPr>
        <w:t>•Schlumberger Limited</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•FMC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International Ltd.</w:t>
      </w:r>
    </w:p>
    <w:p>
      <w:pPr>
        <w:spacing w:after="0" w:line="194"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Executive Position Grade Levels. </w:t>
      </w:r>
      <w:r>
        <w:rPr>
          <w:rFonts w:ascii="Arial" w:cs="Arial" w:eastAsia="Arial" w:hAnsi="Arial"/>
          <w:sz w:val="16"/>
          <w:szCs w:val="16"/>
          <w:color w:val="auto"/>
        </w:rPr>
        <w:t>Smith has established nine executive management grade levels. Smith assigns all executive officers in Smith to a grade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consistent with the responsibility and authority of the position. The Compensation Committee, with the assistance of Pearl Meyer, uses the grade levels to establish guidelines for salary, target annual incentive awards, target long-term incentive awards, and perquisite benefits. The grade level for each individual executive officer typically corresponds to his or her management position; however, occasionally Smith may advance an individual to a higher level to recognize exceptional contributions. Variable pay awards and equity grants, as well as perquisite benefits, are consistent within each grade level.</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Fixed versus Variable Pay. </w:t>
      </w:r>
      <w:r>
        <w:rPr>
          <w:rFonts w:ascii="Arial" w:cs="Arial" w:eastAsia="Arial" w:hAnsi="Arial"/>
          <w:sz w:val="18"/>
          <w:szCs w:val="18"/>
          <w:color w:val="auto"/>
        </w:rPr>
        <w:t>Smith divides its compensation program into two general categories, fixed and variable pay. Fixed pay consists of 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provides Smith’s executive officers with a level of assured cash compensation appropriate for their positions within Smith. Variable pay includes annual cash bonus awards and annual equity awards (each as explained in more detail below) and is the largest component of executive management’s total target compensation. Typically, the equity awards to executive officers are solely performance-based awards that are not earned unless financial performance goals are met.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Matrices. </w:t>
      </w:r>
      <w:r>
        <w:rPr>
          <w:rFonts w:ascii="Arial" w:cs="Arial" w:eastAsia="Arial" w:hAnsi="Arial"/>
          <w:sz w:val="16"/>
          <w:szCs w:val="16"/>
          <w:color w:val="auto"/>
        </w:rPr>
        <w:t>At the beginning of each year, the Compensation Committee approves consolidated and business unit performance matrices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targets for the variable-pay component of executive compensation. Generally, these matrices are based on the financial performance goals established in Smith’s annual business plan, supplemented by personal objectives relevant to each business segment. Because the goals are pre-determined and market conditions fluctuate throughout the year, the performance goals may not correspond to Smith’s actual results.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This process has resulted in the establishment of performance goals that are not easily met and require excellent performance and effort by management regardless of general market conditions. For instance, in performance year 2008, when Smith reported record earnings and returns during a period of robust market activity in the oilfield service industry, the annual cash bonus awards for Smith’s named executive officers ranged from 44% to 200% of target and the performance-based equity awards were 92.6% of target. For performance year 2009, Smith’s results suffered from the extreme economic recession, particularly with respect to the North American gas drilling industry, and the annual cash bonus awards for Smith’s named executive officers ranged from 0% to 79% of target and the performance-based equity awards were 63.2% of target. For the last three years, the awards to the named executive officers as a percent of target are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0" w:type="dxa"/>
            <w:vAlign w:val="bottom"/>
            <w:gridSpan w:val="6"/>
          </w:tcPr>
          <w:p>
            <w:pPr>
              <w:jc w:val="center"/>
              <w:ind w:left="802"/>
              <w:spacing w:after="0"/>
              <w:rPr>
                <w:sz w:val="20"/>
                <w:szCs w:val="20"/>
                <w:color w:val="auto"/>
              </w:rPr>
            </w:pPr>
            <w:r>
              <w:rPr>
                <w:rFonts w:ascii="Arial" w:cs="Arial" w:eastAsia="Arial" w:hAnsi="Arial"/>
                <w:sz w:val="14"/>
                <w:szCs w:val="14"/>
                <w:b w:val="1"/>
                <w:bCs w:val="1"/>
                <w:color w:val="auto"/>
                <w:w w:val="87"/>
              </w:rPr>
              <w:t>Percentage of Target Award Paid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8"/>
              </w:rPr>
              <w:t>for Each Performance Year:</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Annual Cash Bonus Award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 - 79%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- 200%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 - 162%</w:t>
            </w:r>
          </w:p>
        </w:tc>
        <w:tc>
          <w:tcPr>
            <w:tcW w:w="20" w:type="dxa"/>
            <w:vAlign w:val="bottom"/>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Annual Equity Award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Alignment of Interests with Stockholders. </w:t>
      </w:r>
      <w:r>
        <w:rPr>
          <w:rFonts w:ascii="Arial" w:cs="Arial" w:eastAsia="Arial" w:hAnsi="Arial"/>
          <w:sz w:val="16"/>
          <w:szCs w:val="16"/>
          <w:color w:val="auto"/>
        </w:rPr>
        <w:t>Long-term equity incentives comprise a significant portion of total compensation for Smith’s executives.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all long-term equity incentives as restricted stock units which vest ratably over either three or four years, depending on the type of award (three years for performance-based awards and four years for time-based awards). As a result, executives receive a significant amount of equity in Smith, thereby aligning their interests with those of the stockholders and providing incentive to avoid excessive risks. For instance, for the 2010 performance-year awards granted in December of 2009, approximately 70% of the total target compensation to the Smith Chief Executive Officer was in equity-based performance awards. Equity-based compensation awards constituted 50% to 68% of the total target compensation to the other named executive officers and 40% to 55% of the total target compensation to the other executive officers. In determining the type of equity awards to grant, the Compensation Committee evaluated, among other considerations, the required accounting treatment and other tax and accounting implications of various types of equity awards. The Compensation Committee selected restricted stock units (“units”), discussed below, as the equity award component because Smith can offer equal long-term value as it could with stock options while issuing fewer shares, thus reducing the dilution effect of the equity program. Performance-based unit awards are earned only when the financial performance goals are met and are forfeited prior to issuance of the common stock if the financial performance goals are not met. All unit awards contain a retention element and align executive management with stockholder interests. For these reasons, the Compensation Committee has determined that units are the most appropriate long-term equity based incentive for Smith and are the only type of equity incentive that Smith currently awards to its executive officers.</w:t>
      </w:r>
    </w:p>
    <w:p>
      <w:pPr>
        <w:spacing w:after="0" w:line="121"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Compensation Committee encourages stock ownership by executive management and periodically considers the appropriateness of implementing stock ownership guidelines. The Compensation Committee has chosen not to require stock ownership guidelines for the executive management at this time. Smith’s Insider Trading Policy prohibits Smith’s executive officers from engaging in any hedging or monetization transactions involving Smith securities.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The Compensation Committee sets salaries for each executive by reference to the executive grade level of the position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criteria used in evaluating individual performance, including that of the Smith Chief Executive Officer, vary depending on the executive’s function, but generally include:</w:t>
      </w:r>
    </w:p>
    <w:p>
      <w:pPr>
        <w:spacing w:after="0" w:line="59" w:lineRule="exact"/>
        <w:rPr>
          <w:sz w:val="20"/>
          <w:szCs w:val="20"/>
          <w:color w:val="auto"/>
        </w:rPr>
      </w:pPr>
    </w:p>
    <w:p>
      <w:pPr>
        <w:ind w:left="660" w:hanging="20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Leadership inside and outside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Advancing Smith’s interests with customers, vendors and in other business relationships;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Product quality and development;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Advancement in skills and responsibility;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Financial results.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2009 year, base salary represents 14% of Chief Executive Officer total target compensation and between approximately 17% and 30% of total target compensation for the other named executive officers. Base salary generally remains at the median level of the salary range, but may exceed the median if deemed appropriate by the Compensation Committee.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Annual Cash Bonus. </w:t>
      </w:r>
      <w:r>
        <w:rPr>
          <w:rFonts w:ascii="Arial" w:cs="Arial" w:eastAsia="Arial" w:hAnsi="Arial"/>
          <w:sz w:val="16"/>
          <w:szCs w:val="16"/>
          <w:color w:val="auto"/>
        </w:rPr>
        <w:t>Smith’s executive officers participate in the Executive Officer Annual Incentive Plan (“AIP”) which provides for annual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bonuses. For the 2009 year, the Compensation Committee tied 14% of Chief Executive Officer total target compensation and between 15% and 20% of each other named executive officer’s total target compensation to the achievement of financial performance goals under the AIP.</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Participants in the AIP can earn an annual cash bonus based upon the achievement of Smith’s established financial performance goals, supplemented by personal goals set for each executive officer, for each fiscal year, as described above in “Fixed versus Variable Pay” and “Performance Matrices”. The target annual bonus percentages for the executive officers are determined based upon the grade level of the executive officer and are generally close to the median of the benchmarking group. The payout award, if any, is determined by multiplying the actual annual cash bonus percentage earned by the product of the target annual cash bonus percentage times the executive’s base salary.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Depending upon Smith’s financial performance, the AIP payout can range from zero to 200% of the target annual cash bonus percentage. Upon the achievement of the target financial performance goals, participants earn 100% of their target annual cash bonus.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has no discretion to increase any award after establishing the performance targets, but may decrease or eliminate any annual bonus award, even if Smith or the executive meets the established performance targets. The Committee periodically uses such negative discretion as an additional catalyst to encourage compliance with particular personal goals for the executive management that emerge during the fiscal year and that were not initially included in the performance matrices. Smith intends that the AIP comply with Section 162(m) of the Internal Revenue Code of 1986, as amended (the “Code”) so that amounts paid under the AIP will be fully deductible by Smith for federal income tax purposes.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Annual Restricted Stock Unit Award. </w:t>
      </w:r>
      <w:r>
        <w:rPr>
          <w:rFonts w:ascii="Arial" w:cs="Arial" w:eastAsia="Arial" w:hAnsi="Arial"/>
          <w:sz w:val="16"/>
          <w:szCs w:val="16"/>
          <w:color w:val="auto"/>
        </w:rPr>
        <w:t>The annual restricted stock unit (“unit”) award, issued pursuant to the Third Amended and Restated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Plan (“LTIP”), is the largest single component of total target annual compensation. Units represent the right to receive shares of common stock in the future, depending upon the achievement of the target equity goal for the coming year (for performance-based unit awards) or continued employment with Smith (for time-based unit awards). As discussed above, in typical years, executive officers receive only performance-based unit awards. As discussed above, generally the Compensation Committee makes compensation decisions for the upcoming fiscal year in December of each year. In December 2008, the global business environment was significantly deteriorating and the economic outlook was extremely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volatile, particularly as related to projections for oil price and rig count, two key drivers for Smith’s business. In addition, the market value of Smith’s common stock had declined significantly from the beginning of 2008, as had that of the S&amp;P 500 Index, the Philadelphia Oil Service Index (OSX), and Smith’s peer companies, including those of Smith’s benchmarking group. It was against this backdrop that Smith’s Compensation Committee made their compensation decisions for 2009.</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When approving the December 2008 equity awards for the 2009 performance year, the Compensation Committee considered the possibility that global industry conditions, along with general economic market conditions, could worsen beyond any then-current projections. In that case, 2009 performance targets may not have been reasonably achievable for non-operational related reasons outside the control or influence of management, resulting in a zero payout for all performance-based compensation. Historically, Smith had granted equity awards to its executive officers that were 100% performance-based. To ensure the retention value of the 2009 equity pay component, particularly during the uncertain market conditions, the Compensation Committee granted 20% of the total equity awards as time-based units for all executive officers, except Smith’s Chief Executive Officer, Mr. Yearwood. The remaining 80% of the equity awards continued to consist of performance-based units. Mr. Yearwood received only performance-based units. The Compensation Committee viewed the 2009 performance period award structure as a one-time change due to the extenuating circumstances of the economic crisis. It did not contemplate continuing this mix of performance-based and time-based unit awards to the executive officers and returned in December 2009 to granting only performance-based units to the executive officers.</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sets the monetary value of the awards by grade level for equity awards with all executive officers in the same grade level receiving unit awards of the same monetary value. The awards for the 2009 and 2010 performance years were in the range of the 50</w:t>
      </w:r>
      <w:r>
        <w:rPr>
          <w:rFonts w:ascii="Arial" w:cs="Arial" w:eastAsia="Arial" w:hAnsi="Arial"/>
          <w:sz w:val="10"/>
          <w:szCs w:val="10"/>
          <w:color w:val="auto"/>
        </w:rPr>
        <w:t>th</w:t>
      </w:r>
      <w:r>
        <w:rPr>
          <w:rFonts w:ascii="Arial" w:cs="Arial" w:eastAsia="Arial" w:hAnsi="Arial"/>
          <w:sz w:val="16"/>
          <w:szCs w:val="16"/>
          <w:color w:val="auto"/>
        </w:rPr>
        <w:t xml:space="preserve"> percentile of equity awards granted by the benchmarking group. Award recipients do not own the underlying shares until the awards have been earned and vested; accordingly, participants have no voting rights on the shares and do not receive dividends until the shares are earned and vested. The number of target units granted is determined based on the closing price of the common stock on the date of grant, discounted for the present value of the dividends that are not paid on the unvested shares based on the dividend rate at the time of the award. The time-based units vest in equal installments over a four-year period based on continued employment requirements. If the performance-based units are earned at year-end by meeting the predetermined financial performance goals, they vest in equal installments over a three-year period based on continued employment requirements.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Depending upon performance, the payout for the performance-based unit awards for the 2009 performance year could range from zero to 130% of the target. Upon the achievement of the target equity goal, participants earn 100% of the units awarded. Once the financial performance goals have been set, the Compensation Committee does not exercise any discretion in the number of units awarded. In December 2009, the Compensation Committee evaluated the payout range for the executive officers. In order to encourage extraordinary efforts by Smith’s senior leadership team, the Compensation Committee increased the maximum payout to 150% of the target for the top four grade levels beginning with the 2010 performance year awards.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Compensation and Performance Year Awards.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2009 corporate performance metrics, set in March 2009 and used in the AIP, are (i) earnings per share and (ii) return on net capital employed, together composing 80% of the AIP goal, and cash flow generation based on a consolidated receivable and inventory reduction goal composing 20% of the AIP goal. The LTIP performance matrix is based on a return on net capital employed goal. Both of these sets of metrics are shown in the tables below. The business unit metrics for the AIP are set for each specific business unit and include (i) earnings and return on operating assets or return on net capital employed goals and (ii) free cash flow or a combination of day-sales-outstanding and inventory reduction goals. When consolidated, the business unit goals align with the consolidated AIP goals. The Compensation Committee selected these financial measurements because these metrics are readily understood by the executives, provide a balanced incentive to increase income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while managing Smith’s investment in its net assets, and relate directly to the creation of economic value that is ultimately reflected in share value.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For the 2009 performance year, the grade level and target AIP percentages for the named executive officers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spacing w:after="0"/>
              <w:rPr>
                <w:sz w:val="14"/>
                <w:szCs w:val="14"/>
                <w:color w:val="auto"/>
              </w:rPr>
            </w:pPr>
          </w:p>
        </w:tc>
        <w:tc>
          <w:tcPr>
            <w:tcW w:w="2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Performance Year 2009</w:t>
            </w:r>
          </w:p>
        </w:tc>
        <w:tc>
          <w:tcPr>
            <w:tcW w:w="0" w:type="dxa"/>
            <w:vAlign w:val="bottom"/>
          </w:tcPr>
          <w:p>
            <w:pPr>
              <w:spacing w:after="0"/>
              <w:rPr>
                <w:sz w:val="1"/>
                <w:szCs w:val="1"/>
                <w:color w:val="auto"/>
              </w:rPr>
            </w:pPr>
          </w:p>
        </w:tc>
      </w:tr>
      <w:tr>
        <w:trPr>
          <w:trHeight w:val="142"/>
        </w:trPr>
        <w:tc>
          <w:tcPr>
            <w:tcW w:w="3420" w:type="dxa"/>
            <w:vAlign w:val="bottom"/>
            <w:gridSpan w:val="3"/>
            <w:vMerge w:val="continue"/>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Grade Level</w:t>
            </w:r>
          </w:p>
        </w:tc>
        <w:tc>
          <w:tcPr>
            <w:tcW w:w="19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Target AIP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Mr. Rock serves as Smith’s Chairman of the Board, which was an executive officer position during 2009. He is compensated pursuant to his employment agreement and so is not in any particular officer grade level.</w:t>
      </w:r>
    </w:p>
    <w:p>
      <w:pPr>
        <w:spacing w:after="0" w:line="5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Ms. Dorman served as Smith’s Executive Vice President, Chief Financial Officer and Treasurer until October 2009.</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AIP target goals for the 2009 performance year included a performance matrix with a corporate earnings per share target of $1.34 and a return on net capital employed target of 15.5% representing 80% of the plan goals. The remaining 20% of the plan goals included a consolidated receivable and inventory reduction goal of $1,148 million. The metrics are set forth below. For the 2009 performance year, Smith’s earnings per share were $0.66, return on net capital employed was 11.7% and consolidated receivable and inventory reductions from December 31, 2008 were $1,009 million; resulting in a payout of 15.4% to Messrs. Rock, Yearwood and Restrepo.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179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ANNUAL PERFORMANCE PLAN 2009 CORPORATE PERFORMANCE MATRIX–80%</w:t>
      </w:r>
    </w:p>
    <w:tbl>
      <w:tblPr>
        <w:tblLayout w:type="fixed"/>
        <w:tblInd w:w="0" w:type="dxa"/>
        <w:tblCellMar>
          <w:top w:w="0" w:type="dxa"/>
          <w:left w:w="0" w:type="dxa"/>
          <w:bottom w:w="0" w:type="dxa"/>
          <w:right w:w="0" w:type="dxa"/>
        </w:tblCellMar>
      </w:tblPr>
      <w:tr>
        <w:trPr>
          <w:trHeight w:val="142"/>
        </w:trPr>
        <w:tc>
          <w:tcPr>
            <w:tcW w:w="26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EARNINGS PER SHARE</w:t>
            </w:r>
          </w:p>
        </w:tc>
        <w:tc>
          <w:tcPr>
            <w:tcW w:w="8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spacing w:after="0"/>
              <w:rPr>
                <w:sz w:val="12"/>
                <w:szCs w:val="12"/>
                <w:color w:val="auto"/>
              </w:rPr>
            </w:pPr>
          </w:p>
        </w:tc>
      </w:tr>
      <w:tr>
        <w:trPr>
          <w:trHeight w:val="237"/>
        </w:trPr>
        <w:tc>
          <w:tcPr>
            <w:tcW w:w="2640" w:type="dxa"/>
            <w:vAlign w:val="bottom"/>
          </w:tcPr>
          <w:p>
            <w:pPr>
              <w:ind w:left="880"/>
              <w:spacing w:after="0"/>
              <w:rPr>
                <w:sz w:val="20"/>
                <w:szCs w:val="20"/>
                <w:color w:val="auto"/>
              </w:rPr>
            </w:pPr>
            <w:r>
              <w:rPr>
                <w:rFonts w:ascii="Arial" w:cs="Arial" w:eastAsia="Arial" w:hAnsi="Arial"/>
                <w:sz w:val="14"/>
                <w:szCs w:val="14"/>
                <w:b w:val="1"/>
                <w:bCs w:val="1"/>
                <w:color w:val="auto"/>
                <w:w w:val="95"/>
              </w:rPr>
              <w:t>RETURN ON NET CAPITAL</w:t>
            </w:r>
          </w:p>
        </w:tc>
        <w:tc>
          <w:tcPr>
            <w:tcW w:w="7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97"/>
              </w:rPr>
              <w:t>ACTUAL</w:t>
            </w:r>
          </w:p>
        </w:tc>
        <w:tc>
          <w:tcPr>
            <w:tcW w:w="9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THRESHOLD</w:t>
            </w:r>
          </w:p>
        </w:tc>
        <w:tc>
          <w:tcPr>
            <w:tcW w:w="8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MAXIMUM</w:t>
            </w:r>
          </w:p>
        </w:tc>
      </w:tr>
      <w:tr>
        <w:trPr>
          <w:trHeight w:val="142"/>
        </w:trPr>
        <w:tc>
          <w:tcPr>
            <w:tcW w:w="2640" w:type="dxa"/>
            <w:vAlign w:val="bottom"/>
            <w:tcBorders>
              <w:bottom w:val="single" w:sz="8" w:color="auto"/>
            </w:tcBorders>
          </w:tcPr>
          <w:p>
            <w:pPr>
              <w:ind w:left="1360"/>
              <w:spacing w:after="0" w:line="142" w:lineRule="exact"/>
              <w:rPr>
                <w:sz w:val="20"/>
                <w:szCs w:val="20"/>
                <w:color w:val="auto"/>
              </w:rPr>
            </w:pPr>
            <w:r>
              <w:rPr>
                <w:rFonts w:ascii="Arial" w:cs="Arial" w:eastAsia="Arial" w:hAnsi="Arial"/>
                <w:sz w:val="14"/>
                <w:szCs w:val="14"/>
                <w:b w:val="1"/>
                <w:bCs w:val="1"/>
                <w:color w:val="auto"/>
              </w:rPr>
              <w:t>EMPLOYED</w:t>
            </w:r>
          </w:p>
        </w:tc>
        <w:tc>
          <w:tcPr>
            <w:tcW w:w="74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$0.66</w:t>
            </w:r>
          </w:p>
        </w:tc>
        <w:tc>
          <w:tcPr>
            <w:tcW w:w="9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&lt;$0.94</w:t>
            </w:r>
          </w:p>
        </w:tc>
        <w:tc>
          <w:tcPr>
            <w:tcW w:w="1440" w:type="dxa"/>
            <w:vAlign w:val="bottom"/>
            <w:tcBorders>
              <w:bottom w:val="single" w:sz="8" w:color="auto"/>
              <w:right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$0.94</w:t>
            </w:r>
          </w:p>
        </w:tc>
        <w:tc>
          <w:tcPr>
            <w:tcW w:w="8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$1.14</w:t>
            </w: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$1.34</w:t>
            </w:r>
          </w:p>
        </w:tc>
        <w:tc>
          <w:tcPr>
            <w:tcW w:w="88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$1.47</w:t>
            </w:r>
          </w:p>
        </w:tc>
        <w:tc>
          <w:tcPr>
            <w:tcW w:w="14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$1.61</w:t>
            </w:r>
          </w:p>
        </w:tc>
      </w:tr>
      <w:tr>
        <w:trPr>
          <w:trHeight w:val="142"/>
        </w:trPr>
        <w:tc>
          <w:tcPr>
            <w:tcW w:w="264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&lt;10.9%</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r>
      <w:tr>
        <w:trPr>
          <w:trHeight w:val="167"/>
        </w:trPr>
        <w:tc>
          <w:tcPr>
            <w:tcW w:w="264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10.9%</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11.7%</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9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20" w:type="dxa"/>
            <w:vAlign w:val="bottom"/>
            <w:tcBorders>
              <w:top w:val="single" w:sz="8" w:color="CCEEFF"/>
              <w:bottom w:val="single" w:sz="8" w:color="auto"/>
            </w:tcBorders>
            <w:shd w:val="clear" w:color="auto" w:fill="CCEEFF"/>
          </w:tcPr>
          <w:p>
            <w:pPr>
              <w:spacing w:after="0"/>
              <w:rPr>
                <w:sz w:val="11"/>
                <w:szCs w:val="11"/>
                <w:color w:val="auto"/>
              </w:rPr>
            </w:pPr>
          </w:p>
        </w:tc>
      </w:tr>
      <w:tr>
        <w:trPr>
          <w:trHeight w:val="167"/>
        </w:trPr>
        <w:tc>
          <w:tcPr>
            <w:tcW w:w="26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13.2%</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125%</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15.5%</w:t>
            </w: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96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144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75%</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w:t>
            </w:r>
          </w:p>
        </w:tc>
        <w:tc>
          <w:tcPr>
            <w:tcW w:w="1420" w:type="dxa"/>
            <w:vAlign w:val="bottom"/>
            <w:tcBorders>
              <w:top w:val="single" w:sz="8" w:color="CCEEFF"/>
              <w:bottom w:val="single" w:sz="8" w:color="auto"/>
            </w:tcBorders>
            <w:shd w:val="clear" w:color="auto" w:fill="CCEEFF"/>
          </w:tcPr>
          <w:p>
            <w:pPr>
              <w:jc w:val="right"/>
              <w:ind w:right="92"/>
              <w:spacing w:after="0" w:line="136" w:lineRule="exact"/>
              <w:rPr>
                <w:sz w:val="20"/>
                <w:szCs w:val="20"/>
                <w:color w:val="auto"/>
              </w:rPr>
            </w:pPr>
            <w:r>
              <w:rPr>
                <w:rFonts w:ascii="Arial" w:cs="Arial" w:eastAsia="Arial" w:hAnsi="Arial"/>
                <w:sz w:val="14"/>
                <w:szCs w:val="14"/>
                <w:color w:val="auto"/>
              </w:rPr>
              <w:t>150%</w:t>
            </w: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17.1%</w:t>
            </w:r>
          </w:p>
        </w:tc>
        <w:tc>
          <w:tcPr>
            <w:tcW w:w="114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175%</w:t>
            </w:r>
          </w:p>
        </w:tc>
      </w:tr>
      <w:tr>
        <w:trPr>
          <w:trHeight w:val="142"/>
        </w:trPr>
        <w:tc>
          <w:tcPr>
            <w:tcW w:w="264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18.6%</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155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 PLAN 2009 CORPORATE PERFORMANCE MATRIX – 20%</w:t>
      </w:r>
    </w:p>
    <w:tbl>
      <w:tblPr>
        <w:tblLayout w:type="fixed"/>
        <w:tblInd w:w="10" w:type="dxa"/>
        <w:tblCellMar>
          <w:top w:w="0" w:type="dxa"/>
          <w:left w:w="0" w:type="dxa"/>
          <w:bottom w:w="0" w:type="dxa"/>
          <w:right w:w="0" w:type="dxa"/>
        </w:tblCellMar>
      </w:tblPr>
      <w:tr>
        <w:trPr>
          <w:trHeight w:val="133"/>
        </w:trPr>
        <w:tc>
          <w:tcPr>
            <w:tcW w:w="3760" w:type="dxa"/>
            <w:vAlign w:val="bottom"/>
            <w:tcBorders>
              <w:top w:val="single" w:sz="8" w:color="auto"/>
              <w:left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CONSOLIDATED RECEIVABLE AND INVENTORY</w:t>
            </w:r>
          </w:p>
        </w:tc>
        <w:tc>
          <w:tcPr>
            <w:tcW w:w="380" w:type="dxa"/>
            <w:vAlign w:val="bottom"/>
            <w:tcBorders>
              <w:top w:val="single" w:sz="8" w:color="auto"/>
              <w:right w:val="single" w:sz="8" w:color="auto"/>
            </w:tcBorders>
          </w:tcPr>
          <w:p>
            <w:pPr>
              <w:spacing w:after="0"/>
              <w:rPr>
                <w:sz w:val="11"/>
                <w:szCs w:val="11"/>
                <w:color w:val="auto"/>
              </w:rPr>
            </w:pPr>
          </w:p>
        </w:tc>
        <w:tc>
          <w:tcPr>
            <w:tcW w:w="7280" w:type="dxa"/>
            <w:vAlign w:val="bottom"/>
            <w:tcBorders>
              <w:top w:val="single" w:sz="8" w:color="auto"/>
              <w:right w:val="single" w:sz="8" w:color="auto"/>
            </w:tcBorders>
          </w:tcPr>
          <w:p>
            <w:pPr>
              <w:spacing w:after="0"/>
              <w:rPr>
                <w:sz w:val="11"/>
                <w:szCs w:val="11"/>
                <w:color w:val="auto"/>
              </w:rPr>
            </w:pPr>
          </w:p>
        </w:tc>
      </w:tr>
      <w:tr>
        <w:trPr>
          <w:trHeight w:val="175"/>
        </w:trPr>
        <w:tc>
          <w:tcPr>
            <w:tcW w:w="37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REDUCTION FROM DECEMBER 31, 2008 (IN MILLIONS)</w:t>
            </w:r>
          </w:p>
        </w:tc>
        <w:tc>
          <w:tcPr>
            <w:tcW w:w="380" w:type="dxa"/>
            <w:vAlign w:val="bottom"/>
            <w:tcBorders>
              <w:bottom w:val="single" w:sz="8" w:color="auto"/>
              <w:right w:val="single" w:sz="8" w:color="auto"/>
            </w:tcBorders>
          </w:tcPr>
          <w:p>
            <w:pPr>
              <w:spacing w:after="0"/>
              <w:rPr>
                <w:sz w:val="15"/>
                <w:szCs w:val="15"/>
                <w:color w:val="auto"/>
              </w:rPr>
            </w:pPr>
          </w:p>
        </w:tc>
        <w:tc>
          <w:tcPr>
            <w:tcW w:w="728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b w:val="1"/>
                <w:bCs w:val="1"/>
                <w:color w:val="auto"/>
              </w:rPr>
              <w:t>PAYOUT EARNED</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&lt;804</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804</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36.0%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918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52.0%</w:t>
            </w:r>
          </w:p>
        </w:tc>
      </w:tr>
      <w:tr>
        <w:trPr>
          <w:trHeight w:val="162"/>
        </w:trPr>
        <w:tc>
          <w:tcPr>
            <w:tcW w:w="25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68.0%</w:t>
            </w:r>
          </w:p>
        </w:tc>
      </w:tr>
      <w:tr>
        <w:trPr>
          <w:trHeight w:val="136"/>
        </w:trPr>
        <w:tc>
          <w:tcPr>
            <w:tcW w:w="252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124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1,009</w:t>
            </w:r>
          </w:p>
        </w:tc>
        <w:tc>
          <w:tcPr>
            <w:tcW w:w="7280" w:type="dxa"/>
            <w:vAlign w:val="bottom"/>
            <w:tcBorders>
              <w:bottom w:val="single" w:sz="8" w:color="auto"/>
              <w:right w:val="single" w:sz="8" w:color="auto"/>
            </w:tcBorders>
          </w:tcPr>
          <w:p>
            <w:pPr>
              <w:jc w:val="right"/>
              <w:ind w:right="2752"/>
              <w:spacing w:after="0" w:line="136" w:lineRule="exact"/>
              <w:rPr>
                <w:sz w:val="20"/>
                <w:szCs w:val="20"/>
                <w:color w:val="auto"/>
              </w:rPr>
            </w:pPr>
            <w:r>
              <w:rPr>
                <w:rFonts w:ascii="Arial" w:cs="Arial" w:eastAsia="Arial" w:hAnsi="Arial"/>
                <w:sz w:val="14"/>
                <w:szCs w:val="14"/>
                <w:color w:val="auto"/>
              </w:rPr>
              <w:t>77.2%</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1,033</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84.0%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1,148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100.0%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1,205</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125.0%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1,263</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150.0%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1,320</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175.0%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1,378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200.0%</w:t>
            </w:r>
          </w:p>
        </w:tc>
      </w:tr>
    </w:tbl>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business unit matrices and payout calculations follow a similar model, with the same payout range, but with targets that are specific to each business unit. The actual performance levels achieved by the business units were below the target goals, resulting in Messrs. Rivers, Dudman and Mckay (pro-rated for time of employment) earning 58.7%, 0% and 79.2%, respectively, of their target annual cash bonus percentage. Because Ms. Dorman was not an employee as of December 31, 2009, she did not earn any award under the AIP.</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Annual Equity Award. </w:t>
      </w:r>
      <w:r>
        <w:rPr>
          <w:rFonts w:ascii="Arial" w:cs="Arial" w:eastAsia="Arial" w:hAnsi="Arial"/>
          <w:sz w:val="16"/>
          <w:szCs w:val="16"/>
          <w:color w:val="auto"/>
        </w:rPr>
        <w:t>All units granted to Mr. Yearwood in 2008 for the 2009 performance year were performance-based units. Messrs. Rivers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Dudman received a mix of 80% performance-based units and 20% time-based units. Because Mr. Mckay joined the Company in November 2009, he did not receive any performance-based units for the 2009 performance year. No units were granted to Mr. Rock in 2008 for the 2009 performance year. The target for the 2009 performance year was return on net capital employed was 15.5%, the same level as for the AIP. The matrix is set forth below. For the 2009 performance year, Smith’s return on net capital employed was 11.67%, resulting in each individual earning 63.2% of their target unit award. Because Ms. Dorman was not an employee as of December 31, 2009, she did not receive any performance-based unit awards based on the criteria set forth above. Her settlement agreement is described in the section titled “Employment Agreements”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184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844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PERFORMANCE-BASED RESTRICTED SHARES</w:t>
      </w:r>
    </w:p>
    <w:p>
      <w:pPr>
        <w:jc w:val="center"/>
        <w:spacing w:after="0" w:line="237" w:lineRule="auto"/>
        <w:rPr>
          <w:sz w:val="20"/>
          <w:szCs w:val="20"/>
          <w:color w:val="auto"/>
        </w:rPr>
      </w:pPr>
      <w:r>
        <w:rPr>
          <w:rFonts w:ascii="Arial" w:cs="Arial" w:eastAsia="Arial" w:hAnsi="Arial"/>
          <w:sz w:val="14"/>
          <w:szCs w:val="14"/>
          <w:b w:val="1"/>
          <w:bCs w:val="1"/>
          <w:color w:val="auto"/>
        </w:rPr>
        <w:t>2009 FISCAL YEAR AWARD MATRIX</w:t>
      </w:r>
    </w:p>
    <w:tbl>
      <w:tblPr>
        <w:tblLayout w:type="fixed"/>
        <w:tblInd w:w="10" w:type="dxa"/>
        <w:tblCellMar>
          <w:top w:w="0" w:type="dxa"/>
          <w:left w:w="0" w:type="dxa"/>
          <w:bottom w:w="0" w:type="dxa"/>
          <w:right w:w="0" w:type="dxa"/>
        </w:tblCellMar>
      </w:tblPr>
      <w:tr>
        <w:trPr>
          <w:trHeight w:val="133"/>
        </w:trPr>
        <w:tc>
          <w:tcPr>
            <w:tcW w:w="2480" w:type="dxa"/>
            <w:vAlign w:val="bottom"/>
            <w:tcBorders>
              <w:top w:val="single" w:sz="8" w:color="auto"/>
              <w:left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7020" w:type="dxa"/>
            <w:vAlign w:val="bottom"/>
            <w:tcBorders>
              <w:top w:val="single" w:sz="8" w:color="auto"/>
              <w:right w:val="single" w:sz="8" w:color="auto"/>
            </w:tcBorders>
          </w:tcPr>
          <w:p>
            <w:pPr>
              <w:jc w:val="right"/>
              <w:ind w:right="1872"/>
              <w:spacing w:after="0" w:line="133" w:lineRule="exact"/>
              <w:rPr>
                <w:sz w:val="20"/>
                <w:szCs w:val="20"/>
                <w:color w:val="auto"/>
              </w:rPr>
            </w:pPr>
            <w:r>
              <w:rPr>
                <w:rFonts w:ascii="Arial" w:cs="Arial" w:eastAsia="Arial" w:hAnsi="Arial"/>
                <w:sz w:val="14"/>
                <w:szCs w:val="14"/>
                <w:b w:val="1"/>
                <w:bCs w:val="1"/>
                <w:color w:val="auto"/>
              </w:rPr>
              <w:t>RESTRICTED SHARES EARNED</w:t>
            </w:r>
          </w:p>
        </w:tc>
      </w:tr>
      <w:tr>
        <w:trPr>
          <w:trHeight w:val="175"/>
        </w:trPr>
        <w:tc>
          <w:tcPr>
            <w:tcW w:w="32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RETURN ON NET CAPITAL EMPLOYED</w:t>
            </w:r>
          </w:p>
        </w:tc>
        <w:tc>
          <w:tcPr>
            <w:tcW w:w="1140" w:type="dxa"/>
            <w:vAlign w:val="bottom"/>
            <w:tcBorders>
              <w:bottom w:val="single" w:sz="8" w:color="auto"/>
              <w:right w:val="single" w:sz="8" w:color="auto"/>
            </w:tcBorders>
          </w:tcPr>
          <w:p>
            <w:pPr>
              <w:spacing w:after="0"/>
              <w:rPr>
                <w:sz w:val="15"/>
                <w:szCs w:val="15"/>
                <w:color w:val="auto"/>
              </w:rPr>
            </w:pPr>
          </w:p>
        </w:tc>
        <w:tc>
          <w:tcPr>
            <w:tcW w:w="7020" w:type="dxa"/>
            <w:vAlign w:val="bottom"/>
            <w:tcBorders>
              <w:bottom w:val="single" w:sz="8" w:color="auto"/>
              <w:right w:val="single" w:sz="8" w:color="auto"/>
            </w:tcBorders>
          </w:tcPr>
          <w:p>
            <w:pPr>
              <w:jc w:val="right"/>
              <w:ind w:right="1952"/>
              <w:spacing w:after="0"/>
              <w:rPr>
                <w:sz w:val="20"/>
                <w:szCs w:val="20"/>
                <w:color w:val="auto"/>
              </w:rPr>
            </w:pPr>
            <w:r>
              <w:rPr>
                <w:rFonts w:ascii="Arial" w:cs="Arial" w:eastAsia="Arial" w:hAnsi="Arial"/>
                <w:sz w:val="14"/>
                <w:szCs w:val="14"/>
                <w:b w:val="1"/>
                <w:bCs w:val="1"/>
                <w:color w:val="auto"/>
              </w:rPr>
              <w:t>(AS A % OF TARGET AWARD)</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&lt;10.85%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10.85%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50.0%</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11.63%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62.5%</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11.67%</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63.2%</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12.40%</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75.0%</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13.18%</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87.5%</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13.95%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93.8%</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15.50%</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100.0%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16.28%</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107.5%</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17.05%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115.0%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17.83%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122.5%</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18.60%</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130.0%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Components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Smith has an interest in ensuring the physical and mental wellness of its employees and, therefore, provides for a reimbursement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for an annual physical for each executive officer. In addition, in lieu of providing specific perquisites, Smith provides a set dollar amount of specifically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perquisites. This dollar amount is consistent within each grade level for U.S. residents and within corporate guidelines established for non-U.S.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residents and is paid annually in 26 equal bi-weekly payments, as identified in the footnotes to the Summary Compensation Table. The executive officers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 to spend their allowance on the specified items, but are free to use the allowance at their discretion. The perquisite package for non-U.S. residents follows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methodology with different dollar amounts. Mr. Mckay receives the non-U.S. perquisite package, as identified in the footnotes to the Summary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Table. Smith believes that providing a set dollar amount allows its executive officers more flexibility and is more efficient to administer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reimbursing for each individual expense. The amount provided is reviewed periodically and is consistent with perquisites provided by the benchmarking group.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addition, Smith’s executive officers may receive personal administrative assistant services at no incremental cost to Smith. Perquisite amounts are not considered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annual salary for bonus purposes or 401(k) contributions.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Smith believes that financial security during retirement is an important benefit to provide to its executive management. For this reason,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various subsidiaries offer 401(k) plans to their employees, including their executive officers. Because the Smith and subsidiary plans operate and are administered in a similar fashion, for purposes of this discussion, the 401(k) plans will be referred to in the singular. Participants may contribute up to the federal limit in the 401(k) plan. Smith makes various levels of contributions to the 401(k) plan, including age-weighted contributions and performance-based matching contributions as defined in the 401(k) plan. Although the majority of Smith peers have both defined benefit and defined contribution plans, the Compensation Committee elected to implement a defined contribution plan (the “401(k) plan”) to control Smith’s costs. Smith 401(k) Plan is consistent with similar plans available generally in the energy industry. Executive officers participate in the 401(k) plan on the same basis as other employees.</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 xml:space="preserve">Supplemental Executive Retirement Plan. </w:t>
      </w:r>
      <w:r>
        <w:rPr>
          <w:rFonts w:ascii="Arial" w:cs="Arial" w:eastAsia="Arial" w:hAnsi="Arial"/>
          <w:sz w:val="15"/>
          <w:szCs w:val="15"/>
          <w:color w:val="auto"/>
        </w:rPr>
        <w:t>In addition to the 401(k) Plan described above, Smith’s officers, including all of the executive officers,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key employees are eligible to participate in Smith’s Post-2004 Supplemental Executive Retirement Plan (the “post-2004 SERP”). In connection with the adoption of the post-2004 SERP, Smith suspended contributions to its previous SERP (“SERP”), except for guaranteed interest contributions discussed in the narrative disclosure following the Nonqualified Deferred Compensation Table. The SERP and post-2004 SERP were implemented to allow Smith’s officers to defer additional pre-tax compensation for retirement without regard to the limits placed on 401(k) plans under the Code. Smith believes that the post-2004 SERP is an important tool for the retirement planning efforts of Smith’s officers. Moreover, after reviewing data from the benchmarking group, Smith’s Compensation Committee determined that the post-2004 SERP is important to remain competitive in the compensation arena. Additional information regarding the operation of the SERP and post-2004 SERP may be found in the footnotes and narrative disclosure following the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and Employment Agreements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Change of Control Agreements. </w:t>
      </w:r>
      <w:r>
        <w:rPr>
          <w:rFonts w:ascii="Arial" w:cs="Arial" w:eastAsia="Arial" w:hAnsi="Arial"/>
          <w:sz w:val="16"/>
          <w:szCs w:val="16"/>
          <w:color w:val="auto"/>
        </w:rPr>
        <w:t>Smith has entered into change of control agreements with ten members of management, including all of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After reviewing benchmarking studies performed by outside legal counsel at the request of the Compensation Committee in 1999, the Compensation Committee adopted a form of change of control agreement. The Compensation Committee periodically reviews the terms of the change of control agreements and retains outside legal counsel to conduct benchmarking studies to determine whether the change of control agreements remain competitive in Smith’s industry. As a result of these reviews, the Compensation Committee periodically revises the form of change of control agreement. In December 2009, the Compensation Committee revised the form of change of control agreement to eliminate tax gross-ups.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has determined that the change of control agreements are a necessary component of Smith’s compensation package in order for Smith to provide competitive compensation arrangements, particularly because such agreements are standard in Smith’s industry. In addition, they make executives neutral to change of control transactions that are in the best interests of Smith and its stockholders, and thereby help create, rather than diminish, stockholder value. Moreover, Smith believes that the change of control agreements help it to attract and retain its executive officers by reducing the personal uncertainty and anxiety that arises from the possibility of a future business combination. Smith selected objective criteria to determine whether a change of control has occurred for purposes of the change of control agreements in order to reduce the likelihood of a dispute in the event of a change of control and to help ensure that the agreements are triggered only under circumstances when a true transfer of control or ownership has occurred. While the change of control agreements do not influence decisions regarding compensation elements, the Compensation Committee periodically reviews the terms of the change of control agreements so that they remain generally consistent with those of the benchmarking group. Additional information regarding the change of control agreements may be found in the section titled “Executive Compensation—Change of Control and Employment Agreements.”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When Smith emerged from bankruptcy in 1987, it offered employment agreements to certain key officers. The only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with an employment agreement is Mr. Dudman. Smith entered into this agreement primarily as a retention tool, but also because the Smith board of directors felt that Mr. Dudman could provide extraordinary and unique management and strategy skills to maintain and grow Smith. The Compensation Committee no longer offers these types of employment agreements to executive officers. Mr. Dudman’s employment agreement contains severance provisions that would entitle him to receive a lump sum payment in cash equal to his current annual base salary, bonus and benefits through the end of the employment period (three years) in the event that he were to be terminated by Smith (other than for cause, death or disability) or if for any reason his position is eliminated or otherwise becomes redundant, except in the event of a change of control, in which case severance would be paid pursuant to his change of control agreement as explained in the section titled “Executive Compensation—Change of Control and Employment Agreements.” Mr. Dudman’s agreement was restated in 2008 to comply with the provisions of Section 409A of the Code, but otherwise remains the same agreement as executed in 1987.</w:t>
      </w:r>
    </w:p>
    <w:p>
      <w:pPr>
        <w:spacing w:after="0" w:line="12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addition, Smith entered into an employment agreement with Mr. Rock upon his retirement as Chief Executive Officer, President and Chief Operating Officer (the “Rock agreement”) pursuant to which Mr. Rock will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the Company. The Rock agreement provides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may be terminated by either Smith at any time or by Mr. Rock with</w:t>
      </w:r>
    </w:p>
    <w:p>
      <w:pPr>
        <w:spacing w:after="0" w:line="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30 days written notice, and terminates automatically upon a change of control (as defined in the Rock agreement). In the event that Mr. Rock’s employment is terminated as a result of his death or disability (as defined in the Rock agreement), by Smith without cause (as defined in the Rock agreement) or due to a change of control, Mr. Rock is entitled to certain accrued obligations and a termination payment equal to $108,333.33 times the number of whole months (rounded up or down as provided for in the Rock agreement) between the date of termination and the original termination date of the Rock agreement. Mr. Rock is subject to an ongoing confidentiality covenant and a non-competition covenant during the term of the Rock agreement.</w:t>
      </w:r>
    </w:p>
    <w:p>
      <w:pPr>
        <w:spacing w:after="0" w:line="11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connection with Ms. Dorman’s departure from Smith effective October 16, 2009, Smith and Ms. Dorman entered into a separation agreement on September 28, 2009, under which Ms. Dorman received a one-time lump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sum severance payment of $2,697,514, less applicable taxes and deductions, reimbursement for health coverage premiums for up to eighteen months following October 16, 2009 to the extent Ms. Dorman elects to participate in COBRA coverage, executive-level outplacement services for a period of one year following October 16, 2009 and accelerated vesting of all outstanding equity grants, with an exercise period of up to three-years for outstanding stock options. Vesting of the performance-based restricted stock units relating to the 2009 performance period were accelerated and paid out at a level reflecting then-anticipated achievement of the 2009 performance metrics. These special severance benefits were contingent upon execution of a general release, which was executed, and ongoing compliance with confidentiality, non-disparagement and cooperation obligations.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Pension Plan. </w:t>
      </w:r>
      <w:r>
        <w:rPr>
          <w:rFonts w:ascii="Arial" w:cs="Arial" w:eastAsia="Arial" w:hAnsi="Arial"/>
          <w:sz w:val="18"/>
          <w:szCs w:val="18"/>
          <w:color w:val="auto"/>
        </w:rPr>
        <w:t>Smith has a defined benefit pension plan, which is currently frozen. The benefit accruals were frozen effective March 1, 1987,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the pension benefit was fixed for all eligible employees based only upon benefit accruals from September 1, 1985 to March 1, 1987. Mr. Rock is the only named executive officer with any benefit accruals under the plan. Any benefits under the pension plan are offset by benefits paid under a previous pension plan of Smith. There are no executive officers with any benefit accruals under the plan.</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AND BENEFITS COMMITTEE REPORT</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Compensation and Benefits Committee has reviewed and discussed the Compensation Discussion and Analysis with management. Based on such review and discussion, the Committee recommended to the Smith board of directors that the Compensation Discussion and Analysis be included in this proxy statement/prospectus.</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Robert Kelley,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Dod A. Fraser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R. Gibbs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report of the Compensation and Benefits Committee shall not be deemed “soliciting material,” or to be “filed” with the SEC or subject to Regulation 14A or 14C or to the liabilities of Section 18 of the Securities Exchange Act of 1934 (the “Exchange Act”), except to the extent that we specifically request that the information be treated as soliciting material or specifically incorporate it by reference into a document filed under the Securities Act of 1933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tables show compensation for services to Smith of the persons who during 2009 were the principal executive officer, principal financial officer, and the next three most highly compensated executive officers (the “named executive officers”). Also included are Margaret Dorman, who was Smith’s principal financial officer for a portion of the year, and Bryan Dudman, who otherwise would have been subject to reporting absent Mr. Mckay’s new hire equity award.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Pension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100" w:type="dxa"/>
            <w:vAlign w:val="bottom"/>
          </w:tcPr>
          <w:p>
            <w:pPr>
              <w:spacing w:after="0"/>
              <w:rPr>
                <w:sz w:val="15"/>
                <w:szCs w:val="15"/>
                <w:color w:val="auto"/>
              </w:rPr>
            </w:pPr>
          </w:p>
        </w:tc>
        <w:tc>
          <w:tcPr>
            <w:tcW w:w="5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74"/>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5"/>
                <w:szCs w:val="15"/>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 Rock(5)</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9,144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1,134,475</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$2,683,859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Chairman of the Board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$1,347,115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820,690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$3,513,617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$4,652,695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1,837,230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590,552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$8,255,477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John Yearwood</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942,308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$4,499,994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154,000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192,702</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$5,789,004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Officer and Chief Operating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Restrepo</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$1,497,590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19,619</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$1,623,516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Vice President, Chief</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Officer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Christopher I.S. Rivers</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543,714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290,892</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139,647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$2,618,387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and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 M-I SWACO</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Norman A. Mckay</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125,001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$3,644,131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53,082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$3,878,313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Smith Technologies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Bryan L. Dudman</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637,000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182,097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$2,463,231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631,092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$1,325,722</w:t>
            </w:r>
          </w:p>
        </w:tc>
        <w:tc>
          <w:tcPr>
            <w:tcW w:w="10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220,513</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185,144</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$2,362,471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Smith Drilling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485,000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5"/>
              </w:rPr>
              <w:t>$1,890,611</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162,999</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$2,940,554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Evaluation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Margaret K. Dorman(7)</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505,465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2,863,983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$3,369,448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Former Executive Vice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578,012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$1,493,074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391,592</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194,860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$2,657,538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Chief Financial</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465,000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$1,372,588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424,126</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156,130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$2,417,844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Officer and 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Performance-based cash bonuses paid pursuant to the AIP are included in column (g).</w:t>
      </w:r>
    </w:p>
    <w:p>
      <w:pPr>
        <w:spacing w:after="0" w:line="68" w:lineRule="exact"/>
        <w:rPr>
          <w:rFonts w:ascii="Arial" w:cs="Arial" w:eastAsia="Arial" w:hAnsi="Arial"/>
          <w:sz w:val="14"/>
          <w:szCs w:val="14"/>
          <w:color w:val="auto"/>
        </w:rPr>
      </w:pPr>
    </w:p>
    <w:p>
      <w:pPr>
        <w:ind w:left="340" w:right="140" w:hanging="332"/>
        <w:spacing w:after="0" w:line="233" w:lineRule="auto"/>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amounts in column (e) and (f) reflect the grant date fair value computed in accordance with FASB ASC Topic 718, based on the closing price of the stock on the date of grant minus the present value of the dividend stream for the vesting period, assuming a 1-year, 2-year, 3-year and 4-year annual discount rate of 0.27%, 0.67%, 1.12% and 1.56%. The target, threshold and maximum value of equity awards granted during 2009 are shown below in the Grants of Plan-Based Awards Table.</w:t>
      </w:r>
    </w:p>
    <w:p>
      <w:pPr>
        <w:spacing w:after="0" w:line="57" w:lineRule="exact"/>
        <w:rPr>
          <w:rFonts w:ascii="Arial" w:cs="Arial" w:eastAsia="Arial" w:hAnsi="Arial"/>
          <w:sz w:val="14"/>
          <w:szCs w:val="14"/>
          <w:color w:val="auto"/>
        </w:rPr>
      </w:pPr>
    </w:p>
    <w:p>
      <w:pPr>
        <w:ind w:left="340" w:right="600" w:hanging="332"/>
        <w:spacing w:after="0" w:line="239" w:lineRule="auto"/>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amounts in column (g) reflect the cash bonus awards paid to the named individuals in 2009 for the 2010 performance year under the AIP, which is discussed in more detail under the heading “Compensation Discussion and Analysis—Annual Cash Bonus.”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amounts in column (i) for 2009, which include Smith’s contributions to the SERP and post-2004 SERP (disclosued collectively below as the “SERP”) and the 401(k) plan and perquisites, are itemized below:</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Life</w:t>
            </w:r>
          </w:p>
        </w:tc>
      </w:tr>
      <w:tr>
        <w:trPr>
          <w:trHeight w:val="149"/>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Perquisite</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Insurance</w:t>
            </w:r>
          </w:p>
        </w:tc>
      </w:tr>
      <w:tr>
        <w:trPr>
          <w:trHeight w:val="161"/>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SERP</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401(k)</w:t>
            </w:r>
          </w:p>
        </w:tc>
        <w:tc>
          <w:tcPr>
            <w:tcW w:w="6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Allowance(a)</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Premiums</w:t>
            </w:r>
          </w:p>
        </w:tc>
        <w:tc>
          <w:tcPr>
            <w:tcW w:w="20" w:type="dxa"/>
            <w:vAlign w:val="bottom"/>
          </w:tcPr>
          <w:p>
            <w:pPr>
              <w:spacing w:after="0"/>
              <w:rPr>
                <w:sz w:val="14"/>
                <w:szCs w:val="14"/>
                <w:color w:val="auto"/>
              </w:rPr>
            </w:pPr>
          </w:p>
        </w:tc>
      </w:tr>
      <w:tr>
        <w:trPr>
          <w:trHeight w:val="142"/>
        </w:trPr>
        <w:tc>
          <w:tcPr>
            <w:tcW w:w="6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 Rock</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1,064,366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83"/>
              </w:rPr>
              <w:t>18,375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32,800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18,897</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J. Yearwood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143,209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32,837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5,631</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9,631</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7,027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C. Rivers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89,303</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86"/>
              </w:rPr>
              <w:t>17,437(b)</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6,407</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11,555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41,527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B. Dudman</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136,669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13,475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5,416</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 Dorman(c)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134,836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18,529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2,079</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68580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800" w:hanging="454"/>
        <w:spacing w:after="0" w:line="270" w:lineRule="auto"/>
        <w:tabs>
          <w:tab w:leader="none" w:pos="800" w:val="left"/>
        </w:tabs>
        <w:numPr>
          <w:ilvl w:val="1"/>
          <w:numId w:val="150"/>
        </w:numPr>
        <w:rPr>
          <w:rFonts w:ascii="Arial" w:cs="Arial" w:eastAsia="Arial" w:hAnsi="Arial"/>
          <w:sz w:val="12"/>
          <w:szCs w:val="12"/>
          <w:color w:val="auto"/>
        </w:rPr>
      </w:pPr>
      <w:r>
        <w:rPr>
          <w:rFonts w:ascii="Arial" w:cs="Arial" w:eastAsia="Arial" w:hAnsi="Arial"/>
          <w:sz w:val="12"/>
          <w:szCs w:val="12"/>
          <w:color w:val="auto"/>
        </w:rPr>
        <w:t>These amounts include a specified dollar amount for U.S. residents for an automobile allowance, financial planning and tax preparation, mobile phone, medical reimbursement, club memberships and legal counseling that may be used at the discretion of each individual and a $3,000 allowance for an annual physical that is paid for by the Company. All named executive officers except Mr. Mckay are U.S. residents. Mr. Mckay receives Smith’s non-U.S. resident perquisite package under which he received a U.S.$3,000 allowance for an annual physical that is paid for by Smith, a foreign service allowance of U.S.$12,500, a foreign cost of living allowance of U.S.$7,780, a car allowance of AED12,000 (U.S.$3,268) and a housing allowance of AED55,000 (U.S.$14,978). The car allowance and housing allowance were paid to Mr. Mckay in United Arab Emirates Dirham (AED) and converted into U.S. dollars for purposes of this disclosure based on the average conversion rate during the time that Mr. Mckay was employed by Smith in 2009. Perquisites are described in more detail under the heading “Compensation Discussion and Analysis—Perquisites.”</w:t>
      </w:r>
    </w:p>
    <w:p>
      <w:pPr>
        <w:spacing w:after="0" w:line="40" w:lineRule="exact"/>
        <w:rPr>
          <w:rFonts w:ascii="Arial" w:cs="Arial" w:eastAsia="Arial" w:hAnsi="Arial"/>
          <w:sz w:val="12"/>
          <w:szCs w:val="12"/>
          <w:color w:val="auto"/>
        </w:rPr>
      </w:pPr>
    </w:p>
    <w:p>
      <w:pPr>
        <w:ind w:left="800" w:hanging="454"/>
        <w:spacing w:after="0"/>
        <w:tabs>
          <w:tab w:leader="none" w:pos="80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Mr. Rivers also participates in the M-I SWACO 401(k) Plan. This amount includes $3,206 in profit sharing contributions from M-I SWACO.</w:t>
      </w:r>
    </w:p>
    <w:p>
      <w:pPr>
        <w:spacing w:after="0" w:line="68" w:lineRule="exact"/>
        <w:rPr>
          <w:rFonts w:ascii="Arial" w:cs="Arial" w:eastAsia="Arial" w:hAnsi="Arial"/>
          <w:sz w:val="14"/>
          <w:szCs w:val="14"/>
          <w:color w:val="auto"/>
        </w:rPr>
      </w:pPr>
    </w:p>
    <w:p>
      <w:pPr>
        <w:ind w:left="800" w:hanging="454"/>
        <w:spacing w:after="0"/>
        <w:tabs>
          <w:tab w:leader="none" w:pos="80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Ms. Dorman also received a negotiated settlement of $2,697,514 pursuant to her separation agreement.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Mr. Rock is Smith Chairman of the Board, which is an executive officer position.</w:t>
      </w:r>
    </w:p>
    <w:p>
      <w:pPr>
        <w:spacing w:after="0" w:line="68" w:lineRule="exact"/>
        <w:rPr>
          <w:rFonts w:ascii="Arial" w:cs="Arial" w:eastAsia="Arial" w:hAnsi="Arial"/>
          <w:sz w:val="14"/>
          <w:szCs w:val="14"/>
          <w:color w:val="auto"/>
        </w:rPr>
      </w:pPr>
    </w:p>
    <w:p>
      <w:pPr>
        <w:ind w:left="340" w:hanging="332"/>
        <w:spacing w:after="0" w:line="233"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Due to an increase in the discount rate used in the Smith International, Inc. Restated Pension Plan, the change in pension value for the 2007 fiscal year was a negative $752. It is reflected in the above table as being zero change. The change in pension value for 2008 and 2009 were both positive and included in the above table. The restated pension plan is discussed in the narrative to the Pension Benefits Table below.</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Effective October 16, 2009, Ms. Dorman retired from Smith.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incentive awards made to the named executive officers during the 2009 fiscal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8"/>
            <w:vMerge w:val="restart"/>
          </w:tcPr>
          <w:p>
            <w:pPr>
              <w:jc w:val="center"/>
              <w:ind w:right="32"/>
              <w:spacing w:after="0"/>
              <w:rPr>
                <w:sz w:val="20"/>
                <w:szCs w:val="20"/>
                <w:color w:val="auto"/>
              </w:rPr>
            </w:pPr>
            <w:r>
              <w:rPr>
                <w:rFonts w:ascii="Arial" w:cs="Arial" w:eastAsia="Arial" w:hAnsi="Arial"/>
                <w:sz w:val="14"/>
                <w:szCs w:val="14"/>
                <w:b w:val="1"/>
                <w:bCs w:val="1"/>
                <w:color w:val="auto"/>
                <w:w w:val="84"/>
              </w:rPr>
              <w:t>Estimated Possible Payouts</w:t>
            </w:r>
          </w:p>
        </w:tc>
        <w:tc>
          <w:tcPr>
            <w:tcW w:w="200" w:type="dxa"/>
            <w:vAlign w:val="bottom"/>
          </w:tcPr>
          <w:p>
            <w:pPr>
              <w:spacing w:after="0"/>
              <w:rPr>
                <w:sz w:val="12"/>
                <w:szCs w:val="12"/>
                <w:color w:val="auto"/>
              </w:rPr>
            </w:pPr>
          </w:p>
        </w:tc>
        <w:tc>
          <w:tcPr>
            <w:tcW w:w="226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Estimated Future Payouts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gridSpan w:val="8"/>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00" w:type="dxa"/>
            <w:vAlign w:val="bottom"/>
          </w:tcPr>
          <w:p>
            <w:pPr>
              <w:spacing w:after="0"/>
              <w:rPr>
                <w:sz w:val="7"/>
                <w:szCs w:val="7"/>
                <w:color w:val="auto"/>
              </w:rPr>
            </w:pPr>
          </w:p>
        </w:tc>
        <w:tc>
          <w:tcPr>
            <w:tcW w:w="2260" w:type="dxa"/>
            <w:vAlign w:val="bottom"/>
            <w:gridSpan w:val="6"/>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5"/>
                <w:szCs w:val="5"/>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5"/>
                <w:szCs w:val="5"/>
                <w:color w:val="auto"/>
              </w:rPr>
            </w:pPr>
          </w:p>
        </w:tc>
        <w:tc>
          <w:tcPr>
            <w:tcW w:w="62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5"/>
              </w:rPr>
              <w:t>Awards(1)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Awards(2)</w:t>
            </w: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6"/>
                <w:szCs w:val="6"/>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Threshold</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Maximum</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($/Sh)</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2"/>
                <w:szCs w:val="12"/>
                <w:color w:val="auto"/>
              </w:rPr>
            </w:pPr>
          </w:p>
        </w:tc>
        <w:tc>
          <w:tcPr>
            <w:tcW w:w="5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312,000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1,560,000</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200,000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84,238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168,476</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252,714</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6,749,991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585,000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13,995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27,989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41,984</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1,121,379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23,385</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 Rivers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99,111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495,557</w:t>
            </w:r>
          </w:p>
        </w:tc>
        <w:tc>
          <w:tcPr>
            <w:tcW w:w="10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991,114</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850,000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11/02/09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74,122</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1,999,997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114,920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574,600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$1,149,200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9"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Amounts represent possible payouts for the 2009 performance year under the AIP, which is discussed in more detail under the heading “Compensation Discussion and Analysis—Annual Cash Bonus.” The actual payout amount is included in column (g) of the summary compensation table.</w:t>
      </w:r>
    </w:p>
    <w:p>
      <w:pPr>
        <w:spacing w:after="0" w:line="57" w:lineRule="exact"/>
        <w:rPr>
          <w:rFonts w:ascii="Arial" w:cs="Arial" w:eastAsia="Arial" w:hAnsi="Arial"/>
          <w:sz w:val="14"/>
          <w:szCs w:val="14"/>
          <w:color w:val="auto"/>
        </w:rPr>
      </w:pPr>
    </w:p>
    <w:p>
      <w:pPr>
        <w:ind w:left="340" w:right="80" w:hanging="332"/>
        <w:spacing w:after="0" w:line="318" w:lineRule="auto"/>
        <w:tabs>
          <w:tab w:leader="none" w:pos="34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Amounts represent performance-based restricted stock unit (“PBRSU”) awards made in December 2009 for the 2010 performance year under the LTIP, which is discussed in more detail under the heading “Compensation Discussion and Analysis—Annual Restricted Stock Unit Award.” If threshold levels of performance are not met, then no shares would be issued.</w:t>
      </w:r>
    </w:p>
    <w:p>
      <w:pPr>
        <w:spacing w:after="0" w:line="12"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Amounts represent new hire time-based restricted stock unit (“TBRSU”) awards made during 2009 under the LTIP, which is discussed in more detail under the heading “Compensation Discussion and Analysis—Annual Restricted Stock Unit Award.”</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grant date fair market value was determined in accordance with FASB ASC Topic 718, based on the closing price of the stock on the date of grant minus the present value of the dividend stream for the vesting period, assuming a 1-year, 2-year, 3-year and 4-year annual discount rate of 0.27%, 0.67%, 1.12% and 1.56%.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Fiscal 2009</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units held by the named executive officers on December 31, 2009. The market value of unvested awards is based on Smith’s closing market price of $27.17 per share on December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or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0"/>
              </w:rPr>
              <w:t>Value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Stock</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Shares or</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That</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have Not</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Have Not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w:t>
            </w: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rPr>
              <w:t>(i)</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24,324(1)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660,883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J. Yearwood</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168,476(3)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$4,577,493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92,314(4)</w:t>
            </w:r>
          </w:p>
        </w:tc>
        <w:tc>
          <w:tcPr>
            <w:tcW w:w="92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$2,508,171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08/25/2008</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4,414(1)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119,928</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27,989(3)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0"/>
              </w:rPr>
              <w:t>$  760,461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23,385(5)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635,370</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N. Mckay</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5"/>
              </w:rPr>
              <w:t>11/02/2009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74,122(5)</w:t>
            </w:r>
          </w:p>
        </w:tc>
        <w:tc>
          <w:tcPr>
            <w:tcW w:w="920" w:type="dxa"/>
            <w:vAlign w:val="bottom"/>
            <w:gridSpan w:val="4"/>
          </w:tcPr>
          <w:p>
            <w:pPr>
              <w:jc w:val="right"/>
              <w:ind w:right="180"/>
              <w:spacing w:after="0"/>
              <w:rPr>
                <w:sz w:val="20"/>
                <w:szCs w:val="20"/>
                <w:color w:val="auto"/>
              </w:rPr>
            </w:pPr>
            <w:r>
              <w:rPr>
                <w:rFonts w:ascii="Arial" w:cs="Arial" w:eastAsia="Arial" w:hAnsi="Arial"/>
                <w:sz w:val="14"/>
                <w:szCs w:val="14"/>
                <w:color w:val="auto"/>
              </w:rPr>
              <w:t>$2,013,895</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61,555(3)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$1,672,449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4,398(1)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119,494</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12/09/2004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31.65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12/09/2014(7)</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12/02/2013(8)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12/03/2002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17.36</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12/03/2012(9)</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12/12/2002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22.57</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12/12/2012(10)</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11.75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12/04/2011(11)</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5,312</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26.00</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12/14/2011(12)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12/05/2000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15.38</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12/05/2010(13)</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12/19/2000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34.13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12/19/2010(14)</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B. Dudman</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9,884(1)</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268,548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12/07/2004</w:t>
            </w:r>
          </w:p>
        </w:tc>
        <w:tc>
          <w:tcPr>
            <w:tcW w:w="720" w:type="dxa"/>
            <w:vAlign w:val="bottom"/>
          </w:tcPr>
          <w:p>
            <w:pPr>
              <w:jc w:val="right"/>
              <w:spacing w:after="0"/>
              <w:rPr>
                <w:sz w:val="20"/>
                <w:szCs w:val="20"/>
                <w:color w:val="auto"/>
              </w:rPr>
            </w:pPr>
            <w:r>
              <w:rPr>
                <w:rFonts w:ascii="Arial" w:cs="Arial" w:eastAsia="Arial" w:hAnsi="Arial"/>
                <w:sz w:val="14"/>
                <w:szCs w:val="14"/>
                <w:color w:val="auto"/>
              </w:rPr>
              <w:t>4,800</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32"/>
              <w:spacing w:after="0"/>
              <w:rPr>
                <w:sz w:val="20"/>
                <w:szCs w:val="20"/>
                <w:color w:val="auto"/>
              </w:rPr>
            </w:pPr>
            <w:r>
              <w:rPr>
                <w:rFonts w:ascii="Arial" w:cs="Arial" w:eastAsia="Arial" w:hAnsi="Arial"/>
                <w:sz w:val="14"/>
                <w:szCs w:val="14"/>
                <w:color w:val="auto"/>
                <w:w w:val="85"/>
              </w:rPr>
              <w:t>28.13</w:t>
            </w:r>
          </w:p>
        </w:tc>
        <w:tc>
          <w:tcPr>
            <w:tcW w:w="1280" w:type="dxa"/>
            <w:vAlign w:val="bottom"/>
            <w:gridSpan w:val="3"/>
          </w:tcPr>
          <w:p>
            <w:pPr>
              <w:ind w:left="220"/>
              <w:spacing w:after="0"/>
              <w:rPr>
                <w:sz w:val="20"/>
                <w:szCs w:val="20"/>
                <w:color w:val="auto"/>
              </w:rPr>
            </w:pPr>
            <w:r>
              <w:rPr>
                <w:rFonts w:ascii="Arial" w:cs="Arial" w:eastAsia="Arial" w:hAnsi="Arial"/>
                <w:sz w:val="14"/>
                <w:szCs w:val="14"/>
                <w:color w:val="auto"/>
              </w:rPr>
              <w:t>12/07/2014(2)</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9"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2008 year, with vesting dates of 12/31/2008, 12/6/2009 and 12/6/2010.</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12/7/2005, 12/7/2006, 12/7/2007 and 12/7/2008.</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subject to satisfaction of performance criteria for the 2010 year, with vesting dates of 12/31/2010, 12/6/2011 and 12/6/2012.</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2009 year, with vesting dates of 12/31/2009, 12/6/2010 and 12/6/2011.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12/06/2010, 12/06/2011 and 12/06/2012 and 12/06/2013.</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12/06/2009, 12/06/2010, 12/06/2011 and 12/06/2012.</w:t>
      </w:r>
    </w:p>
    <w:p>
      <w:pPr>
        <w:spacing w:after="0" w:line="91" w:lineRule="exact"/>
        <w:rPr>
          <w:rFonts w:ascii="Arial" w:cs="Arial" w:eastAsia="Arial" w:hAnsi="Arial"/>
          <w:sz w:val="12"/>
          <w:szCs w:val="12"/>
          <w:color w:val="auto"/>
        </w:rPr>
      </w:pPr>
    </w:p>
    <w:p>
      <w:pPr>
        <w:jc w:val="both"/>
        <w:ind w:left="340" w:right="80" w:hanging="332"/>
        <w:spacing w:after="0" w:line="288" w:lineRule="auto"/>
        <w:tabs>
          <w:tab w:leader="none" w:pos="34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25% per year, conditioned on continuous employment through the vest date, with vesting dates of 12/9/2005, 12/9/2006, 12/9/2007, and 12/9/2008. Maximum payout is limited to 125% of the initial value of the units subject to the award. The option exercise price is tied to the price of Schlumberger stock.</w:t>
      </w:r>
    </w:p>
    <w:p>
      <w:pPr>
        <w:spacing w:after="0" w:line="29" w:lineRule="exact"/>
        <w:rPr>
          <w:rFonts w:ascii="Arial" w:cs="Arial" w:eastAsia="Arial" w:hAnsi="Arial"/>
          <w:sz w:val="12"/>
          <w:szCs w:val="12"/>
          <w:color w:val="auto"/>
        </w:rPr>
      </w:pPr>
    </w:p>
    <w:p>
      <w:pPr>
        <w:ind w:left="340" w:hanging="332"/>
        <w:spacing w:after="0"/>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12/2/2004, 12/2/2005, 12/2/2006 and 12/2/2007.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12/3/2003, 12/3/2004, 12/3/2005 and 12/3/2006.</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12/12/2003, 12/12/2004, 12/12/2005, 12/12/2006 and 12/12/2007.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12/4/2002, 12/4/2003, 12/4/2004 and 12/4/2005.</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12/14/2002, 12/14/2003, 12/14/2004, 12/14/2005 and 12/14/2006.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12/5/2001, 12/5/2002, 12/5/2003 and 12/5/2004.</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12/19/2001, 12/19/2002, 12/19/2003, 12/19/2004 and 12/19/2005. The option exercise price is tied to the price of Schlumberger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2009</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all stock options exercised and value received upon exercise, and all stock awards vested and value received upon vesting by the named executive officers during the fiscal year ended December 31,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Option 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160" w:type="dxa"/>
            <w:vAlign w:val="bottom"/>
            <w:gridSpan w:val="2"/>
          </w:tcPr>
          <w:p>
            <w:pPr>
              <w:jc w:val="center"/>
              <w:ind w:right="1012"/>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12"/>
              <w:spacing w:after="0" w:line="149" w:lineRule="exact"/>
              <w:rPr>
                <w:sz w:val="20"/>
                <w:szCs w:val="20"/>
                <w:color w:val="auto"/>
              </w:rPr>
            </w:pPr>
            <w:r>
              <w:rPr>
                <w:rFonts w:ascii="Arial" w:cs="Arial" w:eastAsia="Arial" w:hAnsi="Arial"/>
                <w:sz w:val="14"/>
                <w:szCs w:val="14"/>
                <w:b w:val="1"/>
                <w:bCs w:val="1"/>
                <w:color w:val="auto"/>
                <w:w w:val="83"/>
              </w:rPr>
              <w:t>Exercise</w:t>
            </w:r>
          </w:p>
        </w:tc>
        <w:tc>
          <w:tcPr>
            <w:tcW w:w="1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on Exercise</w:t>
            </w: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Vesting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r>
      <w:tr>
        <w:trPr>
          <w:trHeight w:val="16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3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(c)</w:t>
            </w:r>
          </w:p>
        </w:tc>
        <w:tc>
          <w:tcPr>
            <w:tcW w:w="9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65,577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$ 1,730,577</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50,572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6"/>
              </w:rPr>
              <w:t>$ 1,370,598</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10,288(1)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329,094</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29,637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792,944</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5,550(1)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130,148</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35,122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937,693</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76,517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$ 2,498,280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40" w:hanging="452"/>
        <w:spacing w:after="0" w:line="332" w:lineRule="auto"/>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Represents exercise of Schlumberger Stock Appreciation Rights based on Schlumberger stock price appreciation that were awarded as part of the compensation structure at M-I SWACO prior to the time the individuals became executive officers of Smith.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2009</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shows the number of years of credited service of and present value of accumulated benefits payable to each of the named executive officers under Smith’s restated pension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5"/>
              </w:rPr>
              <w:t>Number of Years</w:t>
            </w:r>
          </w:p>
        </w:tc>
        <w:tc>
          <w:tcPr>
            <w:tcW w:w="12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Present Value of</w:t>
            </w:r>
          </w:p>
        </w:tc>
        <w:tc>
          <w:tcPr>
            <w:tcW w:w="40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Payments During</w:t>
            </w:r>
          </w:p>
        </w:tc>
      </w:tr>
      <w:tr>
        <w:trPr>
          <w:trHeight w:val="149"/>
        </w:trPr>
        <w:tc>
          <w:tcPr>
            <w:tcW w:w="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4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0"/>
              </w:rPr>
              <w:t>Last Fiscal Year</w:t>
            </w: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8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3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64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820" w:type="dxa"/>
            <w:vAlign w:val="bottom"/>
          </w:tcPr>
          <w:p>
            <w:pPr>
              <w:spacing w:after="0"/>
              <w:rPr>
                <w:sz w:val="12"/>
                <w:szCs w:val="12"/>
                <w:color w:val="auto"/>
              </w:rPr>
            </w:pPr>
          </w:p>
        </w:tc>
        <w:tc>
          <w:tcPr>
            <w:tcW w:w="98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(c)</w:t>
            </w: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0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Smith International, Inc.</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38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Restated Pension Plan</w:t>
            </w:r>
          </w:p>
        </w:tc>
        <w:tc>
          <w:tcPr>
            <w:tcW w:w="2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79,907</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Smith has a defined benefit pension plan (the “restated pension plan”), which is currently frozen. The benefit accruals were frozen effective March 1, 1987, and the amount of the pension benefit was fixed for all eligible employees based only upon benefit accruals from September 1, 1985 to March 1, 1987. Any benefits under the Restated Pension Plan are offset by benefits paid under a previous pension plan of Smith.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2009</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and narrative disclosure provides information regarding nonqualified deferred compensation with respect to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Executive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Contributions in</w:t>
            </w:r>
          </w:p>
        </w:tc>
        <w:tc>
          <w:tcPr>
            <w:tcW w:w="6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6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Withdrawals/</w:t>
            </w:r>
          </w:p>
        </w:tc>
        <w:tc>
          <w:tcPr>
            <w:tcW w:w="3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Aggregate Balance</w:t>
            </w: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Last FY</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 FY</w:t>
            </w:r>
          </w:p>
        </w:tc>
        <w:tc>
          <w:tcPr>
            <w:tcW w:w="6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(Losses) in Last FY</w:t>
            </w:r>
          </w:p>
        </w:tc>
        <w:tc>
          <w:tcPr>
            <w:tcW w:w="6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at Last FYE</w:t>
            </w:r>
          </w:p>
        </w:tc>
      </w:tr>
      <w:tr>
        <w:trPr>
          <w:trHeight w:val="16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(b)</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1"/>
              </w:rPr>
              <w:t>(c)</w:t>
            </w: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(d)</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2"/>
                <w:szCs w:val="12"/>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728,000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1,064,366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19,208,192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194,422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143,209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403,612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476,110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89,303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640,769</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2,787,702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160,257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136,669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661,863</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3,649,721</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112,619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2,183,715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332" w:lineRule="auto"/>
        <w:tabs>
          <w:tab w:leader="none" w:pos="4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Includes age-weighted and matching contributions made by Smith and additional Smith contributions, if any, as explained below. These amounts are reported in the All Other Compensation column for each named executive officer in the Summary Compensation Table.</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Smith International, Inc. Post-2004 Supplemental Executive Retirement Plan. </w:t>
      </w:r>
      <w:r>
        <w:rPr>
          <w:rFonts w:ascii="Arial" w:cs="Arial" w:eastAsia="Arial" w:hAnsi="Arial"/>
          <w:sz w:val="16"/>
          <w:szCs w:val="16"/>
          <w:color w:val="auto"/>
        </w:rPr>
        <w:t>The Smith International, Inc. Post-2004 Supplemental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“post-2004 SERP”) is a non-qualified, deferred compensation plan, for the benefit of officers and certain other eligible employees of Smith as selected by the Compensation Committee. Participants may contribute, on a pre-tax basis, up to 100% of their cash compensation, as defined in the post-2004 SERP. Distributions may generally be made either as a lump sum or installment payments following the participant’s termination of employment due to death, disability, retirement or other separation from service. Distributions may also be made on a limited basis and to the extent necessary as a lump sum upon the occurrence of the participant’s unforeseeable financial emergency as approved by the Compensation Committee. The post-2004 SERP also provides for Smith contributions, as follows: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Age-Weighted Contributions. </w:t>
      </w:r>
      <w:r>
        <w:rPr>
          <w:rFonts w:ascii="Arial" w:cs="Arial" w:eastAsia="Arial" w:hAnsi="Arial"/>
          <w:sz w:val="18"/>
          <w:szCs w:val="18"/>
          <w:color w:val="auto"/>
        </w:rPr>
        <w:t>Smith provides an age-weighted contribution percentage (“AWCP”) ranging from 2% to 6% of qualified compensation, less</w:t>
      </w:r>
      <w:r>
        <w:rPr>
          <w:rFonts w:ascii="Arial" w:cs="Arial" w:eastAsia="Arial" w:hAnsi="Arial"/>
          <w:sz w:val="18"/>
          <w:szCs w:val="18"/>
          <w:i w:val="1"/>
          <w:iCs w:val="1"/>
          <w:color w:val="auto"/>
        </w:rPr>
        <w:t xml:space="preserve"> </w:t>
      </w:r>
      <w:r>
        <w:rPr>
          <w:rFonts w:ascii="Arial" w:cs="Arial" w:eastAsia="Arial" w:hAnsi="Arial"/>
          <w:sz w:val="18"/>
          <w:szCs w:val="18"/>
          <w:color w:val="auto"/>
        </w:rPr>
        <w:t>any age-weighted contributions made to the participant’s 401(k)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account. The post-2004 SERP provides that the AWCP for executive officers is 6% of qualified compensation regardless of age. The difference between a participant’s (i) “Total 401(k) Compensation” and (ii) “Net 401(k) Compensation” is multiplied by the AWCP to compute the age-weighted contribution. “Total 401(k) Compensation” generally means the total of all cash amounts paid by Smith to a participant, including deferred amounts. “Net 401(k) Compensation” generally means Total 401(k) Compensation less participant contributions to the post-2004 SERP, but not to exceed the limit set under the Code.</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Smith provides a performance-based matching contribution ranging from zero to 100% of salary deferrals that mirrors the</w:t>
      </w:r>
      <w:r>
        <w:rPr>
          <w:rFonts w:ascii="Arial" w:cs="Arial" w:eastAsia="Arial" w:hAnsi="Arial"/>
          <w:sz w:val="16"/>
          <w:szCs w:val="16"/>
          <w:i w:val="1"/>
          <w:iCs w:val="1"/>
          <w:color w:val="auto"/>
        </w:rPr>
        <w:t xml:space="preserve"> </w:t>
      </w:r>
      <w:r>
        <w:rPr>
          <w:rFonts w:ascii="Arial" w:cs="Arial" w:eastAsia="Arial" w:hAnsi="Arial"/>
          <w:sz w:val="16"/>
          <w:szCs w:val="16"/>
          <w:color w:val="auto"/>
        </w:rPr>
        <w:t>matching formulas in effect for the Smith’s 401(k) Plan, but without regard to certain Code limits applicable to the 401(k) plan. Matching contributions for all plan participants are limited to 6% of total 401(k) compensation, less the maximum dollar amount of matching contributions that could be made in their individual 401(k) accounts for that year. Executive officers receive 100% matching contributions subject to the same limitation.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Additional Company Contributions. </w:t>
      </w:r>
      <w:r>
        <w:rPr>
          <w:rFonts w:ascii="Arial" w:cs="Arial" w:eastAsia="Arial" w:hAnsi="Arial"/>
          <w:sz w:val="16"/>
          <w:szCs w:val="16"/>
          <w:color w:val="auto"/>
        </w:rPr>
        <w:t>Deferred funds are placed with the fund trustee and invested at the discretion of the participant in a variety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money market fund. Smith guarantees that the deferrals invested in the money market fund will yield interest at 120% of the long-term applicable federal rate (“AFR”). Therefore, in addition to the contributions described above, for the portion of each participant’s account invested in the money market fund that is earning less than 120% of AFR, Smith makes a contribution equal to the difference in interest between the money market fund rate actually earned by the money market fund and 120% of the AFR, which contribution is credited to the participant’s account.</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Discretionary Profit Sharing Contributions. </w:t>
      </w:r>
      <w:r>
        <w:rPr>
          <w:rFonts w:ascii="Arial" w:cs="Arial" w:eastAsia="Arial" w:hAnsi="Arial"/>
          <w:sz w:val="18"/>
          <w:szCs w:val="18"/>
          <w:color w:val="auto"/>
        </w:rPr>
        <w:t>The Compensation Committee may, in its discretion, determine the amount of any profit sharing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plan year and how that amount is to be allocated among the accounts of the post-2004 SERP participants.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event of insolvency or bankruptcy, all assets allocable to the post-2004 SERP are available to satisfy the claims of all general unsecured creditors of Smith. Smith established a grantor trust to serve as a source of funds from which it can satisfy its obligations under the post-2004 SERP. Participants in the post-2004 SERP will have no rights to any assets held in the trust, except as general unsecured creditors of Smith. A participant’s rights to any amounts credited to an account under the post-2004 SERP cannot be anticipated, alienated, sold, assigned, pledged, encumbered or charged by the participant and may only pass upon the participant’s death pursuant to a beneficiary designation made by the participant under the post-2004 SERP. Smith may, by action of the Compensation Committee, terminate the post-2004 SERP with respect to future contributions; provided, however, such termination shall not affect any participant’s right to receive any distribution due under the post-2004 SERP.</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post-2004 SERP will be interpreted by the Compensation Committee in such manner as necessary to comply with the requirements of Code Section 409A and the authority issued thereunder.</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Smith International, Inc. Supplemental Executive Retirement Plan. </w:t>
      </w:r>
      <w:r>
        <w:rPr>
          <w:rFonts w:ascii="Arial" w:cs="Arial" w:eastAsia="Arial" w:hAnsi="Arial"/>
          <w:sz w:val="18"/>
          <w:szCs w:val="18"/>
          <w:color w:val="auto"/>
        </w:rPr>
        <w:t>In connection with the adoption of the post-2004 SERP and Code Section 409A,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Smith suspended contributions to the SERP effective December 31, 2004, other than such contributions that were earned and vested as of December 31, 2004. However, Smith may be required to make contributions to participants’ accounts to guarantee an investment return equal to 120% of the AFR on deferrals invested in the money market fund, in the same manner as explained above.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Smith insolvency or bankruptcy, participant’s rights, beneficiary designations and plan termination, the SERP is in all material respects the same as the post-2004 SERP.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20"/>
          </w:cols>
          <w:pgMar w:left="24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and Employment Agreements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Employment Agreements. </w:t>
      </w:r>
      <w:r>
        <w:rPr>
          <w:rFonts w:ascii="Arial" w:cs="Arial" w:eastAsia="Arial" w:hAnsi="Arial"/>
          <w:sz w:val="16"/>
          <w:szCs w:val="16"/>
          <w:color w:val="auto"/>
        </w:rPr>
        <w:t>As discussed in Compensation Discussion and Analysis above, during 2009 Smith had an employment agreement from 1987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Mr. Dudman. The agreement has an initial term of three years and is automatically extended for an additional year at each anniversary date. Automatic renewals may not be suspended by Smith without triggering severance. The agreement automatically terminates when Mr. Dudman reaches age 65. The employment agreement contains salary and other conditions of employment and entitles Mr. Dudman to participate in Smith’s bonus program and other benefit programs. If the employment of Mr. Dudman is terminated by Smith (other than for cause, death or disability) or if for any reason his position is eliminated or otherwise becomes redundant, Mr. Dudman would be entitled to receive a lump sum payment in cash equal to his current annual base salary, bonus and benefits through the end of the employment period; provided, however, that in the event of a change of control, the change of control agreements discussed below would control, except with respect to any accrued obligations under the employment agreement that were not fully accrued under the applicable change of control agreement.</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Smith entered into an employment agreement with Mr. Rock upon his retirement as Chief Executive Officer, President and Chief Operating Officer (the “Rock agreement”) pursuant to which Mr. Rock will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Smith. The Rock agreement provides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may be terminated by either Smith at any time or by Mr. Rock with 30 days written notice, and terminates automatically upon a change of control (as defined in the Rock agreement). In the event that Mr. Rock’s employment is terminated as a result of his death or disability (as defined in the Rock agreement), by Smith without cause (as defined in the Rock agreement) or due to a change of control, Mr. Rock is entitled to certain accrued obligations and a termination payment equal to $108,333.33 times the number of whole months (rounded up or down as provided for in the Rock agreement) between the date of termination and the original termination date of the Rock agreement. Mr. Rock is subject to an ongoing confidentiality covenant and a non-competition covenant during the term of the Rock agreement.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Change of Control Agreements. </w:t>
      </w:r>
      <w:r>
        <w:rPr>
          <w:rFonts w:ascii="Arial" w:cs="Arial" w:eastAsia="Arial" w:hAnsi="Arial"/>
          <w:sz w:val="16"/>
          <w:szCs w:val="16"/>
          <w:color w:val="auto"/>
        </w:rPr>
        <w:t>Smith previously entered into change of control agreements with its executive officers (the “2009 change of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except for Messrs. Restrepo and Mckay. The 2009 change of control agreements were in effect until December 31, 2009. Effective January 1, 2010, the Company replaced all existing change of control agreements and entered into new agreements with Messrs. Restrepo and Mckay, which were identical in all respects to the 2009 change of control agreements except that the tax gross-up provision was eliminated (the “2010 change of control agreements”). Throughout this section, the agreements are referred to collectively as the “change of control agreements”, with any differences between the agreements noted. In the event of a “change of control” of Smith (as defined in the change of control agreements), the change of control agreements provide for the continued employment of the executive officers for a period of three years and provide for the continuation of salary and benefits.</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“Change of control” generally means (a) with certain exceptions, the acquisition of beneficial ownership of 30% or more of the outstanding shares of Smith’s common stock or the combined voting power of the outstanding voting securities of Smith; (b) with certain exceptions, a change in the majority of the Smith board of directors serving as directors as of the date of the change of control agreement; (c) the consummation of a business combination transaction where</w:t>
      </w:r>
    </w:p>
    <w:p>
      <w:pPr>
        <w:spacing w:after="0" w:line="1" w:lineRule="exact"/>
        <w:rPr>
          <w:sz w:val="20"/>
          <w:szCs w:val="20"/>
          <w:color w:val="auto"/>
        </w:rPr>
      </w:pPr>
    </w:p>
    <w:p>
      <w:pPr>
        <w:ind w:right="360" w:firstLine="8"/>
        <w:spacing w:after="0" w:line="261" w:lineRule="auto"/>
        <w:tabs>
          <w:tab w:leader="none" w:pos="21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beneficial owners of Smith’s common stock immediately prior to the business combination transaction own less than 60% of the outstanding shares of common stock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equivalent securities) of the corporation resulting from such business combination transaction (the “surviving corporation”), (ii) with certain exceptions, a person is the beneficial owner of 30% or more of the outstanding shares of common stock or the combined voting power of the outstanding voting securities of the surviving corporation, and (iii) less than a majority of the members of the board of directors (or equivalent governing body) of the surviving corporation were members of the Smith board of directors at the time of the execution of the business combination agreement, or of the action of the Smith board of directors, providing for the business combination transaction; or (d) approval by Smith’s stockholders of a complete liquidation or dissolution.</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after a change of control event, the executive is terminated by Smith (other than for cause, death or disability), or if the executive elects to terminate his or her employment for “good reason” (as defined in the change of control agreements), the executive is entitled to receive the following:</w:t>
      </w:r>
    </w:p>
    <w:p>
      <w:pPr>
        <w:spacing w:after="0" w:line="4" w:lineRule="exact"/>
        <w:rPr>
          <w:sz w:val="20"/>
          <w:szCs w:val="20"/>
          <w:color w:val="auto"/>
        </w:rPr>
      </w:pPr>
    </w:p>
    <w:p>
      <w:pPr>
        <w:ind w:left="660" w:hanging="206"/>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current annual base salary through the date of termination to the extent not paid and highest annual bonus (as explained below) prorated for the number of days worked in the year (referred to as “accrued obligations”).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compensation previously deferred by the executive and any accrued vacation pay to the extent not paid.</w:t>
      </w:r>
    </w:p>
    <w:p>
      <w:pPr>
        <w:spacing w:after="0" w:line="90" w:lineRule="exact"/>
        <w:rPr>
          <w:rFonts w:ascii="Arial" w:cs="Arial" w:eastAsia="Arial" w:hAnsi="Arial"/>
          <w:sz w:val="18"/>
          <w:szCs w:val="18"/>
          <w:color w:val="auto"/>
        </w:rPr>
      </w:pPr>
    </w:p>
    <w:p>
      <w:pPr>
        <w:jc w:val="both"/>
        <w:ind w:left="660" w:right="260" w:hanging="206"/>
        <w:spacing w:after="0" w:line="259"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sum of the executive’s annual base salary and highest annual bonus (as explained below) multiplied by the termination multiple applicable to the executive (as explained below), with annual base salary to be calculated as 12 times the highest monthly base salary paid or payable to the executive during the preceding 12 months.</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actuarial difference in the SERP benefit the executive would have received had the executive’s employment continued for the number of years after the date of the executive’s termination multiplied by the termination multiples applicable to the executive.</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these calculations, the annual bonus is calculated as the highest annual bonus paid or payable to the executive for the last three full fiscal years prior to the effective date of the change of control event.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Continued coverage under applicable welfare and benefit plans for a number of years equal to the termination multiple applicable to the executive.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Outplacement services for the executive.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other amounts or benefits required to be paid or provided under any other Smith plan (referred to as “other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tax gross-up of any excise tax due under the Code. As discussed above, this provision was eliminated from the 2010 change of control agreements.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executive’s employment is terminated by reason of the executive’s death or disability, the executive or the estate of the executive shall be entitled to payment of accrued obligations and other benefits as explained above.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Termination Multiple. </w:t>
      </w:r>
      <w:r>
        <w:rPr>
          <w:rFonts w:ascii="Arial" w:cs="Arial" w:eastAsia="Arial" w:hAnsi="Arial"/>
          <w:sz w:val="18"/>
          <w:szCs w:val="18"/>
          <w:color w:val="auto"/>
        </w:rPr>
        <w:t>The change of control agreements for all executive officers include a termination multiple of three times for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in year one after the change of control event; two times in year two; and one time in year three.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Incentive Plan. </w:t>
      </w:r>
      <w:r>
        <w:rPr>
          <w:rFonts w:ascii="Arial" w:cs="Arial" w:eastAsia="Arial" w:hAnsi="Arial"/>
          <w:sz w:val="18"/>
          <w:szCs w:val="18"/>
          <w:color w:val="auto"/>
        </w:rPr>
        <w:t>Smith’s Third Amended and Restated 1989 Long-Term Incentive Compensation Plan provides for the vesting of all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and the satisfaction of all restrictions and conditions on restricted stock and other stock-based awards and the full vesting at 100% target levels of all performance-based awards, as of the day immediately preceding the change of control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Potential Payments upon a Change of Control. </w:t>
      </w:r>
      <w:r>
        <w:rPr>
          <w:rFonts w:ascii="Arial" w:cs="Arial" w:eastAsia="Arial" w:hAnsi="Arial"/>
          <w:sz w:val="16"/>
          <w:szCs w:val="16"/>
          <w:color w:val="auto"/>
        </w:rPr>
        <w:t>The table below shows potential payments if an executive is terminated other than for cause or voluntary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termination after a change of control event. The amounts assume that the change of control event and termination of employment were both effective on December 31, 2009, and are estimates that reflect the amounts that would be paid and the incremental value of benefits that would be enhanced through accelerated vesting of options and stock awards. The value of equity awards is based on Smith’s closing market price of $27.17 per share on December 31, 2009. As discussed above, the accelerated vesting of outstanding equity awards occurs on the day immediately preceding the change of control date, regardless of whether the executive is terminated or terminates his or her employment following the change of control event. The table also assumes that the executive has been paid in full for salary due for the fiscal year and has no deferred compensation, pro-rated perquisites payments or accrued vacation due for the year. Because the termination is assumed to be on the same day as the change of control, amounts shown use a 3x termination multiple for all executives. If the termination of employment occurred in year two after the change of control event, the termination multiple would be 2x, and if the termination of employment occurred in year three after the change of control event, the termination multiple would be 1x.</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Welfare and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Pro Rata</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Benefit Plan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Bonus for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Salary and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Current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Bonus</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5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SERP</w:t>
            </w:r>
          </w:p>
        </w:tc>
        <w:tc>
          <w:tcPr>
            <w:tcW w:w="34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10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Fiscal Year(1)</w:t>
            </w:r>
          </w:p>
        </w:tc>
        <w:tc>
          <w:tcPr>
            <w:tcW w:w="32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Severance(2)</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Awards(3)</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Awards(4)</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Benefits(5)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Services(6)</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Gross-Up</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Total(7)</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(e)</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(h)</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rPr>
              <w:t>(i)</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433,333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673,573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7,205,593</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253,015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4,010,897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15,571,890</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Restrepo(9)</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N. Mckay(10)</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385,072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2,904,240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2,884,313</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2,154,030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9,078,603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3,233,831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3,033,367</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668,633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1,944,927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9,385,088</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Dorman(11)</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Because the termination is assumed to be effective on December 31, 2009, the amount shown represents bonus for the full year.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Amounts shown in column (c) assume a 3x termination multiple for all executives.</w:t>
      </w:r>
    </w:p>
    <w:p>
      <w:pPr>
        <w:spacing w:after="0" w:line="68"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Amounts shown in column (d) represent the value of unvested options that would accelerate upon a change of control based on the difference between the closing price of Smith’s common stock at the end of fiscal 2009 and the exercise price of the respective options. The number of vested and exercisable options outstanding for each individual on December 31, 2009 is included in the Outstanding Equity Awards at Fiscal Year End table.</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Amounts shown in column (e) represent the value of unvested performance-based restricted stock units for the 2010 performance year at the target performance level and unvested restricted stock units, the vesting of which would accelerate upon a change of control based on the closing price of Smith’s common stock at the end of fiscal 2009.</w:t>
      </w:r>
    </w:p>
    <w:p>
      <w:pPr>
        <w:spacing w:after="0" w:line="57" w:lineRule="exact"/>
        <w:rPr>
          <w:rFonts w:ascii="Arial" w:cs="Arial" w:eastAsia="Arial" w:hAnsi="Arial"/>
          <w:sz w:val="14"/>
          <w:szCs w:val="14"/>
          <w:color w:val="auto"/>
        </w:rPr>
      </w:pPr>
    </w:p>
    <w:p>
      <w:pPr>
        <w:ind w:left="340" w:right="260" w:hanging="332"/>
        <w:spacing w:after="0" w:line="233"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Amounts shown in column (f) represent the excess of (i) the actuarial equivalent of the benefit under Smith’s current SERP and previous SERP and (ii) the actuarial equivalent of the executive’s actual benefit, if any, as of the date of termination, assuming that the executive’s base salary and contribution amounts remain at the same level as the highest monthly salary paid during fiscal year 2009. Amounts assume a 3x termination multiple for all executives.</w:t>
      </w:r>
    </w:p>
    <w:p>
      <w:pPr>
        <w:spacing w:after="0" w:line="57" w:lineRule="exact"/>
        <w:rPr>
          <w:rFonts w:ascii="Arial" w:cs="Arial" w:eastAsia="Arial" w:hAnsi="Arial"/>
          <w:sz w:val="14"/>
          <w:szCs w:val="14"/>
          <w:color w:val="auto"/>
        </w:rPr>
      </w:pPr>
    </w:p>
    <w:p>
      <w:pPr>
        <w:ind w:left="340" w:right="60" w:hanging="332"/>
        <w:spacing w:after="0" w:line="288" w:lineRule="auto"/>
        <w:tabs>
          <w:tab w:leader="none" w:pos="34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Amounts shown in column (g) represent the continuation of benefits to the executive and the executive’s family equal to those that would have been provided to them in accordance with the plans if (i) the executive’s employment had not terminated and (ii) the executive had remained employed and retired on the last day of such period, assuming full family coverage at the lowest deductible amounts under all benefit plans for each individual. Amounts assume benefits for three years for all executives. This amount also includes $50,000 in outplacement services for each executive.</w:t>
      </w:r>
    </w:p>
    <w:p>
      <w:pPr>
        <w:spacing w:after="0" w:line="29" w:lineRule="exact"/>
        <w:rPr>
          <w:rFonts w:ascii="Arial" w:cs="Arial" w:eastAsia="Arial" w:hAnsi="Arial"/>
          <w:sz w:val="12"/>
          <w:szCs w:val="12"/>
          <w:color w:val="auto"/>
        </w:rPr>
      </w:pPr>
    </w:p>
    <w:p>
      <w:pPr>
        <w:ind w:left="340" w:right="100" w:hanging="332"/>
        <w:spacing w:after="0" w:line="239"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Assuming the terms of the 2010 change of control agreements had been in effect as of December 31, 2009, none of the named executive officers would have received tax gross-up payments. Accordingly, the total paid to Messrs. Yearwood, Rivers and Dudman would have been $11,560,994, $6,924,574 and $7,440,161.</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Mr. Rock’s change of control payments are governed by the terms of the Rock agreement, discussed above.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9" w:lineRule="auto"/>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Mr. Restrepo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Welfare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 Rata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Bonus for</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Tax</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Current</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SERP</w:t>
            </w: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140" w:type="dxa"/>
            <w:vAlign w:val="bottom"/>
          </w:tcPr>
          <w:p>
            <w:pPr>
              <w:spacing w:after="0"/>
              <w:rPr>
                <w:sz w:val="12"/>
                <w:szCs w:val="12"/>
                <w:color w:val="auto"/>
              </w:rPr>
            </w:pPr>
          </w:p>
        </w:tc>
        <w:tc>
          <w:tcPr>
            <w:tcW w:w="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Gross-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Fiscal Year(1)</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Awards(4)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2"/>
              </w:rPr>
              <w:t>Benefits(5)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Services(6)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Up</w:t>
            </w:r>
          </w:p>
        </w:tc>
        <w:tc>
          <w:tcPr>
            <w:tcW w:w="1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45,045</w:t>
            </w:r>
          </w:p>
        </w:tc>
        <w:tc>
          <w:tcPr>
            <w:tcW w:w="8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  1,485,135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$1,395,832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90,734</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102,386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$3,119,131</w:t>
            </w:r>
          </w:p>
        </w:tc>
        <w:tc>
          <w:tcPr>
            <w:tcW w:w="20" w:type="dxa"/>
            <w:vAlign w:val="bottom"/>
          </w:tcPr>
          <w:p>
            <w:pPr>
              <w:spacing w:after="0"/>
              <w:rPr>
                <w:sz w:val="12"/>
                <w:szCs w:val="12"/>
                <w:color w:val="auto"/>
              </w:rPr>
            </w:pPr>
          </w:p>
        </w:tc>
      </w:tr>
    </w:tbl>
    <w:p>
      <w:pPr>
        <w:spacing w:after="0" w:line="70" w:lineRule="exact"/>
        <w:rPr>
          <w:sz w:val="20"/>
          <w:szCs w:val="20"/>
          <w:color w:val="auto"/>
        </w:rPr>
      </w:pPr>
    </w:p>
    <w:p>
      <w:pPr>
        <w:ind w:left="340" w:right="160" w:hanging="332"/>
        <w:spacing w:after="0" w:line="239" w:lineRule="auto"/>
        <w:tabs>
          <w:tab w:leader="none" w:pos="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Mr. Mckay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Welfare and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Pro Rata</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Bonus for</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SERP</w:t>
            </w: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Gross-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Fiscal Year(1)</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2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Awards(4)</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Benefits(5)</w:t>
            </w:r>
          </w:p>
        </w:tc>
        <w:tc>
          <w:tcPr>
            <w:tcW w:w="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Services(6)</w:t>
            </w:r>
          </w:p>
        </w:tc>
        <w:tc>
          <w:tcPr>
            <w:tcW w:w="6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6"/>
              </w:rPr>
              <w:t>Up</w:t>
            </w:r>
          </w:p>
        </w:tc>
        <w:tc>
          <w:tcPr>
            <w:tcW w:w="32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(f)</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(g)</w:t>
            </w: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336,600</w:t>
            </w: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5"/>
              </w:rPr>
              <w:t>$  2,509,800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$3,686,344</w:t>
            </w:r>
          </w:p>
        </w:tc>
        <w:tc>
          <w:tcPr>
            <w:tcW w:w="9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  151,438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102,386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$6,786,568</w:t>
            </w:r>
          </w:p>
        </w:tc>
        <w:tc>
          <w:tcPr>
            <w:tcW w:w="20" w:type="dxa"/>
            <w:vAlign w:val="bottom"/>
          </w:tcPr>
          <w:p>
            <w:pPr>
              <w:spacing w:after="0"/>
              <w:rPr>
                <w:sz w:val="12"/>
                <w:szCs w:val="12"/>
                <w:color w:val="auto"/>
              </w:rPr>
            </w:pPr>
          </w:p>
        </w:tc>
      </w:tr>
    </w:tbl>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Ms. Dorman was not an employee of Smith as of December 31, 2009.</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of the executive’s termination of employment due to death or disability on December 31, 2009, payments would include the amounts indicated in column (b), (d) and (e) above.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240" w:top="459" w:right="5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a summary of the dollar values of the total annual compensation attributable to each non-employee director’s service to Smith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Pension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Value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Earned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Non-Equity</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or Paid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All 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in Cash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Awards</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500" w:type="dxa"/>
            <w:vAlign w:val="bottom"/>
            <w:gridSpan w:val="2"/>
          </w:tcPr>
          <w:p>
            <w:pPr>
              <w:ind w:left="400"/>
              <w:spacing w:after="0"/>
              <w:rPr>
                <w:sz w:val="20"/>
                <w:szCs w:val="20"/>
                <w:color w:val="auto"/>
              </w:rPr>
            </w:pPr>
            <w:r>
              <w:rPr>
                <w:rFonts w:ascii="Arial" w:cs="Arial" w:eastAsia="Arial" w:hAnsi="Arial"/>
                <w:sz w:val="12"/>
                <w:szCs w:val="12"/>
                <w:b w:val="1"/>
                <w:bCs w:val="1"/>
                <w:color w:val="auto"/>
                <w:w w:val="74"/>
              </w:rPr>
              <w:t>($</w:t>
            </w:r>
          </w:p>
        </w:tc>
        <w:tc>
          <w:tcPr>
            <w:tcW w:w="20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1"/>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4"/>
                <w:szCs w:val="14"/>
                <w:color w:val="auto"/>
              </w:rPr>
            </w:pPr>
          </w:p>
        </w:tc>
        <w:tc>
          <w:tcPr>
            <w:tcW w:w="9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(b)</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(c)</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(d)</w:t>
            </w:r>
          </w:p>
        </w:tc>
        <w:tc>
          <w:tcPr>
            <w:tcW w:w="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1"/>
              </w:rPr>
              <w:t>(e)</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5"/>
              </w:rPr>
              <w:t>(f)</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w:t>
            </w:r>
          </w:p>
        </w:tc>
        <w:tc>
          <w:tcPr>
            <w:tcW w:w="20" w:type="dxa"/>
            <w:vAlign w:val="bottom"/>
          </w:tcPr>
          <w:p>
            <w:pPr>
              <w:spacing w:after="0"/>
              <w:rPr>
                <w:sz w:val="12"/>
                <w:szCs w:val="12"/>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Carroll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$318,003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$348,003</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$353,003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$139,000</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$306,003</w:t>
            </w:r>
          </w:p>
        </w:tc>
        <w:tc>
          <w:tcPr>
            <w:tcW w:w="20" w:type="dxa"/>
            <w:vAlign w:val="bottom"/>
          </w:tcPr>
          <w:p>
            <w:pPr>
              <w:spacing w:after="0"/>
              <w:rPr>
                <w:sz w:val="18"/>
                <w:szCs w:val="18"/>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Duane Radtke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21,647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$199,986</w:t>
            </w:r>
          </w:p>
        </w:tc>
        <w:tc>
          <w:tcPr>
            <w:tcW w:w="46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$221,633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These amounts represent matching educational gifts made on behalf of Mr. Fraser and Mr. Kelley, as indicated.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Mr. Kelley deferred the issuance of his annual common stock award until his retirement from the Smith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Employee directors receive no additional compensation other than their normal salary for serving on the Smith board of directors. Non-employee directors receive $50,000 annually and $2,000 for each board meeting attended. In addition, they are paid $10,000 per year for chairing a committee (other than the chairman of the Audit Committee who is paid $15,000 per year) and $2,000 for each committee meeting attended even if they are not members of such committee. The Lead Director is paid $15,000 per year. Expenses for company related business travel are either paid or reimbursed by Smith. Non-employee directors also receive an initial grant of shares, upon first election or appointment, along with an annual grant of shares of Smith common stock, each with a value of approximately $200,000.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Programs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terminated its Directors’ Retirement Plan in 1998. Smith issued restricted stock unit grants to each of the non-employee directors in 1999 to fund the actuarial value of their accrued benefits under the retirement plan. These grants of 24,000 shares (adjusted for the two-for-one stock splits on June 20, 2002 and August 24, 2005) will vest upon retirement after ten years of service as a director. Cash dividends are not paid and do not accrue on the unvested units. The only director with outstanding restricted stock units is Mr. Gibbs.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Smith board of directors has established non-employee director stock ownership guidelines to align the interests of the directors with those of Smith’s stockholders and further promote Smith’s commitment to sound corporate governance. The guidelines are premised upon every non-employee director holding a number of shares of common stock equaling five times the director’s annual cash retainer, within three years of the date the guidelines become effective with respect to said individual.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INFORMATION ABOUT SMITH’S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has adopted a written policy which provides guidelines for monitoring and approving transactions with related parties. Pursuant to the policy, related parties include all executive and operating officers, members of the Smith board of directors and stockholders who own more than 5% of Smith’s common stock. Transactions with related parties that are entered into at prevailing prices and which comply with standard terms and conditions require no prior approval, except that all transactions with Smith’s Chief Executive Officer or Chief Financial Officer require pre-approval from the Nominating and Corporate Governance Committee. Transactions with related parties that do not reflect prevailing prices and do not comply with standard terms and conditions require pre-approval from Smith’s Chief Executive Officer or Chief Financial Officer and the Nominating and Corporate Governance Committee.</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Smith has not engaged in any transaction, or series of similar transactions, since the beginning of 2009, nor is there any currently proposed transaction, or series of similar transactions, to which Smith or any of its subsidiaries was or is to be a participant, in which the amount involved exceeds $120,000 and in which any of Smith’s directors or executive officers, members of their immediate family or any stockholder who owns more than 5% of Smith’s common stock had, or will have, a direct or indirect material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16(a) of the Exchange Act requires Smith’s officers and directors, and persons who own more than 10% of Smith’s outstanding shares of common stock (collectively, “Section 16 persons”), to file with the SEC initial reports of ownership and reports of changes in ownership of Smith’s common stock and other equity securities. Section 16 persons are required by Commission regulations to furnish Smith with copies of all Section 16(a) reports they file.</w:t>
      </w:r>
    </w:p>
    <w:p>
      <w:pPr>
        <w:spacing w:after="0" w:line="107"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Based solely on its review of the copies of such reports received by it, or written representations from certain Section 16 persons that all Section 16(a) reports required to be filed for such persons had been filed, Smith believes that during 2009 the Section 16 persons complied with all Section 16(a) filing requirements applicable to them, except that Mr. Taylor, Smith’s Vice President and Controller, inadvertently filed one late report to disclose shares acquired pursuant to an equity award grant. Smith is unable to confirm whether Ms. Dorman complied with all Section 16(a) filing requirements during 2009.</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as of December 31, 2009, with respect to the Smith International, Inc. Third Amended and Restated 1989 Long-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Incentive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4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9"/>
              </w:rPr>
              <w:t>(b)</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Issued upon Exercise</w:t>
            </w:r>
          </w:p>
        </w:tc>
        <w:tc>
          <w:tcPr>
            <w:tcW w:w="100" w:type="dxa"/>
            <w:vAlign w:val="bottom"/>
          </w:tcPr>
          <w:p>
            <w:pPr>
              <w:spacing w:after="0"/>
              <w:rPr>
                <w:sz w:val="12"/>
                <w:szCs w:val="12"/>
                <w:color w:val="auto"/>
              </w:rPr>
            </w:pPr>
          </w:p>
        </w:tc>
        <w:tc>
          <w:tcPr>
            <w:tcW w:w="24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00" w:type="dxa"/>
            <w:vAlign w:val="bottom"/>
          </w:tcPr>
          <w:p>
            <w:pPr>
              <w:spacing w:after="0"/>
              <w:rPr>
                <w:sz w:val="12"/>
                <w:szCs w:val="12"/>
                <w:color w:val="auto"/>
              </w:rPr>
            </w:pPr>
          </w:p>
        </w:tc>
        <w:tc>
          <w:tcPr>
            <w:tcW w:w="240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50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61"/>
        </w:trPr>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and Rights</w:t>
            </w:r>
          </w:p>
        </w:tc>
        <w:tc>
          <w:tcPr>
            <w:tcW w:w="250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Warrants and Rights</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Column(a))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4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32" w:lineRule="auto"/>
        <w:tabs>
          <w:tab w:leader="none" w:pos="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Includes an aggregate of 4,161,514 time-based restricted stock units and performance-based restricted stock units awarded to employees; 1,058,859 non-qualified stock options awarded to employees; and 59,123 restricted stock units to be awarded to directors upon their retirement from the board.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Weighted average exercise price of outstanding options; excludes restricted stock units and performance-based restricted stock units.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Audit Committee of the Smith board of directors is comprised of three directors who are deemed to be independent under New York Stock Exchange listing standards and Securities and Exchange Commission regulations. We operate under a written charter, a copy of which is available on Smith’s website, www.smith.com. As required by the charter, we review and reassess the charter annually and recommend any changes to the Smith board of directors for approval.</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Smith’s management is responsible for the preparation and integrity of the financial statements and the independent registered public accounting firm is responsible for auditing those financial statements. The Audit Committee’s role under its charter is to provide oversight of management in carrying out their duties and to appoint, compensate, and oversee the work of the independent registered public accounting firm. The Audit Committee is not providing any expert or special assurance as to Smith’s financial statements or any professional certification as to the independent registered public accounting firm’s work.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context, we report as follows:</w:t>
      </w:r>
    </w:p>
    <w:p>
      <w:pPr>
        <w:spacing w:after="0" w:line="90" w:lineRule="exact"/>
        <w:rPr>
          <w:sz w:val="20"/>
          <w:szCs w:val="20"/>
          <w:color w:val="auto"/>
        </w:rPr>
      </w:pPr>
    </w:p>
    <w:p>
      <w:pPr>
        <w:ind w:left="660" w:right="480" w:hanging="206"/>
        <w:spacing w:after="0" w:line="357" w:lineRule="auto"/>
        <w:tabs>
          <w:tab w:leader="none" w:pos="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We have reviewed and discussed with senior management the audited financial statements included in Smith’s Annual Report on Form 10-K. Management has confirmed to us that such financial statements have been prepared in conformity with generally accepted accounting principles.</w:t>
      </w:r>
    </w:p>
    <w:p>
      <w:pPr>
        <w:ind w:left="660" w:right="40" w:hanging="206"/>
        <w:spacing w:after="0" w:line="256"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We have discussed with Deloitte &amp; Touche LLP, Smith’s independent registered public accounting firm, the matters required to be discussed by Statement on Auditing Standards No. 114, The Auditor’s Communication With Those Charged With Governance. This Statement requires independent accountants to communicate certain matters related to the conduct of an audit to those who have responsibility for oversight of the financial reporting process, specifically the Audit Committee.</w:t>
      </w:r>
    </w:p>
    <w:p>
      <w:pPr>
        <w:spacing w:after="0" w:line="62"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We have received and reviewed the written disclosures and the letter from the independent registered public accounting firm required by the applicable requirements of the Public Company Accounting Oversight Board regarding the independent accountant’s communications with the Audit Committee concerning independence, and have discussed with the independent accountant the independent accountant’s independence. Deloitte &amp; Touche LLP has confirmed in such letter that, in its professional judgment, it is independent of Smith within the meaning of the federal securities laws.</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Based on the foregoing, we recommended to the Smith board of directors that the audited financial statements referred to above be included in Smith’s Annual Report on Form 10-K for the fiscal year ended December 31, 2009 filed with the Securities and Exchange Commission.</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Dod. A. Fraser,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Kelley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Luiz Rodolfo Landim Machado</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report of the Audit Committee shall not be deemed “soliciting material,” or to be “filed” with the SEC or subject to Regulation 14A or 14C or to the liabilities of Section 18 of the Exchange Act, except to the extent that we specifically request that the information be treated as soliciting material or specifically incorporate it by reference into a document filed under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20"/>
          </w:cols>
          <w:pgMar w:left="24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1989 LONG-TERM INCENTIVE COMPENSATION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below. On [—], 2010, the last reported closing price of Smith’s common stock on the New York Stock Exchange Composite Tape was $[—].</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plan was originally approved by Smith’s stockholders at the May 9, 1989 Annual Meeting. Since 1989, as adjusted to reflect stock splits, a total of 33,040,000 shares of Smith common stock have been reserved for issuance under the plan. On April 8, 2010, the Smith board of directors approved an amendment to the plan to reserve an additional 5,000,000 shares of Smith common stock for issuance under the plan. The Smith board of directors also approved amendments to the plan to allow for awards to be paid in cash rather than equity, to defer awards and to remove the automatic vesting of outstanding awards upon a change in control event (as defined in the plan). At the annual meeting, you will be asked to approve the proposed amendments to the plan described above.</w:t>
      </w:r>
    </w:p>
    <w:p>
      <w:pPr>
        <w:spacing w:after="0" w:line="10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Of the total shares authorized for issuance under the plan, at [—], 2010, all but [—] shares have been awarded in the form of stock options or restricted stock. Should Smith’s stockholders approve the proposed amendment to the plan, a total of approximately [—] shares, or approximately [—]% of Smith’s outstanding common stock, would be reserved for issuance under the plan. In addition, of the shares that have already been awarded under the plan, [—] shares remained to be issued upon exercise of outstanding stock options or vesting of previously granted restricted stock unit awards.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Smith board of directors has found that restricted stock unit awards granted to employees have been highly effective in recruiting and retaining competent personnel. The Smith board of directors believes that the growth of the Company is dependent upon its ability to attract, employ and retain executives and employees of outstanding ability who will dedicate their maximum productive efforts toward the advancement of Smith. The growing competition among companies for capable managers makes it necessary for Smith to maintain a strong and competitive incentive program. The merger agreement restricts the ability of Smith to make new equity awards to any director, officer or employee, except in the ordinary course of business consistent with past practice or with the consent of Schlumberger. In the event that the merger with Schlumberger does not close prior to early December 2010, Smith intends to grant awards at similar levels and on the same criteria as it has done previously under the plan. Any awards granted during the pendency of the merger will not vest upon closing and a change in control but will have a double trigger that will vest the shares upon an involuntary termination other than for cause of the employee subsequent to such change in control. Currently, Smith does not have sufficient shares authorized under the plan to make these awards. When analyzing the number of shares needed for the plan, the Compensation and Benefits Committee considered the possibility that the merger with Schlumberger will not close. The additional 5,000,000 shares would allow Smith to continue its long-term incentive program for at least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summary describes briefly the principal features of the plan, and is qualified in its entirety by reference to the full text of the plan, which is provided as Appendix C to this proxy statement/prospectus.</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plan is to foster and promote the long-term financial success of Smith and to increase stockholder value by: (a) encouraging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commitment of selected key employees (as defined in the plan), (b) motivating superior performance of key employees by means of long-term performance related incentives, (c) encouraging and providing key employees with a program for obtaining ownership interests in Smith which link and align their personal interests to those of Smith’s stockholders, (d) attracting and retaining key employees by providing competitive compensation opportunities, (e) enabling key employees to share in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long-term growth and success of Smith, (f) providing additional incentives for securing and retaining qualified individuals who are not employees of Smith to serve on Smith’s board of directors (“outside directors”), and (g) to enhance Smith’s future growth by furthering outside directors’ alignment with the interests of Smith and its stockholders.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Awards Under the Plan. </w:t>
      </w:r>
      <w:r>
        <w:rPr>
          <w:rFonts w:ascii="Arial" w:cs="Arial" w:eastAsia="Arial" w:hAnsi="Arial"/>
          <w:sz w:val="16"/>
          <w:szCs w:val="16"/>
          <w:color w:val="auto"/>
        </w:rPr>
        <w:t>The plan provides for the following types of awards: (a) nonqualified stock option; (b) stock appreciation right; (c)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outside directors; (d) restricted stock (including performance-based); (e) restricted stock unit (including performance-based); (f) stock-based award;</w:t>
      </w:r>
    </w:p>
    <w:p>
      <w:pPr>
        <w:jc w:val="both"/>
        <w:ind w:right="40" w:firstLine="8"/>
        <w:spacing w:after="0" w:line="255" w:lineRule="auto"/>
        <w:tabs>
          <w:tab w:leader="none" w:pos="2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performance award settled in cash; and (h) any combination of the foregoing. The plan permits the grant of awards subject to performance objectives in order to qualify for the performance-based exception within Section 162(m) of the Internal Revenue Code. As of [—], 2010, nonqualified stock options, common stock and restricted stock units (including performance-based) have been awarded under the plan.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Plan Administration. </w:t>
      </w:r>
      <w:r>
        <w:rPr>
          <w:rFonts w:ascii="Arial" w:cs="Arial" w:eastAsia="Arial" w:hAnsi="Arial"/>
          <w:sz w:val="16"/>
          <w:szCs w:val="16"/>
          <w:color w:val="auto"/>
        </w:rPr>
        <w:t>The plan is administered by the Compensation and Benefits Committee. However, the independent directors of the Smith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constitute the Committee under the plan with respect to awards to outside directors. Future awards are based on future performance or future stock price and, therefore, are not currently determinable. Please see the section entitled “Compensation Discussion and Analysis” for more information regarding future grants to the named executive officers; the Outstanding Equity Awards at Fiscal Year End Table for more information regarding past grants to the named executive officers; and the Director Compensation Table and related narrative discussion for more information regarding grants to outside directors.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Participation and Eligibility. </w:t>
      </w:r>
      <w:r>
        <w:rPr>
          <w:rFonts w:ascii="Arial" w:cs="Arial" w:eastAsia="Arial" w:hAnsi="Arial"/>
          <w:sz w:val="18"/>
          <w:szCs w:val="18"/>
          <w:color w:val="auto"/>
        </w:rPr>
        <w:t>All full-time salaried employees of Smith whom the Compensation and Benefits Committee determines are in a position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 to the growth, development or financial success of Smith and outside directors are eligible to receive awards under the plan. Common stock awards are only available to outside directors.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Shares Subject to Awards Under the Plan. </w:t>
      </w:r>
      <w:r>
        <w:rPr>
          <w:rFonts w:ascii="Arial" w:cs="Arial" w:eastAsia="Arial" w:hAnsi="Arial"/>
          <w:sz w:val="18"/>
          <w:szCs w:val="18"/>
          <w:color w:val="auto"/>
        </w:rPr>
        <w:t>Since 1989, as adjusted to reflect stock splits, a total of 33,040,000 shares of Smith common stock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reserved for issuance under the plan. Upon expiration, cancellation or termination of unexercised awards granted under the plan or forfeiture of shares of restricted stock, the shares of Smith common stock subject to such awards will again be available for the grant of awards under the plan. If any change occurs in Smith’s capitalization, such as a stock dividend or stock split, or if a merger takes place in which Smith is the surviving corporation, the Smith board of directors or the Compensation Committee may take such action as it deems appropriate so that the value of each outstanding award shall not be adversely affected by such corporate event.</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General Terms of the Awards. </w:t>
      </w:r>
      <w:r>
        <w:rPr>
          <w:rFonts w:ascii="Arial" w:cs="Arial" w:eastAsia="Arial" w:hAnsi="Arial"/>
          <w:sz w:val="18"/>
          <w:szCs w:val="18"/>
          <w:color w:val="auto"/>
        </w:rPr>
        <w:t>The specific terms and conditions of each award, including the vesting and termination of such awards, shall be fixed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Committee pursuant to the plan at the time the award is granted. Subject to exceptions, determined by the Compensation and Benefits Committee pursuant to the plan, the maximum stock based award that may be granted to a plan participant in a given year is 1,000,000 shares. The grant price of an option or stock appreciation right (“SAR”) may not be less than 100% of the fair market value of Smith’s common stock on the date of grant of the option. The maximum amount of compensation that may be paid under all performance-based awards denominated in cash granted to a plan participant in a given year may not exceed $5,000,000. Pursuant to the provisions of the plan and New York Stock Exchange rules, awards under the plan may not be re-priced without stockholder approval.</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Federal Income Tax Consequences Associated with Awards Granted Under the Plan. </w:t>
      </w:r>
      <w:r>
        <w:rPr>
          <w:rFonts w:ascii="Arial" w:cs="Arial" w:eastAsia="Arial" w:hAnsi="Arial"/>
          <w:sz w:val="18"/>
          <w:szCs w:val="18"/>
          <w:color w:val="auto"/>
        </w:rPr>
        <w:t>The following is a general summary as of the date of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statement/prospectus of the United States federal income tax consequences associated with the grant of awards under the plan. The federal tax laws may change and the federal, state and local tax consequences for any participant will depend upon his or her individual circumstances, thus the tax consequences for any particular individual may be different. Also, this information may not be applicable to any employees of foreign subsidiaries of Smith or to participants who are not residents of the United States.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discussed above, several different types of incentive awards may be issued under the plan. The tax consequences related to the issuance of each type of award is discussed separately below.</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Nonqualified Stock Options and Stock Appreciation Rights (SARs). </w:t>
      </w:r>
      <w:r>
        <w:rPr>
          <w:rFonts w:ascii="Arial" w:cs="Arial" w:eastAsia="Arial" w:hAnsi="Arial"/>
          <w:sz w:val="16"/>
          <w:szCs w:val="16"/>
          <w:color w:val="auto"/>
        </w:rPr>
        <w:t>Nonqualified stock options granted under the plan are not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and will not qualify for any special tax benefits to the optionee. A participant receiving a nonqualified stock option or SAR that has been issued with an exercise price not less than the fair market value of Smith common stock on the grant date will not recognize income and Smith will not be allowed a deduction at the time such an option is granted. When a participant exercises a nonqualified stock option or SAR, the difference between the exercise price and any higher market value of the stock on the date of exercise will be ordinary income to the participant. When a participant disposes of shares acquired by the exercise of the option or SAR, any additional gain or loss will be a capital gain or loss.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there will be no federal income tax deduction allowed to Smith upon the grant or termination of a nonqualified stock option or SAR or a sale or disposition of the shares acquired upon exercise of the stock option or SAR. However, upon the exercise of a nonqualified stock option or SAR, Smith will be entitled to a deduction for federal income tax purposes equal to the amount of ordinary income that the participant is required to recognize as a result of the exercise, provided that the deduction is not otherwise disallowed under the Internal Revenue Code.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Restricted Stock Awards, Restricted Stock Unit Awards and Stock-Based Awards. </w:t>
      </w:r>
      <w:r>
        <w:rPr>
          <w:rFonts w:ascii="Arial" w:cs="Arial" w:eastAsia="Arial" w:hAnsi="Arial"/>
          <w:sz w:val="16"/>
          <w:szCs w:val="16"/>
          <w:color w:val="auto"/>
        </w:rPr>
        <w:t>Generally, the recipient of a restricted stock award or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has no federal income tax consequences at the time of grant. Rather, at the time the shares are vested and no longer subject to a substantial risk of forfeiture, the participant will recognize ordinary income to the extent of the excess of the fair market value of the stock on the date the risk of forfeiture ceases over the amount paid, if any, by the participant for such stock. For a restricted stock award only, the participant may instead elect to be taxed at the time of grant by making an election under Section 83(b) of the Internal Revenue Code.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year that the recipient of a restricted stock award, restricted stock unit award or stock-based award recognizes ordinary taxable income in respect of such award, Smith will be entitled to a deduction for federal income tax purposes equal to the amount of ordinary income that the participant is required to recognize, provided that the deduction is not otherwise disallowed under the Internal Revenue Code. Upon disposition of the shares received, the gain or loss recognized by the participant will be treated as capital gain or loss.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With certain exceptions, Section 162(m) of the Internal Revenue Code denies a deduction to Smith for compensation paid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executive officers in excess of $1 million per executive per taxable year. One such exception applies to certain performance-based compensation as described in Section 162(m), and certain awards granted under the plan will be intended to qualify as performance-based compensation. The plan contains provisions consistent with the requirements for performance-based compensation under Section 162(m). However, the Compensation and Benefits Committee may award non-deductible compensation when such grants are in the best interest of Smith, balancing tax efficiency with long-term strategic objectives.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Internal Revenue Code provides certain new requirements for non-qualified deferred compensation arrangements.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with respect to an individual’s election to defer compensation and the individual’s selection of the timing and form of distribution of deferred compensation. Section 409A also generally provides that distributions must be made on or after the occurrence of certain events (e.g., the individual’s separation from service, a predetermined date, or the individual’s death). Section 409A imposes restrictions on an individual’s ability to change his or her distribution timing or form of distribution, after the compensation has been deferred.</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Awards granted under the Plan with a deferral feature will be subject to the requirements of Section 409A. If an award is subject to and fails to satisfy the requirements of Section 409A, the recipient of that award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recognize ordinary income on the amounts deferred under the award, to the extent vested, which may be prior to when the compensation is actually or constructively received. Also, if an award that is subject to Section 409A fails to comply with Section 409A, an additional 20% federal income tax is imposed on compensation recognized as ordinary income, as well as interest on such deferred compensation.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Smith believes that the plan is not subject to any provisions of the Employee Retirement Income Security Act of 1974 (ERISA). The plan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plan under Section 401(a) of the Internal Revenue Code.</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Amendment of the Plan. </w:t>
      </w:r>
      <w:r>
        <w:rPr>
          <w:rFonts w:ascii="Arial" w:cs="Arial" w:eastAsia="Arial" w:hAnsi="Arial"/>
          <w:sz w:val="16"/>
          <w:szCs w:val="16"/>
          <w:color w:val="auto"/>
        </w:rPr>
        <w:t>The Smith board of directors may terminate, modify or amend the plan at any time without stockholder approval,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amendments that (a) change the class of persons eligible to receive awards; (b) extend the term of the plan; (c) decrease the authority granted to the Committee under the plan; (d) increase the number of shares subject to the plan or (e) require stockholder approval under New York Stock Exchange listing standards or the Internal Revenue Code in order to maintain listing requirements or favorable tax advantages or qualifications.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Required Approval. </w:t>
      </w:r>
      <w:r>
        <w:rPr>
          <w:rFonts w:ascii="Arial" w:cs="Arial" w:eastAsia="Arial" w:hAnsi="Arial"/>
          <w:sz w:val="16"/>
          <w:szCs w:val="16"/>
          <w:color w:val="auto"/>
        </w:rPr>
        <w:t>The affirmative vote of a majority of the shares represented at the Smith annual meeting and entitled to vote will be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 the Plan, provided that at least a majority of the outstanding shares of Smith common stock vote on the proposal.</w:t>
      </w:r>
    </w:p>
    <w:p>
      <w:pPr>
        <w:spacing w:after="0" w:line="7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approval of the 1989 Long-Term Incentive Compensation Plan, as Amended and Restated.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DELOITTE &amp; TOUCHE LLP 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FOR SMITH</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Deloitte &amp; Touche LLP has offices in or convenient to most of the locations in the world where Smith and its subsidiaries operate. Representatives of Deloitte &amp; Touche LLP are not expected to be present at the Smith annual meeting, will not have the opportunity to make a statement and will not be available to respond to questions.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Deloitte &amp; Touche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years 2009 and 2008, Smith incurred the following fees for services performed by Deloitte &amp; Touche LLP:</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5,720,000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Audit-Related Fees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1,193,000</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All Other Fees</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5,306,000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7,284,000</w:t>
            </w: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Audit Fees</w:t>
      </w:r>
      <w:r>
        <w:rPr>
          <w:rFonts w:ascii="Arial" w:cs="Arial" w:eastAsia="Arial" w:hAnsi="Arial"/>
          <w:sz w:val="16"/>
          <w:szCs w:val="16"/>
          <w:color w:val="auto"/>
        </w:rPr>
        <w:t>. This category includes the audit of Smith’s annual financial statements and internal control over financial reporting as required by Section 404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Sarbanes-Oxley Act, audits of statutory accounts in certain non-U.S. jurisdictions, review of financial statements included in Smith’s quarterly reports on Form 10-Q and services that are normally provided by the independent registered public accountants in connection with statutory and regulatory filings or engagements for those fiscal years. This category also includes the audit of the combined financial statements of M-I SWACO.</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color w:val="auto"/>
        </w:rPr>
        <w:t>. This category consists of assurance and related services by Deloitte &amp; Touche LLP that are reasonably related to the performance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or review of Smith’s financial statements and are not reported above under “Audit Fees.” The services for the fees disclosed under this category primarily relate to the audit of various U.S. employee benefit plans, which were not directly related to the audit of the consolidated financial statements. The Audit Committee approved 100% of these Audit-Related Fees pursuant to its pre-approval policy.</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Tax Fees</w:t>
      </w:r>
      <w:r>
        <w:rPr>
          <w:rFonts w:ascii="Arial" w:cs="Arial" w:eastAsia="Arial" w:hAnsi="Arial"/>
          <w:sz w:val="16"/>
          <w:szCs w:val="16"/>
          <w:color w:val="auto"/>
        </w:rPr>
        <w:t>. This category includes fees for professional services performed by Deloitte &amp; Touche LLP with respect to tax return preparation, tax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advice and tax planning. The Audit Committee approved 100% of these Tax Fees pursuant to its pre-approval policy.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Deloitte &amp; Touche LLP</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All services rendered by Deloitte &amp; Touche LLP are permissible under applicable laws and regulations, and are pre-approved by the Audit Committee. Consideration and approval of these services generally occurs in the regularly scheduled Audit Committee meetings. Pursuant to SEC rules, the fees paid to Deloitte &amp; Touche LLP for services are disclosed in the table above under the categories listed.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ratification by stockholders is not required by law, the Audit Committee has determined that it is desirable to seek stockholder ratification of this appointment in light of the critical role played by independent registered public accountants in maintaining the integrity of Smith’s financial controls and reporting. Notwithstanding its selection, the Audit Committee, in its discretion, may appoint new independent registered public accountants at any time during the year if the Audit Committee believes that such a change would be in the best interests of the Company and its stockholders. If the stockholders do not ratify the appointment of Deloitte &amp; Touche LLP, the Audit Committee may reconsider its selection.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ANNUAL REPORT AND FINANCIAL INFORMATION</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copy of Smith’s 2009 Annual Report to Stockholders is being mailed with this proxy statement/prospectus. Smith will provide without charge Smith’s Annual Report on Form 10-K for the fiscal year ended December 31, 2009 to any person requesting a copy in writing and stating that he or she was a beneficial holder of Smith common stock on [—], 2010. The Annual Report on Form 10-K is also available on Smith’s website at www.smith.com under the “Investor Relations” caption by following the “SEC Filings” link. Smith will also furnish copies of any exhibits to the Form 10-K. Requests and inquiries should be addressed to: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 233-5768</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Smith’s 2009 Annual Report to Stockholders should not be regarded as proxy soliciting material or as a communication for which a solicitation of proxies is to be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be considered for inclusion in this proxy statement/prospectus for Smith’s annual meeting, stockholder proposals must have been submitted to Smith in writing by no later than [—]. In addition, under Smith’s amended and restated bylaws, in order for a stockholder to bring any business before Smith’s annual meeting, notice must have been received by Smith in writing between [—] and [—], in accordance with and including all of the information required by Smith’s Amended and Restated Bylaws. If Smith’s annual meeting is held more than 30 days before or more than 60 days after May 12, 2010, for a stockholder to bring any matter before the annual meeting, the stockholder’s written notice must have been received no earlier than 90 days and not later than 60 days prior to the date of the annual meeting or, if the date of the annual meeting is announced less than 100 days prior to the meeting date, then not later than the 10th day after such announcement. If Smith has not received notice of a stockholder proposal in proper form within these time frames, Smith management will use its discretion to vote all the shares for which it has received proxies as the Smith board of directors may recommend.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merger is completed, Smith does not expect to hold a 2011 annual meeting of stockholders. In that case, stockholder proposals for action by the stockholders of Schlumberger must be submitted to the Secretary of Schlumberger in accordance with the procedures implemented by Schlumberger for such meeting. If the merger is not completed, Smith will hold a 2011 annual meeting of stockholders. To be considered for inclusion in the proxy statement for next year’s annual meeting of Smith stockholders, if any, stockholder proposals must be submitted to Smith in writing by no later than [—], 2010. In addition, under Smith’s Amended and Restated Bylaws, in order for a stockholder to bring any business before next year’s annual meeting of Smith stockholders, notice must be received by Smith in writing between [—], 2011 and [—], 2011, in accordance with and including all of the information required by Smith’s Amended and Restated Bylaws. If the 2011 annual meeting of Smith stockholders is held more than 30 days before or more than 60 days after [—], 2011, for a stockholder to bring any matter before the 2011 annual meeting of Smith stockholders, the stockholder’s written notice must be received no earlier than 90 days and not later than 60 days prior to the date of the 2011 Annual Meeting or, if Smith announces the date of the 2011 annual meeting of Smith stockholders less than 100 days prior to the meeting date, then not later than the 10th day after the announcement. If Smith does not receive notice of your proposal in proper form within these time frames, Smith’s management will use its discretion to vote all the shares of Smith common stock for which Smith has received proxies as the Smith board of directors may recommend.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financial statements, and the related financial statement schedule, incorporated in this proxy statement/prospectus by reference from Smith’s Annual Report on Form 10-K for the year ended December 31, 2009 and the effectiveness of Smith’s internal control over financial reporting have been audited by Deloitte &amp; Touche LLP, an independent registered public accounting firm, as stated in their reports, which are incorporated herein by reference. Such financial statements and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Alexander C. Juden, its General Counsel and Secretary.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Schlumberger has filed a registration statement on Form S-4 to register with the SEC the shares of Schlumberger common stock to be issued to Smith stockholders in connection with the merger. This proxy statement/prospectus is a part of that registration statement and constitutes a prospectus of Schlumberger in addition to being a proxy statement of Smith for the annual meeting. The registration statement, including the attached exhibits and schedules, contains additional relevant information about Schlumberger and its common stock. The rules and regulations of the SEC allow Schlumberger and Smith to omit certain information included in the registration statement from this proxy statement/prospectus.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and Smith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Smith. The address of that site is http://www.sec.gov. The reports and other information filed by Schlumberger and Smith with the SEC are also available at their respective internet web sites, which are http://www.schlumberger.com and http://www.smith.com. Information on these internet web sites is not part of this proxy statement/prospectus.</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SEC allows Schlumberger and Smith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Smith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Smith and their respective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w:t>
      </w:r>
    </w:p>
    <w:p>
      <w:pPr>
        <w:spacing w:after="0" w:line="96" w:lineRule="exact"/>
        <w:rPr>
          <w:sz w:val="20"/>
          <w:szCs w:val="20"/>
          <w:color w:val="auto"/>
        </w:rPr>
      </w:pPr>
    </w:p>
    <w:p>
      <w:pPr>
        <w:ind w:left="660" w:hanging="206"/>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90" w:lineRule="exact"/>
        <w:rPr>
          <w:rFonts w:ascii="Arial" w:cs="Arial" w:eastAsia="Arial" w:hAnsi="Arial"/>
          <w:sz w:val="18"/>
          <w:szCs w:val="18"/>
          <w:color w:val="auto"/>
        </w:rPr>
      </w:pPr>
    </w:p>
    <w:p>
      <w:pPr>
        <w:ind w:left="660" w:right="60" w:hanging="206"/>
        <w:spacing w:after="0" w:line="255"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22, 2010 (Linda Gillespie Stuntz’s notification of intention not to stand for reelection to Board of Directors), February 8, 2010 (Paal Kibsgaard appointed as Chief Operating Officer), February 8, 2010 (Chakib Sbiti assuming position of Senior Executive Advisor to Chairman and Chief Executive Officer), February 22, 2010 (press release regarding Smith transaction) and February 22, 2010 (execution of merger agreement with Smith), April 5, 2010 (press release regarding second request from the Antitrust Division) and April 9, 2010 (results of Schlumberger’s 2010 annual meeting); and</w:t>
      </w:r>
    </w:p>
    <w:p>
      <w:pPr>
        <w:spacing w:after="0" w:line="61"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w:t>
      </w:r>
    </w:p>
    <w:p>
      <w:pPr>
        <w:spacing w:after="0" w:line="96" w:lineRule="exact"/>
        <w:rPr>
          <w:sz w:val="20"/>
          <w:szCs w:val="20"/>
          <w:color w:val="auto"/>
        </w:rPr>
      </w:pPr>
    </w:p>
    <w:p>
      <w:pPr>
        <w:ind w:left="660" w:hanging="206"/>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90"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26, 2010, February 22, 2010 (press release regarding Schlumberger transaction), February 22, 2010 (execution of merger agreement with Schlumberger and amendment of rights agreement) and April 5, 2010 (press release regarding second request from the Antitrust Division);</w:t>
      </w:r>
    </w:p>
    <w:p>
      <w:pPr>
        <w:spacing w:after="0" w:line="59"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description of Smith’s common stock, par value $1.00 per share, contained in Smith’s Registration Statement on Form 8-B filed with the SEC on May 25, 1983, including any subsequent amendment or any report filed for the purpose of updating such description; and</w:t>
      </w:r>
    </w:p>
    <w:p>
      <w:pPr>
        <w:spacing w:after="0" w:line="4" w:lineRule="exact"/>
        <w:rPr>
          <w:rFonts w:ascii="Arial" w:cs="Arial" w:eastAsia="Arial" w:hAnsi="Arial"/>
          <w:sz w:val="16"/>
          <w:szCs w:val="16"/>
          <w:color w:val="auto"/>
        </w:rPr>
      </w:pPr>
    </w:p>
    <w:p>
      <w:pPr>
        <w:ind w:left="660" w:right="300" w:hanging="206"/>
        <w:spacing w:after="0" w:line="268"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description of Smith’s preferred share purchase rights contained in Smith’s Registration Statement on Form 8-A filed with the SEC on June 15, 2000, including any subsequent amendment or any report filed for the purpose of updating such description.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Smith has supplied all such information relating to Smith.</w:t>
      </w:r>
    </w:p>
    <w:p>
      <w:pPr>
        <w:spacing w:after="0" w:line="132"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Documents incorporated by reference are available from Schlumberger or Smith,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 443-3370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 2010 in order to receive them before the annual meeting.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Smith has authorized anyone to provide you with information that is different from what is contained in this proxy statement/prospectus.</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proxy statement/prospectus is dated [—], 2010. You should not assume that the information in it is accurate as of any date other than that date, and neither its mailing to stockholders nor the issuance of Schlumberger common stock in the merger shall create any implication to the contrary.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40"/>
          </w:cols>
          <w:pgMar w:left="240" w:top="459" w:right="3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TURNBERRY MERGER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91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800" w:type="dxa"/>
            <w:vAlign w:val="bottom"/>
            <w:vMerge w:val="restart"/>
          </w:tcPr>
          <w:p>
            <w:pPr>
              <w:spacing w:after="0"/>
              <w:rPr>
                <w:sz w:val="20"/>
                <w:szCs w:val="20"/>
                <w:color w:val="auto"/>
              </w:rPr>
            </w:pPr>
            <w:r>
              <w:rPr>
                <w:rFonts w:ascii="Arial" w:cs="Arial" w:eastAsia="Arial" w:hAnsi="Arial"/>
                <w:sz w:val="18"/>
                <w:szCs w:val="18"/>
                <w:color w:val="auto"/>
                <w:w w:val="93"/>
              </w:rPr>
              <w:t>Article 1 THE MERGER</w:t>
            </w:r>
          </w:p>
        </w:tc>
        <w:tc>
          <w:tcPr>
            <w:tcW w:w="91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800" w:type="dxa"/>
            <w:vAlign w:val="bottom"/>
            <w:vMerge w:val="continue"/>
          </w:tcPr>
          <w:p>
            <w:pPr>
              <w:spacing w:after="0"/>
              <w:rPr>
                <w:sz w:val="17"/>
                <w:szCs w:val="17"/>
                <w:color w:val="auto"/>
              </w:rPr>
            </w:pPr>
          </w:p>
        </w:tc>
        <w:tc>
          <w:tcPr>
            <w:tcW w:w="914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tc>
        <w:tc>
          <w:tcPr>
            <w:tcW w:w="9140" w:type="dxa"/>
            <w:vAlign w:val="bottom"/>
          </w:tcPr>
          <w:p>
            <w:pPr>
              <w:ind w:left="20"/>
              <w:spacing w:after="0"/>
              <w:rPr>
                <w:sz w:val="20"/>
                <w:szCs w:val="20"/>
                <w:color w:val="auto"/>
              </w:rPr>
            </w:pPr>
            <w:r>
              <w:rPr>
                <w:rFonts w:ascii="Arial" w:cs="Arial" w:eastAsia="Arial" w:hAnsi="Arial"/>
                <w:sz w:val="18"/>
                <w:szCs w:val="18"/>
                <w:color w:val="auto"/>
              </w:rPr>
              <w:t>The Merger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tc>
        <w:tc>
          <w:tcPr>
            <w:tcW w:w="9140" w:type="dxa"/>
            <w:vAlign w:val="bottom"/>
          </w:tcPr>
          <w:p>
            <w:pPr>
              <w:ind w:left="20"/>
              <w:spacing w:after="0"/>
              <w:rPr>
                <w:sz w:val="20"/>
                <w:szCs w:val="20"/>
                <w:color w:val="auto"/>
              </w:rPr>
            </w:pPr>
            <w:r>
              <w:rPr>
                <w:rFonts w:ascii="Arial" w:cs="Arial" w:eastAsia="Arial" w:hAnsi="Arial"/>
                <w:sz w:val="18"/>
                <w:szCs w:val="18"/>
                <w:color w:val="auto"/>
              </w:rPr>
              <w:t>The Closing</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tc>
        <w:tc>
          <w:tcPr>
            <w:tcW w:w="9140" w:type="dxa"/>
            <w:vAlign w:val="bottom"/>
          </w:tcPr>
          <w:p>
            <w:pPr>
              <w:ind w:left="20"/>
              <w:spacing w:after="0"/>
              <w:rPr>
                <w:sz w:val="20"/>
                <w:szCs w:val="20"/>
                <w:color w:val="auto"/>
              </w:rPr>
            </w:pPr>
            <w:r>
              <w:rPr>
                <w:rFonts w:ascii="Arial" w:cs="Arial" w:eastAsia="Arial" w:hAnsi="Arial"/>
                <w:sz w:val="18"/>
                <w:szCs w:val="18"/>
                <w:color w:val="auto"/>
              </w:rPr>
              <w:t>Effective Time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Certificate of Incorporation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w:t>
            </w:r>
          </w:p>
        </w:tc>
        <w:tc>
          <w:tcPr>
            <w:tcW w:w="9140" w:type="dxa"/>
            <w:vAlign w:val="bottom"/>
          </w:tcPr>
          <w:p>
            <w:pPr>
              <w:ind w:left="20"/>
              <w:spacing w:after="0"/>
              <w:rPr>
                <w:sz w:val="20"/>
                <w:szCs w:val="20"/>
                <w:color w:val="auto"/>
              </w:rPr>
            </w:pPr>
            <w:r>
              <w:rPr>
                <w:rFonts w:ascii="Arial" w:cs="Arial" w:eastAsia="Arial" w:hAnsi="Arial"/>
                <w:sz w:val="18"/>
                <w:szCs w:val="18"/>
                <w:color w:val="auto"/>
              </w:rPr>
              <w:t>Bylaws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w:t>
            </w:r>
          </w:p>
        </w:tc>
        <w:tc>
          <w:tcPr>
            <w:tcW w:w="914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3.2</w:t>
            </w:r>
          </w:p>
        </w:tc>
        <w:tc>
          <w:tcPr>
            <w:tcW w:w="9140" w:type="dxa"/>
            <w:vAlign w:val="bottom"/>
          </w:tcPr>
          <w:p>
            <w:pPr>
              <w:ind w:left="20"/>
              <w:spacing w:after="0"/>
              <w:rPr>
                <w:sz w:val="20"/>
                <w:szCs w:val="20"/>
                <w:color w:val="auto"/>
              </w:rPr>
            </w:pPr>
            <w:r>
              <w:rPr>
                <w:rFonts w:ascii="Arial" w:cs="Arial" w:eastAsia="Arial" w:hAnsi="Arial"/>
                <w:sz w:val="18"/>
                <w:szCs w:val="18"/>
                <w:color w:val="auto"/>
              </w:rPr>
              <w:t>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4 CONVERSION OF SMITH COMMON STOCK</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w:t>
            </w:r>
          </w:p>
        </w:tc>
        <w:tc>
          <w:tcPr>
            <w:tcW w:w="9140" w:type="dxa"/>
            <w:vAlign w:val="bottom"/>
          </w:tcPr>
          <w:p>
            <w:pPr>
              <w:ind w:left="20"/>
              <w:spacing w:after="0"/>
              <w:rPr>
                <w:sz w:val="20"/>
                <w:szCs w:val="20"/>
                <w:color w:val="auto"/>
              </w:rPr>
            </w:pPr>
            <w:r>
              <w:rPr>
                <w:rFonts w:ascii="Arial" w:cs="Arial" w:eastAsia="Arial" w:hAnsi="Arial"/>
                <w:sz w:val="18"/>
                <w:szCs w:val="18"/>
                <w:color w:val="auto"/>
              </w:rPr>
              <w:t>Conversion of Equity Interests of Smith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4.2</w:t>
            </w:r>
          </w:p>
        </w:tc>
        <w:tc>
          <w:tcPr>
            <w:tcW w:w="9140" w:type="dxa"/>
            <w:vAlign w:val="bottom"/>
          </w:tcPr>
          <w:p>
            <w:pPr>
              <w:ind w:left="20"/>
              <w:spacing w:after="0"/>
              <w:rPr>
                <w:sz w:val="20"/>
                <w:szCs w:val="20"/>
                <w:color w:val="auto"/>
              </w:rPr>
            </w:pPr>
            <w:r>
              <w:rPr>
                <w:rFonts w:ascii="Arial" w:cs="Arial" w:eastAsia="Arial" w:hAnsi="Arial"/>
                <w:sz w:val="18"/>
                <w:szCs w:val="18"/>
                <w:color w:val="auto"/>
              </w:rPr>
              <w:t>Exchange of Shares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Adjustments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w:t>
            </w:r>
          </w:p>
        </w:tc>
        <w:tc>
          <w:tcPr>
            <w:tcW w:w="9140" w:type="dxa"/>
            <w:vAlign w:val="bottom"/>
          </w:tcPr>
          <w:p>
            <w:pPr>
              <w:ind w:left="20"/>
              <w:spacing w:after="0"/>
              <w:rPr>
                <w:sz w:val="20"/>
                <w:szCs w:val="20"/>
                <w:color w:val="auto"/>
              </w:rPr>
            </w:pPr>
            <w:r>
              <w:rPr>
                <w:rFonts w:ascii="Arial" w:cs="Arial" w:eastAsia="Arial" w:hAnsi="Arial"/>
                <w:sz w:val="18"/>
                <w:szCs w:val="18"/>
                <w:color w:val="auto"/>
              </w:rPr>
              <w:t>Associated Rights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SMITH</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Enforceability and Fairness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5.4</w:t>
            </w:r>
          </w:p>
        </w:tc>
        <w:tc>
          <w:tcPr>
            <w:tcW w:w="9140" w:type="dxa"/>
            <w:vAlign w:val="bottom"/>
          </w:tcPr>
          <w:p>
            <w:pPr>
              <w:ind w:left="2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5.5</w:t>
            </w:r>
          </w:p>
        </w:tc>
        <w:tc>
          <w:tcPr>
            <w:tcW w:w="9140" w:type="dxa"/>
            <w:vAlign w:val="bottom"/>
          </w:tcPr>
          <w:p>
            <w:pPr>
              <w:ind w:left="2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5.6</w:t>
            </w:r>
          </w:p>
        </w:tc>
        <w:tc>
          <w:tcPr>
            <w:tcW w:w="9140" w:type="dxa"/>
            <w:vAlign w:val="bottom"/>
          </w:tcPr>
          <w:p>
            <w:pPr>
              <w:ind w:left="2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5.7</w:t>
            </w:r>
          </w:p>
        </w:tc>
        <w:tc>
          <w:tcPr>
            <w:tcW w:w="91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5.8</w:t>
            </w:r>
          </w:p>
        </w:tc>
        <w:tc>
          <w:tcPr>
            <w:tcW w:w="914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5.9</w:t>
            </w:r>
          </w:p>
        </w:tc>
        <w:tc>
          <w:tcPr>
            <w:tcW w:w="9140" w:type="dxa"/>
            <w:vAlign w:val="bottom"/>
          </w:tcPr>
          <w:p>
            <w:pPr>
              <w:ind w:left="2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5.10</w:t>
            </w:r>
          </w:p>
        </w:tc>
        <w:tc>
          <w:tcPr>
            <w:tcW w:w="9140" w:type="dxa"/>
            <w:vAlign w:val="bottom"/>
          </w:tcPr>
          <w:p>
            <w:pPr>
              <w:ind w:left="20"/>
              <w:spacing w:after="0"/>
              <w:rPr>
                <w:sz w:val="20"/>
                <w:szCs w:val="20"/>
                <w:color w:val="auto"/>
              </w:rPr>
            </w:pPr>
            <w:r>
              <w:rPr>
                <w:rFonts w:ascii="Arial" w:cs="Arial" w:eastAsia="Arial" w:hAnsi="Arial"/>
                <w:sz w:val="18"/>
                <w:szCs w:val="18"/>
                <w:color w:val="auto"/>
              </w:rPr>
              <w:t>Taxes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5.11</w:t>
            </w:r>
          </w:p>
        </w:tc>
        <w:tc>
          <w:tcPr>
            <w:tcW w:w="9140" w:type="dxa"/>
            <w:vAlign w:val="bottom"/>
          </w:tcPr>
          <w:p>
            <w:pPr>
              <w:ind w:left="20"/>
              <w:spacing w:after="0"/>
              <w:rPr>
                <w:sz w:val="20"/>
                <w:szCs w:val="20"/>
                <w:color w:val="auto"/>
              </w:rPr>
            </w:pPr>
            <w:r>
              <w:rPr>
                <w:rFonts w:ascii="Arial" w:cs="Arial" w:eastAsia="Arial" w:hAnsi="Arial"/>
                <w:sz w:val="18"/>
                <w:szCs w:val="18"/>
                <w:color w:val="auto"/>
              </w:rPr>
              <w:t>Employee Benefit Plans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5.12</w:t>
            </w:r>
          </w:p>
        </w:tc>
        <w:tc>
          <w:tcPr>
            <w:tcW w:w="914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5.13</w:t>
            </w:r>
          </w:p>
        </w:tc>
        <w:tc>
          <w:tcPr>
            <w:tcW w:w="914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5.14</w:t>
            </w:r>
          </w:p>
        </w:tc>
        <w:tc>
          <w:tcPr>
            <w:tcW w:w="914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5.15</w:t>
            </w:r>
          </w:p>
        </w:tc>
        <w:tc>
          <w:tcPr>
            <w:tcW w:w="91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5.16</w:t>
            </w:r>
          </w:p>
        </w:tc>
        <w:tc>
          <w:tcPr>
            <w:tcW w:w="9140" w:type="dxa"/>
            <w:vAlign w:val="bottom"/>
          </w:tcPr>
          <w:p>
            <w:pPr>
              <w:ind w:left="2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5.17</w:t>
            </w:r>
          </w:p>
        </w:tc>
        <w:tc>
          <w:tcPr>
            <w:tcW w:w="91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5.18</w:t>
            </w:r>
          </w:p>
        </w:tc>
        <w:tc>
          <w:tcPr>
            <w:tcW w:w="914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5.19</w:t>
            </w:r>
          </w:p>
        </w:tc>
        <w:tc>
          <w:tcPr>
            <w:tcW w:w="9140" w:type="dxa"/>
            <w:vAlign w:val="bottom"/>
          </w:tcPr>
          <w:p>
            <w:pPr>
              <w:ind w:left="20"/>
              <w:spacing w:after="0"/>
              <w:rPr>
                <w:sz w:val="20"/>
                <w:szCs w:val="20"/>
                <w:color w:val="auto"/>
              </w:rPr>
            </w:pPr>
            <w:r>
              <w:rPr>
                <w:rFonts w:ascii="Arial" w:cs="Arial" w:eastAsia="Arial" w:hAnsi="Arial"/>
                <w:sz w:val="18"/>
                <w:szCs w:val="18"/>
                <w:color w:val="auto"/>
              </w:rPr>
              <w:t>Schlumberger Stock Ownership</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5.20</w:t>
            </w:r>
          </w:p>
        </w:tc>
        <w:tc>
          <w:tcPr>
            <w:tcW w:w="9140" w:type="dxa"/>
            <w:vAlign w:val="bottom"/>
          </w:tcPr>
          <w:p>
            <w:pPr>
              <w:ind w:left="20"/>
              <w:spacing w:after="0"/>
              <w:rPr>
                <w:sz w:val="20"/>
                <w:szCs w:val="20"/>
                <w:color w:val="auto"/>
              </w:rPr>
            </w:pPr>
            <w:r>
              <w:rPr>
                <w:rFonts w:ascii="Arial" w:cs="Arial" w:eastAsia="Arial" w:hAnsi="Arial"/>
                <w:sz w:val="18"/>
                <w:szCs w:val="18"/>
                <w:color w:val="auto"/>
              </w:rPr>
              <w:t>Vote Required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5.21</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Contracts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5.22</w:t>
            </w:r>
          </w:p>
        </w:tc>
        <w:tc>
          <w:tcPr>
            <w:tcW w:w="9140" w:type="dxa"/>
            <w:vAlign w:val="bottom"/>
          </w:tcPr>
          <w:p>
            <w:pPr>
              <w:ind w:left="2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5.23</w:t>
            </w:r>
          </w:p>
        </w:tc>
        <w:tc>
          <w:tcPr>
            <w:tcW w:w="9140" w:type="dxa"/>
            <w:vAlign w:val="bottom"/>
          </w:tcPr>
          <w:p>
            <w:pPr>
              <w:ind w:left="2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5.24</w:t>
            </w:r>
          </w:p>
        </w:tc>
        <w:tc>
          <w:tcPr>
            <w:tcW w:w="9140" w:type="dxa"/>
            <w:vAlign w:val="bottom"/>
          </w:tcPr>
          <w:p>
            <w:pPr>
              <w:ind w:left="20"/>
              <w:spacing w:after="0"/>
              <w:rPr>
                <w:sz w:val="20"/>
                <w:szCs w:val="20"/>
                <w:color w:val="auto"/>
              </w:rPr>
            </w:pPr>
            <w:r>
              <w:rPr>
                <w:rFonts w:ascii="Arial" w:cs="Arial" w:eastAsia="Arial" w:hAnsi="Arial"/>
                <w:sz w:val="18"/>
                <w:szCs w:val="18"/>
                <w:color w:val="auto"/>
              </w:rPr>
              <w:t>Stockholder Rights Agreement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5.25</w:t>
            </w:r>
          </w:p>
        </w:tc>
        <w:tc>
          <w:tcPr>
            <w:tcW w:w="9140" w:type="dxa"/>
            <w:vAlign w:val="bottom"/>
          </w:tcPr>
          <w:p>
            <w:pPr>
              <w:ind w:left="20"/>
              <w:spacing w:after="0"/>
              <w:rPr>
                <w:sz w:val="20"/>
                <w:szCs w:val="20"/>
                <w:color w:val="auto"/>
              </w:rPr>
            </w:pPr>
            <w:r>
              <w:rPr>
                <w:rFonts w:ascii="Arial" w:cs="Arial" w:eastAsia="Arial" w:hAnsi="Arial"/>
                <w:sz w:val="18"/>
                <w:szCs w:val="18"/>
                <w:color w:val="auto"/>
              </w:rPr>
              <w:t>Charter Provisions; Takeover 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5.26</w:t>
            </w:r>
          </w:p>
        </w:tc>
        <w:tc>
          <w:tcPr>
            <w:tcW w:w="9140" w:type="dxa"/>
            <w:vAlign w:val="bottom"/>
          </w:tcPr>
          <w:p>
            <w:pPr>
              <w:ind w:left="2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and Enforceability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6.4</w:t>
            </w:r>
          </w:p>
        </w:tc>
        <w:tc>
          <w:tcPr>
            <w:tcW w:w="9160" w:type="dxa"/>
            <w:vAlign w:val="bottom"/>
            <w:vMerge w:val="restart"/>
          </w:tcPr>
          <w:p>
            <w:pPr>
              <w:ind w:left="4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9160" w:type="dxa"/>
            <w:vAlign w:val="bottom"/>
            <w:vMerge w:val="continue"/>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6.5</w:t>
            </w:r>
          </w:p>
        </w:tc>
        <w:tc>
          <w:tcPr>
            <w:tcW w:w="9160" w:type="dxa"/>
            <w:vAlign w:val="bottom"/>
          </w:tcPr>
          <w:p>
            <w:pPr>
              <w:ind w:left="4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6.6</w:t>
            </w:r>
          </w:p>
        </w:tc>
        <w:tc>
          <w:tcPr>
            <w:tcW w:w="9160" w:type="dxa"/>
            <w:vAlign w:val="bottom"/>
          </w:tcPr>
          <w:p>
            <w:pPr>
              <w:ind w:left="4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6.7</w:t>
            </w:r>
          </w:p>
        </w:tc>
        <w:tc>
          <w:tcPr>
            <w:tcW w:w="91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6.8</w:t>
            </w:r>
          </w:p>
        </w:tc>
        <w:tc>
          <w:tcPr>
            <w:tcW w:w="91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6.9</w:t>
            </w:r>
          </w:p>
        </w:tc>
        <w:tc>
          <w:tcPr>
            <w:tcW w:w="9160" w:type="dxa"/>
            <w:vAlign w:val="bottom"/>
          </w:tcPr>
          <w:p>
            <w:pPr>
              <w:ind w:left="4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6.10</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 Ownership</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6.11</w:t>
            </w:r>
          </w:p>
        </w:tc>
        <w:tc>
          <w:tcPr>
            <w:tcW w:w="9160" w:type="dxa"/>
            <w:vAlign w:val="bottom"/>
          </w:tcPr>
          <w:p>
            <w:pPr>
              <w:ind w:left="40"/>
              <w:spacing w:after="0"/>
              <w:rPr>
                <w:sz w:val="20"/>
                <w:szCs w:val="20"/>
                <w:color w:val="auto"/>
              </w:rPr>
            </w:pPr>
            <w:r>
              <w:rPr>
                <w:rFonts w:ascii="Arial" w:cs="Arial" w:eastAsia="Arial" w:hAnsi="Arial"/>
                <w:sz w:val="18"/>
                <w:szCs w:val="18"/>
                <w:color w:val="auto"/>
              </w:rPr>
              <w:t>No Vote Required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6.12</w:t>
            </w:r>
          </w:p>
        </w:tc>
        <w:tc>
          <w:tcPr>
            <w:tcW w:w="9160" w:type="dxa"/>
            <w:vAlign w:val="bottom"/>
          </w:tcPr>
          <w:p>
            <w:pPr>
              <w:ind w:left="4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6.13</w:t>
            </w:r>
          </w:p>
        </w:tc>
        <w:tc>
          <w:tcPr>
            <w:tcW w:w="9160" w:type="dxa"/>
            <w:vAlign w:val="bottom"/>
          </w:tcPr>
          <w:p>
            <w:pPr>
              <w:ind w:left="4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6.14</w:t>
            </w:r>
          </w:p>
        </w:tc>
        <w:tc>
          <w:tcPr>
            <w:tcW w:w="916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6.15</w:t>
            </w:r>
          </w:p>
        </w:tc>
        <w:tc>
          <w:tcPr>
            <w:tcW w:w="9160" w:type="dxa"/>
            <w:vAlign w:val="bottom"/>
          </w:tcPr>
          <w:p>
            <w:pPr>
              <w:ind w:left="40"/>
              <w:spacing w:after="0"/>
              <w:rPr>
                <w:sz w:val="20"/>
                <w:szCs w:val="20"/>
                <w:color w:val="auto"/>
              </w:rPr>
            </w:pPr>
            <w:r>
              <w:rPr>
                <w:rFonts w:ascii="Arial" w:cs="Arial" w:eastAsia="Arial" w:hAnsi="Arial"/>
                <w:sz w:val="18"/>
                <w:szCs w:val="18"/>
                <w:color w:val="auto"/>
              </w:rPr>
              <w:t>Status of Merger Sub</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6.16</w:t>
            </w:r>
          </w:p>
        </w:tc>
        <w:tc>
          <w:tcPr>
            <w:tcW w:w="9160" w:type="dxa"/>
            <w:vAlign w:val="bottom"/>
          </w:tcPr>
          <w:p>
            <w:pPr>
              <w:ind w:left="4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6.17</w:t>
            </w:r>
          </w:p>
        </w:tc>
        <w:tc>
          <w:tcPr>
            <w:tcW w:w="91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7 COVENANTS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w:t>
            </w:r>
          </w:p>
        </w:tc>
        <w:tc>
          <w:tcPr>
            <w:tcW w:w="916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Stockholders Meeting</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w:t>
            </w:r>
          </w:p>
        </w:tc>
        <w:tc>
          <w:tcPr>
            <w:tcW w:w="9160" w:type="dxa"/>
            <w:vAlign w:val="bottom"/>
          </w:tcPr>
          <w:p>
            <w:pPr>
              <w:ind w:left="40"/>
              <w:spacing w:after="0"/>
              <w:rPr>
                <w:sz w:val="20"/>
                <w:szCs w:val="20"/>
                <w:color w:val="auto"/>
              </w:rPr>
            </w:pPr>
            <w:r>
              <w:rPr>
                <w:rFonts w:ascii="Arial" w:cs="Arial" w:eastAsia="Arial" w:hAnsi="Arial"/>
                <w:sz w:val="18"/>
                <w:szCs w:val="18"/>
                <w:color w:val="auto"/>
              </w:rPr>
              <w:t>No Solicitation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w:t>
            </w:r>
          </w:p>
        </w:tc>
        <w:tc>
          <w:tcPr>
            <w:tcW w:w="916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w:t>
            </w:r>
          </w:p>
        </w:tc>
        <w:tc>
          <w:tcPr>
            <w:tcW w:w="9160" w:type="dxa"/>
            <w:vAlign w:val="bottom"/>
          </w:tcPr>
          <w:p>
            <w:pPr>
              <w:ind w:left="40"/>
              <w:spacing w:after="0"/>
              <w:rPr>
                <w:sz w:val="20"/>
                <w:szCs w:val="20"/>
                <w:color w:val="auto"/>
              </w:rPr>
            </w:pPr>
            <w:r>
              <w:rPr>
                <w:rFonts w:ascii="Arial" w:cs="Arial" w:eastAsia="Arial" w:hAnsi="Arial"/>
                <w:sz w:val="18"/>
                <w:szCs w:val="18"/>
                <w:color w:val="auto"/>
              </w:rPr>
              <w:t>Preparation of Proxy Statement/Prospectus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w:t>
            </w:r>
          </w:p>
        </w:tc>
        <w:tc>
          <w:tcPr>
            <w:tcW w:w="9160" w:type="dxa"/>
            <w:vAlign w:val="bottom"/>
          </w:tcPr>
          <w:p>
            <w:pPr>
              <w:ind w:left="40"/>
              <w:spacing w:after="0"/>
              <w:rPr>
                <w:sz w:val="20"/>
                <w:szCs w:val="20"/>
                <w:color w:val="auto"/>
              </w:rPr>
            </w:pPr>
            <w:r>
              <w:rPr>
                <w:rFonts w:ascii="Arial" w:cs="Arial" w:eastAsia="Arial" w:hAnsi="Arial"/>
                <w:sz w:val="18"/>
                <w:szCs w:val="18"/>
                <w:color w:val="auto"/>
              </w:rPr>
              <w:t>Filings,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w:t>
            </w:r>
          </w:p>
        </w:tc>
        <w:tc>
          <w:tcPr>
            <w:tcW w:w="9160" w:type="dxa"/>
            <w:vAlign w:val="bottom"/>
          </w:tcPr>
          <w:p>
            <w:pPr>
              <w:ind w:left="40"/>
              <w:spacing w:after="0"/>
              <w:rPr>
                <w:sz w:val="20"/>
                <w:szCs w:val="20"/>
                <w:color w:val="auto"/>
              </w:rPr>
            </w:pPr>
            <w:r>
              <w:rPr>
                <w:rFonts w:ascii="Arial" w:cs="Arial" w:eastAsia="Arial" w:hAnsi="Arial"/>
                <w:sz w:val="18"/>
                <w:szCs w:val="18"/>
                <w:color w:val="auto"/>
              </w:rPr>
              <w:t>Listing Application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w:t>
            </w:r>
          </w:p>
        </w:tc>
        <w:tc>
          <w:tcPr>
            <w:tcW w:w="916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7.9</w:t>
            </w:r>
          </w:p>
        </w:tc>
        <w:tc>
          <w:tcPr>
            <w:tcW w:w="9160" w:type="dxa"/>
            <w:vAlign w:val="bottom"/>
          </w:tcPr>
          <w:p>
            <w:pPr>
              <w:ind w:left="40"/>
              <w:spacing w:after="0"/>
              <w:rPr>
                <w:sz w:val="20"/>
                <w:szCs w:val="20"/>
                <w:color w:val="auto"/>
              </w:rPr>
            </w:pPr>
            <w:r>
              <w:rPr>
                <w:rFonts w:ascii="Arial" w:cs="Arial" w:eastAsia="Arial" w:hAnsi="Arial"/>
                <w:sz w:val="18"/>
                <w:szCs w:val="18"/>
                <w:color w:val="auto"/>
              </w:rPr>
              <w:t>Schlumberger Options and Stock Incentive Awards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9160" w:type="dxa"/>
            <w:vAlign w:val="bottom"/>
          </w:tcPr>
          <w:p>
            <w:pPr>
              <w:ind w:left="40"/>
              <w:spacing w:after="0"/>
              <w:rPr>
                <w:sz w:val="20"/>
                <w:szCs w:val="20"/>
                <w:color w:val="auto"/>
              </w:rPr>
            </w:pPr>
            <w:r>
              <w:rPr>
                <w:rFonts w:ascii="Arial" w:cs="Arial" w:eastAsia="Arial" w:hAnsi="Arial"/>
                <w:sz w:val="18"/>
                <w:szCs w:val="18"/>
                <w:color w:val="auto"/>
              </w:rPr>
              <w:t>Coordination of Dividends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9160" w:type="dxa"/>
            <w:vAlign w:val="bottom"/>
          </w:tcPr>
          <w:p>
            <w:pPr>
              <w:ind w:left="40"/>
              <w:spacing w:after="0"/>
              <w:rPr>
                <w:sz w:val="20"/>
                <w:szCs w:val="20"/>
                <w:color w:val="auto"/>
              </w:rPr>
            </w:pPr>
            <w:r>
              <w:rPr>
                <w:rFonts w:ascii="Arial" w:cs="Arial" w:eastAsia="Arial" w:hAnsi="Arial"/>
                <w:sz w:val="18"/>
                <w:szCs w:val="18"/>
                <w:color w:val="auto"/>
              </w:rPr>
              <w:t>Inspection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w:t>
            </w:r>
          </w:p>
        </w:tc>
        <w:tc>
          <w:tcPr>
            <w:tcW w:w="9160" w:type="dxa"/>
            <w:vAlign w:val="bottom"/>
          </w:tcPr>
          <w:p>
            <w:pPr>
              <w:ind w:left="40"/>
              <w:spacing w:after="0"/>
              <w:rPr>
                <w:sz w:val="20"/>
                <w:szCs w:val="20"/>
                <w:color w:val="auto"/>
              </w:rPr>
            </w:pPr>
            <w:r>
              <w:rPr>
                <w:rFonts w:ascii="Arial" w:cs="Arial" w:eastAsia="Arial" w:hAnsi="Arial"/>
                <w:sz w:val="18"/>
                <w:szCs w:val="18"/>
                <w:color w:val="auto"/>
              </w:rPr>
              <w:t>Publicity</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w:t>
            </w:r>
          </w:p>
        </w:tc>
        <w:tc>
          <w:tcPr>
            <w:tcW w:w="9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7.14</w:t>
            </w:r>
          </w:p>
        </w:tc>
        <w:tc>
          <w:tcPr>
            <w:tcW w:w="9160" w:type="dxa"/>
            <w:vAlign w:val="bottom"/>
          </w:tcPr>
          <w:p>
            <w:pPr>
              <w:ind w:left="40"/>
              <w:spacing w:after="0"/>
              <w:rPr>
                <w:sz w:val="20"/>
                <w:szCs w:val="20"/>
                <w:color w:val="auto"/>
              </w:rPr>
            </w:pPr>
            <w:r>
              <w:rPr>
                <w:rFonts w:ascii="Arial" w:cs="Arial" w:eastAsia="Arial" w:hAnsi="Arial"/>
                <w:sz w:val="18"/>
                <w:szCs w:val="18"/>
                <w:color w:val="auto"/>
              </w:rPr>
              <w:t>Rights Agreement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w:t>
            </w:r>
          </w:p>
        </w:tc>
        <w:tc>
          <w:tcPr>
            <w:tcW w:w="9160" w:type="dxa"/>
            <w:vAlign w:val="bottom"/>
          </w:tcPr>
          <w:p>
            <w:pPr>
              <w:ind w:left="40"/>
              <w:spacing w:after="0"/>
              <w:rPr>
                <w:sz w:val="20"/>
                <w:szCs w:val="20"/>
                <w:color w:val="auto"/>
              </w:rPr>
            </w:pPr>
            <w:r>
              <w:rPr>
                <w:rFonts w:ascii="Arial" w:cs="Arial" w:eastAsia="Arial" w:hAnsi="Arial"/>
                <w:sz w:val="18"/>
                <w:szCs w:val="18"/>
                <w:color w:val="auto"/>
              </w:rPr>
              <w:t>State Takeover Laws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7.16</w:t>
            </w:r>
          </w:p>
        </w:tc>
        <w:tc>
          <w:tcPr>
            <w:tcW w:w="9160" w:type="dxa"/>
            <w:vAlign w:val="bottom"/>
          </w:tcPr>
          <w:p>
            <w:pPr>
              <w:ind w:left="40"/>
              <w:spacing w:after="0"/>
              <w:rPr>
                <w:sz w:val="20"/>
                <w:szCs w:val="20"/>
                <w:color w:val="auto"/>
              </w:rPr>
            </w:pPr>
            <w:r>
              <w:rPr>
                <w:rFonts w:ascii="Arial" w:cs="Arial" w:eastAsia="Arial" w:hAnsi="Arial"/>
                <w:sz w:val="18"/>
                <w:szCs w:val="18"/>
                <w:color w:val="auto"/>
              </w:rPr>
              <w:t>Stockholder 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7.17</w:t>
            </w:r>
          </w:p>
        </w:tc>
        <w:tc>
          <w:tcPr>
            <w:tcW w:w="9160" w:type="dxa"/>
            <w:vAlign w:val="bottom"/>
          </w:tcPr>
          <w:p>
            <w:pPr>
              <w:ind w:left="40"/>
              <w:spacing w:after="0"/>
              <w:rPr>
                <w:sz w:val="20"/>
                <w:szCs w:val="20"/>
                <w:color w:val="auto"/>
              </w:rPr>
            </w:pPr>
            <w:r>
              <w:rPr>
                <w:rFonts w:ascii="Arial" w:cs="Arial" w:eastAsia="Arial" w:hAnsi="Arial"/>
                <w:sz w:val="18"/>
                <w:szCs w:val="18"/>
                <w:color w:val="auto"/>
              </w:rPr>
              <w:t>Indemnification and Insurance</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7.18</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Benefits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7.19</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Transfer Taxes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7.20</w:t>
            </w:r>
          </w:p>
        </w:tc>
        <w:tc>
          <w:tcPr>
            <w:tcW w:w="91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8 CONDITIONS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8.2</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Smith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A-46</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8.3</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Schlumberger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9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Mutual Consent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 or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9.3</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9.4</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9.5</w:t>
            </w:r>
          </w:p>
        </w:tc>
        <w:tc>
          <w:tcPr>
            <w:tcW w:w="91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10 GENERAL PROVISIONS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160" w:type="dxa"/>
            <w:vAlign w:val="bottom"/>
          </w:tcPr>
          <w:p>
            <w:pPr>
              <w:ind w:left="40"/>
              <w:spacing w:after="0"/>
              <w:rPr>
                <w:sz w:val="20"/>
                <w:szCs w:val="20"/>
                <w:color w:val="auto"/>
              </w:rPr>
            </w:pPr>
            <w:r>
              <w:rPr>
                <w:rFonts w:ascii="Arial" w:cs="Arial" w:eastAsia="Arial" w:hAnsi="Arial"/>
                <w:sz w:val="18"/>
                <w:szCs w:val="18"/>
                <w:color w:val="auto"/>
              </w:rPr>
              <w:t>Nonsurvival of Representations, Warranties and Agreements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160" w:type="dxa"/>
            <w:vAlign w:val="bottom"/>
          </w:tcPr>
          <w:p>
            <w:pPr>
              <w:ind w:left="40"/>
              <w:spacing w:after="0"/>
              <w:rPr>
                <w:sz w:val="20"/>
                <w:szCs w:val="20"/>
                <w:color w:val="auto"/>
              </w:rPr>
            </w:pPr>
            <w:r>
              <w:rPr>
                <w:rFonts w:ascii="Arial" w:cs="Arial" w:eastAsia="Arial" w:hAnsi="Arial"/>
                <w:sz w:val="18"/>
                <w:szCs w:val="18"/>
                <w:color w:val="auto"/>
              </w:rPr>
              <w:t>Notices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160" w:type="dxa"/>
            <w:vAlign w:val="bottom"/>
          </w:tcPr>
          <w:p>
            <w:pPr>
              <w:ind w:left="40"/>
              <w:spacing w:after="0"/>
              <w:rPr>
                <w:sz w:val="20"/>
                <w:szCs w:val="20"/>
                <w:color w:val="auto"/>
              </w:rPr>
            </w:pPr>
            <w:r>
              <w:rPr>
                <w:rFonts w:ascii="Arial" w:cs="Arial" w:eastAsia="Arial" w:hAnsi="Arial"/>
                <w:sz w:val="18"/>
                <w:szCs w:val="18"/>
                <w:color w:val="auto"/>
              </w:rPr>
              <w:t>Assignment; Binding Effect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10.4</w:t>
            </w:r>
          </w:p>
        </w:tc>
        <w:tc>
          <w:tcPr>
            <w:tcW w:w="3480" w:type="dxa"/>
            <w:vAlign w:val="bottom"/>
            <w:vMerge w:val="restart"/>
          </w:tcPr>
          <w:p>
            <w:pPr>
              <w:ind w:left="480"/>
              <w:spacing w:after="0"/>
              <w:rPr>
                <w:sz w:val="20"/>
                <w:szCs w:val="20"/>
                <w:color w:val="auto"/>
              </w:rPr>
            </w:pPr>
            <w:r>
              <w:rPr>
                <w:rFonts w:ascii="Arial" w:cs="Arial" w:eastAsia="Arial" w:hAnsi="Arial"/>
                <w:sz w:val="18"/>
                <w:szCs w:val="18"/>
                <w:color w:val="auto"/>
              </w:rPr>
              <w:t>Third-Party Beneficiaries</w:t>
            </w:r>
          </w:p>
        </w:tc>
        <w:tc>
          <w:tcPr>
            <w:tcW w:w="6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340" w:type="dxa"/>
            <w:vAlign w:val="bottom"/>
            <w:vMerge w:val="continue"/>
          </w:tcPr>
          <w:p>
            <w:pPr>
              <w:spacing w:after="0"/>
              <w:rPr>
                <w:sz w:val="17"/>
                <w:szCs w:val="17"/>
                <w:color w:val="auto"/>
              </w:rPr>
            </w:pPr>
          </w:p>
        </w:tc>
        <w:tc>
          <w:tcPr>
            <w:tcW w:w="3480" w:type="dxa"/>
            <w:vAlign w:val="bottom"/>
            <w:vMerge w:val="continue"/>
          </w:tcPr>
          <w:p>
            <w:pPr>
              <w:spacing w:after="0"/>
              <w:rPr>
                <w:sz w:val="17"/>
                <w:szCs w:val="17"/>
                <w:color w:val="auto"/>
              </w:rPr>
            </w:pPr>
          </w:p>
        </w:tc>
        <w:tc>
          <w:tcPr>
            <w:tcW w:w="6120" w:type="dxa"/>
            <w:vAlign w:val="bottom"/>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10.5</w:t>
            </w:r>
          </w:p>
        </w:tc>
        <w:tc>
          <w:tcPr>
            <w:tcW w:w="3480" w:type="dxa"/>
            <w:vAlign w:val="bottom"/>
          </w:tcPr>
          <w:p>
            <w:pPr>
              <w:ind w:left="480"/>
              <w:spacing w:after="0"/>
              <w:rPr>
                <w:sz w:val="20"/>
                <w:szCs w:val="20"/>
                <w:color w:val="auto"/>
              </w:rPr>
            </w:pPr>
            <w:r>
              <w:rPr>
                <w:rFonts w:ascii="Arial" w:cs="Arial" w:eastAsia="Arial" w:hAnsi="Arial"/>
                <w:sz w:val="18"/>
                <w:szCs w:val="18"/>
                <w:color w:val="auto"/>
              </w:rPr>
              <w:t>Entire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10.6</w:t>
            </w:r>
          </w:p>
        </w:tc>
        <w:tc>
          <w:tcPr>
            <w:tcW w:w="348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10.7</w:t>
            </w:r>
          </w:p>
        </w:tc>
        <w:tc>
          <w:tcPr>
            <w:tcW w:w="348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10.8</w:t>
            </w:r>
          </w:p>
        </w:tc>
        <w:tc>
          <w:tcPr>
            <w:tcW w:w="348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10.9</w:t>
            </w:r>
          </w:p>
        </w:tc>
        <w:tc>
          <w:tcPr>
            <w:tcW w:w="3480" w:type="dxa"/>
            <w:vAlign w:val="bottom"/>
          </w:tcPr>
          <w:p>
            <w:pPr>
              <w:ind w:left="480"/>
              <w:spacing w:after="0"/>
              <w:rPr>
                <w:sz w:val="20"/>
                <w:szCs w:val="20"/>
                <w:color w:val="auto"/>
              </w:rPr>
            </w:pPr>
            <w:r>
              <w:rPr>
                <w:rFonts w:ascii="Arial" w:cs="Arial" w:eastAsia="Arial" w:hAnsi="Arial"/>
                <w:sz w:val="18"/>
                <w:szCs w:val="18"/>
                <w:color w:val="auto"/>
              </w:rPr>
              <w:t>Headings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10.10</w:t>
            </w:r>
          </w:p>
        </w:tc>
        <w:tc>
          <w:tcPr>
            <w:tcW w:w="3480" w:type="dxa"/>
            <w:vAlign w:val="bottom"/>
          </w:tcPr>
          <w:p>
            <w:pPr>
              <w:ind w:left="480"/>
              <w:spacing w:after="0"/>
              <w:rPr>
                <w:sz w:val="20"/>
                <w:szCs w:val="20"/>
                <w:color w:val="auto"/>
              </w:rPr>
            </w:pPr>
            <w:r>
              <w:rPr>
                <w:rFonts w:ascii="Arial" w:cs="Arial" w:eastAsia="Arial" w:hAnsi="Arial"/>
                <w:sz w:val="18"/>
                <w:szCs w:val="18"/>
                <w:color w:val="auto"/>
              </w:rPr>
              <w:t>Interpretation; Disclosure Letter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10.11</w:t>
            </w:r>
          </w:p>
        </w:tc>
        <w:tc>
          <w:tcPr>
            <w:tcW w:w="3480" w:type="dxa"/>
            <w:vAlign w:val="bottom"/>
          </w:tcPr>
          <w:p>
            <w:pPr>
              <w:ind w:left="480"/>
              <w:spacing w:after="0"/>
              <w:rPr>
                <w:sz w:val="20"/>
                <w:szCs w:val="20"/>
                <w:color w:val="auto"/>
              </w:rPr>
            </w:pPr>
            <w:r>
              <w:rPr>
                <w:rFonts w:ascii="Arial" w:cs="Arial" w:eastAsia="Arial" w:hAnsi="Arial"/>
                <w:sz w:val="18"/>
                <w:szCs w:val="18"/>
                <w:color w:val="auto"/>
              </w:rPr>
              <w:t>Definitions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10.12</w:t>
            </w:r>
          </w:p>
        </w:tc>
        <w:tc>
          <w:tcPr>
            <w:tcW w:w="3480" w:type="dxa"/>
            <w:vAlign w:val="bottom"/>
          </w:tcPr>
          <w:p>
            <w:pPr>
              <w:ind w:left="480"/>
              <w:spacing w:after="0"/>
              <w:rPr>
                <w:sz w:val="20"/>
                <w:szCs w:val="20"/>
                <w:color w:val="auto"/>
              </w:rPr>
            </w:pPr>
            <w:r>
              <w:rPr>
                <w:rFonts w:ascii="Arial" w:cs="Arial" w:eastAsia="Arial" w:hAnsi="Arial"/>
                <w:sz w:val="18"/>
                <w:szCs w:val="18"/>
                <w:color w:val="auto"/>
              </w:rPr>
              <w:t>Extensions; Waiver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10.13</w:t>
            </w:r>
          </w:p>
        </w:tc>
        <w:tc>
          <w:tcPr>
            <w:tcW w:w="348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10.14</w:t>
            </w:r>
          </w:p>
        </w:tc>
        <w:tc>
          <w:tcPr>
            <w:tcW w:w="3480" w:type="dxa"/>
            <w:vAlign w:val="bottom"/>
          </w:tcPr>
          <w:p>
            <w:pPr>
              <w:ind w:left="480"/>
              <w:spacing w:after="0"/>
              <w:rPr>
                <w:sz w:val="20"/>
                <w:szCs w:val="20"/>
                <w:color w:val="auto"/>
              </w:rPr>
            </w:pPr>
            <w:r>
              <w:rPr>
                <w:rFonts w:ascii="Arial" w:cs="Arial" w:eastAsia="Arial" w:hAnsi="Arial"/>
                <w:sz w:val="18"/>
                <w:szCs w:val="18"/>
                <w:color w:val="auto"/>
              </w:rPr>
              <w:t>Enforcement of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222"/>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10.15</w:t>
            </w:r>
          </w:p>
        </w:tc>
        <w:tc>
          <w:tcPr>
            <w:tcW w:w="348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612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4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348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20" w:type="dxa"/>
            <w:vAlign w:val="bottom"/>
            <w:gridSpan w:val="3"/>
          </w:tcPr>
          <w:p>
            <w:pPr>
              <w:ind w:left="720"/>
              <w:spacing w:after="0"/>
              <w:rPr>
                <w:sz w:val="20"/>
                <w:szCs w:val="20"/>
                <w:color w:val="auto"/>
              </w:rPr>
            </w:pPr>
            <w:r>
              <w:rPr>
                <w:rFonts w:ascii="Arial" w:cs="Arial" w:eastAsia="Arial" w:hAnsi="Arial"/>
                <w:sz w:val="18"/>
                <w:szCs w:val="18"/>
                <w:color w:val="auto"/>
              </w:rPr>
              <w:t>A-iii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0" w:type="dxa"/>
            <w:vAlign w:val="bottom"/>
            <w:gridSpan w:val="2"/>
          </w:tcPr>
          <w:p>
            <w:pPr>
              <w:jc w:val="center"/>
              <w:ind w:right="3142"/>
              <w:spacing w:after="0"/>
              <w:rPr>
                <w:sz w:val="20"/>
                <w:szCs w:val="20"/>
                <w:color w:val="auto"/>
              </w:rPr>
            </w:pPr>
            <w:r>
              <w:rPr>
                <w:rFonts w:ascii="Arial" w:cs="Arial" w:eastAsia="Arial" w:hAnsi="Arial"/>
                <w:sz w:val="18"/>
                <w:szCs w:val="18"/>
                <w:b w:val="1"/>
                <w:bCs w:val="1"/>
                <w:color w:val="auto"/>
                <w:w w:val="96"/>
              </w:rPr>
              <w:t>GLOSSARY OF DEFINED TERMS</w:t>
            </w:r>
          </w:p>
        </w:tc>
      </w:tr>
      <w:tr>
        <w:trPr>
          <w:trHeight w:val="353"/>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23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8.1(c) Jurisdiction</w:t>
            </w:r>
          </w:p>
        </w:tc>
        <w:tc>
          <w:tcPr>
            <w:tcW w:w="624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Section 8.1(d)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7.3(f)</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COBRA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5.11(b)(xii)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Code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5.21(a)(iii)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Debt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Detriment Limit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7.6(d)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DGCL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ERISA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10.11(g)</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GAAP</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5.6(b)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10.11(c)</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9.2(b)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IRS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Article 5 Preface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Liens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5.21(a)(xi)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365"/>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0" w:type="dxa"/>
            <w:vAlign w:val="bottom"/>
            <w:gridSpan w:val="2"/>
          </w:tcPr>
          <w:p>
            <w:pPr>
              <w:jc w:val="center"/>
              <w:ind w:right="3122"/>
              <w:spacing w:after="0"/>
              <w:rPr>
                <w:sz w:val="20"/>
                <w:szCs w:val="20"/>
                <w:color w:val="auto"/>
              </w:rPr>
            </w:pPr>
            <w:r>
              <w:rPr>
                <w:rFonts w:ascii="Arial" w:cs="Arial" w:eastAsia="Arial" w:hAnsi="Arial"/>
                <w:sz w:val="18"/>
                <w:szCs w:val="18"/>
                <w:color w:val="auto"/>
              </w:rPr>
              <w:t>A-iv</w:t>
            </w: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Defined Terms</w:t>
            </w:r>
          </w:p>
        </w:tc>
        <w:tc>
          <w:tcPr>
            <w:tcW w:w="5220" w:type="dxa"/>
            <w:vAlign w:val="bottom"/>
          </w:tcPr>
          <w:p>
            <w:pPr>
              <w:spacing w:after="0"/>
              <w:rPr>
                <w:sz w:val="14"/>
                <w:szCs w:val="14"/>
                <w:color w:val="auto"/>
              </w:rPr>
            </w:pPr>
          </w:p>
        </w:tc>
        <w:tc>
          <w:tcPr>
            <w:tcW w:w="1860" w:type="dxa"/>
            <w:vAlign w:val="bottom"/>
          </w:tcPr>
          <w:p>
            <w:pPr>
              <w:ind w:left="50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Plans</w:t>
            </w:r>
          </w:p>
        </w:tc>
        <w:tc>
          <w:tcPr>
            <w:tcW w:w="34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NYSE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OFAC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7.1(b)(xii)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7.6(f)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Returns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5.10(a)(i)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Reverse Termination Fee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Rights Agreement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5.7(a)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6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Benefit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Board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5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ERISA affiliate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5.11(b)(x)</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Excluded Shares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Foreign Benefit Plan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Permits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5.4(b)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Recommendation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Rights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 Approval</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5.20</w:t>
            </w: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Stockholders Meeting</w:t>
            </w:r>
          </w:p>
        </w:tc>
        <w:tc>
          <w:tcPr>
            <w:tcW w:w="52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365"/>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80" w:type="dxa"/>
            <w:vAlign w:val="bottom"/>
            <w:gridSpan w:val="2"/>
          </w:tcPr>
          <w:p>
            <w:pPr>
              <w:ind w:left="1240"/>
              <w:spacing w:after="0"/>
              <w:rPr>
                <w:sz w:val="20"/>
                <w:szCs w:val="20"/>
                <w:color w:val="auto"/>
              </w:rPr>
            </w:pPr>
            <w:r>
              <w:rPr>
                <w:rFonts w:ascii="Arial" w:cs="Arial" w:eastAsia="Arial" w:hAnsi="Arial"/>
                <w:sz w:val="18"/>
                <w:szCs w:val="18"/>
                <w:color w:val="auto"/>
              </w:rPr>
              <w:t>A-v</w:t>
            </w: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30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Smith Subsidiary Securities</w:t>
            </w:r>
          </w:p>
        </w:tc>
        <w:tc>
          <w:tcPr>
            <w:tcW w:w="586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Section 5.3(b)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Surviving Shares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U.S. Benefit Plan</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10.11(g)</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7.3(f)</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4.1(d)</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10.11(h)</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9.2(a)</w:t>
            </w: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8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9.5(a)</w:t>
            </w:r>
          </w:p>
        </w:tc>
      </w:tr>
      <w:tr>
        <w:trPr>
          <w:trHeight w:val="36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80" w:type="dxa"/>
            <w:vAlign w:val="bottom"/>
            <w:gridSpan w:val="2"/>
          </w:tcPr>
          <w:p>
            <w:pPr>
              <w:ind w:left="1620"/>
              <w:spacing w:after="0"/>
              <w:rPr>
                <w:sz w:val="20"/>
                <w:szCs w:val="20"/>
                <w:color w:val="auto"/>
              </w:rPr>
            </w:pPr>
            <w:r>
              <w:rPr>
                <w:rFonts w:ascii="Arial" w:cs="Arial" w:eastAsia="Arial" w:hAnsi="Arial"/>
                <w:sz w:val="18"/>
                <w:szCs w:val="18"/>
                <w:color w:val="auto"/>
              </w:rPr>
              <w:t>A-vi</w:t>
            </w: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ind w:left="460" w:right="140" w:firstLine="876"/>
        <w:spacing w:after="0" w:line="310"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21, 2010, is by and among Schlumberger Limited (Schlumberger N.V.),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WHEREAS, the respective Boards of Directors of Smith, Schlumberger and Merger Sub have deemed it advisable and in the best interests of their respective companies and equity holders that Smith and Schlumberger engage in a business combination whereby Schlumberger will acquire all of the outstanding capital stock of Smith in exchange for shares of Schlumberger common stock, par value $0.01 per share (the “</w:t>
      </w:r>
      <w:r>
        <w:rPr>
          <w:rFonts w:ascii="Arial" w:cs="Arial" w:eastAsia="Arial" w:hAnsi="Arial"/>
          <w:sz w:val="18"/>
          <w:szCs w:val="18"/>
          <w:b w:val="1"/>
          <w:bCs w:val="1"/>
          <w:color w:val="auto"/>
        </w:rPr>
        <w:t>Schlumberger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43"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WHEREAS, in furtherance thereof, the respective Boards of Directors of Smith, Schlumberger and Merger Sub have approved and declared advisable (1) this Agreement and (2) the merger of Merger Sub with and into Smith (the “</w:t>
      </w:r>
      <w:r>
        <w:rPr>
          <w:rFonts w:ascii="Arial" w:cs="Arial" w:eastAsia="Arial" w:hAnsi="Arial"/>
          <w:sz w:val="16"/>
          <w:szCs w:val="16"/>
          <w:b w:val="1"/>
          <w:bCs w:val="1"/>
          <w:color w:val="auto"/>
        </w:rPr>
        <w:t>Merger</w:t>
      </w:r>
      <w:r>
        <w:rPr>
          <w:rFonts w:ascii="Arial" w:cs="Arial" w:eastAsia="Arial" w:hAnsi="Arial"/>
          <w:sz w:val="16"/>
          <w:szCs w:val="16"/>
          <w:color w:val="auto"/>
        </w:rPr>
        <w:t>”) in accordance with the applicable provisions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and upon the terms and conditions set forth in this Agreement; and</w:t>
      </w:r>
    </w:p>
    <w:p>
      <w:pPr>
        <w:spacing w:after="0" w:line="107" w:lineRule="exact"/>
        <w:rPr>
          <w:sz w:val="20"/>
          <w:szCs w:val="20"/>
          <w:color w:val="auto"/>
        </w:rPr>
      </w:pPr>
    </w:p>
    <w:p>
      <w:pPr>
        <w:ind w:left="460" w:right="480" w:firstLine="876"/>
        <w:spacing w:after="0" w:line="259" w:lineRule="auto"/>
        <w:rPr>
          <w:sz w:val="20"/>
          <w:szCs w:val="20"/>
          <w:color w:val="auto"/>
        </w:rPr>
      </w:pPr>
      <w:r>
        <w:rPr>
          <w:rFonts w:ascii="Arial" w:cs="Arial" w:eastAsia="Arial" w:hAnsi="Arial"/>
          <w:sz w:val="18"/>
          <w:szCs w:val="18"/>
          <w:color w:val="auto"/>
        </w:rPr>
        <w:t>WHEREAS, Schlumberger and Smith intend that, for United States federal income tax purposes, the Merger shall qualify (i)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for an exception to the general rule of Section 367(a)(1) of the Code;</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NOW, THEREFORE, in consideration of the foregoing and their respective representations, warranties, covenants and agreements set forth in this Agreement, the parties agree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Upon the terms and subject to conditions of this Agreement, at the Effective Time, Merger Sub shall be merged with and into Smith in accordance with this Agreement, and the separate corporate existence of Merger Sub shall thereupon cease. Smith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w:t>
      </w:r>
    </w:p>
    <w:p>
      <w:pPr>
        <w:spacing w:after="0" w:line="101" w:lineRule="exact"/>
        <w:rPr>
          <w:sz w:val="20"/>
          <w:szCs w:val="20"/>
          <w:color w:val="auto"/>
        </w:rPr>
      </w:pPr>
    </w:p>
    <w:p>
      <w:pPr>
        <w:ind w:left="460" w:firstLine="876"/>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xml:space="preserve">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8 (other than those conditions that by their nature are to be fulfilled at the Closing, but subject to fulfillment or waiver of such conditions) shall be fulfilled or waived in accordance with this Agreement or (b) at such other time, date or place as Schlumberger and Smith may agree. The date on which the Closing occurs is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11" w:lineRule="exact"/>
        <w:rPr>
          <w:sz w:val="20"/>
          <w:szCs w:val="20"/>
          <w:color w:val="auto"/>
        </w:rPr>
      </w:pPr>
    </w:p>
    <w:p>
      <w:pPr>
        <w:ind w:left="460" w:right="140" w:firstLine="876"/>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On the Closing Date, Schlumberger, Merger Sub and Smith shall cause a certificate of merger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meeting the requirements of Section 251 of the DGCL to be properly executed and filed in accordance with such sections. The Merger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effective at such time as the Certificate of Merger is duly filed with the Secretary of State of the State of Delaware in accordance with the DGCL, or at such later time that Schlumberger and Smith shall have agreed upon and designated in such filing as the effective time of the Merger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177" w:lineRule="exact"/>
        <w:rPr>
          <w:sz w:val="20"/>
          <w:szCs w:val="20"/>
          <w:color w:val="auto"/>
        </w:rPr>
      </w:pPr>
    </w:p>
    <w:p>
      <w:pPr>
        <w:ind w:left="460" w:right="300" w:firstLine="87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As of the Effective Time, the certificate of incorporation of Smith shall be amended as set forth in Exhibit A and, as so amended, shall be the certificate of incorporation of the Surviving Entity, until thereafter duly amended as provided therein or by Applicable Law.</w:t>
      </w:r>
    </w:p>
    <w:p>
      <w:pPr>
        <w:spacing w:after="0" w:line="140"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xml:space="preserve"> As of the Effective Time, the bylaws of Smith, as in effect immediately prior to the Effective Time, shall be the bylaws of the Surviving Entity, until thereafter duly amended as provided therein or by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177" w:lineRule="exact"/>
        <w:rPr>
          <w:sz w:val="20"/>
          <w:szCs w:val="20"/>
          <w:color w:val="auto"/>
        </w:rPr>
      </w:pPr>
    </w:p>
    <w:p>
      <w:pPr>
        <w:ind w:left="460" w:right="120" w:firstLine="87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40" w:lineRule="exact"/>
        <w:rPr>
          <w:sz w:val="20"/>
          <w:szCs w:val="20"/>
          <w:color w:val="auto"/>
        </w:rPr>
      </w:pPr>
    </w:p>
    <w:p>
      <w:pPr>
        <w:ind w:left="460" w:firstLine="87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xml:space="preserve">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CONVERSION OF SMITH COMMON STOCK</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Smith and Merger Sub.</w:t>
      </w:r>
    </w:p>
    <w:p>
      <w:pPr>
        <w:spacing w:after="0" w:line="171" w:lineRule="exact"/>
        <w:rPr>
          <w:sz w:val="20"/>
          <w:szCs w:val="20"/>
          <w:color w:val="auto"/>
        </w:rPr>
      </w:pPr>
    </w:p>
    <w:p>
      <w:pPr>
        <w:ind w:left="460" w:right="140" w:firstLine="881"/>
        <w:spacing w:after="0" w:line="291" w:lineRule="auto"/>
        <w:tabs>
          <w:tab w:leader="none" w:pos="157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$1.00 per share, of Smith (“</w:t>
      </w:r>
      <w:r>
        <w:rPr>
          <w:rFonts w:ascii="Arial" w:cs="Arial" w:eastAsia="Arial" w:hAnsi="Arial"/>
          <w:sz w:val="16"/>
          <w:szCs w:val="16"/>
          <w:b w:val="1"/>
          <w:bCs w:val="1"/>
          <w:color w:val="auto"/>
        </w:rPr>
        <w:t>Smith Common Stock</w:t>
      </w:r>
      <w:r>
        <w:rPr>
          <w:rFonts w:ascii="Arial" w:cs="Arial" w:eastAsia="Arial" w:hAnsi="Arial"/>
          <w:sz w:val="16"/>
          <w:szCs w:val="16"/>
          <w:color w:val="auto"/>
        </w:rPr>
        <w:t>”) issued and outstanding immediately prior to the Effective Time (excluding any Smith Excluded Shares and Smith Surviving Shares) shall, by virtue of the Merger and without any action on the part of the holder thereof, be converted into and shall thereafter represent the right to receive 0.6966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subject to adjustment in accordance with Section 4.3 (together with any cash in lieu of fractional shares of Schlumberger Common Stock to be paid pursuant to Section 4.2(e), the “</w:t>
      </w:r>
      <w:r>
        <w:rPr>
          <w:rFonts w:ascii="Arial" w:cs="Arial" w:eastAsia="Arial" w:hAnsi="Arial"/>
          <w:sz w:val="16"/>
          <w:szCs w:val="16"/>
          <w:b w:val="1"/>
          <w:bCs w:val="1"/>
          <w:color w:val="auto"/>
        </w:rPr>
        <w:t>Merger Consideration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left="460" w:right="160" w:firstLine="881"/>
        <w:spacing w:after="0" w:line="291" w:lineRule="auto"/>
        <w:tabs>
          <w:tab w:leader="none" w:pos="158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Smith Excluded Shares and Smith Surviving Shares)</w:t>
      </w:r>
      <w:r>
        <w:rPr>
          <w:rFonts w:ascii="Arial" w:cs="Arial" w:eastAsia="Arial" w:hAnsi="Arial"/>
          <w:sz w:val="16"/>
          <w:szCs w:val="16"/>
          <w:color w:val="auto"/>
        </w:rPr>
        <w:t>. As a result of the Merger and without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part of the holders thereof, at the Effective Time, all shares of Smith Common Stock (other than Smith Excluded Shares and any Smith Surviving Shares) shall cease to be outstanding and shall be canceled and retired and shall cease to exist, and each certificate that immediately prior to the Effective Time represented any shares of Smith Common Stock (other than Smith Excluded Shares and any Smith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Smith Common Stock formerly represented thereby,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spacing w:after="0" w:line="301" w:lineRule="auto"/>
        <w:rPr>
          <w:sz w:val="20"/>
          <w:szCs w:val="20"/>
          <w:color w:val="auto"/>
        </w:rPr>
      </w:pPr>
      <w:r>
        <w:rPr>
          <w:rFonts w:ascii="Arial" w:cs="Arial" w:eastAsia="Arial" w:hAnsi="Arial"/>
          <w:sz w:val="16"/>
          <w:szCs w:val="16"/>
          <w:color w:val="auto"/>
        </w:rPr>
        <w:t>any dividends or other distributions to which the holders thereof are entitled pursuant to Section 4.2(c). For purposes of this Agreement, “</w:t>
      </w:r>
      <w:r>
        <w:rPr>
          <w:rFonts w:ascii="Arial" w:cs="Arial" w:eastAsia="Arial" w:hAnsi="Arial"/>
          <w:sz w:val="16"/>
          <w:szCs w:val="16"/>
          <w:b w:val="1"/>
          <w:bCs w:val="1"/>
          <w:color w:val="auto"/>
        </w:rPr>
        <w:t>Smith 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mean any shares of Smith Common Stock held by Schlumberger, Smith or any direct or indirect wholly owned subsidiary of Schlumberger,</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case except for any such shares held on behalf of third parties. “</w:t>
      </w:r>
      <w:r>
        <w:rPr>
          <w:rFonts w:ascii="Arial" w:cs="Arial" w:eastAsia="Arial" w:hAnsi="Arial"/>
          <w:sz w:val="16"/>
          <w:szCs w:val="16"/>
          <w:b w:val="1"/>
          <w:bCs w:val="1"/>
          <w:color w:val="auto"/>
        </w:rPr>
        <w:t>Smith Surviving Shares</w:t>
      </w:r>
      <w:r>
        <w:rPr>
          <w:rFonts w:ascii="Arial" w:cs="Arial" w:eastAsia="Arial" w:hAnsi="Arial"/>
          <w:sz w:val="16"/>
          <w:szCs w:val="16"/>
          <w:color w:val="auto"/>
        </w:rPr>
        <w:t>” shall mean any shares of Smith Common Stock held by any direct or indirect wholly owned subsidiary of Smith except for any such shares held on behalf of third parties.</w:t>
      </w:r>
    </w:p>
    <w:p>
      <w:pPr>
        <w:spacing w:after="0" w:line="109" w:lineRule="exact"/>
        <w:rPr>
          <w:sz w:val="20"/>
          <w:szCs w:val="20"/>
          <w:color w:val="auto"/>
        </w:rPr>
      </w:pPr>
    </w:p>
    <w:p>
      <w:pPr>
        <w:ind w:left="460" w:right="220" w:firstLine="881"/>
        <w:spacing w:after="0" w:line="259" w:lineRule="auto"/>
        <w:tabs>
          <w:tab w:leader="none" w:pos="1575"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Cancellation of Smith Excluded Shares</w:t>
      </w:r>
      <w:r>
        <w:rPr>
          <w:rFonts w:ascii="Arial" w:cs="Arial" w:eastAsia="Arial" w:hAnsi="Arial"/>
          <w:sz w:val="18"/>
          <w:szCs w:val="18"/>
          <w:color w:val="auto"/>
        </w:rPr>
        <w:t>. Each Smith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w:t>
      </w:r>
    </w:p>
    <w:p>
      <w:pPr>
        <w:spacing w:after="0" w:line="140" w:lineRule="exact"/>
        <w:rPr>
          <w:rFonts w:ascii="Arial" w:cs="Arial" w:eastAsia="Arial" w:hAnsi="Arial"/>
          <w:sz w:val="18"/>
          <w:szCs w:val="18"/>
          <w:color w:val="auto"/>
        </w:rPr>
      </w:pPr>
    </w:p>
    <w:p>
      <w:pPr>
        <w:ind w:left="460" w:firstLine="881"/>
        <w:spacing w:after="0" w:line="306" w:lineRule="auto"/>
        <w:tabs>
          <w:tab w:leader="none" w:pos="158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Survival of Smith Surviving Shares</w:t>
      </w:r>
      <w:r>
        <w:rPr>
          <w:rFonts w:ascii="Arial" w:cs="Arial" w:eastAsia="Arial" w:hAnsi="Arial"/>
          <w:sz w:val="16"/>
          <w:szCs w:val="16"/>
          <w:color w:val="auto"/>
        </w:rPr>
        <w:t>. Each Smith Surviving Share at the Effective Time shall remain outstanding and shall continue to exist</w:t>
      </w:r>
      <w:r>
        <w:rPr>
          <w:rFonts w:ascii="Arial" w:cs="Arial" w:eastAsia="Arial" w:hAnsi="Arial"/>
          <w:sz w:val="16"/>
          <w:szCs w:val="16"/>
          <w:i w:val="1"/>
          <w:iCs w:val="1"/>
          <w:color w:val="auto"/>
        </w:rPr>
        <w:t xml:space="preserve"> </w:t>
      </w:r>
      <w:r>
        <w:rPr>
          <w:rFonts w:ascii="Arial" w:cs="Arial" w:eastAsia="Arial" w:hAnsi="Arial"/>
          <w:sz w:val="16"/>
          <w:szCs w:val="16"/>
          <w:color w:val="auto"/>
        </w:rPr>
        <w:t>as a share of common stock, par value $1.00 per share, of the Surviving Entity (“</w:t>
      </w:r>
      <w:r>
        <w:rPr>
          <w:rFonts w:ascii="Arial" w:cs="Arial" w:eastAsia="Arial" w:hAnsi="Arial"/>
          <w:sz w:val="16"/>
          <w:szCs w:val="16"/>
          <w:b w:val="1"/>
          <w:bCs w:val="1"/>
          <w:color w:val="auto"/>
        </w:rPr>
        <w:t>Surviving Entity Common Stock</w:t>
      </w:r>
      <w:r>
        <w:rPr>
          <w:rFonts w:ascii="Arial" w:cs="Arial" w:eastAsia="Arial" w:hAnsi="Arial"/>
          <w:sz w:val="16"/>
          <w:szCs w:val="16"/>
          <w:color w:val="auto"/>
        </w:rPr>
        <w:t>”) and shall not be canceled by virtue of the Merger and no Schlumberger Common Stock or other consideration shall be delivered in exchange therefor.</w:t>
      </w:r>
    </w:p>
    <w:p>
      <w:pPr>
        <w:spacing w:after="0" w:line="106" w:lineRule="exact"/>
        <w:rPr>
          <w:rFonts w:ascii="Arial" w:cs="Arial" w:eastAsia="Arial" w:hAnsi="Arial"/>
          <w:sz w:val="16"/>
          <w:szCs w:val="16"/>
          <w:color w:val="auto"/>
        </w:rPr>
      </w:pPr>
    </w:p>
    <w:p>
      <w:pPr>
        <w:ind w:left="460" w:right="40" w:firstLine="881"/>
        <w:spacing w:after="0" w:line="335" w:lineRule="auto"/>
        <w:tabs>
          <w:tab w:leader="none" w:pos="1575" w:val="left"/>
        </w:tabs>
        <w:numPr>
          <w:ilvl w:val="0"/>
          <w:numId w:val="169"/>
        </w:numPr>
        <w:rPr>
          <w:rFonts w:ascii="Arial" w:cs="Arial" w:eastAsia="Arial" w:hAnsi="Arial"/>
          <w:sz w:val="15"/>
          <w:szCs w:val="15"/>
          <w:color w:val="auto"/>
        </w:rPr>
      </w:pPr>
      <w:r>
        <w:rPr>
          <w:rFonts w:ascii="Arial" w:cs="Arial" w:eastAsia="Arial" w:hAnsi="Arial"/>
          <w:sz w:val="15"/>
          <w:szCs w:val="15"/>
          <w:i w:val="1"/>
          <w:iCs w:val="1"/>
          <w:color w:val="auto"/>
        </w:rPr>
        <w:t>Merger Sub</w:t>
      </w:r>
      <w:r>
        <w:rPr>
          <w:rFonts w:ascii="Arial" w:cs="Arial" w:eastAsia="Arial" w:hAnsi="Arial"/>
          <w:sz w:val="15"/>
          <w:szCs w:val="15"/>
          <w:color w:val="auto"/>
        </w:rPr>
        <w:t>. At the Effective Time, the common stock of Merger Sub issued and outstanding immediately prior to the Effective Time shall,</w:t>
      </w:r>
      <w:r>
        <w:rPr>
          <w:rFonts w:ascii="Arial" w:cs="Arial" w:eastAsia="Arial" w:hAnsi="Arial"/>
          <w:sz w:val="15"/>
          <w:szCs w:val="15"/>
          <w:i w:val="1"/>
          <w:iCs w:val="1"/>
          <w:color w:val="auto"/>
        </w:rPr>
        <w:t xml:space="preserve"> </w:t>
      </w:r>
      <w:r>
        <w:rPr>
          <w:rFonts w:ascii="Arial" w:cs="Arial" w:eastAsia="Arial" w:hAnsi="Arial"/>
          <w:sz w:val="15"/>
          <w:szCs w:val="15"/>
          <w:color w:val="auto"/>
        </w:rPr>
        <w:t>by virtue of the Merger and without any action on the part of the holder thereof, be converted into and become a number of validly issued, fully paid and nonassessable shares of Surviving Entity Common Stock equal to the number of shares of Smith Common Stock converted into the Merger Consideration.</w:t>
      </w:r>
    </w:p>
    <w:p>
      <w:pPr>
        <w:spacing w:after="0" w:line="88" w:lineRule="exact"/>
        <w:rPr>
          <w:rFonts w:ascii="Arial" w:cs="Arial" w:eastAsia="Arial" w:hAnsi="Arial"/>
          <w:sz w:val="15"/>
          <w:szCs w:val="15"/>
          <w:color w:val="auto"/>
        </w:rPr>
      </w:pPr>
    </w:p>
    <w:p>
      <w:pPr>
        <w:ind w:left="460" w:right="40" w:firstLine="881"/>
        <w:spacing w:after="0" w:line="306" w:lineRule="auto"/>
        <w:tabs>
          <w:tab w:leader="none" w:pos="1556" w:val="left"/>
        </w:tabs>
        <w:numPr>
          <w:ilvl w:val="0"/>
          <w:numId w:val="169"/>
        </w:numPr>
        <w:rPr>
          <w:rFonts w:ascii="Arial" w:cs="Arial" w:eastAsia="Arial" w:hAnsi="Arial"/>
          <w:sz w:val="15"/>
          <w:szCs w:val="15"/>
          <w:color w:val="auto"/>
        </w:rPr>
      </w:pPr>
      <w:r>
        <w:rPr>
          <w:rFonts w:ascii="Arial" w:cs="Arial" w:eastAsia="Arial" w:hAnsi="Arial"/>
          <w:sz w:val="15"/>
          <w:szCs w:val="15"/>
          <w:i w:val="1"/>
          <w:iCs w:val="1"/>
          <w:color w:val="auto"/>
        </w:rPr>
        <w:t>Smith Stock Options</w:t>
      </w:r>
      <w:r>
        <w:rPr>
          <w:rFonts w:ascii="Arial" w:cs="Arial" w:eastAsia="Arial" w:hAnsi="Arial"/>
          <w:sz w:val="15"/>
          <w:szCs w:val="15"/>
          <w:color w:val="auto"/>
        </w:rPr>
        <w:t>. At the Effective Time, all options to acquire shares of Smith Common Stock outstanding at the Effective Time under</w:t>
      </w:r>
      <w:r>
        <w:rPr>
          <w:rFonts w:ascii="Arial" w:cs="Arial" w:eastAsia="Arial" w:hAnsi="Arial"/>
          <w:sz w:val="15"/>
          <w:szCs w:val="15"/>
          <w:i w:val="1"/>
          <w:iCs w:val="1"/>
          <w:color w:val="auto"/>
        </w:rPr>
        <w:t xml:space="preserve"> </w:t>
      </w:r>
      <w:r>
        <w:rPr>
          <w:rFonts w:ascii="Arial" w:cs="Arial" w:eastAsia="Arial" w:hAnsi="Arial"/>
          <w:sz w:val="15"/>
          <w:szCs w:val="15"/>
          <w:color w:val="auto"/>
        </w:rPr>
        <w:t>Smith’s stock plans (collectively, the “</w:t>
      </w:r>
      <w:r>
        <w:rPr>
          <w:rFonts w:ascii="Arial" w:cs="Arial" w:eastAsia="Arial" w:hAnsi="Arial"/>
          <w:sz w:val="15"/>
          <w:szCs w:val="15"/>
          <w:b w:val="1"/>
          <w:bCs w:val="1"/>
          <w:color w:val="auto"/>
        </w:rPr>
        <w:t>Smith Stock Plans</w:t>
      </w:r>
      <w:r>
        <w:rPr>
          <w:rFonts w:ascii="Arial" w:cs="Arial" w:eastAsia="Arial" w:hAnsi="Arial"/>
          <w:sz w:val="15"/>
          <w:szCs w:val="15"/>
          <w:color w:val="auto"/>
        </w:rPr>
        <w:t>”, which are identified in Section 4.1(f) of the Smith Disclosure Letter), including all options to acquire shares of Smith Common Stock issued after the date hereof in accordance with Section 7.1(b)(iv) (each, a “</w:t>
      </w:r>
      <w:r>
        <w:rPr>
          <w:rFonts w:ascii="Arial" w:cs="Arial" w:eastAsia="Arial" w:hAnsi="Arial"/>
          <w:sz w:val="15"/>
          <w:szCs w:val="15"/>
          <w:b w:val="1"/>
          <w:bCs w:val="1"/>
          <w:color w:val="auto"/>
        </w:rPr>
        <w:t>Smith Post-Signing Option</w:t>
      </w:r>
      <w:r>
        <w:rPr>
          <w:rFonts w:ascii="Arial" w:cs="Arial" w:eastAsia="Arial" w:hAnsi="Arial"/>
          <w:sz w:val="15"/>
          <w:szCs w:val="15"/>
          <w:color w:val="auto"/>
        </w:rPr>
        <w:t>”, and together with any other option to acquire shares of Smith Common Stock, each a “</w:t>
      </w:r>
      <w:r>
        <w:rPr>
          <w:rFonts w:ascii="Arial" w:cs="Arial" w:eastAsia="Arial" w:hAnsi="Arial"/>
          <w:sz w:val="15"/>
          <w:szCs w:val="15"/>
          <w:b w:val="1"/>
          <w:bCs w:val="1"/>
          <w:color w:val="auto"/>
        </w:rPr>
        <w:t>Smith Option</w:t>
      </w:r>
      <w:r>
        <w:rPr>
          <w:rFonts w:ascii="Arial" w:cs="Arial" w:eastAsia="Arial" w:hAnsi="Arial"/>
          <w:sz w:val="15"/>
          <w:szCs w:val="15"/>
          <w:color w:val="auto"/>
        </w:rPr>
        <w:t>”), shall be converted automatically into an option (a “</w:t>
      </w:r>
      <w:r>
        <w:rPr>
          <w:rFonts w:ascii="Arial" w:cs="Arial" w:eastAsia="Arial" w:hAnsi="Arial"/>
          <w:sz w:val="15"/>
          <w:szCs w:val="15"/>
          <w:b w:val="1"/>
          <w:bCs w:val="1"/>
          <w:color w:val="auto"/>
        </w:rPr>
        <w:t>Schlumberger Option</w:t>
      </w:r>
      <w:r>
        <w:rPr>
          <w:rFonts w:ascii="Arial" w:cs="Arial" w:eastAsia="Arial" w:hAnsi="Arial"/>
          <w:sz w:val="15"/>
          <w:szCs w:val="15"/>
          <w:color w:val="auto"/>
        </w:rPr>
        <w:t xml:space="preserve">”) to acquire shares of Schlumberger Common Stock in amounts and at an exercise price determined as provided in this Section 4.1(f) (and otherwise subject to the terms of the Smith Stock Plans, as applicable, under which they were issued and the agreements evidencing grants thereunder): (i) the number of shares of Schlumberger Common Stock to be subject to a Schlumberger Option shall be equal to the product of the number of shares of Smith Common Stock subject to the Smith Option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down to the nearest whole share and (ii) the exercise price per share of Schlumberger Common Stock under a Schlumberger Option shall be equal to the exercise price per share of Smith Common Stock under the original Smith Option immediately prior to the Effective Time divided by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exercise price shall be rounded up to the nearest whole cent. The duration and other terms of a Schlumberger Option shall be the same as the original Smith Option from which it was converted except that all references to “Smith” in such original Smith Option shall be deemed to be references to Schlumberger; </w:t>
      </w:r>
      <w:r>
        <w:rPr>
          <w:rFonts w:ascii="Arial" w:cs="Arial" w:eastAsia="Arial" w:hAnsi="Arial"/>
          <w:sz w:val="15"/>
          <w:szCs w:val="15"/>
          <w:i w:val="1"/>
          <w:iCs w:val="1"/>
          <w:color w:val="auto"/>
        </w:rPr>
        <w:t>provided, however</w:t>
      </w:r>
      <w:r>
        <w:rPr>
          <w:rFonts w:ascii="Arial" w:cs="Arial" w:eastAsia="Arial" w:hAnsi="Arial"/>
          <w:sz w:val="15"/>
          <w:szCs w:val="15"/>
          <w:color w:val="auto"/>
        </w:rPr>
        <w:t>, that all such Schlumberger Options, other than those issued in respect of Smith Post-Signing Options, will be fully vested and exercisable as of the Effective Time.</w:t>
      </w:r>
    </w:p>
    <w:p>
      <w:pPr>
        <w:spacing w:after="0" w:line="108" w:lineRule="exact"/>
        <w:rPr>
          <w:rFonts w:ascii="Arial" w:cs="Arial" w:eastAsia="Arial" w:hAnsi="Arial"/>
          <w:sz w:val="15"/>
          <w:szCs w:val="15"/>
          <w:color w:val="auto"/>
        </w:rPr>
      </w:pPr>
    </w:p>
    <w:p>
      <w:pPr>
        <w:ind w:left="460" w:right="20" w:firstLine="881"/>
        <w:spacing w:after="0" w:line="294" w:lineRule="auto"/>
        <w:tabs>
          <w:tab w:leader="none" w:pos="158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Smith Stock Incentive Awards</w:t>
      </w:r>
      <w:r>
        <w:rPr>
          <w:rFonts w:ascii="Arial" w:cs="Arial" w:eastAsia="Arial" w:hAnsi="Arial"/>
          <w:sz w:val="16"/>
          <w:szCs w:val="16"/>
          <w:color w:val="auto"/>
        </w:rPr>
        <w:t>. At the Effective Time, each restricted stock unit and performance-based restricted stock unit award</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Smith Stock Incentive Awards</w:t>
      </w:r>
      <w:r>
        <w:rPr>
          <w:rFonts w:ascii="Arial" w:cs="Arial" w:eastAsia="Arial" w:hAnsi="Arial"/>
          <w:sz w:val="16"/>
          <w:szCs w:val="16"/>
          <w:color w:val="auto"/>
        </w:rPr>
        <w:t>”) that is outstanding under any Smith Stock Plan immediately prior to the Effective Time, whether or not then vested or earned, other than Smith Stock Incentive Awards granted after the date hereof pursuant to Section 7.1(b)(iv) (“</w:t>
      </w:r>
      <w:r>
        <w:rPr>
          <w:rFonts w:ascii="Arial" w:cs="Arial" w:eastAsia="Arial" w:hAnsi="Arial"/>
          <w:sz w:val="16"/>
          <w:szCs w:val="16"/>
          <w:b w:val="1"/>
          <w:bCs w:val="1"/>
          <w:color w:val="auto"/>
        </w:rPr>
        <w:t>Smith Post-Signing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 Incentive Awards</w:t>
      </w:r>
      <w:r>
        <w:rPr>
          <w:rFonts w:ascii="Arial" w:cs="Arial" w:eastAsia="Arial" w:hAnsi="Arial"/>
          <w:sz w:val="16"/>
          <w:szCs w:val="16"/>
          <w:color w:val="auto"/>
        </w:rPr>
        <w:t>”), shall, by virtue of the Merger and without any action on the part of the holder thereof, be cancelled and converted into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Merger Consideration based on the total number of shares of Smith Common Stock subject to such Smith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5"/>
          <w:szCs w:val="15"/>
          <w:color w:val="auto"/>
        </w:rPr>
        <w:t>Stock Incentive Award immediately prior to the Effective Time. If the Smith Stock Incentive Award is a performance-based restricted stock unit award, the total number of shares of Smith Common Stock subject to such Smith Stock Incentive Award shall be calculated based on deemed attainment of the performance goals under the award immediately prior to the Effective Time assuming that the number of shares of Smith Common Stock subject to each such Smith Stock Incentive Award is that number of shares corresponding to 100% of the “Target Units” (as defined in the applicable agreement representing such Smith Stock Incentive Awards). Smith shall make arrangements reasonably satisfactory to Schlumberger to satisfy all employment and income tax withholding requirements with respect to each Smith Stock Incentive Award that vests pursuant to this Section 4.1(g). Any Smith Post-Signing Stock Incentive Awards shall be converted automatically into a stock unit award (a “</w:t>
      </w:r>
      <w:r>
        <w:rPr>
          <w:rFonts w:ascii="Arial" w:cs="Arial" w:eastAsia="Arial" w:hAnsi="Arial"/>
          <w:sz w:val="15"/>
          <w:szCs w:val="15"/>
          <w:b w:val="1"/>
          <w:bCs w:val="1"/>
          <w:color w:val="auto"/>
        </w:rPr>
        <w:t>Schlumberger Stock Incentive Award</w:t>
      </w:r>
      <w:r>
        <w:rPr>
          <w:rFonts w:ascii="Arial" w:cs="Arial" w:eastAsia="Arial" w:hAnsi="Arial"/>
          <w:sz w:val="15"/>
          <w:szCs w:val="15"/>
          <w:color w:val="auto"/>
        </w:rPr>
        <w:t xml:space="preserve">”) with respect to Schlumberger Common Stock in an amount equal to the product of the number of shares of Smith Common Stock subject to the Smith Post-Signing Stock Incentive Award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to the nearest whole share. The Schlumberger Stock Incentive Awards will be otherwise subject to the terms of the Smith Stock Plans, as applicable, under which they were issued and the agreements evidencing grants thereunder without any acceleration of vesting or delivery, except that all references to “Smith” in such original Smith Stock Incentive Award shall be deemed to be references to Schlumberger.</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p>
    <w:p>
      <w:pPr>
        <w:spacing w:after="0" w:line="171" w:lineRule="exact"/>
        <w:rPr>
          <w:sz w:val="20"/>
          <w:szCs w:val="20"/>
          <w:color w:val="auto"/>
        </w:rPr>
      </w:pPr>
    </w:p>
    <w:p>
      <w:pPr>
        <w:ind w:left="460" w:right="40" w:firstLine="881"/>
        <w:spacing w:after="0" w:line="288" w:lineRule="auto"/>
        <w:tabs>
          <w:tab w:leader="none" w:pos="1575"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shall appoint a commercial bank or trust company or such other party as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Smith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Schlumberger shall deposit with the Exchange Agent, in trust for the benefit of holders of shares of Smith Common Stock, the number of shares of Schlumberger Common Stock that are issuable pursuant to Section 4.1. Schlumberger shall deposit such shares of Schlumberger Common Stock with the Exchange Agent by delivering to the Exchange Agent certificates representing, or providing to the Exchange Agent an uncertificated book-entry for, such shares. In addition, Schlumberger shall make available to the Exchange Agent from time to time as needed, cash sufficient to make payments in lieu of fractional shares pursuant to Section 4.2(e) and any dividends and other distributions pursuant to Section 4.2(c). Any cash and shares of Schlumberger Common Stock deposited by Schlumberger with the Exchange Agent shall hereinafter be referred to as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Fund</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460" w:firstLine="881"/>
        <w:spacing w:after="0" w:line="286" w:lineRule="auto"/>
        <w:tabs>
          <w:tab w:leader="none" w:pos="1585"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shall cause the Exchange Agent to mail to each holder of record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shares of Smith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Smith Common Stock shall pass, only upon delivery of the corresponding Certificates to the Exchange Agent or receipt by the Exchange Agent of an “agent’s message” with respect to Book Entry Shares, which letter shall be in customary form and have such other provisions as Schlumberger may reasonably specify, and (ii) instructions for effecting the surrender of such Certificates or Book Entry Shares in exchange for the Merger Consideration. Each holder of shares of Smith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unless a physical certificate is requested and which shall represent, in the aggregate, the whole number of shares that such holder has the right to receive pursuant to Section 4.1(a) (after taking into account all shares of Smith Common Stock then held by such holder) and (ii) a check in the amount equal to any cash that such holder has the right to receive pursuant to this Article 4, consisting of cash in lieu of any fractional shares of Schlumberger Common Stock pursuant to Section 4.2(e) and any dividends and other distributions pursuant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to Section 4.2(c). No interest will be paid or will accrue on any cash payable pursuant to Section 4.2(c) or Section 4.2(e). In the event of a transfer of ownership of Smith Common Stock that is not registered in the transfer records of Smith, one or more shares of Schlumberger Common Stock evidencing, in the aggregate, the proper number of shares of Schlumberger Common Stock and a check in the proper amount of any cash in lieu of any fractional shares of Schlumberger Common Stock pursuant to Section 4.2(e) and any dividends or other distributions to which such holder is entitled pursuant to</w:t>
      </w:r>
    </w:p>
    <w:p>
      <w:pPr>
        <w:spacing w:after="0" w:line="3"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Section 4.2(c), may be issued with respect to such Smith Common Stock, as the case may be, to such a transferee if the Certificate representing such shares of Smith Common Stock is presented to the Exchange Agent, accompanied by all documents required to evidence and effect such transfer and to evidence that any applicable stock transfer Taxes have been paid.</w:t>
      </w:r>
    </w:p>
    <w:p>
      <w:pPr>
        <w:spacing w:after="0" w:line="144" w:lineRule="exact"/>
        <w:rPr>
          <w:sz w:val="20"/>
          <w:szCs w:val="20"/>
          <w:color w:val="auto"/>
        </w:rPr>
      </w:pPr>
    </w:p>
    <w:p>
      <w:pPr>
        <w:ind w:left="460" w:firstLine="881"/>
        <w:spacing w:after="0" w:line="303" w:lineRule="auto"/>
        <w:tabs>
          <w:tab w:leader="none" w:pos="1575" w:val="left"/>
        </w:tabs>
        <w:numPr>
          <w:ilvl w:val="1"/>
          <w:numId w:val="171"/>
        </w:numPr>
        <w:rPr>
          <w:rFonts w:ascii="Arial" w:cs="Arial" w:eastAsia="Arial" w:hAnsi="Arial"/>
          <w:sz w:val="15"/>
          <w:szCs w:val="15"/>
          <w:color w:val="auto"/>
        </w:rPr>
      </w:pPr>
      <w:r>
        <w:rPr>
          <w:rFonts w:ascii="Arial" w:cs="Arial" w:eastAsia="Arial" w:hAnsi="Arial"/>
          <w:sz w:val="15"/>
          <w:szCs w:val="15"/>
          <w:i w:val="1"/>
          <w:iCs w:val="1"/>
          <w:color w:val="auto"/>
        </w:rPr>
        <w:t>Distributions with Respect to Unexchanged Shares</w:t>
      </w:r>
      <w:r>
        <w:rPr>
          <w:rFonts w:ascii="Arial" w:cs="Arial" w:eastAsia="Arial" w:hAnsi="Arial"/>
          <w:sz w:val="15"/>
          <w:szCs w:val="15"/>
          <w:color w:val="auto"/>
        </w:rPr>
        <w:t>. All shares of Schlumberger Common Stock to be issued pursuant to the Merger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deemed issued and outstanding as of the Effective Time. No dividends or other distributions declared or made in respect of Schlumberger Common Stock shall be paid to the holder of any shares of Smith Common Stock until the holder of such shares shall surrender such shares in accordance with this Article</w:t>
      </w:r>
    </w:p>
    <w:p>
      <w:pPr>
        <w:spacing w:after="0" w:line="1" w:lineRule="exact"/>
        <w:rPr>
          <w:rFonts w:ascii="Arial" w:cs="Arial" w:eastAsia="Arial" w:hAnsi="Arial"/>
          <w:sz w:val="15"/>
          <w:szCs w:val="15"/>
          <w:color w:val="auto"/>
        </w:rPr>
      </w:pPr>
    </w:p>
    <w:p>
      <w:pPr>
        <w:jc w:val="both"/>
        <w:ind w:left="460" w:right="80" w:firstLine="4"/>
        <w:spacing w:after="0" w:line="252" w:lineRule="auto"/>
        <w:tabs>
          <w:tab w:leader="none" w:pos="6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Applicable Law, following surrender of any such shares, there shall be issued and/or paid to the holder of the certificates representing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48" w:lineRule="exact"/>
        <w:rPr>
          <w:rFonts w:ascii="Arial" w:cs="Arial" w:eastAsia="Arial" w:hAnsi="Arial"/>
          <w:sz w:val="18"/>
          <w:szCs w:val="18"/>
          <w:color w:val="auto"/>
        </w:rPr>
      </w:pPr>
    </w:p>
    <w:p>
      <w:pPr>
        <w:jc w:val="both"/>
        <w:ind w:left="460" w:firstLine="881"/>
        <w:spacing w:after="0" w:line="256" w:lineRule="auto"/>
        <w:tabs>
          <w:tab w:leader="none" w:pos="1585"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Smith Common Stock. </w:t>
      </w:r>
      <w:r>
        <w:rPr>
          <w:rFonts w:ascii="Arial" w:cs="Arial" w:eastAsia="Arial" w:hAnsi="Arial"/>
          <w:sz w:val="18"/>
          <w:szCs w:val="18"/>
          <w:color w:val="auto"/>
        </w:rPr>
        <w:t>All shares of Schlumberger Common Stock issued and cash paid upon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Smith Common Stock in accordance with the terms of this Article 4 (consisting of any cash paid pursuant to Section 4.2(c) or Section 4.2(e)) shall be deemed to have been issued or paid in full satisfaction of all rights pertaining to the shares of Smith Common Stock previously represented by such Certificates and/or Book Entry Shares.</w:t>
      </w:r>
    </w:p>
    <w:p>
      <w:pPr>
        <w:spacing w:after="0" w:line="143" w:lineRule="exact"/>
        <w:rPr>
          <w:rFonts w:ascii="Arial" w:cs="Arial" w:eastAsia="Arial" w:hAnsi="Arial"/>
          <w:sz w:val="18"/>
          <w:szCs w:val="18"/>
          <w:color w:val="auto"/>
        </w:rPr>
      </w:pPr>
    </w:p>
    <w:p>
      <w:pPr>
        <w:ind w:left="1580" w:hanging="239"/>
        <w:spacing w:after="0"/>
        <w:tabs>
          <w:tab w:leader="none" w:pos="1580"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90" w:lineRule="exact"/>
        <w:rPr>
          <w:sz w:val="20"/>
          <w:szCs w:val="20"/>
          <w:color w:val="auto"/>
        </w:rPr>
      </w:pPr>
    </w:p>
    <w:p>
      <w:pPr>
        <w:jc w:val="both"/>
        <w:ind w:left="920" w:right="100" w:firstLine="421"/>
        <w:spacing w:after="0" w:line="259" w:lineRule="auto"/>
        <w:tabs>
          <w:tab w:leader="none" w:pos="15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 such fractional share interests will not entitle the owner thereof to vote or to have any rights of a stockholder of Schlumberger.</w:t>
      </w:r>
    </w:p>
    <w:p>
      <w:pPr>
        <w:spacing w:after="0" w:line="59" w:lineRule="exact"/>
        <w:rPr>
          <w:rFonts w:ascii="Arial" w:cs="Arial" w:eastAsia="Arial" w:hAnsi="Arial"/>
          <w:sz w:val="18"/>
          <w:szCs w:val="18"/>
          <w:color w:val="auto"/>
        </w:rPr>
      </w:pPr>
    </w:p>
    <w:p>
      <w:pPr>
        <w:ind w:left="920" w:right="100" w:firstLine="421"/>
        <w:spacing w:after="0" w:line="294" w:lineRule="auto"/>
        <w:tabs>
          <w:tab w:leader="none" w:pos="159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each holder of shares of Smith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34" w:lineRule="exact"/>
        <w:rPr>
          <w:rFonts w:ascii="Arial" w:cs="Arial" w:eastAsia="Arial" w:hAnsi="Arial"/>
          <w:sz w:val="16"/>
          <w:szCs w:val="16"/>
          <w:color w:val="auto"/>
        </w:rPr>
      </w:pPr>
    </w:p>
    <w:p>
      <w:pPr>
        <w:jc w:val="both"/>
        <w:ind w:left="920" w:right="80" w:firstLine="421"/>
        <w:spacing w:after="0" w:line="335" w:lineRule="auto"/>
        <w:tabs>
          <w:tab w:leader="none" w:pos="1647"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As promptly as practicable after the determination of the amount of cash, if any, to be paid to holders of fractional interests, the Exchange Agent shall so notify Schlumberger, and Schlumberger shall deposit or cause the Surviving Entity to deposit such amount with the Exchange Agent and shall cause the Exchange Agent to forward payments to such holders of fractional interests subject to and in accordance with the terms hereof.</w:t>
      </w:r>
    </w:p>
    <w:p>
      <w:pPr>
        <w:spacing w:after="0" w:line="88" w:lineRule="exact"/>
        <w:rPr>
          <w:sz w:val="20"/>
          <w:szCs w:val="20"/>
          <w:color w:val="auto"/>
        </w:rPr>
      </w:pPr>
    </w:p>
    <w:p>
      <w:pPr>
        <w:ind w:left="460" w:right="280" w:firstLine="881"/>
        <w:spacing w:after="0" w:line="268" w:lineRule="auto"/>
        <w:tabs>
          <w:tab w:leader="none" w:pos="155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Termination of Exchange Fund</w:t>
      </w:r>
      <w:r>
        <w:rPr>
          <w:rFonts w:ascii="Arial" w:cs="Arial" w:eastAsia="Arial" w:hAnsi="Arial"/>
          <w:sz w:val="18"/>
          <w:szCs w:val="18"/>
          <w:color w:val="auto"/>
        </w:rPr>
        <w:t>. Any portion of the Exchange Fund that remains undistributed to the holders of Certificates and/or Book</w:t>
      </w:r>
      <w:r>
        <w:rPr>
          <w:rFonts w:ascii="Arial" w:cs="Arial" w:eastAsia="Arial" w:hAnsi="Arial"/>
          <w:sz w:val="18"/>
          <w:szCs w:val="18"/>
          <w:i w:val="1"/>
          <w:iCs w:val="1"/>
          <w:color w:val="auto"/>
        </w:rPr>
        <w:t xml:space="preserve"> </w:t>
      </w:r>
      <w:r>
        <w:rPr>
          <w:rFonts w:ascii="Arial" w:cs="Arial" w:eastAsia="Arial" w:hAnsi="Arial"/>
          <w:sz w:val="18"/>
          <w:szCs w:val="18"/>
          <w:color w:val="auto"/>
        </w:rPr>
        <w:t>Entry Shares as of the date six months after the Effective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shall be delivered to Schlumberger or otherwise on the instruction of Schlumberger, and any holders of the Certificates and/or Book Entry Shares who have not theretofore complied with this Article 4 shall thereafter look only to Schlumberger for the Merger Consideration with respect to the shares of Smith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Smith Common Stock five years after the Effective Time (or such earlier date immediately prior to such time as such amounts would otherwise escheat to or become property of any Governmental Entity) shall, to the extent permitted by Applicable Law, become the property of Schlumberger free and clear of any claims or interest of any person previously entitled thereto.</w:t>
      </w:r>
    </w:p>
    <w:p>
      <w:pPr>
        <w:spacing w:after="0" w:line="118" w:lineRule="exact"/>
        <w:rPr>
          <w:sz w:val="20"/>
          <w:szCs w:val="20"/>
          <w:color w:val="auto"/>
        </w:rPr>
      </w:pPr>
    </w:p>
    <w:p>
      <w:pPr>
        <w:ind w:left="460" w:firstLine="881"/>
        <w:spacing w:after="0" w:line="259" w:lineRule="auto"/>
        <w:tabs>
          <w:tab w:leader="none" w:pos="1585"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Merger Sub, Smith, the Surviving Entity, any affiliate of any of the foregoing or the Exchange Agent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liable to any person in respect of any Merger Consideration from the Exchange Fund delivered to a public official or Governmental Entity pursuant to any applicable abandoned property, escheat or similar law.</w:t>
      </w:r>
    </w:p>
    <w:p>
      <w:pPr>
        <w:spacing w:after="0" w:line="140" w:lineRule="exact"/>
        <w:rPr>
          <w:rFonts w:ascii="Arial" w:cs="Arial" w:eastAsia="Arial" w:hAnsi="Arial"/>
          <w:sz w:val="18"/>
          <w:szCs w:val="18"/>
          <w:color w:val="auto"/>
        </w:rPr>
      </w:pPr>
    </w:p>
    <w:p>
      <w:pPr>
        <w:ind w:left="460" w:right="20" w:firstLine="881"/>
        <w:spacing w:after="0" w:line="291" w:lineRule="auto"/>
        <w:tabs>
          <w:tab w:leader="none" w:pos="1585"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Investment of the Exchange Fund</w:t>
      </w:r>
      <w:r>
        <w:rPr>
          <w:rFonts w:ascii="Arial" w:cs="Arial" w:eastAsia="Arial" w:hAnsi="Arial"/>
          <w:sz w:val="16"/>
          <w:szCs w:val="16"/>
          <w:color w:val="auto"/>
        </w:rPr>
        <w:t>. The Exchange Agent shall invest any cash included in the Exchange Fund as directed by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gain or loss thereon shall affect the amounts payable to the stockholders of Smith pursuant to this Article 4 and that if at any time prior to the termination of the Exchange Fund pursuant to Section 4.2(f), the amount of cash included in the Exchange Fund is reduced below the amount necessary to pay any cash in lieu of fractional shares of Schlumberger Common Stock payable pursuant to Section 4.2(e), and dividends and distributions payable pursuant to Section 4.2(c), Schlumberger shall promptly deposit additional cash into the Exchange Fund sufficient to rectify this deficiency. Any interest and other income resulting from such investments shall be paid promptly to Schlumberger.</w:t>
      </w:r>
    </w:p>
    <w:p>
      <w:pPr>
        <w:spacing w:after="0" w:line="120" w:lineRule="exact"/>
        <w:rPr>
          <w:rFonts w:ascii="Arial" w:cs="Arial" w:eastAsia="Arial" w:hAnsi="Arial"/>
          <w:sz w:val="16"/>
          <w:szCs w:val="16"/>
          <w:color w:val="auto"/>
        </w:rPr>
      </w:pPr>
    </w:p>
    <w:p>
      <w:pPr>
        <w:ind w:left="460" w:right="160" w:firstLine="881"/>
        <w:spacing w:after="0" w:line="290" w:lineRule="auto"/>
        <w:tabs>
          <w:tab w:leader="none" w:pos="1546"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claiming such Certificate to be lost, stolen or destroyed and, if reasonably required by Schlumberger, the posting by such person of a bond in such reasonable amount as Schlumberger 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Smith Common Stock formerly represented by such lost, stolen or destroyed Certificate.</w:t>
      </w:r>
    </w:p>
    <w:p>
      <w:pPr>
        <w:spacing w:after="0" w:line="118" w:lineRule="exact"/>
        <w:rPr>
          <w:rFonts w:ascii="Arial" w:cs="Arial" w:eastAsia="Arial" w:hAnsi="Arial"/>
          <w:sz w:val="16"/>
          <w:szCs w:val="16"/>
          <w:color w:val="auto"/>
        </w:rPr>
      </w:pPr>
    </w:p>
    <w:p>
      <w:pPr>
        <w:ind w:left="460" w:right="80" w:firstLine="881"/>
        <w:spacing w:after="0" w:line="288" w:lineRule="auto"/>
        <w:tabs>
          <w:tab w:leader="none" w:pos="1546"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Withholding Rights</w:t>
      </w:r>
      <w:r>
        <w:rPr>
          <w:rFonts w:ascii="Arial" w:cs="Arial" w:eastAsia="Arial" w:hAnsi="Arial"/>
          <w:sz w:val="16"/>
          <w:szCs w:val="16"/>
          <w:color w:val="auto"/>
        </w:rPr>
        <w:t>. Each of the Exchange Agent, Schlumberger and the Surviving Entity shall be entitled, without duplication, to deduct</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withhold from the consideration otherwise payable pursuant to this Agreement to any holder of shares of Smith Common Stock or any other equity rights in Smith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19" w:lineRule="exact"/>
        <w:rPr>
          <w:rFonts w:ascii="Arial" w:cs="Arial" w:eastAsia="Arial" w:hAnsi="Arial"/>
          <w:sz w:val="16"/>
          <w:szCs w:val="16"/>
          <w:color w:val="auto"/>
        </w:rPr>
      </w:pPr>
    </w:p>
    <w:p>
      <w:pPr>
        <w:ind w:left="460" w:firstLine="881"/>
        <w:spacing w:after="0" w:line="268" w:lineRule="auto"/>
        <w:tabs>
          <w:tab w:leader="none" w:pos="1585"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After the Effective Time, the officers and directors of the Surviving Entity will be authorized to execute and deliver,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 and on behalf of Smith, any deeds, bills of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assignments or assurances and to take and do, in the name and on behalf of Smith,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40" w:lineRule="exact"/>
        <w:rPr>
          <w:sz w:val="20"/>
          <w:szCs w:val="20"/>
          <w:color w:val="auto"/>
        </w:rPr>
      </w:pPr>
    </w:p>
    <w:p>
      <w:pPr>
        <w:ind w:left="460" w:firstLine="881"/>
        <w:spacing w:after="0" w:line="254" w:lineRule="auto"/>
        <w:tabs>
          <w:tab w:leader="none" w:pos="1546"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Smith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Smith Common Stock thereafter on the records of Smith. At or after the Effective Time, any Certificates or Book Entry Shares presented to the Exchange Agent or Schlumberger for any reason shall represent the right to receive the Merger Consideration with respect to the shares of Smith Common Stock formerly represented thereby (including any cash in lieu of fractional shares of Schlumberger Common Stock to which the holders thereof are entitled to pursuant to Section 4.2(e)) and any dividends or other distributions to which the holders thereof are entitled pursuant to Section 4.2(c).</w:t>
      </w:r>
    </w:p>
    <w:p>
      <w:pPr>
        <w:spacing w:after="0" w:line="225" w:lineRule="exact"/>
        <w:rPr>
          <w:sz w:val="20"/>
          <w:szCs w:val="20"/>
          <w:color w:val="auto"/>
        </w:rPr>
      </w:pPr>
    </w:p>
    <w:p>
      <w:pPr>
        <w:ind w:left="460" w:right="200" w:firstLine="876"/>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Certain Adjustments.</w:t>
      </w:r>
      <w:r>
        <w:rPr>
          <w:rFonts w:ascii="Arial" w:cs="Arial" w:eastAsia="Arial" w:hAnsi="Arial"/>
          <w:sz w:val="18"/>
          <w:szCs w:val="18"/>
          <w:color w:val="auto"/>
        </w:rPr>
        <w:t xml:space="preserve"> If, subsequent to the date of this Agreement but prior to the Effective Time, the outstanding Schlumberger Common Stock or Smith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Merger Consideration and any other similarly dependent items, as the case may be, shall be appropriately adjusted to provide to the holders of Smith Common Stock consideration having the same economic effect as was contemplated by this Agreement prior to such event.</w:t>
      </w:r>
    </w:p>
    <w:p>
      <w:pPr>
        <w:spacing w:after="0" w:line="144"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Associated Rights</w:t>
      </w:r>
      <w:r>
        <w:rPr>
          <w:rFonts w:ascii="Arial" w:cs="Arial" w:eastAsia="Arial" w:hAnsi="Arial"/>
          <w:sz w:val="18"/>
          <w:szCs w:val="18"/>
          <w:color w:val="auto"/>
        </w:rPr>
        <w:t>. References in Article 4 of this Agreement to Smith Common Stock shall include, unless the context requires otherwise, the associated rights (the “</w:t>
      </w:r>
      <w:r>
        <w:rPr>
          <w:rFonts w:ascii="Arial" w:cs="Arial" w:eastAsia="Arial" w:hAnsi="Arial"/>
          <w:sz w:val="18"/>
          <w:szCs w:val="18"/>
          <w:b w:val="1"/>
          <w:bCs w:val="1"/>
          <w:color w:val="auto"/>
        </w:rPr>
        <w:t>Smith Rights</w:t>
      </w:r>
      <w:r>
        <w:rPr>
          <w:rFonts w:ascii="Arial" w:cs="Arial" w:eastAsia="Arial" w:hAnsi="Arial"/>
          <w:sz w:val="18"/>
          <w:szCs w:val="18"/>
          <w:color w:val="auto"/>
        </w:rPr>
        <w:t>”) distributed to the holders of Smith Common Stock pursuant to the Rights Agreement, dated as of June 8, 2000, between Smith and EquiServe Trust Company, N.A. (successor to First Chicago Trust Company of New York), as rights agent, as amended to date (the “</w:t>
      </w:r>
      <w:r>
        <w:rPr>
          <w:rFonts w:ascii="Arial" w:cs="Arial" w:eastAsia="Arial" w:hAnsi="Arial"/>
          <w:sz w:val="18"/>
          <w:szCs w:val="18"/>
          <w:b w:val="1"/>
          <w:bCs w:val="1"/>
          <w:color w:val="auto"/>
        </w:rPr>
        <w:t>Rights Agreement</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SMITH</w:t>
      </w:r>
    </w:p>
    <w:p>
      <w:pPr>
        <w:spacing w:after="0" w:line="171" w:lineRule="exact"/>
        <w:rPr>
          <w:sz w:val="20"/>
          <w:szCs w:val="20"/>
          <w:color w:val="auto"/>
        </w:rPr>
      </w:pPr>
    </w:p>
    <w:p>
      <w:pPr>
        <w:ind w:left="460" w:right="20" w:firstLine="876"/>
        <w:spacing w:after="0" w:line="254" w:lineRule="auto"/>
        <w:rPr>
          <w:sz w:val="20"/>
          <w:szCs w:val="20"/>
          <w:color w:val="auto"/>
        </w:rPr>
      </w:pPr>
      <w:r>
        <w:rPr>
          <w:rFonts w:ascii="Arial" w:cs="Arial" w:eastAsia="Arial" w:hAnsi="Arial"/>
          <w:sz w:val="18"/>
          <w:szCs w:val="18"/>
          <w:color w:val="auto"/>
        </w:rPr>
        <w:t>Except (i) as set forth in the disclosure letter delivered to Schlumberger by Smith at or prior to the execution hereof (the “</w:t>
      </w:r>
      <w:r>
        <w:rPr>
          <w:rFonts w:ascii="Arial" w:cs="Arial" w:eastAsia="Arial" w:hAnsi="Arial"/>
          <w:sz w:val="18"/>
          <w:szCs w:val="18"/>
          <w:b w:val="1"/>
          <w:bCs w:val="1"/>
          <w:color w:val="auto"/>
        </w:rPr>
        <w:t>Smith 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and making reference to the particular subsection of this Agreement to which exception is being taken, subject to Section 10.10, (ii)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Smith Reports filed after December 31, 2008 and prior to the date hereof (excluding any disclosures in such Smith Reports in any risk factors section, in any section related to forward looking statements and other disclosures that are predictive or forward-looking in nature), or (iii) with respect to any Smith Subsidiaries, assets, liabilities, businesses, operations, or results of operations of the MI SWACO division of Smith (the “</w:t>
      </w:r>
      <w:r>
        <w:rPr>
          <w:rFonts w:ascii="Arial" w:cs="Arial" w:eastAsia="Arial" w:hAnsi="Arial"/>
          <w:sz w:val="18"/>
          <w:szCs w:val="18"/>
          <w:b w:val="1"/>
          <w:bCs w:val="1"/>
          <w:color w:val="auto"/>
        </w:rPr>
        <w:t>Joint Venture</w:t>
      </w:r>
      <w:r>
        <w:rPr>
          <w:rFonts w:ascii="Arial" w:cs="Arial" w:eastAsia="Arial" w:hAnsi="Arial"/>
          <w:sz w:val="18"/>
          <w:szCs w:val="18"/>
          <w:color w:val="auto"/>
        </w:rPr>
        <w:t>”), to the extent actually known to the Schlumberger representatives on the governing board of the Joint Venture, Smith represents and warrants to Schlumberger that:</w:t>
      </w:r>
    </w:p>
    <w:p>
      <w:pPr>
        <w:spacing w:after="0" w:line="147" w:lineRule="exact"/>
        <w:rPr>
          <w:sz w:val="20"/>
          <w:szCs w:val="20"/>
          <w:color w:val="auto"/>
        </w:rPr>
      </w:pPr>
    </w:p>
    <w:p>
      <w:pPr>
        <w:ind w:left="460" w:right="180" w:firstLine="876"/>
        <w:spacing w:after="0" w:line="29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Organization; Good Standing and Qualification</w:t>
      </w:r>
      <w:r>
        <w:rPr>
          <w:rFonts w:ascii="Arial" w:cs="Arial" w:eastAsia="Arial" w:hAnsi="Arial"/>
          <w:sz w:val="16"/>
          <w:szCs w:val="16"/>
          <w:color w:val="auto"/>
        </w:rPr>
        <w:t>. Each of Smith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Smith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reasonably be expected to have, individually or in the aggregate, a Smith Material Adverse Effect. Smith has made available to Schlumberger true and correct copies of Smith’s certificate of incorporation and bylaws, each as amended to date, and each as so delivered is in full force and effect.</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91" w:lineRule="auto"/>
        <w:tabs>
          <w:tab w:leader="none" w:pos="157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Smith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Smith Stockholder Approval. The execution and delivery of this Agreement and the consummation by Smith of the transactions contemplated hereby have been duly authorized by all requisite corporate action on behalf of Smith, other than the Smith Stockholder Approval and the filing of the Certificate of Merger. This Agreement has been duly executed and delivered by Smith and constitutes the valid and legally binding obligation of Smith, enforceable against Smith in accordance with its terms.</w:t>
      </w:r>
    </w:p>
    <w:p>
      <w:pPr>
        <w:spacing w:after="0" w:line="114" w:lineRule="exact"/>
        <w:rPr>
          <w:rFonts w:ascii="Arial" w:cs="Arial" w:eastAsia="Arial" w:hAnsi="Arial"/>
          <w:sz w:val="16"/>
          <w:szCs w:val="16"/>
          <w:color w:val="auto"/>
        </w:rPr>
      </w:pPr>
    </w:p>
    <w:p>
      <w:pPr>
        <w:ind w:left="460" w:right="80" w:firstLine="881"/>
        <w:spacing w:after="0" w:line="293" w:lineRule="auto"/>
        <w:tabs>
          <w:tab w:leader="none" w:pos="15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Board of Directors of Smith (the “</w:t>
      </w:r>
      <w:r>
        <w:rPr>
          <w:rFonts w:ascii="Arial" w:cs="Arial" w:eastAsia="Arial" w:hAnsi="Arial"/>
          <w:sz w:val="16"/>
          <w:szCs w:val="16"/>
          <w:b w:val="1"/>
          <w:bCs w:val="1"/>
          <w:color w:val="auto"/>
        </w:rPr>
        <w:t>Smith Board</w:t>
      </w:r>
      <w:r>
        <w:rPr>
          <w:rFonts w:ascii="Arial" w:cs="Arial" w:eastAsia="Arial" w:hAnsi="Arial"/>
          <w:sz w:val="16"/>
          <w:szCs w:val="16"/>
          <w:color w:val="auto"/>
        </w:rPr>
        <w:t>”), at a meeting duly called and held on or prior to the date hereof, has (i) determined that this Agreement and the Merger are advisable, (ii) approved and adopted this Agreement and the Merger, (iii) received the opinion of its financial advisor, UBS Securities LLC, to the effect that the Exchange Ratio is fair from a financial point of view to the holders of Smith Common Stock (a copy of which opinion will be provided to Schlumberger), (iv) resolved to recommend the approval and adoption of this Agreement and the Merger to the holders of Smith Common Stock (such recommendations being the “</w:t>
      </w:r>
      <w:r>
        <w:rPr>
          <w:rFonts w:ascii="Arial" w:cs="Arial" w:eastAsia="Arial" w:hAnsi="Arial"/>
          <w:sz w:val="16"/>
          <w:szCs w:val="16"/>
          <w:b w:val="1"/>
          <w:bCs w:val="1"/>
          <w:color w:val="auto"/>
        </w:rPr>
        <w:t>Smith Recommendation</w:t>
      </w:r>
      <w:r>
        <w:rPr>
          <w:rFonts w:ascii="Arial" w:cs="Arial" w:eastAsia="Arial" w:hAnsi="Arial"/>
          <w:sz w:val="16"/>
          <w:szCs w:val="16"/>
          <w:color w:val="auto"/>
        </w:rPr>
        <w:t>”), subject to Section 7.3(b) and Section 7.3(d), and (v) directed that this Agreement be submitted to the holders of Smith Common Stock for their adoption.</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4" w:lineRule="auto"/>
        <w:tabs>
          <w:tab w:leader="none" w:pos="157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authorized capital stock of Smith consists of 500,000,000 shares of Smith Common Stock and 5,000,000 shares of preferred stock, par value $1.00 per share (“</w:t>
      </w:r>
      <w:r>
        <w:rPr>
          <w:rFonts w:ascii="Arial" w:cs="Arial" w:eastAsia="Arial" w:hAnsi="Arial"/>
          <w:sz w:val="16"/>
          <w:szCs w:val="16"/>
          <w:b w:val="1"/>
          <w:bCs w:val="1"/>
          <w:color w:val="auto"/>
        </w:rPr>
        <w:t>Smith Preferred Stock</w:t>
      </w:r>
      <w:r>
        <w:rPr>
          <w:rFonts w:ascii="Arial" w:cs="Arial" w:eastAsia="Arial" w:hAnsi="Arial"/>
          <w:sz w:val="16"/>
          <w:szCs w:val="16"/>
          <w:color w:val="auto"/>
        </w:rPr>
        <w:t>”), of which 650,000 shares have been designated Series A Junior Participating Preferred Stock and reserved for issuance upon exercise of Smith Rights distributed to the holders of Smith Common Stock pursuant to the Rights Agreement. As of February 19, 2010, there were (i) 248,401,593 outstanding shares of Smith Common Stock and 17,954,481 shares of Smith Common Stock held in the treasury of Smith, (ii) 1,055,560 shares of Smith Common Stock reserved for issuance upon exercise of outstanding Smith Options, (iii) 4,010,293 shares of Smith Common Stock reserved for issuance under outstanding Smith Stock Incentive Awards, (iv) no issued or outstanding shares of restricted Smith Common Stock the restrictions on which have not previously lapsed and (v) no issued or outstanding shares of Smith Preferred Stock. All of the issued and outstanding shares of Smith Common Stock have been duly authorized and validly issued and are fully paid and nonassessable. Except as set forth in this Section 5.3 and except for changes since the close of business on February 19, 2010 resulting from the exercise of employee stock options or settlement of Smith Stock Incentive Awards outstanding on such date or other securities issued as permitted by Section 7.1, there are outstanding (A) no shares of capital stock or other voting securities of Smith, (B) no Smith Options and (C) except for the Smith Rights, (1) no options, warrants or other rights to acquire from Smith any capital stock, voting securities or other ownership interests in, or any securities convertible into or exchangeable for capital stock, voting securities or ownership interests in, Smith and (2) no preemptive or similar rights, subscription or other rights, convertible securities, agreements, arrangements or commitments of any character, relating to the capital stock of Smith, obligating Smith to issue, transfer or sell any capital stock, voting securities or other ownership interests in, or any securities convertible into or exchangeable for capital stock, voting securities or other ownership interests in, Smith or obligating Smith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Smith Securities</w:t>
      </w:r>
      <w:r>
        <w:rPr>
          <w:rFonts w:ascii="Arial" w:cs="Arial" w:eastAsia="Arial" w:hAnsi="Arial"/>
          <w:sz w:val="16"/>
          <w:szCs w:val="16"/>
          <w:color w:val="auto"/>
        </w:rPr>
        <w:t>”). Except as required by the terms of any Smith Options outstanding as of the date hereof or issued as permitted by Section 7.1, there are no outstanding obligations of Smith or any of its Subsidiaries to repurchase, redeem or otherwise acquire any Smith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81"/>
        <w:spacing w:after="0" w:line="285" w:lineRule="auto"/>
        <w:tabs>
          <w:tab w:leader="none" w:pos="15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Except for directors’ qualifying shares, all of the outstanding capital stock of, or other ownership interests in, each Subsidiary of Smith have been validly issued and are fully paid and nonassessable and are owned by Smith,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(including any restriction on the right to vote, sell or otherwise dispose of such capital stock or other ownership interests). There are outstanding (i) no securities of Smith or any of its Subsidiaries convertible into or exchangeable for shares of capital stock or other voting securities or ownership interests in any Subsidiary of Smith, (ii) no options, warrants or other rights to acquire from Smith or any of its Subsidiaries any capital stock, voting securities or other ownership interests in, or any securities convertible into or exchangeable for any capital stock, voting securities or ownership interests in, any Subsidiary of Smith and (iii) except as provided by Applicable Law, no preemptive or similar rights, subscription or other rights, convertible securities, agreements, arrangements or commitments of any character, relating to the capital stock of any Subsidiary of Smith, obligating Smith or any of its Subsidiaries to issue, transfer or sell, any capital stock, voting securities or other ownership interests in, or any securities convertible into or exchangeable for any capital stock, voting securities or ownership interests in, any Subsidiary of Smith or obligating Smith or any Subsidiary of Smith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Smith Subsidiary Securities</w:t>
      </w:r>
      <w:r>
        <w:rPr>
          <w:rFonts w:ascii="Arial" w:cs="Arial" w:eastAsia="Arial" w:hAnsi="Arial"/>
          <w:sz w:val="16"/>
          <w:szCs w:val="16"/>
          <w:color w:val="auto"/>
        </w:rPr>
        <w:t>”). There are no outstanding obligations of Smith or any of its Subsidiaries to repurchase, redeem or otherwise acquire any outstanding Smith Subsidiary Securities.</w:t>
      </w:r>
    </w:p>
    <w:p>
      <w:pPr>
        <w:spacing w:after="0" w:line="128" w:lineRule="exact"/>
        <w:rPr>
          <w:rFonts w:ascii="Arial" w:cs="Arial" w:eastAsia="Arial" w:hAnsi="Arial"/>
          <w:sz w:val="16"/>
          <w:szCs w:val="16"/>
          <w:color w:val="auto"/>
        </w:rPr>
      </w:pPr>
    </w:p>
    <w:p>
      <w:pPr>
        <w:ind w:left="460" w:right="100" w:firstLine="881"/>
        <w:spacing w:after="0" w:line="335" w:lineRule="auto"/>
        <w:tabs>
          <w:tab w:leader="none" w:pos="1575"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Except for the capital stock or other voting securities or ownership interests in any Subsidiary of Smith, neither Smith nor any of its Subsidiaries owns, directly or indirectly, any capital stock or other voting securities or ownership interests in, or any securities convertible into or exchangeable for any capital stock, voting securities or ownership interests in, any person which is material to Smith and its Subsidiaries taken as a whole.</w:t>
      </w:r>
    </w:p>
    <w:p>
      <w:pPr>
        <w:spacing w:after="0" w:line="88" w:lineRule="exact"/>
        <w:rPr>
          <w:rFonts w:ascii="Arial" w:cs="Arial" w:eastAsia="Arial" w:hAnsi="Arial"/>
          <w:sz w:val="15"/>
          <w:szCs w:val="15"/>
          <w:color w:val="auto"/>
        </w:rPr>
      </w:pPr>
    </w:p>
    <w:p>
      <w:pPr>
        <w:ind w:left="1580" w:hanging="239"/>
        <w:spacing w:after="0"/>
        <w:tabs>
          <w:tab w:leader="none" w:pos="1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Subsidiary of Smith owns any shares of Smith Common Stock.</w:t>
      </w:r>
    </w:p>
    <w:p>
      <w:pPr>
        <w:spacing w:after="0" w:line="171" w:lineRule="exact"/>
        <w:rPr>
          <w:sz w:val="20"/>
          <w:szCs w:val="20"/>
          <w:color w:val="auto"/>
        </w:rPr>
      </w:pPr>
    </w:p>
    <w:p>
      <w:pPr>
        <w:ind w:left="460" w:right="720" w:firstLine="87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Smith Material Adverse Effect:</w:t>
      </w:r>
    </w:p>
    <w:p>
      <w:pPr>
        <w:spacing w:after="0" w:line="51" w:lineRule="exact"/>
        <w:rPr>
          <w:sz w:val="20"/>
          <w:szCs w:val="20"/>
          <w:color w:val="auto"/>
        </w:rPr>
      </w:pPr>
    </w:p>
    <w:p>
      <w:pPr>
        <w:ind w:left="920" w:right="20" w:firstLine="421"/>
        <w:spacing w:after="0" w:line="256" w:lineRule="auto"/>
        <w:tabs>
          <w:tab w:leader="none" w:pos="157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Neither Smith nor any of its Subsidiaries is in violation of any law, rule, regulation, directive, ordinance, code, governmental determination, guideline, order, treaty, convention, governmental certification requirement or other legally enforceable requirement, U.S. or non-U.S., of any Governmental Entity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and no claim is pending or, to the knowledge of Smith, threatened with respect to any such matters.</w:t>
      </w:r>
    </w:p>
    <w:p>
      <w:pPr>
        <w:spacing w:after="0" w:line="62" w:lineRule="exact"/>
        <w:rPr>
          <w:rFonts w:ascii="Arial" w:cs="Arial" w:eastAsia="Arial" w:hAnsi="Arial"/>
          <w:sz w:val="18"/>
          <w:szCs w:val="18"/>
          <w:color w:val="auto"/>
        </w:rPr>
      </w:pPr>
    </w:p>
    <w:p>
      <w:pPr>
        <w:ind w:left="920" w:right="60" w:firstLine="421"/>
        <w:spacing w:after="0" w:line="255" w:lineRule="auto"/>
        <w:tabs>
          <w:tab w:leader="none" w:pos="158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Smith and each Subsidiary of Smith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Smith Permits</w:t>
      </w:r>
      <w:r>
        <w:rPr>
          <w:rFonts w:ascii="Arial" w:cs="Arial" w:eastAsia="Arial" w:hAnsi="Arial"/>
          <w:sz w:val="18"/>
          <w:szCs w:val="18"/>
          <w:color w:val="auto"/>
        </w:rPr>
        <w:t>”). All Smith Permits are in full force and effect and there exists no default thereunder or breach thereof, and Smith has no notice or knowledge that such Smith Permits will not be renewed in the ordinary course after the Effective Time. No Governmental Entity has given, or to the knowledge of Smith, threatened to give, any action to terminate, cancel or reform any Smith Permit.</w:t>
      </w:r>
    </w:p>
    <w:p>
      <w:pPr>
        <w:spacing w:after="0" w:line="61" w:lineRule="exact"/>
        <w:rPr>
          <w:rFonts w:ascii="Arial" w:cs="Arial" w:eastAsia="Arial" w:hAnsi="Arial"/>
          <w:sz w:val="18"/>
          <w:szCs w:val="18"/>
          <w:color w:val="auto"/>
        </w:rPr>
      </w:pPr>
    </w:p>
    <w:p>
      <w:pPr>
        <w:ind w:left="920" w:right="60" w:firstLine="421"/>
        <w:spacing w:after="0" w:line="323" w:lineRule="auto"/>
        <w:tabs>
          <w:tab w:leader="none" w:pos="1579" w:val="left"/>
        </w:tabs>
        <w:numPr>
          <w:ilvl w:val="0"/>
          <w:numId w:val="180"/>
        </w:numPr>
        <w:rPr>
          <w:rFonts w:ascii="Arial" w:cs="Arial" w:eastAsia="Arial" w:hAnsi="Arial"/>
          <w:sz w:val="15"/>
          <w:szCs w:val="15"/>
          <w:color w:val="auto"/>
        </w:rPr>
      </w:pPr>
      <w:r>
        <w:rPr>
          <w:rFonts w:ascii="Arial" w:cs="Arial" w:eastAsia="Arial" w:hAnsi="Arial"/>
          <w:sz w:val="15"/>
          <w:szCs w:val="15"/>
          <w:color w:val="auto"/>
        </w:rPr>
        <w:t>Smith and each Subsidiary of Smith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Smith, threatened to take, any action to terminate, cancel or reform any such permit, license, operating authority, order, exemption, franchise, variance, consent, approval or other authorization.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86" w:lineRule="auto"/>
        <w:tabs>
          <w:tab w:leader="none" w:pos="157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execution, delivery and performance by Smith of this Agreement do not, and the consummation by Smith of the Merger and the other transactions contemplated by this Agreement in accordance with the terms hereof will not, (i) subject to receipt of the Smith Stockholder Approval, conflict with or result in a breach of any provisions of the certificate of incorporation or bylaws of Smith,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Smith or its Subsidiaries under, or result in being declared void, voidable, or without further binding effect, or otherwise result in a detriment to Smith or any of its Subsidiaries under, any of the terms, conditions or provisions of, any loan or credit agreement, note, bond, mortgage, indenture, deed of trust, license, concession, franchise, permit, lease, contract, agreement, joint venture or other instrument or obligation to which Smith or any of its Subsidiaries is a party, or by which Smith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Smith Material Adverse Effect.</w:t>
      </w:r>
    </w:p>
    <w:p>
      <w:pPr>
        <w:spacing w:after="0" w:line="124" w:lineRule="exact"/>
        <w:rPr>
          <w:rFonts w:ascii="Arial" w:cs="Arial" w:eastAsia="Arial" w:hAnsi="Arial"/>
          <w:sz w:val="16"/>
          <w:szCs w:val="16"/>
          <w:color w:val="auto"/>
        </w:rPr>
      </w:pPr>
    </w:p>
    <w:p>
      <w:pPr>
        <w:ind w:left="460" w:right="60" w:firstLine="881"/>
        <w:spacing w:after="0" w:line="283" w:lineRule="auto"/>
        <w:tabs>
          <w:tab w:leader="none" w:pos="158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New York Stock Exchange, Inc. (the “</w:t>
      </w:r>
      <w:r>
        <w:rPr>
          <w:rFonts w:ascii="Arial" w:cs="Arial" w:eastAsia="Arial" w:hAnsi="Arial"/>
          <w:sz w:val="16"/>
          <w:szCs w:val="16"/>
          <w:b w:val="1"/>
          <w:bCs w:val="1"/>
          <w:color w:val="auto"/>
        </w:rPr>
        <w:t>NYSE</w:t>
      </w:r>
      <w:r>
        <w:rPr>
          <w:rFonts w:ascii="Arial" w:cs="Arial" w:eastAsia="Arial" w:hAnsi="Arial"/>
          <w:sz w:val="16"/>
          <w:szCs w:val="16"/>
          <w:color w:val="auto"/>
        </w:rPr>
        <w:t>”), (iii) the Hart-Scott-Rodino Antitrust Improvements Act of 1976, as amended (the “</w:t>
      </w:r>
      <w:r>
        <w:rPr>
          <w:rFonts w:ascii="Arial" w:cs="Arial" w:eastAsia="Arial" w:hAnsi="Arial"/>
          <w:sz w:val="16"/>
          <w:szCs w:val="16"/>
          <w:b w:val="1"/>
          <w:bCs w:val="1"/>
          <w:color w:val="auto"/>
        </w:rPr>
        <w:t>HSR</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Council Regulation (EC) No. 139/2004 of 20 January 2004 on the control of concentrations between undertakings (published in the Official Journal</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European Union on January 29, 2004 at L 24/1) (the “</w:t>
      </w:r>
      <w:r>
        <w:rPr>
          <w:rFonts w:ascii="Arial" w:cs="Arial" w:eastAsia="Arial" w:hAnsi="Arial"/>
          <w:sz w:val="16"/>
          <w:szCs w:val="16"/>
          <w:b w:val="1"/>
          <w:bCs w:val="1"/>
          <w:color w:val="auto"/>
        </w:rPr>
        <w:t>EC Merger Regulation</w:t>
      </w:r>
      <w:r>
        <w:rPr>
          <w:rFonts w:ascii="Arial" w:cs="Arial" w:eastAsia="Arial" w:hAnsi="Arial"/>
          <w:sz w:val="16"/>
          <w:szCs w:val="16"/>
          <w:color w:val="auto"/>
        </w:rPr>
        <w:t>”) and such applicable competition, antitrust or premerger notification laws of the other jurisdictions set forth in Section 5.5 of the Smith Disclosure Letter, (iv)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20" w:firstLine="4"/>
        <w:spacing w:after="0" w:line="290" w:lineRule="auto"/>
        <w:tabs>
          <w:tab w:leader="none" w:pos="70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(vi) state securities or “Blue Sky” laws and (vii) other Governmental Entities having jurisdiction over the Merger set forth in Section 5.5 of the Smith Disclosure Letter ((i) through (vii) collectively, the “</w:t>
      </w:r>
      <w:r>
        <w:rPr>
          <w:rFonts w:ascii="Arial" w:cs="Arial" w:eastAsia="Arial" w:hAnsi="Arial"/>
          <w:sz w:val="16"/>
          <w:szCs w:val="16"/>
          <w:b w:val="1"/>
          <w:bCs w:val="1"/>
          <w:color w:val="auto"/>
        </w:rPr>
        <w:t>Smith Approvals</w:t>
      </w:r>
      <w:r>
        <w:rPr>
          <w:rFonts w:ascii="Arial" w:cs="Arial" w:eastAsia="Arial" w:hAnsi="Arial"/>
          <w:sz w:val="16"/>
          <w:szCs w:val="16"/>
          <w:color w:val="auto"/>
        </w:rPr>
        <w:t>”), neither the execution, delivery or performance by Smith of this Agreement, nor the consummation by Smith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Smith Material Adverse Effect.</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91" w:lineRule="auto"/>
        <w:tabs>
          <w:tab w:leader="none" w:pos="157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Smith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2006 (collectively, the “</w:t>
      </w:r>
      <w:r>
        <w:rPr>
          <w:rFonts w:ascii="Arial" w:cs="Arial" w:eastAsia="Arial" w:hAnsi="Arial"/>
          <w:sz w:val="16"/>
          <w:szCs w:val="16"/>
          <w:b w:val="1"/>
          <w:bCs w:val="1"/>
          <w:color w:val="auto"/>
        </w:rPr>
        <w:t>Smith Reports</w:t>
      </w:r>
      <w:r>
        <w:rPr>
          <w:rFonts w:ascii="Arial" w:cs="Arial" w:eastAsia="Arial" w:hAnsi="Arial"/>
          <w:sz w:val="16"/>
          <w:szCs w:val="16"/>
          <w:color w:val="auto"/>
        </w:rPr>
        <w:t>”) and has made available to Schlumberger each such document it has so filed or furnished, in the form filed with or furnished to the SEC. Smith has made available to Schlumberger copies of all material comment letters from the SEC and Smith’s responses thereto since January 1, 2006 through the date hereof. As of the date of this Agreement, there are no outstanding or unresolved comments received from the SEC staff with respect to the Smith Reports. No Subsidiary of Smith is required to file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registration statement, prospectus, report, schedule, form, statement or any other document with the SEC. No Subsidiary of Smith is, or since</w:t>
      </w:r>
    </w:p>
    <w:p>
      <w:pPr>
        <w:spacing w:after="0" w:line="38" w:lineRule="exact"/>
        <w:rPr>
          <w:sz w:val="20"/>
          <w:szCs w:val="20"/>
          <w:color w:val="auto"/>
        </w:rPr>
      </w:pPr>
    </w:p>
    <w:p>
      <w:pPr>
        <w:ind w:left="460" w:right="20"/>
        <w:spacing w:after="0" w:line="315" w:lineRule="auto"/>
        <w:rPr>
          <w:sz w:val="20"/>
          <w:szCs w:val="20"/>
          <w:color w:val="auto"/>
        </w:rPr>
      </w:pPr>
      <w:r>
        <w:rPr>
          <w:rFonts w:ascii="Arial" w:cs="Arial" w:eastAsia="Arial" w:hAnsi="Arial"/>
          <w:sz w:val="15"/>
          <w:szCs w:val="15"/>
          <w:color w:val="auto"/>
        </w:rPr>
        <w:t>January 1, 2006 has been, subject to any requirement to file periodic reports under the Exchange Act. As of their respective dates (or, if amended, as of the date of such amendment), the Smith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Smith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04" w:lineRule="exact"/>
        <w:rPr>
          <w:sz w:val="20"/>
          <w:szCs w:val="20"/>
          <w:color w:val="auto"/>
        </w:rPr>
      </w:pPr>
    </w:p>
    <w:p>
      <w:pPr>
        <w:ind w:left="460" w:firstLine="881"/>
        <w:spacing w:after="0" w:line="312" w:lineRule="auto"/>
        <w:tabs>
          <w:tab w:leader="none" w:pos="1585" w:val="left"/>
        </w:tabs>
        <w:numPr>
          <w:ilvl w:val="1"/>
          <w:numId w:val="184"/>
        </w:numPr>
        <w:rPr>
          <w:rFonts w:ascii="Arial" w:cs="Arial" w:eastAsia="Arial" w:hAnsi="Arial"/>
          <w:sz w:val="15"/>
          <w:szCs w:val="15"/>
          <w:color w:val="auto"/>
        </w:rPr>
      </w:pPr>
      <w:r>
        <w:rPr>
          <w:rFonts w:ascii="Arial" w:cs="Arial" w:eastAsia="Arial" w:hAnsi="Arial"/>
          <w:sz w:val="15"/>
          <w:szCs w:val="15"/>
          <w:color w:val="auto"/>
        </w:rPr>
        <w:t>Each of the consolidated balance sheets included in or incorporated by reference into the Smith Reports (including the related notes and schedules) fairly presents, in all material respects, the consolidated financial position of Smith and its Subsidiaries as of its date, and each of the consolidated statements of operations, cash flows and changes in stockholders’ equity included in or incorporated by reference into the Smith Reports (including any related notes and schedules) fairly presents, in all material respects, the results of operations, cash flows or changes in stockholders’ equity, as the case may be, of Smith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consistently applied during the periods involved, except as may be noted therein.</w:t>
      </w:r>
    </w:p>
    <w:p>
      <w:pPr>
        <w:spacing w:after="0" w:line="105" w:lineRule="exact"/>
        <w:rPr>
          <w:rFonts w:ascii="Arial" w:cs="Arial" w:eastAsia="Arial" w:hAnsi="Arial"/>
          <w:sz w:val="15"/>
          <w:szCs w:val="15"/>
          <w:color w:val="auto"/>
        </w:rPr>
      </w:pPr>
    </w:p>
    <w:p>
      <w:pPr>
        <w:ind w:left="460" w:right="20" w:firstLine="881"/>
        <w:spacing w:after="0" w:line="284" w:lineRule="auto"/>
        <w:tabs>
          <w:tab w:leader="none" w:pos="1575"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There are no liabilities or obligations of Smith or any of its Subsidiaries (whether accrued, absolute, contingent or otherwise and whether or not required to be disclosed) that would be required to be reflected on, or reserved against in, a balance sheet of Smith or in the notes thereto prepared in accordance with GAAP, other than liabilities or obligations to the extent (i) (A) reflected or reserved against on the consolidated balance sheet of Smith or</w:t>
      </w:r>
    </w:p>
    <w:p>
      <w:pPr>
        <w:spacing w:after="0" w:line="1" w:lineRule="exact"/>
        <w:rPr>
          <w:rFonts w:ascii="Arial" w:cs="Arial" w:eastAsia="Arial" w:hAnsi="Arial"/>
          <w:sz w:val="16"/>
          <w:szCs w:val="16"/>
          <w:color w:val="auto"/>
        </w:rPr>
      </w:pPr>
    </w:p>
    <w:p>
      <w:pPr>
        <w:ind w:left="460" w:right="180" w:firstLine="4"/>
        <w:spacing w:after="0" w:line="254" w:lineRule="auto"/>
        <w:tabs>
          <w:tab w:leader="none" w:pos="73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Smith’s annual report on Form 10-K for the year ended December 31, 2008 or Smith’s quarterly report on Form 10-Q for the period ended September 30, 2009, (ii) liabilities or obligations incurred in the ordinary course of business since September 30, 2009 or (iii) liabilities or obligations which have not had and would not reasonably be expected to have, individually or in the aggregate, a Smith Material Adverse Effect.</w:t>
      </w:r>
    </w:p>
    <w:p>
      <w:pPr>
        <w:spacing w:after="0" w:line="143" w:lineRule="exact"/>
        <w:rPr>
          <w:rFonts w:ascii="Arial" w:cs="Arial" w:eastAsia="Arial" w:hAnsi="Arial"/>
          <w:sz w:val="18"/>
          <w:szCs w:val="18"/>
          <w:color w:val="auto"/>
        </w:rPr>
      </w:pPr>
    </w:p>
    <w:p>
      <w:pPr>
        <w:ind w:left="460" w:right="440" w:firstLine="881"/>
        <w:spacing w:after="0" w:line="259" w:lineRule="auto"/>
        <w:tabs>
          <w:tab w:leader="none" w:pos="158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As of February 19, 2010, there was no outstanding indebtedness for borrowed money of Smith or any of its Subsidiaries, other than indebtedness in the amounts identified by instrument in Section 5.6 of the Smith Disclosure Letter, and excluding inter-company indebtedness among Smith and its wholly-owned Subsidiaries.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65" w:lineRule="exact"/>
        <w:rPr>
          <w:sz w:val="20"/>
          <w:szCs w:val="20"/>
          <w:color w:val="auto"/>
        </w:rPr>
      </w:pPr>
    </w:p>
    <w:p>
      <w:pPr>
        <w:jc w:val="both"/>
        <w:ind w:left="460" w:right="180" w:firstLine="881"/>
        <w:spacing w:after="0" w:line="262" w:lineRule="auto"/>
        <w:tabs>
          <w:tab w:leader="none" w:pos="15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Smith has been and is in compliance in all material respects with (i) the applicable provisions of the Sarbanes-Oxley Act and (ii) the applicable listing and corporate governance rules and regulations of the NYSE.</w:t>
      </w:r>
    </w:p>
    <w:p>
      <w:pPr>
        <w:spacing w:after="0" w:line="138" w:lineRule="exact"/>
        <w:rPr>
          <w:rFonts w:ascii="Arial" w:cs="Arial" w:eastAsia="Arial" w:hAnsi="Arial"/>
          <w:sz w:val="18"/>
          <w:szCs w:val="18"/>
          <w:color w:val="auto"/>
        </w:rPr>
      </w:pPr>
    </w:p>
    <w:p>
      <w:pPr>
        <w:ind w:left="460" w:right="240" w:firstLine="881"/>
        <w:spacing w:after="0" w:line="298" w:lineRule="auto"/>
        <w:tabs>
          <w:tab w:leader="none" w:pos="158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Smith (or each former principal executive officer and former principal financial officer of Smith, as applicable) has made all certifications required under Sections 302 and 906 of the Sarbanes-Oxley Act and the related rules and regulations promulgated thereunder and under the Exchange Act with respect to the Smith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jc w:val="both"/>
        <w:ind w:left="460" w:right="560" w:firstLine="881"/>
        <w:spacing w:after="0" w:line="259" w:lineRule="auto"/>
        <w:tabs>
          <w:tab w:leader="none" w:pos="15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Smith has (i) designed and maintained disclosure controls and procedures (as defined in Rule 13a-15(e) under the Exchange Act) as required by Rule 13a-15 under the Exchange Act, and (ii) disclosed, based on its most recent evaluation and knowledge, to its auditors and the audit committee of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40" w:lineRule="exact"/>
        <w:rPr>
          <w:sz w:val="20"/>
          <w:szCs w:val="20"/>
          <w:color w:val="auto"/>
        </w:rPr>
      </w:pPr>
    </w:p>
    <w:p>
      <w:pPr>
        <w:ind w:left="460" w:right="20" w:firstLine="881"/>
        <w:spacing w:after="0" w:line="312" w:lineRule="auto"/>
        <w:tabs>
          <w:tab w:leader="none" w:pos="1585" w:val="left"/>
        </w:tabs>
        <w:numPr>
          <w:ilvl w:val="0"/>
          <w:numId w:val="187"/>
        </w:numPr>
        <w:rPr>
          <w:rFonts w:ascii="Arial" w:cs="Arial" w:eastAsia="Arial" w:hAnsi="Arial"/>
          <w:sz w:val="15"/>
          <w:szCs w:val="15"/>
          <w:color w:val="auto"/>
        </w:rPr>
      </w:pPr>
      <w:r>
        <w:rPr>
          <w:rFonts w:ascii="Arial" w:cs="Arial" w:eastAsia="Arial" w:hAnsi="Arial"/>
          <w:sz w:val="15"/>
          <w:szCs w:val="15"/>
          <w:color w:val="auto"/>
        </w:rPr>
        <w:t>Smith has designed and maintains a system of internal controls over financial reporting (as defined in Rule 13a-15(f) and 15d-15(f) under the Exchange Act) as required by Rule 13a-15 under the Exchange Act. Smith’s management, with the participation of Smith’s principal executive and financial officers, has completed an assessment of the effectiveness of Smith’s internal controls over financial reporting in compliance with the requirements of Section 404 of the Sarbanes-Oxley Act for the year ended December 31, 2008, and such assessment concluded that such internal controls were effective using the framework specified in Smith’s annual report on Form 10-K for the year ended December 31, 2008. To the knowledge of Smith,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05" w:lineRule="exact"/>
        <w:rPr>
          <w:rFonts w:ascii="Arial" w:cs="Arial" w:eastAsia="Arial" w:hAnsi="Arial"/>
          <w:sz w:val="15"/>
          <w:szCs w:val="15"/>
          <w:color w:val="auto"/>
        </w:rPr>
      </w:pPr>
    </w:p>
    <w:p>
      <w:pPr>
        <w:ind w:left="460" w:right="20" w:firstLine="881"/>
        <w:spacing w:after="0" w:line="268" w:lineRule="auto"/>
        <w:tabs>
          <w:tab w:leader="none" w:pos="15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Smith to any of its or their executive officers or directors has been made or modified (other than as permitted by Section 13 of the Exchange Act and Section 402 of the Sarbanes-Oxley Act) since July 30, 2002.</w:t>
      </w:r>
    </w:p>
    <w:p>
      <w:pPr>
        <w:spacing w:after="0" w:line="132"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Smith, threatened against Smith or any of its Subsidiaries or their respective assets, or any director, officer or employee of Smith or any of its Subsidiaries or other affiliates, in each case, for whom Smith or any of its Subsidiaries may be liable, or (b) litigations, arbitrations, investigations or other proceedings, or injunctions or final judgments relating thereto, pending or, to the knowledge of Smith, threatened before any Governmental Entity or arbitrator against Smith or any of its Subsidiaries or their respective assets, or any director, officer or employee of Smith or any of its Subsidiaries or other affiliates, in each case, for whom Smith or any of its Subsidiaries may be liable, except in the case of either clause (a) or (b), for those that would not, individually or in the aggregate, reasonably be expected to result in a Smith Material Adverse Effect. None of Smith or any of its Subsidiaries or their respective assets, or any director, officer or employee of Smith or any of its Subsidiaries or other affiliates, in each case, for whom Smith or any of its Subsidiaries may be liable, is a party to or subject to the provisions of any judgment, order, writ, injunction, decree or award of any Governmental Entity which would, individually or in the aggregate, reasonably be expected to result in a Smith Material Adverse Effect. 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124" w:lineRule="exact"/>
        <w:rPr>
          <w:sz w:val="20"/>
          <w:szCs w:val="20"/>
          <w:color w:val="auto"/>
        </w:rPr>
      </w:pPr>
    </w:p>
    <w:p>
      <w:pPr>
        <w:ind w:left="460" w:right="60" w:firstLine="876"/>
        <w:spacing w:after="0" w:line="30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December 31, 2008, there has not been any Smith Material Adverse Effect or any event, occurrence, change, discovery or development of a state of circumstances or facts which would, individually or in the aggregate, reasonably be expected to result in a Smith Material Adverse Effect. Since December 31, 2008 and prior to the execution and delivery hereof, there has not been:</w:t>
      </w:r>
    </w:p>
    <w:p>
      <w:pPr>
        <w:spacing w:after="0" w:line="26" w:lineRule="exact"/>
        <w:rPr>
          <w:sz w:val="20"/>
          <w:szCs w:val="20"/>
          <w:color w:val="auto"/>
        </w:rPr>
      </w:pPr>
    </w:p>
    <w:p>
      <w:pPr>
        <w:ind w:left="920" w:right="120" w:firstLine="421"/>
        <w:spacing w:after="0" w:line="332" w:lineRule="auto"/>
        <w:tabs>
          <w:tab w:leader="none" w:pos="157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recapitalization of Smith or any merger or consolidation of Smith or any of its Subsidiaries with any other person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acquisition of any business from any other person having a value in excess of $20 million;</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7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creation or incurrence of any Liens on any assets used in the businesses of Smith and its Subsidiaries having an aggregate value in excess of $20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259" w:lineRule="auto"/>
        <w:tabs>
          <w:tab w:leader="none" w:pos="158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making of any loan, advance or capital contribution to, or investment in, any person other than (i) loans, advances or capital contributions to, or investments in, wholly owned Subsidiaries of Smith and (ii) loans, advances or capital contributions to, or investments in, any other person in an amount not in excess of $20 million in the aggregate;</w:t>
      </w:r>
    </w:p>
    <w:p>
      <w:pPr>
        <w:spacing w:after="0" w:line="59" w:lineRule="exact"/>
        <w:rPr>
          <w:rFonts w:ascii="Arial" w:cs="Arial" w:eastAsia="Arial" w:hAnsi="Arial"/>
          <w:sz w:val="18"/>
          <w:szCs w:val="18"/>
          <w:color w:val="auto"/>
        </w:rPr>
      </w:pPr>
    </w:p>
    <w:p>
      <w:pPr>
        <w:ind w:left="920" w:right="60" w:firstLine="421"/>
        <w:spacing w:after="0" w:line="290" w:lineRule="auto"/>
        <w:tabs>
          <w:tab w:leader="none" w:pos="1579"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distribution (whether in cash, stock, property or any combination thereof) with respect to any shares of capital stock of Smith or any of its Subsidiaries (except for Smith’s regular quarterly cash dividend and dividends or distributions by any direct or indirect wholly owned Subsidiary of Smith to Smith or any wholly owned Subsidiary of Smith, and except for dividends or distributions by other Subsidiaries of Smith for which the portion of such dividends or distributions not payable to a direct or indirect wholly owned Subsidiary of Smith did not exceed $5 million in value in the aggregate for all such dividends and distributions), or any purchase, repurchase, redemption or other acquisition by Smith or any of its Subsidiaries, directly or indirectly, of any outstanding shares of capital stock or other securities of, or other ownership interests in, Smith or any of its Subsidiaries for consideration in excess of $10 million;</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issuance of shares of Smith Common Stock or other equity securities of Smith except pursuant to Smith Stock Plans;</w:t>
      </w:r>
    </w:p>
    <w:p>
      <w:pPr>
        <w:spacing w:after="0" w:line="90" w:lineRule="exact"/>
        <w:rPr>
          <w:rFonts w:ascii="Arial" w:cs="Arial" w:eastAsia="Arial" w:hAnsi="Arial"/>
          <w:sz w:val="18"/>
          <w:szCs w:val="18"/>
          <w:color w:val="auto"/>
        </w:rPr>
      </w:pPr>
    </w:p>
    <w:p>
      <w:pPr>
        <w:jc w:val="both"/>
        <w:ind w:left="920" w:right="60" w:firstLine="421"/>
        <w:spacing w:after="0" w:line="259" w:lineRule="auto"/>
        <w:tabs>
          <w:tab w:leader="none" w:pos="158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elections or changes thereto with respect to Taxes by Smith or any of its Subsidiaries or any settlement or compromise by Smith or any of its Subsidiaries of any Tax liability or refund, in each case, that would have, or reasonably be expected to have, an adverse effect on Smith and its Subsidiaries that is material;</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material change with respect to financial accounting policies, principles or procedures by Smith or any of its Subsidiaries, except for any such change required by changes in GAAP or by Applicable Law;</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any sale, transfer, lease, license, mortgage, pledge or other disposition or encumbrance of any assets of Smith or its Subsidiaries, except for</w:t>
      </w:r>
    </w:p>
    <w:p>
      <w:pPr>
        <w:spacing w:after="0" w:line="49" w:lineRule="exact"/>
        <w:rPr>
          <w:rFonts w:ascii="Arial" w:cs="Arial" w:eastAsia="Arial" w:hAnsi="Arial"/>
          <w:sz w:val="15"/>
          <w:szCs w:val="15"/>
          <w:color w:val="auto"/>
        </w:rPr>
      </w:pPr>
    </w:p>
    <w:p>
      <w:pPr>
        <w:jc w:val="both"/>
        <w:ind w:left="920" w:firstLine="1"/>
        <w:spacing w:after="0" w:line="295" w:lineRule="auto"/>
        <w:tabs>
          <w:tab w:leader="none" w:pos="113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obsolete assets, (ii) sales, transfers, leases, licenses, mortgages, pledges or other dispositions or encumbrances of assets in the ordinary course of business consistent with past practice or for a purchase price not in excess of, or with a fair market value not in excess of, $20 million in any single transaction or series of related transactions, (iii) sales, leases, licenses or other transfers between Smith and its wholly owned Subsidiaries or between those Subsidiaries, or (iv) sales of inventory, products and services in the ordinary course of business; or</w:t>
      </w:r>
    </w:p>
    <w:p>
      <w:pPr>
        <w:spacing w:after="0" w:line="34" w:lineRule="exact"/>
        <w:rPr>
          <w:rFonts w:ascii="Arial" w:cs="Arial" w:eastAsia="Arial" w:hAnsi="Arial"/>
          <w:sz w:val="16"/>
          <w:szCs w:val="16"/>
          <w:color w:val="auto"/>
        </w:rPr>
      </w:pPr>
    </w:p>
    <w:p>
      <w:pPr>
        <w:ind w:left="1560" w:hanging="219"/>
        <w:spacing w:after="0"/>
        <w:tabs>
          <w:tab w:leader="none" w:pos="15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agreement to do any of the foregoing.</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Except as have not had and would not reasonably be expected to have, individually or in the aggregate, a Smith Material Adverse Effect:</w:t>
      </w:r>
    </w:p>
    <w:p>
      <w:pPr>
        <w:spacing w:after="0" w:line="107" w:lineRule="exact"/>
        <w:rPr>
          <w:sz w:val="20"/>
          <w:szCs w:val="20"/>
          <w:color w:val="auto"/>
        </w:rPr>
      </w:pPr>
    </w:p>
    <w:p>
      <w:pPr>
        <w:ind w:left="920" w:right="60" w:firstLine="421"/>
        <w:spacing w:after="0" w:line="291" w:lineRule="auto"/>
        <w:tabs>
          <w:tab w:leader="none" w:pos="154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Smith or any of its Subsidiaries (including any Return required to be filed by an affiliated, consolidated, combined, unitary or similar group that includes Smith or any of its Subsidiaries) on or prior to the date hereof have been properly filed on a timely basis with the appropriate Governmental Entities, and (B) all Taxes required to be paid by Smith or any of its Subsidiaries have been duly paid, and all Taxes that Smith or any of its Subsidiaries are obligated to withhold from amounts payable to any employee, creditor, shareholder or other third party have been duly withheld and deposited, in each case in full and on a timely basis, except, in each case of clause (A) and (B), with respect to matters contested in good faith or adequately reserved for, in accordance with GAAP;</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Smith or any of its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firstLine="421"/>
        <w:spacing w:after="0" w:line="332" w:lineRule="auto"/>
        <w:tabs>
          <w:tab w:leader="none" w:pos="16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 Governmental Entity is asserting in writing any deficiency or claim for Taxes or any adjustment to Taxes of Smith or any of its Subsidiaries which have not been fully paid or finally settled or adequately reserved for, in accordance with GAAP;</w:t>
      </w:r>
    </w:p>
    <w:p>
      <w:pPr>
        <w:spacing w:after="0" w:line="4" w:lineRule="exact"/>
        <w:rPr>
          <w:rFonts w:ascii="Arial" w:cs="Arial" w:eastAsia="Arial" w:hAnsi="Arial"/>
          <w:sz w:val="16"/>
          <w:szCs w:val="16"/>
          <w:color w:val="auto"/>
        </w:rPr>
      </w:pPr>
    </w:p>
    <w:p>
      <w:pPr>
        <w:jc w:val="both"/>
        <w:ind w:left="920" w:right="40" w:firstLine="421"/>
        <w:spacing w:after="0" w:line="298" w:lineRule="auto"/>
        <w:tabs>
          <w:tab w:leader="none" w:pos="163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neither Smith nor any of its Subsidiaries has any liability for Taxes under Treasury Regulation § 1.1502-6 or any similar provision of state, local, or non-U.S. tax law, except for (A) Taxes of the affiliated group of which Smith or any of its Subsidiaries is or was the common parent, within the meaning of Section 1504(a)(1) of the Code or any similar provision of state, local, or non-U.S. tax law, and (B) Taxes imposed under non-U.S. tax law for which Smith or its Subsidiaries are entitled to indemnification from third parties;</w:t>
      </w:r>
    </w:p>
    <w:p>
      <w:pPr>
        <w:spacing w:after="0" w:line="31" w:lineRule="exact"/>
        <w:rPr>
          <w:rFonts w:ascii="Arial" w:cs="Arial" w:eastAsia="Arial" w:hAnsi="Arial"/>
          <w:sz w:val="16"/>
          <w:szCs w:val="16"/>
          <w:color w:val="auto"/>
        </w:rPr>
      </w:pPr>
    </w:p>
    <w:p>
      <w:pPr>
        <w:ind w:left="920" w:right="600" w:firstLine="421"/>
        <w:spacing w:after="0" w:line="332" w:lineRule="auto"/>
        <w:tabs>
          <w:tab w:leader="none" w:pos="158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neither Smith nor any of its Subsidiaries has granted any currently effective requests, agreements, consents or waivers to extend the statutory period of limitations applicable to the assessment of any Taxes with respect to any Returns of Smith or any of its Subsidiaries;</w:t>
      </w:r>
    </w:p>
    <w:p>
      <w:pPr>
        <w:spacing w:after="0" w:line="4" w:lineRule="exact"/>
        <w:rPr>
          <w:rFonts w:ascii="Arial" w:cs="Arial" w:eastAsia="Arial" w:hAnsi="Arial"/>
          <w:sz w:val="16"/>
          <w:szCs w:val="16"/>
          <w:color w:val="auto"/>
        </w:rPr>
      </w:pPr>
    </w:p>
    <w:p>
      <w:pPr>
        <w:ind w:left="920" w:right="60" w:firstLine="421"/>
        <w:spacing w:after="0" w:line="259" w:lineRule="auto"/>
        <w:tabs>
          <w:tab w:leader="none" w:pos="16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any closing agreement described in Section 7121 of the Code or any predecessor provision thereof or any similar agreement under state, local, or non-U.S. tax law that affects any Tax liability with respect to the last three years, the current year or any future year;</w:t>
      </w:r>
    </w:p>
    <w:p>
      <w:pPr>
        <w:spacing w:after="0" w:line="59" w:lineRule="exact"/>
        <w:rPr>
          <w:rFonts w:ascii="Arial" w:cs="Arial" w:eastAsia="Arial" w:hAnsi="Arial"/>
          <w:sz w:val="18"/>
          <w:szCs w:val="18"/>
          <w:color w:val="auto"/>
        </w:rPr>
      </w:pPr>
    </w:p>
    <w:p>
      <w:pPr>
        <w:ind w:left="920" w:right="260" w:firstLine="421"/>
        <w:spacing w:after="0" w:line="268" w:lineRule="auto"/>
        <w:tabs>
          <w:tab w:leader="none" w:pos="168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is bound by, or has any obligation under, any tax sharing, allocation or indemnity agreement or any similar agreement or arrangement;</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neither Smith nor any of its Subsidiaries has participated in any “listed transaction,” within the meaning of Treasury regulation §1.6011-</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4(b);</w:t>
      </w:r>
    </w:p>
    <w:p>
      <w:pPr>
        <w:spacing w:after="0" w:line="83" w:lineRule="exact"/>
        <w:rPr>
          <w:rFonts w:ascii="Arial" w:cs="Arial" w:eastAsia="Arial" w:hAnsi="Arial"/>
          <w:sz w:val="16"/>
          <w:szCs w:val="16"/>
          <w:color w:val="auto"/>
        </w:rPr>
      </w:pPr>
    </w:p>
    <w:p>
      <w:pPr>
        <w:ind w:left="920" w:right="280" w:firstLine="421"/>
        <w:spacing w:after="0" w:line="332" w:lineRule="auto"/>
        <w:tabs>
          <w:tab w:leader="none" w:pos="163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neither Smith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4" w:lineRule="exact"/>
        <w:rPr>
          <w:rFonts w:ascii="Arial" w:cs="Arial" w:eastAsia="Arial" w:hAnsi="Arial"/>
          <w:sz w:val="16"/>
          <w:szCs w:val="16"/>
          <w:color w:val="auto"/>
        </w:rPr>
      </w:pPr>
    </w:p>
    <w:p>
      <w:pPr>
        <w:ind w:left="920" w:firstLine="421"/>
        <w:spacing w:after="0" w:line="268" w:lineRule="auto"/>
        <w:tabs>
          <w:tab w:leader="none" w:pos="15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Smith’s knowledge, no claim has been made in the last three years by an authority in a jurisdiction where any of Smith or its Subsidiaries does not file Returns that Smith or any of its Subsidiaries is or may be subject to taxation in that jurisdiction; and</w:t>
      </w:r>
    </w:p>
    <w:p>
      <w:pPr>
        <w:spacing w:after="0" w:line="50" w:lineRule="exact"/>
        <w:rPr>
          <w:rFonts w:ascii="Arial" w:cs="Arial" w:eastAsia="Arial" w:hAnsi="Arial"/>
          <w:sz w:val="18"/>
          <w:szCs w:val="18"/>
          <w:color w:val="auto"/>
        </w:rPr>
      </w:pPr>
    </w:p>
    <w:p>
      <w:pPr>
        <w:ind w:left="920" w:right="100" w:firstLine="421"/>
        <w:spacing w:after="0" w:line="332" w:lineRule="auto"/>
        <w:tabs>
          <w:tab w:leader="none" w:pos="163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 Subsidiary of Smith the fair market value of which represents more than five percent of the aggregate fair market value of the assets of Smith and its Subsidiaries is or has ever been a passive foreign investment company within the meaning of Section 1297 of the Code.</w:t>
      </w:r>
    </w:p>
    <w:p>
      <w:pPr>
        <w:spacing w:after="0" w:line="85" w:lineRule="exact"/>
        <w:rPr>
          <w:sz w:val="20"/>
          <w:szCs w:val="20"/>
          <w:color w:val="auto"/>
        </w:rPr>
      </w:pPr>
    </w:p>
    <w:p>
      <w:pPr>
        <w:ind w:left="460" w:right="480" w:firstLine="881"/>
        <w:spacing w:after="0" w:line="332" w:lineRule="auto"/>
        <w:tabs>
          <w:tab w:leader="none" w:pos="158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Without regard to whether it has had or would reasonably be expected to have a Smith Material Adverse Effect, Smith has not been a United States real property holding corporation within the meaning of Section 897(c)(2) of the Code at any time within the past five years.</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8" w:lineRule="auto"/>
        <w:tabs>
          <w:tab w:leader="none" w:pos="157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Section 5.11(a) of the Smith Disclosure Letter contains a list of all Smith Benefit Plans that are subject to laws of the United States (each, a “</w:t>
      </w:r>
      <w:r>
        <w:rPr>
          <w:rFonts w:ascii="Arial" w:cs="Arial" w:eastAsia="Arial" w:hAnsi="Arial"/>
          <w:sz w:val="16"/>
          <w:szCs w:val="16"/>
          <w:b w:val="1"/>
          <w:bCs w:val="1"/>
          <w:color w:val="auto"/>
        </w:rPr>
        <w:t>Smith U.S.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U.S. Benefit Plans</w:t>
      </w:r>
      <w:r>
        <w:rPr>
          <w:rFonts w:ascii="Arial" w:cs="Arial" w:eastAsia="Arial" w:hAnsi="Arial"/>
          <w:sz w:val="16"/>
          <w:szCs w:val="16"/>
          <w:color w:val="auto"/>
        </w:rPr>
        <w:t>”). Within twenty (20) business days after the date hereof, Smith will provide Schlumberger with a list of all Smith Benefit Plans that are not Smith U.S. Benefit Plans (each, a “</w:t>
      </w:r>
      <w:r>
        <w:rPr>
          <w:rFonts w:ascii="Arial" w:cs="Arial" w:eastAsia="Arial" w:hAnsi="Arial"/>
          <w:sz w:val="16"/>
          <w:szCs w:val="16"/>
          <w:b w:val="1"/>
          <w:bCs w:val="1"/>
          <w:color w:val="auto"/>
        </w:rPr>
        <w:t>Smith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Foreign Benefit Plans</w:t>
      </w:r>
      <w:r>
        <w:rPr>
          <w:rFonts w:ascii="Arial" w:cs="Arial" w:eastAsia="Arial" w:hAnsi="Arial"/>
          <w:sz w:val="16"/>
          <w:szCs w:val="16"/>
          <w:color w:val="auto"/>
        </w:rPr>
        <w:t>”). The term “</w:t>
      </w:r>
      <w:r>
        <w:rPr>
          <w:rFonts w:ascii="Arial" w:cs="Arial" w:eastAsia="Arial" w:hAnsi="Arial"/>
          <w:sz w:val="16"/>
          <w:szCs w:val="16"/>
          <w:b w:val="1"/>
          <w:bCs w:val="1"/>
          <w:color w:val="auto"/>
        </w:rPr>
        <w:t>Smith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Smith or any of its Subsidiaries, to which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Smith or any of its Subsidiaries is a party or is required to provide benefits under Applicable Law. As of the date hereof, there is no unsatisfied liability associated with any terminated Smith Benefit Plan. A true and correct copy of each Smith U.S. Benefit Plan has been made available to Schlumberger. Within twenty (20) business days after the date hereof, Smith will make available to Schlumberger a true and correct copy of each Smith Foreign Benefit Plan. With respect to each Smith U.S. Benefit Plan, Smith has made available to Schlumberger a true and correct copy of (i) the most recent annual report (Form 5500) filed with the applicable Governmental Entity (with respect to Smith U.S. Benefit Plans for which Form 5500’s are filed), (ii) each such Smith U.S. Benefit Plan that has been reduced to writing and all amendments thereto, (iii) each trust agreement, insurance contract or administration agreement relating to each such Smith U.S. Benefit Plan, (iv) the most recent summary plan description or other written explanation of each Smith U.S. Benefit Plan provided to participants, (vi) the most recent actuarial report or valuation relating to a Smith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Smith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three years.</w:t>
      </w:r>
    </w:p>
    <w:p>
      <w:pPr>
        <w:spacing w:after="0" w:line="124" w:lineRule="exact"/>
        <w:rPr>
          <w:sz w:val="20"/>
          <w:szCs w:val="20"/>
          <w:color w:val="auto"/>
        </w:rPr>
      </w:pPr>
    </w:p>
    <w:p>
      <w:pPr>
        <w:ind w:left="460" w:right="140" w:firstLine="881"/>
        <w:spacing w:after="0" w:line="268" w:lineRule="auto"/>
        <w:tabs>
          <w:tab w:leader="none" w:pos="15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With respect to each Smith U.S. Benefit Plan, except as have not had and would not reasonably be expected to have, individually or in the aggregate, a Smith Material Adverse Effect:</w:t>
      </w:r>
    </w:p>
    <w:p>
      <w:pPr>
        <w:spacing w:after="0" w:line="51" w:lineRule="exact"/>
        <w:rPr>
          <w:sz w:val="20"/>
          <w:szCs w:val="20"/>
          <w:color w:val="auto"/>
        </w:rPr>
      </w:pPr>
    </w:p>
    <w:p>
      <w:pPr>
        <w:ind w:left="1560" w:hanging="219"/>
        <w:spacing w:after="0"/>
        <w:tabs>
          <w:tab w:leader="none" w:pos="15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90" w:lineRule="exact"/>
        <w:rPr>
          <w:rFonts w:ascii="Arial" w:cs="Arial" w:eastAsia="Arial" w:hAnsi="Arial"/>
          <w:sz w:val="18"/>
          <w:szCs w:val="18"/>
          <w:color w:val="auto"/>
        </w:rPr>
      </w:pPr>
    </w:p>
    <w:p>
      <w:pPr>
        <w:ind w:left="920" w:right="600" w:firstLine="421"/>
        <w:spacing w:after="0" w:line="268" w:lineRule="auto"/>
        <w:tabs>
          <w:tab w:leader="none" w:pos="159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the extent applicable, such Smith U.S. Benefit Plan complies and has complied with the requirements of ERISA, the Code, other Applicable Law and with the operative documents for each such plan;</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Smith U.S. Benefit Plan intended to be qualified under Section 401(a) of the Code has received a favorable determination letter from</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the IRS;</w:t>
      </w:r>
    </w:p>
    <w:p>
      <w:pPr>
        <w:spacing w:after="0" w:line="83"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Smith U.S. Benefit Plans have been maintained and operated in accordance with their terms, and, to the knowledge of Smith, there have been no breaches of fiduciary duty in connection with Smith Benefit Plans;</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8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are no pending or, to the knowledge of Smith, threatened claims against or otherwise involving any Smith U.S. Benefit Plan, and no suit, action or other litigation (excluding claims for benefits incurred in the ordinary course of Smith Benefit Plan activities) is pending against or with respect to any such Smith Benefit Plan;</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Smith U.S. Benefit Plan;</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all material contributions required to be made as of the date hereof to Smith U.S. Benefit Plans have been made or provided for;</w:t>
      </w:r>
    </w:p>
    <w:p>
      <w:pPr>
        <w:spacing w:after="0" w:line="113" w:lineRule="exact"/>
        <w:rPr>
          <w:rFonts w:ascii="Arial" w:cs="Arial" w:eastAsia="Arial" w:hAnsi="Arial"/>
          <w:sz w:val="16"/>
          <w:szCs w:val="16"/>
          <w:color w:val="auto"/>
        </w:rPr>
      </w:pPr>
    </w:p>
    <w:p>
      <w:pPr>
        <w:ind w:left="920" w:right="440" w:firstLine="421"/>
        <w:spacing w:after="0" w:line="259" w:lineRule="auto"/>
        <w:tabs>
          <w:tab w:leader="none" w:pos="173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Smith has not engaged in a transaction with respect to any Smith U.S. Benefit Plan for which it would reasonably be expected to be subject (either directly or indirectly) to a liability for either a civil penalty assessed pursuant to Section 502(i) of ERISA or a Tax imposed by Section 4975 of the Code;</w:t>
      </w:r>
    </w:p>
    <w:p>
      <w:pPr>
        <w:spacing w:after="0" w:line="59" w:lineRule="exact"/>
        <w:rPr>
          <w:rFonts w:ascii="Arial" w:cs="Arial" w:eastAsia="Arial" w:hAnsi="Arial"/>
          <w:sz w:val="18"/>
          <w:szCs w:val="18"/>
          <w:color w:val="auto"/>
        </w:rPr>
      </w:pPr>
    </w:p>
    <w:p>
      <w:pPr>
        <w:jc w:val="both"/>
        <w:ind w:left="920" w:right="180" w:firstLine="421"/>
        <w:spacing w:after="0" w:line="256" w:lineRule="auto"/>
        <w:tabs>
          <w:tab w:leader="none" w:pos="16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2008,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58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with respect to Smith U.S. Benefit Plans or any “employee pension benefit plans,” as defined in Section 3(2) of ERISA, that are subject to Title IV of ERISA and have been maintained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contributed to within six years prior to the date hereof by Smith, any of its Subsidiaries or any trade or business (whether or not incorporated) which is under common control, or which is treated as a single employer, with Smith or any of its Subsidiaries under Section 414(b), (c), (m) or (o) of the Code (a “</w:t>
      </w:r>
      <w:r>
        <w:rPr>
          <w:rFonts w:ascii="Arial" w:cs="Arial" w:eastAsia="Arial" w:hAnsi="Arial"/>
          <w:sz w:val="16"/>
          <w:szCs w:val="16"/>
          <w:b w:val="1"/>
          <w:bCs w:val="1"/>
          <w:color w:val="auto"/>
        </w:rPr>
        <w:t>Smith ERISA affiliate</w:t>
      </w:r>
      <w:r>
        <w:rPr>
          <w:rFonts w:ascii="Arial" w:cs="Arial" w:eastAsia="Arial" w:hAnsi="Arial"/>
          <w:sz w:val="16"/>
          <w:szCs w:val="16"/>
          <w:color w:val="auto"/>
        </w:rPr>
        <w:t>”), neither Smith nor any Smith ERISA affiliate has incurred any direct or indirect liability under Title IV of ERISA in connection with any termination thereof or withdrawal therefrom which remains unsatisfied, (B) with respect to Smith U.S. Benefits Plans, there does not exist any accumulated funding deficiency within the meaning of Section 412 of the Code or Section 302 of ERISA, whether or not waived,</w:t>
      </w:r>
    </w:p>
    <w:p>
      <w:pPr>
        <w:spacing w:after="0" w:line="2" w:lineRule="exact"/>
        <w:rPr>
          <w:sz w:val="20"/>
          <w:szCs w:val="20"/>
          <w:color w:val="auto"/>
        </w:rPr>
      </w:pPr>
    </w:p>
    <w:p>
      <w:pPr>
        <w:ind w:left="920" w:right="80" w:firstLine="1"/>
        <w:spacing w:after="0" w:line="295" w:lineRule="auto"/>
        <w:tabs>
          <w:tab w:leader="none" w:pos="119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 respect to Smith U.S. Benefit Plans, since January 1, 2008, there has been no “reportable event,” as that term is defined in Section 4043 of ERISA for which the 30-day reporting requirement has not been waived, and (D) with respect to Smith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34" w:lineRule="exact"/>
        <w:rPr>
          <w:rFonts w:ascii="Arial" w:cs="Arial" w:eastAsia="Arial" w:hAnsi="Arial"/>
          <w:sz w:val="16"/>
          <w:szCs w:val="16"/>
          <w:color w:val="auto"/>
        </w:rPr>
      </w:pPr>
    </w:p>
    <w:p>
      <w:pPr>
        <w:ind w:left="920" w:right="20" w:firstLine="421"/>
        <w:spacing w:after="0" w:line="259" w:lineRule="auto"/>
        <w:tabs>
          <w:tab w:leader="none" w:pos="163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Smith or any Subsidiary of Smith, whether as an employee, independent contractor or “leased employee” (as defined in Section 414(n) of the Code) are, and have been, properly classified for purposes of withholding Taxes and eligibility to participate in, and coverage under, any Smith U.S. Benefit Plan; and</w:t>
      </w:r>
    </w:p>
    <w:p>
      <w:pPr>
        <w:spacing w:after="0" w:line="59" w:lineRule="exact"/>
        <w:rPr>
          <w:rFonts w:ascii="Arial" w:cs="Arial" w:eastAsia="Arial" w:hAnsi="Arial"/>
          <w:sz w:val="18"/>
          <w:szCs w:val="18"/>
          <w:color w:val="auto"/>
        </w:rPr>
      </w:pPr>
    </w:p>
    <w:p>
      <w:pPr>
        <w:ind w:left="920" w:firstLine="421"/>
        <w:spacing w:after="0" w:line="294" w:lineRule="auto"/>
        <w:tabs>
          <w:tab w:leader="none" w:pos="1686" w:val="left"/>
        </w:tabs>
        <w:numPr>
          <w:ilvl w:val="1"/>
          <w:numId w:val="197"/>
        </w:numPr>
        <w:rPr>
          <w:rFonts w:ascii="Arial" w:cs="Arial" w:eastAsia="Arial" w:hAnsi="Arial"/>
          <w:sz w:val="16"/>
          <w:szCs w:val="16"/>
          <w:color w:val="auto"/>
        </w:rPr>
      </w:pPr>
      <w:r>
        <w:rPr>
          <w:rFonts w:ascii="Arial" w:cs="Arial" w:eastAsia="Arial" w:hAnsi="Arial"/>
          <w:sz w:val="16"/>
          <w:szCs w:val="16"/>
          <w:color w:val="auto"/>
        </w:rPr>
        <w:t>with respect to each Smith U.S. Benefit Plan which is a group health plan, Smith and each of the Smith ERISA affiliates have complied in all material respects with (i) the applicable health care continuation and notice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and the applicable COBRA regulations (including the requirements of the American Recovery and Reinvestment Act of 2009), and (ii) the applicable requirements of the Health Insurance Portability and Accountability Act of 1996 and the regulations thereunder, and neither Smith nor any ERISA Affiliate has incurred any liability under Section 4980 of the Code.</w:t>
      </w:r>
    </w:p>
    <w:p>
      <w:pPr>
        <w:spacing w:after="0" w:line="116" w:lineRule="exact"/>
        <w:rPr>
          <w:sz w:val="20"/>
          <w:szCs w:val="20"/>
          <w:color w:val="auto"/>
        </w:rPr>
      </w:pPr>
    </w:p>
    <w:p>
      <w:pPr>
        <w:ind w:left="460" w:right="280" w:firstLine="881"/>
        <w:spacing w:after="0" w:line="286" w:lineRule="auto"/>
        <w:tabs>
          <w:tab w:leader="none" w:pos="157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Neither Smith nor any of its Subsidiaries nor any Smith ERISA affiliate contributes to, or has an obligation to contribute to, and has not within six years prior to the Effective Time contributed to, or had an obligation to contribute to, a “multiemployer plan” within the meaning of</w:t>
      </w:r>
    </w:p>
    <w:p>
      <w:pPr>
        <w:ind w:left="460"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3(37) of ERISA, a “multiple employer welfare association” within the meaning of Section 3(40) of ERISA or a “voluntary employees’ beneficiary association” within the meaning of Section 501(c)(9) of the Code.</w:t>
      </w:r>
    </w:p>
    <w:p>
      <w:pPr>
        <w:spacing w:after="0" w:line="137" w:lineRule="exact"/>
        <w:rPr>
          <w:rFonts w:ascii="Arial" w:cs="Arial" w:eastAsia="Arial" w:hAnsi="Arial"/>
          <w:sz w:val="16"/>
          <w:szCs w:val="16"/>
          <w:color w:val="auto"/>
        </w:rPr>
      </w:pPr>
    </w:p>
    <w:p>
      <w:pPr>
        <w:ind w:left="460" w:right="160" w:firstLine="881"/>
        <w:spacing w:after="0" w:line="253" w:lineRule="auto"/>
        <w:tabs>
          <w:tab w:leader="none" w:pos="158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Except as provided in Section 5.11(d) of the Smith Disclosure Letter, no Smith U.S. Benefit Plan provides medical, surgical, hospitalization, death or similar benefits (whether or not insured) for employees or former employees of Smith or any Subsidiary of Smith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Smith Material Adverse Effect, each Smith U.S. Benefit Plan which provides post-employment medical, surgical, hospitalization, death or similar benefits may be unilaterally amended or terminated by Smith without material liability, except as to claims incurred prior to amendment or termination.</w:t>
      </w:r>
    </w:p>
    <w:p>
      <w:pPr>
        <w:spacing w:after="0" w:line="147" w:lineRule="exact"/>
        <w:rPr>
          <w:rFonts w:ascii="Arial" w:cs="Arial" w:eastAsia="Arial" w:hAnsi="Arial"/>
          <w:sz w:val="18"/>
          <w:szCs w:val="18"/>
          <w:color w:val="auto"/>
        </w:rPr>
      </w:pPr>
    </w:p>
    <w:p>
      <w:pPr>
        <w:ind w:left="460" w:firstLine="881"/>
        <w:spacing w:after="0" w:line="284" w:lineRule="auto"/>
        <w:tabs>
          <w:tab w:leader="none" w:pos="157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Except as provided in Section 5.11(e) of the Smith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Smith or any of its Subsidiaries,</w:t>
      </w:r>
    </w:p>
    <w:p>
      <w:pPr>
        <w:spacing w:after="0" w:line="1" w:lineRule="exact"/>
        <w:rPr>
          <w:rFonts w:ascii="Arial" w:cs="Arial" w:eastAsia="Arial" w:hAnsi="Arial"/>
          <w:sz w:val="16"/>
          <w:szCs w:val="16"/>
          <w:color w:val="auto"/>
        </w:rPr>
      </w:pPr>
    </w:p>
    <w:p>
      <w:pPr>
        <w:ind w:left="460" w:right="220" w:firstLine="4"/>
        <w:spacing w:after="0" w:line="254" w:lineRule="auto"/>
        <w:tabs>
          <w:tab w:leader="none" w:pos="7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increase any benefits otherwise payable under any Smith Benefit Plans, (iii) result in the acceleration of the time of payment or vesting of any such benefits or (iv) result in the incurrence or acceleration of any other obligation related to the Smith Benefit Plans or to any employee, former employee or group of employees or former employees, including, without limitation, the payment of any “excess parachute payments” within the meaning of Section 280G of the Code.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40" w:firstLine="881"/>
        <w:spacing w:after="0" w:line="268" w:lineRule="auto"/>
        <w:tabs>
          <w:tab w:leader="none" w:pos="155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Section 5.11(f) of the Smith Disclosure Letter contains a list of all funded Smith Benefit Plans with assets containing stock or other securities issued by Smith or any of its Subsidiaries.</w:t>
      </w:r>
    </w:p>
    <w:p>
      <w:pPr>
        <w:spacing w:after="0" w:line="131" w:lineRule="exact"/>
        <w:rPr>
          <w:rFonts w:ascii="Arial" w:cs="Arial" w:eastAsia="Arial" w:hAnsi="Arial"/>
          <w:sz w:val="18"/>
          <w:szCs w:val="18"/>
          <w:color w:val="auto"/>
        </w:rPr>
      </w:pPr>
    </w:p>
    <w:p>
      <w:pPr>
        <w:ind w:left="460" w:right="280" w:firstLine="881"/>
        <w:spacing w:after="0" w:line="286" w:lineRule="auto"/>
        <w:tabs>
          <w:tab w:leader="none" w:pos="158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With respect to each Smith Foreign Benefit Plan, except as would not have, individually or in the aggregate, a Smith Material Adverse Effect, (i) each such Smith Foreign Benefit Plan is in material compliance with all Applicable Laws and has been operated in accordance with its terms,</w:t>
      </w:r>
    </w:p>
    <w:p>
      <w:pPr>
        <w:ind w:left="460" w:right="120" w:firstLine="4"/>
        <w:spacing w:after="0" w:line="255" w:lineRule="auto"/>
        <w:tabs>
          <w:tab w:leader="none" w:pos="71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contributions required to have been made under such Smith Foreign Benefit Plans have been timely made and all liabilities thereunder have been properly accrued on the most recent financial statements of Smith and its Subsidiaries, and (iii) each Smith Foreign Benefit Plan is either fully funded or a fully insured plan.</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left="460" w:right="260" w:firstLine="881"/>
        <w:spacing w:after="0" w:line="256" w:lineRule="auto"/>
        <w:tabs>
          <w:tab w:leader="none" w:pos="15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Smith Material Adverse Effect, (i) neither Smith nor any of its Subsidiaries is a party to, or bound by, any collective bargaining agreement or similar contract, agreement or understanding with a labor union or similar labor organization and (ii) to the knowledge of Smith, there are no organizational efforts with respect to the formation of a collective bargaining unit presently being made or threatened.</w:t>
      </w:r>
    </w:p>
    <w:p>
      <w:pPr>
        <w:spacing w:after="0" w:line="143" w:lineRule="exact"/>
        <w:rPr>
          <w:rFonts w:ascii="Arial" w:cs="Arial" w:eastAsia="Arial" w:hAnsi="Arial"/>
          <w:sz w:val="18"/>
          <w:szCs w:val="18"/>
          <w:color w:val="auto"/>
        </w:rPr>
      </w:pPr>
    </w:p>
    <w:p>
      <w:pPr>
        <w:ind w:left="460" w:right="100" w:firstLine="881"/>
        <w:spacing w:after="0" w:line="290" w:lineRule="auto"/>
        <w:tabs>
          <w:tab w:leader="none" w:pos="158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Except for such matters as have not had and would not reasonably be expected to have a Smith Material Adverse Effect, (i) Smith and its Subsidiaries have complied with all Applicable Laws respecting the employment of labor; (ii) neither Smith nor any Subsidiary of Smith has received any written complaint of any unfair labor practice or other unlawful employment practice or any written notice of any violation of any Applicable Law with respect to the employment of individuals by, or the employment practices of, Smith or any Subsidiary of Smith or the work conditions or the terms and conditions of employment and wages and hours of their respective businesses and (iii) there are no unfair labor practice charges or other employee related complaints against Smith or any Subsidiary of Smith pending or, to the knowledge of Smith, threatened, before any Governmental Entity by or concerning the employees working in their respective businesses.</w:t>
      </w:r>
    </w:p>
    <w:p>
      <w:pPr>
        <w:spacing w:after="0" w:line="118" w:lineRule="exact"/>
        <w:rPr>
          <w:sz w:val="20"/>
          <w:szCs w:val="20"/>
          <w:color w:val="auto"/>
        </w:rPr>
      </w:pPr>
    </w:p>
    <w:p>
      <w:pPr>
        <w:ind w:left="460" w:firstLine="876"/>
        <w:spacing w:after="0" w:line="289"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Properties</w:t>
      </w:r>
      <w:r>
        <w:rPr>
          <w:rFonts w:ascii="Arial" w:cs="Arial" w:eastAsia="Arial" w:hAnsi="Arial"/>
          <w:sz w:val="16"/>
          <w:szCs w:val="16"/>
          <w:color w:val="auto"/>
        </w:rPr>
        <w:t>. Except as has not had and as would not reasonably be expected to have a Smith Material Adverse Effect, (a) each of Smith and its Subsidiaries has good and marketable title to, or valid leasehold interests in, all properties and assets purported to be owned or leased by it, respectively, in the Smith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Smith and its Subsidiaries has complied with the terms of all leases, subleases, easements, licenses and other occupancy agreements to which it is a party and under which it is in occupancy, and all such agreements are in full force and effect; and (d) each of Smith and its Subsidiaries enjoys peaceful and undisturbed possession under all such agreements.</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i w:val="1"/>
          <w:iCs w:val="1"/>
          <w:color w:val="auto"/>
        </w:rPr>
        <w:t>Environmental Matters</w:t>
      </w:r>
      <w:r>
        <w:rPr>
          <w:rFonts w:ascii="Arial" w:cs="Arial" w:eastAsia="Arial" w:hAnsi="Arial"/>
          <w:sz w:val="15"/>
          <w:szCs w:val="15"/>
          <w:color w:val="auto"/>
        </w:rPr>
        <w:t>. Except as have not had and would not reasonably be expected to have, individually or in the aggregate, a</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Material Adverse Effect:</w:t>
      </w:r>
    </w:p>
    <w:p>
      <w:pPr>
        <w:spacing w:after="0" w:line="165" w:lineRule="exact"/>
        <w:rPr>
          <w:sz w:val="20"/>
          <w:szCs w:val="20"/>
          <w:color w:val="auto"/>
        </w:rPr>
      </w:pPr>
    </w:p>
    <w:p>
      <w:pPr>
        <w:ind w:left="460" w:firstLine="881"/>
        <w:spacing w:after="0" w:line="256" w:lineRule="auto"/>
        <w:tabs>
          <w:tab w:leader="none" w:pos="15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Smith and each of its Subsidiaries has been and is in compliance with all orders of any court, Governmental Entity or arbitration board or tribunal applicable to it and any Applicable Law (including common law) related to human health, worker safety, process safety, mine safety, product safety and stewardship, mining activities (including reclamation obligations), use and management of hazardous, toxic or radioactive substances or wastes,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460" w:right="780" w:firstLine="881"/>
        <w:spacing w:after="0" w:line="259" w:lineRule="auto"/>
        <w:tabs>
          <w:tab w:leader="none" w:pos="158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Smith, threatened in writing against Smith or its Subsidiaries that allege the violation of or seek to impose liability pursuant to any Environmental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81"/>
        <w:spacing w:after="0" w:line="256" w:lineRule="auto"/>
        <w:tabs>
          <w:tab w:leader="none" w:pos="157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Smith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3"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set forth in Section 5.14(d) of the Smith Disclosure Letter, neither Smith nor its Subsidiaries has been named as a defendant in any litigation, or has received written notice of noncompliance, violation, liability or potential liability from any Governmental Entity, based on exposure to asbestos or silica.</w:t>
      </w:r>
    </w:p>
    <w:p>
      <w:pPr>
        <w:spacing w:after="0" w:line="140"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Smith Material Adverse Effect, Smith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Smith Material Adverse Effect. No claims are pending or, to the knowledge of Smith, threatened that Smith and its Subsidiaries are infringing or otherwise adversely affecting the rights of any person with regard to any Intellectual Property Rights, except for any such claims that, individually or in the aggregate, have not had and would not reasonably be expected to have a Smith Material Adverse Effect. To the knowledge of Smith, the conduct of Smith’s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Smith Material Adverse Effect. There is no infringement of any proprietary right owned by or licensed by or to Smith or any of its Subsidiaries that is reasonably expected to have, individually or in the aggregate, a Smith Material Adverse Effect.</w:t>
      </w:r>
    </w:p>
    <w:p>
      <w:pPr>
        <w:spacing w:after="0" w:line="124" w:lineRule="exact"/>
        <w:rPr>
          <w:sz w:val="20"/>
          <w:szCs w:val="20"/>
          <w:color w:val="auto"/>
        </w:rPr>
      </w:pPr>
    </w:p>
    <w:p>
      <w:pPr>
        <w:ind w:left="460" w:right="20" w:firstLine="876"/>
        <w:spacing w:after="0" w:line="29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Decrees, Etc.</w:t>
      </w:r>
      <w:r>
        <w:rPr>
          <w:rFonts w:ascii="Arial" w:cs="Arial" w:eastAsia="Arial" w:hAnsi="Arial"/>
          <w:sz w:val="16"/>
          <w:szCs w:val="16"/>
          <w:color w:val="auto"/>
        </w:rPr>
        <w:t xml:space="preserve"> Except for such matters as have not had and would not reasonably be expected to have a Smith Material Adverse Effect, (a) no order, writ, fine, injunction, decree, judgment, award or determination of any court or Governmental Entity or any arbitral or other dispute resolution body has been issued or entered against Smith or any of its Subsidiaries that continues to be in effect that affects the ownership or operation of any of their respective assets or that involves an amount greater than $10 million and (b) since December 31, 2006, no criminal order, writ, fine, injunction, decree, judgment or determination of any Governmental Entity has been issued against Smith or any of its Subsidiaries.</w:t>
      </w:r>
    </w:p>
    <w:p>
      <w:pPr>
        <w:spacing w:after="0" w:line="116" w:lineRule="exact"/>
        <w:rPr>
          <w:sz w:val="20"/>
          <w:szCs w:val="20"/>
          <w:color w:val="auto"/>
        </w:rPr>
      </w:pPr>
    </w:p>
    <w:p>
      <w:pPr>
        <w:ind w:left="460" w:right="40" w:firstLine="876"/>
        <w:spacing w:after="0" w:line="290"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Insurance</w:t>
      </w:r>
      <w:r>
        <w:rPr>
          <w:rFonts w:ascii="Arial" w:cs="Arial" w:eastAsia="Arial" w:hAnsi="Arial"/>
          <w:sz w:val="16"/>
          <w:szCs w:val="16"/>
          <w:color w:val="auto"/>
        </w:rPr>
        <w:t>. Except as have not had and would not reasonably be expected to have, individually or in the aggregate, a Smith Material Adverse Effect, Smith and its Subsidiaries maintain insurance policies, including with respect to fire, liability, workers’ compensation, and title insurance, containing coverages in such amounts and against such losses as are customary in the industries in which Smith and its Subsidiaries operate on the date hereof. Except as have not had and would not reasonably be expected to have, individually or in the aggregate, a Smith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18" w:lineRule="exact"/>
        <w:rPr>
          <w:sz w:val="20"/>
          <w:szCs w:val="20"/>
          <w:color w:val="auto"/>
        </w:rPr>
      </w:pPr>
    </w:p>
    <w:p>
      <w:pPr>
        <w:ind w:left="460" w:right="180" w:firstLine="876"/>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i w:val="1"/>
          <w:iCs w:val="1"/>
          <w:color w:val="auto"/>
        </w:rPr>
        <w:t>No Brokers</w:t>
      </w:r>
      <w:r>
        <w:rPr>
          <w:rFonts w:ascii="Arial" w:cs="Arial" w:eastAsia="Arial" w:hAnsi="Arial"/>
          <w:sz w:val="18"/>
          <w:szCs w:val="18"/>
          <w:color w:val="auto"/>
        </w:rPr>
        <w:t>. Smith has not entered into any contract, arrangement or understanding with any person or firm which may result in the obligation of Smith, Schlumberger or their respective affiliates to pay any finder’s fees, brokerage or other like payments in connection with the negotiations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leading to this Agreement or the consummation of the Merger and the other transactions contemplated by this Agreement, except that Smith has retained UBS Securities LLC as its financial advisor, the arrangements with which have been disclosed to Schlumberger prior to the date hereof.</w:t>
      </w:r>
    </w:p>
    <w:p>
      <w:pPr>
        <w:spacing w:after="0" w:line="85" w:lineRule="exact"/>
        <w:rPr>
          <w:sz w:val="20"/>
          <w:szCs w:val="20"/>
          <w:color w:val="auto"/>
        </w:rPr>
      </w:pPr>
    </w:p>
    <w:p>
      <w:pPr>
        <w:ind w:left="460" w:right="260" w:firstLine="876"/>
        <w:spacing w:after="0" w:line="268"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Smith nor any of its Subsidiaries owns any shares of capital stock of Schlumberger or any other securities convertible into or otherwise exercisable for shares of capital stock of Schlumberger.</w:t>
      </w:r>
    </w:p>
    <w:p>
      <w:pPr>
        <w:spacing w:after="0" w:line="132"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Vote Required</w:t>
      </w:r>
      <w:r>
        <w:rPr>
          <w:rFonts w:ascii="Arial" w:cs="Arial" w:eastAsia="Arial" w:hAnsi="Arial"/>
          <w:sz w:val="16"/>
          <w:szCs w:val="16"/>
          <w:color w:val="auto"/>
        </w:rPr>
        <w:t>. The only vote of the holders of any class or series of Smith capital stock necessary to adopt and approve this Agreement and the transactions contemplated by this Agreement (including the Merger) is the affirmative vote of the holders of at least a majority of the outstanding shares of Smith Common Stock (such approval being referred to as the “</w:t>
      </w:r>
      <w:r>
        <w:rPr>
          <w:rFonts w:ascii="Arial" w:cs="Arial" w:eastAsia="Arial" w:hAnsi="Arial"/>
          <w:sz w:val="16"/>
          <w:szCs w:val="16"/>
          <w:b w:val="1"/>
          <w:bCs w:val="1"/>
          <w:color w:val="auto"/>
        </w:rPr>
        <w:t>Smith Stockholder Approval</w:t>
      </w:r>
      <w:r>
        <w:rPr>
          <w:rFonts w:ascii="Arial" w:cs="Arial" w:eastAsia="Arial" w:hAnsi="Arial"/>
          <w:sz w:val="16"/>
          <w:szCs w:val="16"/>
          <w:color w:val="auto"/>
        </w:rPr>
        <w:t>”).</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Certain Contracts</w:t>
      </w:r>
      <w:r>
        <w:rPr>
          <w:rFonts w:ascii="Arial" w:cs="Arial" w:eastAsia="Arial" w:hAnsi="Arial"/>
          <w:sz w:val="18"/>
          <w:szCs w:val="18"/>
          <w:color w:val="auto"/>
        </w:rPr>
        <w:t>.</w:t>
      </w:r>
    </w:p>
    <w:p>
      <w:pPr>
        <w:spacing w:after="0" w:line="171" w:lineRule="exact"/>
        <w:rPr>
          <w:sz w:val="20"/>
          <w:szCs w:val="20"/>
          <w:color w:val="auto"/>
        </w:rPr>
      </w:pPr>
    </w:p>
    <w:p>
      <w:pPr>
        <w:ind w:left="1580" w:hanging="239"/>
        <w:spacing w:after="0"/>
        <w:tabs>
          <w:tab w:leader="none" w:pos="15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Except as set forth in Section 5.21 of the Smith Disclosure Letter, neither Smith nor any of its Subsidiaries is a party to or bound by:</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lease of real or personal property providing for annual rentals of $5 million or more;</w:t>
      </w:r>
    </w:p>
    <w:p>
      <w:pPr>
        <w:spacing w:after="0" w:line="90" w:lineRule="exact"/>
        <w:rPr>
          <w:sz w:val="20"/>
          <w:szCs w:val="20"/>
          <w:color w:val="auto"/>
        </w:rPr>
      </w:pPr>
    </w:p>
    <w:p>
      <w:pPr>
        <w:ind w:left="920" w:right="80" w:firstLine="421"/>
        <w:spacing w:after="0" w:line="259" w:lineRule="auto"/>
        <w:tabs>
          <w:tab w:leader="none" w:pos="159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partnership, joint venture or other similar agreement or arrangement relating to the formation, creation, operation, management or control of any partnership or joint venture material to Smith and its Subsidiaries, taken as a whole, or in which Smith or any of its Subsidiaries owns any interest valued at more than $10 million;</w:t>
      </w:r>
    </w:p>
    <w:p>
      <w:pPr>
        <w:spacing w:after="0" w:line="53" w:lineRule="exact"/>
        <w:rPr>
          <w:rFonts w:ascii="Arial" w:cs="Arial" w:eastAsia="Arial" w:hAnsi="Arial"/>
          <w:sz w:val="18"/>
          <w:szCs w:val="18"/>
          <w:color w:val="auto"/>
        </w:rPr>
      </w:pPr>
    </w:p>
    <w:p>
      <w:pPr>
        <w:ind w:left="920" w:firstLine="421"/>
        <w:spacing w:after="0" w:line="310" w:lineRule="auto"/>
        <w:tabs>
          <w:tab w:leader="none" w:pos="164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agreement, lease, easement, license, contract, note, mortgage, indenture or other legally binding obligation (each, a “</w:t>
      </w:r>
      <w:r>
        <w:rPr>
          <w:rFonts w:ascii="Arial" w:cs="Arial" w:eastAsia="Arial" w:hAnsi="Arial"/>
          <w:sz w:val="16"/>
          <w:szCs w:val="16"/>
          <w:b w:val="1"/>
          <w:bCs w:val="1"/>
          <w:color w:val="auto"/>
        </w:rPr>
        <w:t>Contract</w:t>
      </w:r>
      <w:r>
        <w:rPr>
          <w:rFonts w:ascii="Arial" w:cs="Arial" w:eastAsia="Arial" w:hAnsi="Arial"/>
          <w:sz w:val="16"/>
          <w:szCs w:val="16"/>
          <w:color w:val="auto"/>
        </w:rPr>
        <w:t>”) (other than among direct or indirect wholly owned Subsidiaries of Smith) relating to indebtedness for borrowed money or the deferred purchase price of property (in either case, whether incurred, assumed, guaranteed or secured by any asset) in excess of $10 million;</w:t>
      </w:r>
    </w:p>
    <w:p>
      <w:pPr>
        <w:spacing w:after="0" w:line="22" w:lineRule="exact"/>
        <w:rPr>
          <w:rFonts w:ascii="Arial" w:cs="Arial" w:eastAsia="Arial" w:hAnsi="Arial"/>
          <w:sz w:val="16"/>
          <w:szCs w:val="16"/>
          <w:color w:val="auto"/>
        </w:rPr>
      </w:pPr>
    </w:p>
    <w:p>
      <w:pPr>
        <w:ind w:left="1640" w:hanging="299"/>
        <w:spacing w:after="0"/>
        <w:tabs>
          <w:tab w:leader="none" w:pos="16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executory Contract relating to the disposition or acquisition of material assets not in the ordinary course of business;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Contract that would be required to be filed as an exhibit to any Smith Report as of the date of this Agreement pursuant to Item 601(b)</w:t>
      </w:r>
    </w:p>
    <w:p>
      <w:pPr>
        <w:spacing w:after="0" w:line="38" w:lineRule="exact"/>
        <w:rPr>
          <w:rFonts w:ascii="Arial" w:cs="Arial" w:eastAsia="Arial" w:hAnsi="Arial"/>
          <w:sz w:val="16"/>
          <w:szCs w:val="16"/>
          <w:color w:val="auto"/>
        </w:rPr>
      </w:pPr>
    </w:p>
    <w:p>
      <w:pPr>
        <w:ind w:left="1260" w:hanging="339"/>
        <w:spacing w:after="0"/>
        <w:tabs>
          <w:tab w:leader="none" w:pos="1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of Regulation S-K under the Securities Act and the Exchange Act;</w:t>
      </w:r>
    </w:p>
    <w:p>
      <w:pPr>
        <w:spacing w:after="0" w:line="83" w:lineRule="exact"/>
        <w:rPr>
          <w:rFonts w:ascii="Arial" w:cs="Arial" w:eastAsia="Arial" w:hAnsi="Arial"/>
          <w:sz w:val="18"/>
          <w:szCs w:val="18"/>
          <w:color w:val="auto"/>
        </w:rPr>
      </w:pPr>
    </w:p>
    <w:p>
      <w:pPr>
        <w:ind w:left="920" w:right="40" w:firstLine="421"/>
        <w:spacing w:after="0" w:line="306" w:lineRule="auto"/>
        <w:tabs>
          <w:tab w:leader="none" w:pos="1637"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any agreement or covenant restricting in any material respect the research, development, distribution, sale, supply, license or manufacturing of material products or services, or any agreement or covenant requiring Smith or any of its Subsidiaries to grant an exclusive right to a third party for the research, development, distribution, sale, supply, license or manufacturing of any material product or service;</w:t>
      </w:r>
    </w:p>
    <w:p>
      <w:pPr>
        <w:spacing w:after="0" w:line="25" w:lineRule="exact"/>
        <w:rPr>
          <w:rFonts w:ascii="Arial" w:cs="Arial" w:eastAsia="Arial" w:hAnsi="Arial"/>
          <w:sz w:val="16"/>
          <w:szCs w:val="16"/>
          <w:color w:val="auto"/>
        </w:rPr>
      </w:pPr>
    </w:p>
    <w:p>
      <w:pPr>
        <w:jc w:val="both"/>
        <w:ind w:left="920" w:right="20" w:firstLine="421"/>
        <w:spacing w:after="0" w:line="256" w:lineRule="auto"/>
        <w:tabs>
          <w:tab w:leader="none" w:pos="168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noncompetition Contract or other Contract that (A) purports to limit in any material respect either the type of business in which Smith or its Subsidiaries (or, after the Effective Time, Schlumberger or its affiliates) may engage or the manner in which any of them may so engage in any business or (B) would reasonably be expected to require the disposition of any material assets or line of business of Smith or its Subsidiaries or, after the Effective Time, Schlumberger or its affiliates;</w:t>
      </w:r>
    </w:p>
    <w:p>
      <w:pPr>
        <w:spacing w:after="0" w:line="62" w:lineRule="exact"/>
        <w:rPr>
          <w:rFonts w:ascii="Arial" w:cs="Arial" w:eastAsia="Arial" w:hAnsi="Arial"/>
          <w:sz w:val="18"/>
          <w:szCs w:val="18"/>
          <w:color w:val="auto"/>
        </w:rPr>
      </w:pPr>
    </w:p>
    <w:p>
      <w:pPr>
        <w:jc w:val="both"/>
        <w:ind w:left="920" w:right="60" w:firstLine="421"/>
        <w:spacing w:after="0" w:line="256" w:lineRule="auto"/>
        <w:tabs>
          <w:tab w:leader="none" w:pos="173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(other than (A) a Contract with respect to compensation or similar arrangements not involving an officer of Smith for purposes of Section 16 of the Exchange Act and (B) any Contract entered into in the ordinary course of business consistent with past practice) between Smith or any of its Subsidiaries and any director or officer of Smith or any person beneficially owning, as of the date hereof, 5% or more of the outstanding shares of Smith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firstLine="421"/>
        <w:spacing w:after="0" w:line="332" w:lineRule="auto"/>
        <w:tabs>
          <w:tab w:leader="none" w:pos="163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Contract that prohibits the payment of dividends or distributions in respect of capital stock of Smith, prohibits the pledging of the capital stock of Smith or any of its Subsidiaries or prohibits the issuance of guarantees by Smith or any of its Subsidiaries;</w:t>
      </w:r>
    </w:p>
    <w:p>
      <w:pPr>
        <w:spacing w:after="0" w:line="4"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agreement or covenant containing a right of first refusal, right of first negotiation or right of first offer in favor of a party other than Smith or any of its Subsidiaries;</w:t>
      </w:r>
    </w:p>
    <w:p>
      <w:pPr>
        <w:spacing w:after="0" w:line="50" w:lineRule="exact"/>
        <w:rPr>
          <w:rFonts w:ascii="Arial" w:cs="Arial" w:eastAsia="Arial" w:hAnsi="Arial"/>
          <w:sz w:val="18"/>
          <w:szCs w:val="18"/>
          <w:color w:val="auto"/>
        </w:rPr>
      </w:pPr>
    </w:p>
    <w:p>
      <w:pPr>
        <w:ind w:left="920" w:firstLine="421"/>
        <w:spacing w:after="0" w:line="306" w:lineRule="auto"/>
        <w:tabs>
          <w:tab w:leader="none" w:pos="163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Smith or any of its Subsidiaries could be required to purchase or sell, as applicable, any equity interests of any person or assets that have a fair market value or purchase price of more than $10 million (the Contracts described in clauses (i)–(xi), together with all exhibits and schedules to such Contracts, being the “</w:t>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107" w:lineRule="exact"/>
        <w:rPr>
          <w:sz w:val="20"/>
          <w:szCs w:val="20"/>
          <w:color w:val="auto"/>
        </w:rPr>
      </w:pPr>
    </w:p>
    <w:p>
      <w:pPr>
        <w:ind w:left="460" w:right="120" w:firstLine="881"/>
        <w:spacing w:after="0" w:line="298" w:lineRule="auto"/>
        <w:tabs>
          <w:tab w:leader="none" w:pos="158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 true and complete copy of each Material Contract has previously been delivered or made available to Schlumberger (subject to applicable confidentiality restrictions). Except as would not reasonably be expected to have a Smith Material Adverse Effect, each such contract is a valid and binding agreement of Smith or one of its Subsidiaries, as the case may be, and is in full force and effect, and neither Smith nor any of its Subsidiaries nor, to the knowledge of Smith, any other party thereto is in default or breach under the terms of any such Material Contract.</w:t>
      </w:r>
    </w:p>
    <w:p>
      <w:pPr>
        <w:spacing w:after="0" w:line="113"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5" w:lineRule="auto"/>
        <w:tabs>
          <w:tab w:leader="none" w:pos="157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Smith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Smith, neither Smith,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23" w:lineRule="exact"/>
        <w:rPr>
          <w:rFonts w:ascii="Arial" w:cs="Arial" w:eastAsia="Arial" w:hAnsi="Arial"/>
          <w:sz w:val="16"/>
          <w:szCs w:val="16"/>
          <w:color w:val="auto"/>
        </w:rPr>
      </w:pPr>
    </w:p>
    <w:p>
      <w:pPr>
        <w:ind w:left="460" w:right="140" w:firstLine="881"/>
        <w:spacing w:after="0" w:line="306" w:lineRule="auto"/>
        <w:tabs>
          <w:tab w:leader="none" w:pos="158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Smith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06"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881"/>
        <w:spacing w:after="0" w:line="259" w:lineRule="auto"/>
        <w:tabs>
          <w:tab w:leader="none" w:pos="158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Smith’s knowledge, Smith and its affiliates have not been since January 1, 2006 and, to the knowledge of Smith,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460" w:right="100" w:firstLine="881"/>
        <w:spacing w:after="0" w:line="268" w:lineRule="auto"/>
        <w:tabs>
          <w:tab w:leader="none" w:pos="157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ind w:left="460" w:right="420" w:firstLine="881"/>
        <w:spacing w:after="0" w:line="259" w:lineRule="auto"/>
        <w:tabs>
          <w:tab w:leader="none" w:pos="155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Smith’s knowledge, none of Smith or its affiliates has undergone or is undergoing any internal or external audit, review, inspection, investigation, survey or examination of records relating to Smith’s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3" w:lineRule="auto"/>
        <w:tabs>
          <w:tab w:leader="none" w:pos="157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Smith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Smith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1" w:lineRule="exact"/>
        <w:rPr>
          <w:rFonts w:ascii="Arial" w:cs="Arial" w:eastAsia="Arial" w:hAnsi="Arial"/>
          <w:sz w:val="16"/>
          <w:szCs w:val="16"/>
          <w:color w:val="auto"/>
        </w:rPr>
      </w:pPr>
    </w:p>
    <w:p>
      <w:pPr>
        <w:ind w:left="460" w:right="60" w:firstLine="4"/>
        <w:spacing w:after="0" w:line="281" w:lineRule="auto"/>
        <w:tabs>
          <w:tab w:leader="none" w:pos="74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Smith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44" w:lineRule="exact"/>
        <w:rPr>
          <w:rFonts w:ascii="Arial" w:cs="Arial" w:eastAsia="Arial" w:hAnsi="Arial"/>
          <w:sz w:val="16"/>
          <w:szCs w:val="16"/>
          <w:color w:val="auto"/>
        </w:rPr>
      </w:pPr>
    </w:p>
    <w:p>
      <w:pPr>
        <w:ind w:left="460" w:firstLine="881"/>
        <w:spacing w:after="0" w:line="370" w:lineRule="auto"/>
        <w:tabs>
          <w:tab w:leader="none" w:pos="1585" w:val="left"/>
        </w:tabs>
        <w:numPr>
          <w:ilvl w:val="1"/>
          <w:numId w:val="214"/>
        </w:numPr>
        <w:rPr>
          <w:rFonts w:ascii="Arial" w:cs="Arial" w:eastAsia="Arial" w:hAnsi="Arial"/>
          <w:sz w:val="15"/>
          <w:szCs w:val="15"/>
          <w:color w:val="auto"/>
        </w:rPr>
      </w:pPr>
      <w:r>
        <w:rPr>
          <w:rFonts w:ascii="Arial" w:cs="Arial" w:eastAsia="Arial" w:hAnsi="Arial"/>
          <w:sz w:val="15"/>
          <w:szCs w:val="15"/>
          <w:color w:val="auto"/>
        </w:rPr>
        <w:t>Smith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62" w:lineRule="exact"/>
        <w:rPr>
          <w:rFonts w:ascii="Arial" w:cs="Arial" w:eastAsia="Arial" w:hAnsi="Arial"/>
          <w:sz w:val="15"/>
          <w:szCs w:val="15"/>
          <w:color w:val="auto"/>
        </w:rPr>
      </w:pPr>
    </w:p>
    <w:p>
      <w:pPr>
        <w:ind w:left="460" w:right="40" w:firstLine="881"/>
        <w:spacing w:after="0" w:line="306" w:lineRule="auto"/>
        <w:tabs>
          <w:tab w:leader="none" w:pos="157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Smith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120" w:firstLine="881"/>
        <w:spacing w:after="0" w:line="298" w:lineRule="auto"/>
        <w:tabs>
          <w:tab w:leader="none" w:pos="158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Smith’s knowledge, Smith and its affiliates have not been since January 1, 2006 and are not now under any administrative, civil or criminal investigation or indictment involving alleged violations of the Foreign Corrupt Practices Act or any other applicable anticorruption or antibribery laws. Neither Smith nor any of its affiliates are participating in any investigation by a Governmental Entity relating to alleged violations by Smith or its affiliates of the Foreign Corrupt Practices Act or any other applicable anticorruption or antibribery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881"/>
        <w:spacing w:after="0" w:line="332" w:lineRule="auto"/>
        <w:tabs>
          <w:tab w:leader="none" w:pos="157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Smith or any of its affiliates in writing since January 1, 2006 of any actual or alleged violation or breach of the Foreign Corrupt Practices Act or any other applicable anticorruption or antibribery law.</w:t>
      </w:r>
    </w:p>
    <w:p>
      <w:pPr>
        <w:spacing w:after="0" w:line="85" w:lineRule="exact"/>
        <w:rPr>
          <w:sz w:val="20"/>
          <w:szCs w:val="20"/>
          <w:color w:val="auto"/>
        </w:rPr>
      </w:pPr>
    </w:p>
    <w:p>
      <w:pPr>
        <w:ind w:left="460" w:firstLine="876"/>
        <w:spacing w:after="0" w:line="255"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Stockholder Rights Agreement</w:t>
      </w:r>
      <w:r>
        <w:rPr>
          <w:rFonts w:ascii="Arial" w:cs="Arial" w:eastAsia="Arial" w:hAnsi="Arial"/>
          <w:sz w:val="18"/>
          <w:szCs w:val="18"/>
          <w:color w:val="auto"/>
        </w:rPr>
        <w:t>. The Smith Board has taken all necessary action to render the Rights Agreement inapplicable to the Merger and the other transactions contemplated by this Agreement and to cause the Smith Rights to expire at or immediately prior to the Effective Time, and neither the execution and delivery of this Agreement nor the consummation of the Merger and the other transactions contemplated by this Agreement will result in the occurrence of a Distribution Date, as defined in the Rights Agreement, or otherwise cause the Smith Rights to become exercisable by the holders thereof.</w:t>
      </w:r>
    </w:p>
    <w:p>
      <w:pPr>
        <w:spacing w:after="0" w:line="143" w:lineRule="exact"/>
        <w:rPr>
          <w:sz w:val="20"/>
          <w:szCs w:val="20"/>
          <w:color w:val="auto"/>
        </w:rPr>
      </w:pPr>
    </w:p>
    <w:p>
      <w:pPr>
        <w:ind w:left="460" w:firstLine="876"/>
        <w:spacing w:after="0" w:line="298"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i w:val="1"/>
          <w:iCs w:val="1"/>
          <w:color w:val="auto"/>
        </w:rPr>
        <w:t>Charter Provisions; Takeover Laws</w:t>
      </w:r>
      <w:r>
        <w:rPr>
          <w:rFonts w:ascii="Arial" w:cs="Arial" w:eastAsia="Arial" w:hAnsi="Arial"/>
          <w:sz w:val="16"/>
          <w:szCs w:val="16"/>
          <w:color w:val="auto"/>
        </w:rPr>
        <w:t>. Smith has taken all action necessary to render the restrictions on business combinations set forth in Article Thirteenth of Smith’s certificate of incorporation inapplicable to this Agreement, the Merger and the other transactions contemplated by this Agreement.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Smith nor any of its Subsidiaries has taken or agreed to take any action or knows of any fact that would</w:t>
      </w:r>
    </w:p>
    <w:p>
      <w:pPr>
        <w:spacing w:after="0" w:line="38" w:lineRule="exact"/>
        <w:rPr>
          <w:sz w:val="20"/>
          <w:szCs w:val="20"/>
          <w:color w:val="auto"/>
        </w:rPr>
      </w:pPr>
    </w:p>
    <w:p>
      <w:pPr>
        <w:ind w:left="460" w:firstLine="4"/>
        <w:spacing w:after="0" w:line="254" w:lineRule="auto"/>
        <w:tabs>
          <w:tab w:leader="none" w:pos="67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SCHLUMBERGER AND MERGER SUB</w:t>
      </w:r>
    </w:p>
    <w:p>
      <w:pPr>
        <w:spacing w:after="0" w:line="171" w:lineRule="exact"/>
        <w:rPr>
          <w:sz w:val="20"/>
          <w:szCs w:val="20"/>
          <w:color w:val="auto"/>
        </w:rPr>
      </w:pPr>
    </w:p>
    <w:p>
      <w:pPr>
        <w:ind w:left="460" w:right="280" w:firstLine="876"/>
        <w:spacing w:after="0" w:line="309" w:lineRule="auto"/>
        <w:rPr>
          <w:sz w:val="20"/>
          <w:szCs w:val="20"/>
          <w:color w:val="auto"/>
        </w:rPr>
      </w:pPr>
      <w:r>
        <w:rPr>
          <w:rFonts w:ascii="Arial" w:cs="Arial" w:eastAsia="Arial" w:hAnsi="Arial"/>
          <w:sz w:val="15"/>
          <w:szCs w:val="15"/>
          <w:color w:val="auto"/>
        </w:rPr>
        <w:t>Except (i) as set forth in the disclosure letter delivered to Smith by Schlumberger at or prior to the execution hereof (the “</w:t>
      </w:r>
      <w:r>
        <w:rPr>
          <w:rFonts w:ascii="Arial" w:cs="Arial" w:eastAsia="Arial" w:hAnsi="Arial"/>
          <w:sz w:val="15"/>
          <w:szCs w:val="15"/>
          <w:b w:val="1"/>
          <w:bCs w:val="1"/>
          <w:color w:val="auto"/>
        </w:rPr>
        <w:t>Schlumberger</w:t>
      </w:r>
      <w:r>
        <w:rPr>
          <w:rFonts w:ascii="Arial" w:cs="Arial" w:eastAsia="Arial" w:hAnsi="Arial"/>
          <w:sz w:val="15"/>
          <w:szCs w:val="15"/>
          <w:color w:val="auto"/>
        </w:rPr>
        <w:t xml:space="preserve"> </w:t>
      </w:r>
      <w:r>
        <w:rPr>
          <w:rFonts w:ascii="Arial" w:cs="Arial" w:eastAsia="Arial" w:hAnsi="Arial"/>
          <w:sz w:val="15"/>
          <w:szCs w:val="15"/>
          <w:b w:val="1"/>
          <w:bCs w:val="1"/>
          <w:color w:val="auto"/>
        </w:rPr>
        <w:t>Disclosure Letter</w:t>
      </w:r>
      <w:r>
        <w:rPr>
          <w:rFonts w:ascii="Arial" w:cs="Arial" w:eastAsia="Arial" w:hAnsi="Arial"/>
          <w:sz w:val="15"/>
          <w:szCs w:val="15"/>
          <w:color w:val="auto"/>
        </w:rPr>
        <w:t>”) and making reference to the particular subsection of this Agreement to which exception is being taken, subject to Section 10.10, or</w:t>
      </w:r>
    </w:p>
    <w:p>
      <w:pPr>
        <w:ind w:left="460" w:right="180" w:firstLine="4"/>
        <w:spacing w:after="0" w:line="255" w:lineRule="auto"/>
        <w:tabs>
          <w:tab w:leader="none" w:pos="71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disclosed in the Schlumberger Reports filed after December 31, 2008 and prior to the date hereof (excluding any disclosures in such Schlumberger Reports in any risk factors section, in any section related to forward looking statements and other disclosures that are predictive or forward-looking in nature), each of Schlumberger and Merger Sub represents and warrants to Smith that:</w:t>
      </w:r>
    </w:p>
    <w:p>
      <w:pPr>
        <w:spacing w:after="0" w:line="225"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Schlumberger and Merger Sub is a legal entity duly organized, validly existing and in good standing under the laws of its respective jurisdiction of incorporation and has all requisite corporate power and authority to own, operate and lease its properties and assets and to carry on its business as now conducted. Schlumberger has made available to Smith true and correct copies of the articles of incorporation and bylaws of Schlumberger and the certificate of incorporation and bylaws of Merger Sub, each as amended to date, and each as so delivered is in full force and effect.</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171" w:lineRule="exact"/>
        <w:rPr>
          <w:sz w:val="20"/>
          <w:szCs w:val="20"/>
          <w:color w:val="auto"/>
        </w:rPr>
      </w:pPr>
    </w:p>
    <w:p>
      <w:pPr>
        <w:jc w:val="both"/>
        <w:ind w:left="460" w:right="80" w:firstLine="881"/>
        <w:spacing w:after="0" w:line="256" w:lineRule="auto"/>
        <w:tabs>
          <w:tab w:leader="none" w:pos="157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of Schlumberger and Merger Sub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and Merger Sub, and the consummation by each of Schlumberger and Merger Sub of the transactions contemplated by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Agreement, including the Merger and the issuance by Schlumberger of shares of Schlumberger Common Stock as described in this Agreement, have been duly authorized by all requisite corporate action on behalf of Schlumberger and Merger Sub. This Agreement has been duly executed and delivered by each of Schlumberger and Merger Sub and constitutes the valid and legally binding obligation of each of Schlumberger and Merger Sub, enforceable against each of Schlumberger and Merger Sub in accordance with its terms.</w:t>
      </w:r>
    </w:p>
    <w:p>
      <w:pPr>
        <w:spacing w:after="0" w:line="143" w:lineRule="exact"/>
        <w:rPr>
          <w:sz w:val="20"/>
          <w:szCs w:val="20"/>
          <w:color w:val="auto"/>
        </w:rPr>
      </w:pPr>
    </w:p>
    <w:p>
      <w:pPr>
        <w:ind w:left="460" w:firstLine="881"/>
        <w:spacing w:after="0" w:line="298" w:lineRule="auto"/>
        <w:tabs>
          <w:tab w:leader="none" w:pos="158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Board of Directors of Schlumberger, at a meeting duly called and held on or prior to the date hereof, has approved and adopted this Agreement and the transactions contemplated hereby, including the Merger and the issuance by Schlumberger of shares of Schlumberger Common Stock as described in this Agreement. The Board of Directors of Merger Sub has (i) determined that this Agreement and the Merger are advisable and (ii) approved and adopted this Agreement and the transactions contemplated hereby (including the Merger).</w:t>
      </w:r>
    </w:p>
    <w:p>
      <w:pPr>
        <w:spacing w:after="0" w:line="194"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3,000,000,000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February 17, 2010, there were (a) 1,195,634,383 outstanding shares of Schlumberger Common Stock and 138,577,781 shares of Schlumberger Common Stock held in the treasury of Schlumberger, (b) 47,286,379 shares of Schlumberger Common Stock are reserved for issuance under employee benefits or stock and incentive plans of Schlumberger, and (c) no issued or outstanding shares of Schlumberger Preferred Stock. All of the issued and outstanding shares of Schlumberger Common Stock have been duly authorized and validly issued and are fully paid and nonassessable. As of February 17, 2010, there was $307.1 million aggregate principal amount of Schlumberger’s 2.125% Series B Convertible Debentures due June 1, 2023 outstanding and 7,676,925 shares of Schlumberger Common Stock reserved for issuance thereunder. The shares of Schlumberger Common Stock to be issued in connection with the Merger, when issued in accordance with this Agreement, will be duly authorized and validly issued and will be fully paid and nonassessable. Except (i) as set forth in this Section 6.3, (ii) for changes since the close of business on February 17, 2010 resulting from the exercise of employee stock options outstanding on such date or (iii) Schlumberger’s 2.125% Series B Convertible Debentures due June 1, 2023,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or Schlumberger’s 2.125% Series B Convertible Debentures due June 1, 2023, there are no outstanding obligations of Schlumberger or any of its Subsidiaries to repurchase, redeem or otherwise acquire any Schlumberger Securities. All of the outstanding common stock of Merger Sub is owned by Schlumberger, free and clear of all Liens (including any restriction on the right to vote, sell or otherwise dispose of such common stock).</w:t>
      </w:r>
    </w:p>
    <w:p>
      <w:pPr>
        <w:spacing w:after="0" w:line="126" w:lineRule="exact"/>
        <w:rPr>
          <w:sz w:val="20"/>
          <w:szCs w:val="20"/>
          <w:color w:val="auto"/>
        </w:rPr>
      </w:pPr>
    </w:p>
    <w:p>
      <w:pPr>
        <w:ind w:left="460" w:right="700" w:firstLine="87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51" w:lineRule="exact"/>
        <w:rPr>
          <w:sz w:val="20"/>
          <w:szCs w:val="20"/>
          <w:color w:val="auto"/>
        </w:rPr>
      </w:pPr>
    </w:p>
    <w:p>
      <w:pPr>
        <w:ind w:left="700" w:right="440" w:firstLine="422"/>
        <w:spacing w:after="0" w:line="268" w:lineRule="auto"/>
        <w:tabs>
          <w:tab w:leader="none" w:pos="13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Schlumberger nor any of its Subsidiaries is in violation of any Applicable Laws, and no claim is pending or, to the knowledge of Schlumberger, threatened with respect to any such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0" w:firstLine="422"/>
        <w:spacing w:after="0" w:line="294" w:lineRule="auto"/>
        <w:tabs>
          <w:tab w:leader="none" w:pos="137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Schlumberger and each Subsidiary of Schlumberger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Permits</w:t>
      </w:r>
      <w:r>
        <w:rPr>
          <w:rFonts w:ascii="Arial" w:cs="Arial" w:eastAsia="Arial" w:hAnsi="Arial"/>
          <w:sz w:val="16"/>
          <w:szCs w:val="16"/>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34" w:lineRule="exact"/>
        <w:rPr>
          <w:rFonts w:ascii="Arial" w:cs="Arial" w:eastAsia="Arial" w:hAnsi="Arial"/>
          <w:sz w:val="16"/>
          <w:szCs w:val="16"/>
          <w:color w:val="auto"/>
        </w:rPr>
      </w:pPr>
    </w:p>
    <w:p>
      <w:pPr>
        <w:ind w:left="700" w:firstLine="422"/>
        <w:spacing w:after="0" w:line="255" w:lineRule="auto"/>
        <w:tabs>
          <w:tab w:leader="none" w:pos="13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Schlumberger and each Subsidiary of Schlumberger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This section does not relate to export control or trade matters or the Foreign Corrupt Practices Act, which are the subjects of Sections 6.12 and 6.13, respectively.</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right="420" w:firstLine="881"/>
        <w:spacing w:after="0" w:line="305" w:lineRule="auto"/>
        <w:tabs>
          <w:tab w:leader="none" w:pos="1575" w:val="left"/>
        </w:tabs>
        <w:numPr>
          <w:ilvl w:val="1"/>
          <w:numId w:val="222"/>
        </w:numPr>
        <w:rPr>
          <w:rFonts w:ascii="Arial" w:cs="Arial" w:eastAsia="Arial" w:hAnsi="Arial"/>
          <w:sz w:val="15"/>
          <w:szCs w:val="15"/>
          <w:color w:val="auto"/>
        </w:rPr>
      </w:pPr>
      <w:r>
        <w:rPr>
          <w:rFonts w:ascii="Arial" w:cs="Arial" w:eastAsia="Arial" w:hAnsi="Arial"/>
          <w:sz w:val="15"/>
          <w:szCs w:val="15"/>
          <w:color w:val="auto"/>
        </w:rPr>
        <w:t>The execution, delivery and performance by Schlumberger and Merger Sub of this Agreement does not, and the consummation by Schlumberger and Merger Sub of the Merger and the other transactions contemplated by this Agreement in accordance with the terms hereof will not,</w:t>
      </w:r>
    </w:p>
    <w:p>
      <w:pPr>
        <w:ind w:left="460" w:right="60" w:firstLine="4"/>
        <w:spacing w:after="0" w:line="286" w:lineRule="auto"/>
        <w:tabs>
          <w:tab w:leader="none" w:pos="67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articles of incorporation or bylaws of Schlumberger or the certificate of incorporation or bylaws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its Subsidiaries under, or result in being declared void, voidable, or without further binding effect, or otherwise result in a detriment to Schlumberger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or any of its Subsidiaries is a party, or by which Schlumberger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20" w:lineRule="exact"/>
        <w:rPr>
          <w:rFonts w:ascii="Arial" w:cs="Arial" w:eastAsia="Arial" w:hAnsi="Arial"/>
          <w:sz w:val="16"/>
          <w:szCs w:val="16"/>
          <w:color w:val="auto"/>
        </w:rPr>
      </w:pPr>
    </w:p>
    <w:p>
      <w:pPr>
        <w:ind w:left="460" w:firstLine="881"/>
        <w:spacing w:after="0" w:line="288" w:lineRule="auto"/>
        <w:tabs>
          <w:tab w:leader="none" w:pos="1585" w:val="left"/>
        </w:tabs>
        <w:numPr>
          <w:ilvl w:val="1"/>
          <w:numId w:val="223"/>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NYSE, (iii) the HSR Act, the EC Merger Regulation and such applicable competition, antitrust or premerger notification laws of the other jurisdictions set forth in Section 6.5 of the Schlumberger Disclosure Letter, (iv) the Securities Act, (v) the Exchange Act, (vi) state securities or “Blue Sky” laws and (vii) other Governmental Entities having jurisdiction over the Merger set forth in Section 6.5 of the Schlumberger Disclosure Letter ((i) through (vii) collectively, the “</w:t>
      </w:r>
      <w:r>
        <w:rPr>
          <w:rFonts w:ascii="Arial" w:cs="Arial" w:eastAsia="Arial" w:hAnsi="Arial"/>
          <w:sz w:val="16"/>
          <w:szCs w:val="16"/>
          <w:b w:val="1"/>
          <w:bCs w:val="1"/>
          <w:color w:val="auto"/>
        </w:rPr>
        <w:t>Schlumberger Approvals</w:t>
      </w:r>
      <w:r>
        <w:rPr>
          <w:rFonts w:ascii="Arial" w:cs="Arial" w:eastAsia="Arial" w:hAnsi="Arial"/>
          <w:sz w:val="16"/>
          <w:szCs w:val="16"/>
          <w:color w:val="auto"/>
        </w:rPr>
        <w:t>”), neither the execution, delivery or performance by Schlumberger and Merger Sub of this Agreement, nor the consummation by Schlumberger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7" w:lineRule="auto"/>
        <w:tabs>
          <w:tab w:leader="none" w:pos="157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Schlumberger has filed or furnished all registration statements, prospectuses, reports, schedules, forms, statements and other documents (including exhibits and any amendments thereto) required to be so filed or furnished by it with the SEC since January 1, 2006 (collectively, the “</w:t>
      </w:r>
      <w:r>
        <w:rPr>
          <w:rFonts w:ascii="Arial" w:cs="Arial" w:eastAsia="Arial" w:hAnsi="Arial"/>
          <w:sz w:val="16"/>
          <w:szCs w:val="16"/>
          <w:b w:val="1"/>
          <w:bCs w:val="1"/>
          <w:color w:val="auto"/>
        </w:rPr>
        <w:t>Schlumberger Reports</w:t>
      </w:r>
      <w:r>
        <w:rPr>
          <w:rFonts w:ascii="Arial" w:cs="Arial" w:eastAsia="Arial" w:hAnsi="Arial"/>
          <w:sz w:val="16"/>
          <w:szCs w:val="16"/>
          <w:color w:val="auto"/>
        </w:rPr>
        <w:t>”) and has made available to Smith each such document it has so filed or furnished, in the form filed with or furnished to the SEC. No Subsidiary of Schlumberger is required to file any registration statement, prospectus, report, schedule, form, statement or any other document with the SEC. No Subsidiary of Schlumberger is, or since January 1, 2006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22" w:lineRule="exact"/>
        <w:rPr>
          <w:rFonts w:ascii="Arial" w:cs="Arial" w:eastAsia="Arial" w:hAnsi="Arial"/>
          <w:sz w:val="16"/>
          <w:szCs w:val="16"/>
          <w:color w:val="auto"/>
        </w:rPr>
      </w:pPr>
    </w:p>
    <w:p>
      <w:pPr>
        <w:ind w:left="460" w:firstLine="881"/>
        <w:spacing w:after="0" w:line="290" w:lineRule="auto"/>
        <w:tabs>
          <w:tab w:leader="none" w:pos="158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18" w:lineRule="exact"/>
        <w:rPr>
          <w:rFonts w:ascii="Arial" w:cs="Arial" w:eastAsia="Arial" w:hAnsi="Arial"/>
          <w:sz w:val="16"/>
          <w:szCs w:val="16"/>
          <w:color w:val="auto"/>
        </w:rPr>
      </w:pPr>
    </w:p>
    <w:p>
      <w:pPr>
        <w:ind w:left="460" w:firstLine="881"/>
        <w:spacing w:after="0" w:line="314" w:lineRule="auto"/>
        <w:tabs>
          <w:tab w:leader="none" w:pos="1575"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2009, (ii) liabilities or obligations incurred in the ordinary course of business since December 31, 2009 or (iii) liabilities or obligations which have not had and would not reasonably be expected to have, individually or in the aggregate, a Schlumberger Material Adverse Effect.</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1" w:lineRule="auto"/>
        <w:tabs>
          <w:tab w:leader="none" w:pos="157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Smith stockholders or at the time of the Smith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20" w:lineRule="exact"/>
        <w:rPr>
          <w:rFonts w:ascii="Arial" w:cs="Arial" w:eastAsia="Arial" w:hAnsi="Arial"/>
          <w:sz w:val="16"/>
          <w:szCs w:val="16"/>
          <w:color w:val="auto"/>
        </w:rPr>
      </w:pPr>
    </w:p>
    <w:p>
      <w:pPr>
        <w:ind w:left="460" w:right="120" w:firstLine="881"/>
        <w:spacing w:after="0" w:line="259" w:lineRule="auto"/>
        <w:tabs>
          <w:tab w:leader="none" w:pos="15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6.7, no representation or warranty is made by Schlumberger with respect to statements made or incorporated by reference in the Form S-4 or the Proxy Statement/Prospectus based on information supplied by Smith for inclusion or incorporation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threatened against Schlumberger or any of its Subsidiaries or their respective assets, or any director, officer or employee of Schlumberger or any of its Subsidiaries or other affiliates, in each case, for whom Schlumberger or any of its Subsidiaries may be liable, or (b) litigations, arbitrations, investigations or other proceedings, or injunctions or final judgments relating thereto, pending or, to the knowledge of Schlumberger, threatened before any Governmental Entity or arbitrator against Schlumberger or any of its Subsidiaries or their respective assets, or any director, officer or employee of Schlumberger or any of its Subsidiaries or other affiliates, in each case, for whom Schlumberger or any of its Subsidiaries may be liable, except in the case of either clause (a) or (b), for those that would not, individually or in the aggregate, reasonably be expected to result in a Schlumberger Material Adverse Effect. None of Schlumberger or any of its Subsidiaries or their respective assets, or any director, officer or employee of Schlumberger or any of its Subsidiaries or other affiliates, in each case, for whom Schlumberger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does not relate to export control or trade matters or the Foreign Corrupt Practices Act, which are the subjects of Sections 6.12 and 6.13, respectively.</w:t>
      </w:r>
    </w:p>
    <w:p>
      <w:pPr>
        <w:spacing w:after="0" w:line="124" w:lineRule="exact"/>
        <w:rPr>
          <w:sz w:val="20"/>
          <w:szCs w:val="20"/>
          <w:color w:val="auto"/>
        </w:rPr>
      </w:pPr>
    </w:p>
    <w:p>
      <w:pPr>
        <w:jc w:val="both"/>
        <w:ind w:left="460" w:right="420" w:firstLine="876"/>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2009,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Smith Stock Ownership</w:t>
      </w:r>
      <w:r>
        <w:rPr>
          <w:rFonts w:ascii="Arial" w:cs="Arial" w:eastAsia="Arial" w:hAnsi="Arial"/>
          <w:sz w:val="18"/>
          <w:szCs w:val="18"/>
          <w:color w:val="auto"/>
        </w:rPr>
        <w:t>. Neither Schlumberger nor any of its Subsidiaries owns any shares of capital stock of Smith or any other securities convertible into or otherwise exercisable for shares of capital stock of Smith.</w:t>
      </w:r>
    </w:p>
    <w:p>
      <w:pPr>
        <w:spacing w:after="0" w:line="132"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32"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100" w:firstLine="881"/>
        <w:spacing w:after="0" w:line="288" w:lineRule="auto"/>
        <w:tabs>
          <w:tab w:leader="none" w:pos="157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Schlumberger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19" w:lineRule="exact"/>
        <w:rPr>
          <w:rFonts w:ascii="Arial" w:cs="Arial" w:eastAsia="Arial" w:hAnsi="Arial"/>
          <w:sz w:val="16"/>
          <w:szCs w:val="16"/>
          <w:color w:val="auto"/>
        </w:rPr>
      </w:pPr>
    </w:p>
    <w:p>
      <w:pPr>
        <w:ind w:left="460" w:right="40" w:firstLine="881"/>
        <w:spacing w:after="0" w:line="306" w:lineRule="auto"/>
        <w:tabs>
          <w:tab w:leader="none" w:pos="158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Schlumberger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59" w:lineRule="auto"/>
        <w:tabs>
          <w:tab w:leader="none" w:pos="157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40"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have not been since January 1, 2006 and, to the knowledge of Schlumberger,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1580" w:hanging="239"/>
        <w:spacing w:after="0"/>
        <w:tabs>
          <w:tab w:leader="none" w:pos="15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Schlumberger or any of its affiliates in writing since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 2006 of any actual or alleged violation or breach of any Applicable Laws relating to export controls or trade sanctions.</w:t>
      </w:r>
    </w:p>
    <w:p>
      <w:pPr>
        <w:spacing w:after="0" w:line="165" w:lineRule="exact"/>
        <w:rPr>
          <w:sz w:val="20"/>
          <w:szCs w:val="20"/>
          <w:color w:val="auto"/>
        </w:rPr>
      </w:pPr>
    </w:p>
    <w:p>
      <w:pPr>
        <w:ind w:left="460" w:right="80" w:firstLine="881"/>
        <w:spacing w:after="0" w:line="259" w:lineRule="auto"/>
        <w:tabs>
          <w:tab w:leader="none" w:pos="155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has undergone or is undergoing any internal or external audit, review, inspection, investigation, survey or examination of records relating to Schlumberger’s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40" w:firstLine="881"/>
        <w:spacing w:after="0" w:line="288" w:lineRule="auto"/>
        <w:tabs>
          <w:tab w:leader="none" w:pos="157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Schlumberger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9" w:lineRule="exact"/>
        <w:rPr>
          <w:rFonts w:ascii="Arial" w:cs="Arial" w:eastAsia="Arial" w:hAnsi="Arial"/>
          <w:sz w:val="16"/>
          <w:szCs w:val="16"/>
          <w:color w:val="auto"/>
        </w:rPr>
      </w:pPr>
    </w:p>
    <w:p>
      <w:pPr>
        <w:jc w:val="both"/>
        <w:ind w:left="460" w:right="340" w:firstLine="881"/>
        <w:spacing w:after="0" w:line="259" w:lineRule="auto"/>
        <w:tabs>
          <w:tab w:leader="none" w:pos="15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Schlumberger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40" w:lineRule="exact"/>
        <w:rPr>
          <w:rFonts w:ascii="Arial" w:cs="Arial" w:eastAsia="Arial" w:hAnsi="Arial"/>
          <w:sz w:val="18"/>
          <w:szCs w:val="18"/>
          <w:color w:val="auto"/>
        </w:rPr>
      </w:pPr>
    </w:p>
    <w:p>
      <w:pPr>
        <w:jc w:val="both"/>
        <w:ind w:left="460" w:right="140" w:firstLine="881"/>
        <w:spacing w:after="0" w:line="306" w:lineRule="auto"/>
        <w:tabs>
          <w:tab w:leader="none" w:pos="157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60" w:firstLine="881"/>
        <w:spacing w:after="0" w:line="298" w:lineRule="auto"/>
        <w:tabs>
          <w:tab w:leader="none" w:pos="158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have not been since January 1, 2006 and are not now under any administrative, civil or criminal investigation or indictment involving alleged violations of the Foreign Corrupt Practices Act or any other applicable anticorruption or antibribery laws. Neither Schlumberger nor any of its affiliates are participating in any investigation by a Governmental Entity relating to alleged violations by Schlumberger or its affiliates of the Foreign Corrupt Practices Act or any other applicable anticorruption or antibribery laws.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firstLine="881"/>
        <w:spacing w:after="0" w:line="268" w:lineRule="auto"/>
        <w:tabs>
          <w:tab w:leader="none" w:pos="157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U.S. Government has not notified Schlumberger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ind w:left="460" w:firstLine="876"/>
        <w:spacing w:after="0" w:line="283"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Schlumberger nor any of its affiliates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w:t>
      </w:r>
    </w:p>
    <w:p>
      <w:pPr>
        <w:spacing w:after="0" w:line="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367(a) of the Code. Schlumberger will satisfy the “active trade or business test” (within the meaning of Treasury Regulation 1.367(a)-3(c)(3)) applicable with respect to the Merger.</w:t>
      </w:r>
    </w:p>
    <w:p>
      <w:pPr>
        <w:spacing w:after="0" w:line="138" w:lineRule="exact"/>
        <w:rPr>
          <w:sz w:val="20"/>
          <w:szCs w:val="20"/>
          <w:color w:val="auto"/>
        </w:rPr>
      </w:pPr>
    </w:p>
    <w:p>
      <w:pPr>
        <w:ind w:left="460" w:right="620" w:firstLine="87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32" w:lineRule="exact"/>
        <w:rPr>
          <w:sz w:val="20"/>
          <w:szCs w:val="20"/>
          <w:color w:val="auto"/>
        </w:rPr>
      </w:pPr>
    </w:p>
    <w:p>
      <w:pPr>
        <w:ind w:left="460" w:right="80" w:firstLine="876"/>
        <w:spacing w:after="0" w:line="318" w:lineRule="auto"/>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Decrees, Etc</w:t>
      </w:r>
      <w:r>
        <w:rPr>
          <w:rFonts w:ascii="Arial" w:cs="Arial" w:eastAsia="Arial" w:hAnsi="Arial"/>
          <w:sz w:val="15"/>
          <w:szCs w:val="15"/>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its Subsidiaries that continues to be in effect that affects the ownership or operation of any of their respective assets or that involves an amount greater than $25 million and (b) since December 31, 2006, no criminal order, writ, fine, injunction, decree, judgment or determination of any Governmental Entity has been issued against Schlumberger or any of its Subsidiaries.</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332" w:lineRule="auto"/>
        <w:tabs>
          <w:tab w:leader="none" w:pos="157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85" w:lineRule="exact"/>
        <w:rPr>
          <w:rFonts w:ascii="Arial" w:cs="Arial" w:eastAsia="Arial" w:hAnsi="Arial"/>
          <w:sz w:val="16"/>
          <w:szCs w:val="16"/>
          <w:color w:val="auto"/>
        </w:rPr>
      </w:pPr>
    </w:p>
    <w:p>
      <w:pPr>
        <w:jc w:val="both"/>
        <w:ind w:left="460" w:right="180" w:firstLine="881"/>
        <w:spacing w:after="0" w:line="255" w:lineRule="auto"/>
        <w:tabs>
          <w:tab w:leader="none" w:pos="158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42" w:lineRule="exact"/>
        <w:rPr>
          <w:rFonts w:ascii="Arial" w:cs="Arial" w:eastAsia="Arial" w:hAnsi="Arial"/>
          <w:sz w:val="18"/>
          <w:szCs w:val="18"/>
          <w:color w:val="auto"/>
        </w:rPr>
      </w:pPr>
    </w:p>
    <w:p>
      <w:pPr>
        <w:ind w:left="460" w:firstLine="881"/>
        <w:spacing w:after="0" w:line="294" w:lineRule="auto"/>
        <w:tabs>
          <w:tab w:leader="none" w:pos="157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15" w:lineRule="exact"/>
        <w:rPr>
          <w:rFonts w:ascii="Arial" w:cs="Arial" w:eastAsia="Arial" w:hAnsi="Arial"/>
          <w:sz w:val="16"/>
          <w:szCs w:val="16"/>
          <w:color w:val="auto"/>
        </w:rPr>
      </w:pPr>
    </w:p>
    <w:p>
      <w:pPr>
        <w:ind w:left="460" w:right="20" w:firstLine="881"/>
        <w:spacing w:after="0" w:line="255" w:lineRule="auto"/>
        <w:tabs>
          <w:tab w:leader="none" w:pos="158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2009, and such assessment concluded that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internal controls were effective using the framework specified in Schlumberger’s annual report on Form 10-K for the year ended December 31, 2009.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43" w:lineRule="exact"/>
        <w:rPr>
          <w:sz w:val="20"/>
          <w:szCs w:val="20"/>
          <w:color w:val="auto"/>
        </w:rPr>
      </w:pPr>
    </w:p>
    <w:p>
      <w:pPr>
        <w:ind w:left="460" w:right="580" w:firstLine="881"/>
        <w:spacing w:after="0" w:line="332" w:lineRule="auto"/>
        <w:tabs>
          <w:tab w:leader="none" w:pos="157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 personal loan or other extension of credit by Schlumberger to any of its or their executive officers or directors has been made or modified (other than as permitted by Section 13 of the Exchange Act and Section 402 of the Sarbanes-Oxley Act) since July 30, 2002.</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9" w:lineRule="auto"/>
        <w:tabs>
          <w:tab w:leader="none" w:pos="157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Smith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Smith and its Subsidiaries shall be conducted in the ordinary course of business and, to the extent consistent therewith, Smith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Smith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by Smith or its Subsidiaries with respect to matters specifically addressed by Section 7.1(b) shall be deemed to be a breach of this sentence unless such action would constitute a breach of Section 7.1(b).</w:t>
      </w:r>
    </w:p>
    <w:p>
      <w:pPr>
        <w:spacing w:after="0" w:line="118" w:lineRule="exact"/>
        <w:rPr>
          <w:rFonts w:ascii="Arial" w:cs="Arial" w:eastAsia="Arial" w:hAnsi="Arial"/>
          <w:sz w:val="16"/>
          <w:szCs w:val="16"/>
          <w:color w:val="auto"/>
        </w:rPr>
      </w:pPr>
    </w:p>
    <w:p>
      <w:pPr>
        <w:ind w:left="460" w:right="60" w:firstLine="881"/>
        <w:spacing w:after="0" w:line="306" w:lineRule="auto"/>
        <w:tabs>
          <w:tab w:leader="none" w:pos="158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7.1 of the Smith Disclosure Letter, or (D) as required by Applicable Law, Smith will not and will not permit any of its Subsidiaries to:</w:t>
      </w:r>
    </w:p>
    <w:p>
      <w:pPr>
        <w:spacing w:after="0" w:line="107" w:lineRule="exact"/>
        <w:rPr>
          <w:sz w:val="20"/>
          <w:szCs w:val="20"/>
          <w:color w:val="auto"/>
        </w:rPr>
      </w:pPr>
    </w:p>
    <w:p>
      <w:pPr>
        <w:ind w:left="920" w:firstLine="421"/>
        <w:spacing w:after="0" w:line="268" w:lineRule="auto"/>
        <w:tabs>
          <w:tab w:leader="none" w:pos="154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adopt any change in, or waive any provision of, its certificate of incorporation or bylaws or other applicable governing instruments, or adopt any change in, or waive any provision of, the Rights Agreement;</w:t>
      </w:r>
    </w:p>
    <w:p>
      <w:pPr>
        <w:spacing w:after="0" w:line="50" w:lineRule="exact"/>
        <w:rPr>
          <w:rFonts w:ascii="Arial" w:cs="Arial" w:eastAsia="Arial" w:hAnsi="Arial"/>
          <w:sz w:val="18"/>
          <w:szCs w:val="18"/>
          <w:color w:val="auto"/>
        </w:rPr>
      </w:pPr>
    </w:p>
    <w:p>
      <w:pPr>
        <w:ind w:left="920" w:right="180" w:firstLine="421"/>
        <w:spacing w:after="0" w:line="332" w:lineRule="auto"/>
        <w:tabs>
          <w:tab w:leader="none" w:pos="159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merge or consolidate Smith or any of its Subsidiaries with any other person, except as permitted under Section 7.1(b)(viii) and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920" w:right="120" w:firstLine="421"/>
        <w:spacing w:after="0" w:line="288" w:lineRule="auto"/>
        <w:tabs>
          <w:tab w:leader="none" w:pos="1647" w:val="left"/>
        </w:tabs>
        <w:numPr>
          <w:ilvl w:val="0"/>
          <w:numId w:val="234"/>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Smith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Smith or any Subsidiary, other than issuances of shares of Smith Common Stock upon exercise of Smith Options outstanding on the date of this Agreement and except as permitted under Section 7.1(b)(iv); or (2) repurchase, redeem or otherwise acquire any securities or equity equivalents except in the ordinary course of business in connection with (x) the cashless exercise of Smith Options in accordance with the Smith Stock Plans, (y) the settlement of Smith Stock Incentive Awards or Smith Options, in each case, in order to satisfy withholding or exercise price obligations in accordance with the Smith Stock Plans, or (z) equity compensation grants permitted by Section 7.1(b)(iv);</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hanging="299"/>
        <w:spacing w:after="0"/>
        <w:tabs>
          <w:tab w:leader="none" w:pos="164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except to the extent required under any Smith Benefit Plan as in effect on the date of this Agreement or as required by Applicable Law,</w:t>
      </w:r>
    </w:p>
    <w:p>
      <w:pPr>
        <w:spacing w:after="0" w:line="38" w:lineRule="exact"/>
        <w:rPr>
          <w:rFonts w:ascii="Arial" w:cs="Arial" w:eastAsia="Arial" w:hAnsi="Arial"/>
          <w:sz w:val="16"/>
          <w:szCs w:val="16"/>
          <w:color w:val="auto"/>
        </w:rPr>
      </w:pPr>
    </w:p>
    <w:p>
      <w:pPr>
        <w:ind w:left="920" w:firstLine="1"/>
        <w:spacing w:after="0" w:line="283" w:lineRule="auto"/>
        <w:tabs>
          <w:tab w:leader="none" w:pos="116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increase the compensation (including bonus opportunities) or fringe benefits of any of its directors, executive officers or employees (except in the ordinary course of business consistent with past practice with employees who are not parties to a change in control agreement, it being understood that this clause does not limit payment of annual bonuses or grants of equity compensation awards in the ordinary course of business to employees who are party to a change of control agreement), (2) 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(x) shall provide that the consummation of the transactions contemplated by this Agreement will not result in a change-in-control acceleration (but, except as set forth on Schedule 7.1(b)(iv)(3) of the Smith Disclosure Letter, may provide for an acceleration of vesting upon a severance-qualifying termination of employment subsequent to such consummation but prior to the applicable vesting date, and may, in the case of awards with performance vesting conditions, provide for a conversion upon such consummation solely into time-vesting at the target level) and (y) shall not be made in the form of shares of restricted Smith Common Stock,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Smith Benefit Plan or take any action to accelerate entitlement to benefits under any Smith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Smith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Smith Benefit Plan, except as required by the terms of the Smith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and (10) execute or amend any collective bargaining agreement with any labor organization except in the ordinary course of business;</w:t>
      </w:r>
    </w:p>
    <w:p>
      <w:pPr>
        <w:spacing w:after="0" w:line="53" w:lineRule="exact"/>
        <w:rPr>
          <w:rFonts w:ascii="Arial" w:cs="Arial" w:eastAsia="Arial" w:hAnsi="Arial"/>
          <w:sz w:val="16"/>
          <w:szCs w:val="16"/>
          <w:color w:val="auto"/>
        </w:rPr>
      </w:pPr>
    </w:p>
    <w:p>
      <w:pPr>
        <w:ind w:left="920" w:right="160" w:firstLine="421"/>
        <w:spacing w:after="0" w:line="283" w:lineRule="auto"/>
        <w:tabs>
          <w:tab w:leader="none" w:pos="158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Smith or any of its Subsidiaries, except for (1) dividends by any direct or indirect Subsidiary only to Smith or any wholly owned Subsidiary of Smith in the ordinary course of business consistent with past practice, (2) pro rata dividends by any Subsidiary of Smith included in the Joint Venture, or</w:t>
      </w:r>
    </w:p>
    <w:p>
      <w:pPr>
        <w:spacing w:after="0" w:line="2" w:lineRule="exact"/>
        <w:rPr>
          <w:rFonts w:ascii="Arial" w:cs="Arial" w:eastAsia="Arial" w:hAnsi="Arial"/>
          <w:sz w:val="16"/>
          <w:szCs w:val="16"/>
          <w:color w:val="auto"/>
        </w:rPr>
      </w:pPr>
    </w:p>
    <w:p>
      <w:pPr>
        <w:ind w:left="920" w:firstLine="1"/>
        <w:spacing w:after="0" w:line="252" w:lineRule="auto"/>
        <w:tabs>
          <w:tab w:leader="none" w:pos="116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regular quarterly dividends on shares of Smith Common Stock (but not to exceed $0.12 per share for each regular quarterly dividend) with declaration, record and payment dates reasonably consistent with Smith’s past practice for the comparable quarter, it being agreed that declarations of dividends between the date hereof and the consummation of the Merger will provide that such dividend is not payable if the Merger is consummated prior to the relevant record date, (4) dividends or distributions required under the applicable organizational documents of such entity in effect on the date of this Agreement, or (5) dividends or distributions consistent with past practice with respect to the Subsidiaries that are listed in Section 7.1(b)(v) of the Smith Disclosure Letter;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306" w:lineRule="auto"/>
        <w:tabs>
          <w:tab w:leader="none" w:pos="163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redeem, purchase or otherwise acquire, directly or indirectly, any of Smith’s or any of its Subsidiaries’ capital stock, or make any commitment for any such action other than pursuant to the Smith Stock Plans and the expiration of Smith Rights as contemplated by Section 7.14 and other than transactions between Smith and its wholly-owned Subsidiaries and transactions among Smith’s wholly-owned Subsidiaries;</w:t>
      </w:r>
    </w:p>
    <w:p>
      <w:pPr>
        <w:spacing w:after="0" w:line="25" w:lineRule="exact"/>
        <w:rPr>
          <w:rFonts w:ascii="Arial" w:cs="Arial" w:eastAsia="Arial" w:hAnsi="Arial"/>
          <w:sz w:val="16"/>
          <w:szCs w:val="16"/>
          <w:color w:val="auto"/>
        </w:rPr>
      </w:pPr>
    </w:p>
    <w:p>
      <w:pPr>
        <w:ind w:left="920" w:right="20" w:firstLine="421"/>
        <w:spacing w:after="0" w:line="291" w:lineRule="auto"/>
        <w:tabs>
          <w:tab w:leader="none" w:pos="1686"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Smith or its Subsidiaries (including capital stock of Subsidiaries), except for (1) sales, leases, licenses or other dispositions of assets or properties with a fair market value not in excess of $10 million in respect of any one asset or property and not in excess of $50 million in the aggregate in 2010 and $25 million in the aggregate in 2011, (2) sales of surplus or obsolete equipment, (3) sales, leases, licenses or other transfers between Smith and its wholly owned Subsidiaries or between those Subsidiaries, or (4) sales of inventory, products and services and recognition of “lost-in-hole” products in the ordinary course of business consistent with past practice;</w:t>
      </w:r>
    </w:p>
    <w:p>
      <w:pPr>
        <w:spacing w:after="0" w:line="39" w:lineRule="exact"/>
        <w:rPr>
          <w:rFonts w:ascii="Arial" w:cs="Arial" w:eastAsia="Arial" w:hAnsi="Arial"/>
          <w:sz w:val="16"/>
          <w:szCs w:val="16"/>
          <w:color w:val="auto"/>
        </w:rPr>
      </w:pPr>
    </w:p>
    <w:p>
      <w:pPr>
        <w:ind w:left="920" w:right="60" w:firstLine="421"/>
        <w:spacing w:after="0" w:line="294" w:lineRule="auto"/>
        <w:tabs>
          <w:tab w:leader="none" w:pos="173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(1) for consideration in excess of $30 million in respect of any one acquisition or for aggregate consideration for all such acquisitions in excess of $100 million in 2010 and $30 million in the aggregate in 2011 or (2) where a filing under the HSR Act or any non-U.S. competition, antitrust or premerger notification laws is required;</w:t>
      </w:r>
    </w:p>
    <w:p>
      <w:pPr>
        <w:spacing w:after="0" w:line="34" w:lineRule="exact"/>
        <w:rPr>
          <w:rFonts w:ascii="Arial" w:cs="Arial" w:eastAsia="Arial" w:hAnsi="Arial"/>
          <w:sz w:val="16"/>
          <w:szCs w:val="16"/>
          <w:color w:val="auto"/>
        </w:rPr>
      </w:pPr>
    </w:p>
    <w:p>
      <w:pPr>
        <w:ind w:left="920" w:right="60" w:firstLine="421"/>
        <w:spacing w:after="0" w:line="306" w:lineRule="auto"/>
        <w:tabs>
          <w:tab w:leader="none" w:pos="163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enter into any joint venture, partnership or other similar arrangement or make any loan, capital contribution or advance to or investment in any other person (other than Smith or any wholly owned Subsidiary of Smith) other than in the ordinary course of business consistent with past practice in an amount not exceeding $20 million individually or $50 million in the aggregate in 2010 and $15 million in the aggregate in 2011;</w:t>
      </w:r>
    </w:p>
    <w:p>
      <w:pPr>
        <w:spacing w:after="0" w:line="25" w:lineRule="exact"/>
        <w:rPr>
          <w:rFonts w:ascii="Arial" w:cs="Arial" w:eastAsia="Arial" w:hAnsi="Arial"/>
          <w:sz w:val="16"/>
          <w:szCs w:val="16"/>
          <w:color w:val="auto"/>
        </w:rPr>
      </w:pPr>
    </w:p>
    <w:p>
      <w:pPr>
        <w:ind w:left="920" w:right="120" w:firstLine="421"/>
        <w:spacing w:after="0" w:line="256" w:lineRule="auto"/>
        <w:tabs>
          <w:tab w:leader="none" w:pos="158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sell, transfer or license to any person, covenant not to sue regarding, or adversely amend or modify any rights (1) to any material Intellectual Property Rights of Smith or any of its Subsidiaries or (2) distribute, license or co-promote products or services (including products or services under development) of Smith or any of its Subsidiaries or products or services (including products or services under development) licensed by Smith or any of its Subsidiaries;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83" w:lineRule="exact"/>
        <w:rPr>
          <w:rFonts w:ascii="Arial" w:cs="Arial" w:eastAsia="Arial" w:hAnsi="Arial"/>
          <w:sz w:val="16"/>
          <w:szCs w:val="16"/>
          <w:color w:val="auto"/>
        </w:rPr>
      </w:pPr>
    </w:p>
    <w:p>
      <w:pPr>
        <w:ind w:left="920" w:firstLine="421"/>
        <w:spacing w:after="0" w:line="289" w:lineRule="auto"/>
        <w:tabs>
          <w:tab w:leader="none" w:pos="1686"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except to the extent required by Applicable Law, (A) make or rescind any election relating to Taxes, including elections for any and all joint ventures, partnerships, limited liability companies, working interests or other investments where it has the capacity to make such binding election, (B) settle or compromise any claim, action, suit, litigation, proceeding, arbitration, investigation, audit or controversy (including by entering into any closing agreement) (each, a “</w:t>
      </w:r>
      <w:r>
        <w:rPr>
          <w:rFonts w:ascii="Arial" w:cs="Arial" w:eastAsia="Arial" w:hAnsi="Arial"/>
          <w:sz w:val="16"/>
          <w:szCs w:val="16"/>
          <w:b w:val="1"/>
          <w:bCs w:val="1"/>
          <w:color w:val="auto"/>
        </w:rPr>
        <w:t>Proceeding</w:t>
      </w:r>
      <w:r>
        <w:rPr>
          <w:rFonts w:ascii="Arial" w:cs="Arial" w:eastAsia="Arial" w:hAnsi="Arial"/>
          <w:sz w:val="16"/>
          <w:szCs w:val="16"/>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or (F) file any amended tax return, in each case of clauses (A) through (F), if such action would have an adverse effect on Smith and its Subsidiaries that is material;</w:t>
      </w:r>
    </w:p>
    <w:p>
      <w:pPr>
        <w:spacing w:after="0" w:line="37" w:lineRule="exact"/>
        <w:rPr>
          <w:rFonts w:ascii="Arial" w:cs="Arial" w:eastAsia="Arial" w:hAnsi="Arial"/>
          <w:sz w:val="16"/>
          <w:szCs w:val="16"/>
          <w:color w:val="auto"/>
        </w:rPr>
      </w:pPr>
    </w:p>
    <w:p>
      <w:pPr>
        <w:ind w:left="920" w:right="260" w:firstLine="421"/>
        <w:spacing w:after="0" w:line="306" w:lineRule="auto"/>
        <w:tabs>
          <w:tab w:leader="none" w:pos="173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settle or compromise any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$5 million individually or $25 million in the aggregate in 2010 and $12.5 million in the aggregate in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firstLine="421"/>
        <w:spacing w:after="0" w:line="314" w:lineRule="auto"/>
        <w:tabs>
          <w:tab w:leader="none" w:pos="1725" w:val="left"/>
        </w:tabs>
        <w:numPr>
          <w:ilvl w:val="1"/>
          <w:numId w:val="239"/>
        </w:numPr>
        <w:rPr>
          <w:rFonts w:ascii="Arial" w:cs="Arial" w:eastAsia="Arial" w:hAnsi="Arial"/>
          <w:sz w:val="15"/>
          <w:szCs w:val="15"/>
          <w:color w:val="auto"/>
        </w:rPr>
      </w:pPr>
      <w:r>
        <w:rPr>
          <w:rFonts w:ascii="Arial" w:cs="Arial" w:eastAsia="Arial" w:hAnsi="Arial"/>
          <w:sz w:val="15"/>
          <w:szCs w:val="15"/>
          <w:color w:val="auto"/>
        </w:rPr>
        <w:t>create, incur or assume any Debt or guarantee any Debt of another person, issue or sell any debt securities or calls, options, warrants or other rights to acquire any debt securities of Smith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Smith’s existing credit facility, working capital facilities, or other existing similar lines of credit in the ordinary course of business, (2) other Debt not to exceed $50 million in the aggregate in 2010 and $25 million in the aggregate in 2011, and (3) intercompany Debt among Smith and its Subsidiaries in the ordinary course of business consistent with past practice;</w:t>
      </w:r>
    </w:p>
    <w:p>
      <w:pPr>
        <w:spacing w:after="0" w:line="23" w:lineRule="exact"/>
        <w:rPr>
          <w:rFonts w:ascii="Arial" w:cs="Arial" w:eastAsia="Arial" w:hAnsi="Arial"/>
          <w:sz w:val="15"/>
          <w:szCs w:val="15"/>
          <w:color w:val="auto"/>
        </w:rPr>
      </w:pPr>
    </w:p>
    <w:p>
      <w:pPr>
        <w:ind w:left="920" w:right="80" w:firstLine="421"/>
        <w:spacing w:after="0" w:line="294" w:lineRule="auto"/>
        <w:tabs>
          <w:tab w:leader="none" w:pos="1676" w:val="left"/>
        </w:tabs>
        <w:numPr>
          <w:ilvl w:val="1"/>
          <w:numId w:val="239"/>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Smith or any of its Subsidiaries in accordance with their terms, as such loans become due and payable or payment of Debt in accordance with its terms or (3) repayments of indebtedness by a Subsidiary of Smith to Smith or its wholly-owned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34" w:lineRule="exact"/>
        <w:rPr>
          <w:rFonts w:ascii="Arial" w:cs="Arial" w:eastAsia="Arial" w:hAnsi="Arial"/>
          <w:sz w:val="16"/>
          <w:szCs w:val="16"/>
          <w:color w:val="auto"/>
        </w:rPr>
      </w:pPr>
    </w:p>
    <w:p>
      <w:pPr>
        <w:ind w:left="920" w:right="120" w:firstLine="421"/>
        <w:spacing w:after="0" w:line="268" w:lineRule="auto"/>
        <w:tabs>
          <w:tab w:leader="none" w:pos="172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sales of assets or properties, and at or above the price, identified in Section 7.1(b)(xvi) of the Smith Disclosure Letter;</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77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except for capital expenditures for items and in the amounts (other than immaterial changes) set forth in the capital budget included in Section 7.1(b)(xvii) of the Smith Disclosure Letter, make, authorize or enter into any commitment for any capital expenditures in excess of $25 million in the aggregate in 2010 and $12.5 million in the aggregate in 2011;</w:t>
      </w:r>
    </w:p>
    <w:p>
      <w:pPr>
        <w:spacing w:after="0" w:line="59" w:lineRule="exact"/>
        <w:rPr>
          <w:rFonts w:ascii="Arial" w:cs="Arial" w:eastAsia="Arial" w:hAnsi="Arial"/>
          <w:sz w:val="18"/>
          <w:szCs w:val="18"/>
          <w:color w:val="auto"/>
        </w:rPr>
      </w:pPr>
    </w:p>
    <w:p>
      <w:pPr>
        <w:ind w:left="920" w:firstLine="421"/>
        <w:spacing w:after="0" w:line="255" w:lineRule="auto"/>
        <w:tabs>
          <w:tab w:leader="none" w:pos="182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Smith and its Subsidiaries or (3) enter into any new agreement that would have been a contract specified in paragraphs (vi), (vii), (ix) (unless permitted by Section 7.1(b)(xiv) or by Section 7.1(b)(xvi)) or (x) of Section 5.21 if it were entered into at or prior to the date hereof;</w:t>
      </w:r>
    </w:p>
    <w:p>
      <w:pPr>
        <w:spacing w:after="0" w:line="61" w:lineRule="exact"/>
        <w:rPr>
          <w:rFonts w:ascii="Arial" w:cs="Arial" w:eastAsia="Arial" w:hAnsi="Arial"/>
          <w:sz w:val="18"/>
          <w:szCs w:val="18"/>
          <w:color w:val="auto"/>
        </w:rPr>
      </w:pPr>
    </w:p>
    <w:p>
      <w:pPr>
        <w:jc w:val="both"/>
        <w:ind w:left="920" w:right="60" w:firstLine="421"/>
        <w:spacing w:after="0" w:line="256" w:lineRule="auto"/>
        <w:tabs>
          <w:tab w:leader="none" w:pos="172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Smith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67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Smith or any of its Subsidiaries;</w:t>
      </w:r>
    </w:p>
    <w:p>
      <w:pPr>
        <w:spacing w:after="0" w:line="50" w:lineRule="exact"/>
        <w:rPr>
          <w:rFonts w:ascii="Arial" w:cs="Arial" w:eastAsia="Arial" w:hAnsi="Arial"/>
          <w:sz w:val="18"/>
          <w:szCs w:val="18"/>
          <w:color w:val="auto"/>
        </w:rPr>
      </w:pPr>
    </w:p>
    <w:p>
      <w:pPr>
        <w:ind w:left="920" w:right="40" w:firstLine="421"/>
        <w:spacing w:after="0" w:line="302" w:lineRule="auto"/>
        <w:tabs>
          <w:tab w:leader="none" w:pos="1725" w:val="left"/>
        </w:tabs>
        <w:numPr>
          <w:ilvl w:val="1"/>
          <w:numId w:val="239"/>
        </w:numPr>
        <w:rPr>
          <w:rFonts w:ascii="Arial" w:cs="Arial" w:eastAsia="Arial" w:hAnsi="Arial"/>
          <w:sz w:val="15"/>
          <w:szCs w:val="15"/>
          <w:color w:val="auto"/>
        </w:rPr>
      </w:pPr>
      <w:r>
        <w:rPr>
          <w:rFonts w:ascii="Arial" w:cs="Arial" w:eastAsia="Arial" w:hAnsi="Arial"/>
          <w:sz w:val="15"/>
          <w:szCs w:val="15"/>
          <w:color w:val="auto"/>
        </w:rPr>
        <w:t>(1) adjust, reclassify, split, combine, subdivide or repurchase, redeem or otherwise acquire, directly or indirectly, any shares of capital stock or other equity interest of Smith or any of its Subsidiaries or securities convertible or exchangeable into or exercisable for any shares of capital stock or other equity interest of Smith or any of its Subsidiaries (except for any adjustment, reclassifications, stock splits, repurchases, redemptions or other acquisitions by Smith or any of its wholly owned Subsidiaries of capital stock or equity interests of wholly owned Subsidiaries of Smith), or</w:t>
      </w:r>
    </w:p>
    <w:p>
      <w:pPr>
        <w:spacing w:after="0" w:line="2" w:lineRule="exact"/>
        <w:rPr>
          <w:rFonts w:ascii="Arial" w:cs="Arial" w:eastAsia="Arial" w:hAnsi="Arial"/>
          <w:sz w:val="15"/>
          <w:szCs w:val="15"/>
          <w:color w:val="auto"/>
        </w:rPr>
      </w:pPr>
    </w:p>
    <w:p>
      <w:pPr>
        <w:ind w:left="920" w:right="280" w:firstLine="1"/>
        <w:spacing w:after="0" w:line="261" w:lineRule="auto"/>
        <w:tabs>
          <w:tab w:leader="none" w:pos="116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purchase or otherwise acquire, directly or indirectly, any of the capital stock of Schlumberger or securities convertible or exchangeable into or exercisable for any shares of capital stock of Schlumberger;</w:t>
      </w:r>
    </w:p>
    <w:p>
      <w:pPr>
        <w:spacing w:after="0" w:line="56" w:lineRule="exact"/>
        <w:rPr>
          <w:rFonts w:ascii="Arial" w:cs="Arial" w:eastAsia="Arial" w:hAnsi="Arial"/>
          <w:sz w:val="18"/>
          <w:szCs w:val="18"/>
          <w:color w:val="auto"/>
        </w:rPr>
      </w:pPr>
    </w:p>
    <w:p>
      <w:pPr>
        <w:jc w:val="both"/>
        <w:ind w:left="920" w:right="100" w:firstLine="421"/>
        <w:spacing w:after="0" w:line="332" w:lineRule="auto"/>
        <w:tabs>
          <w:tab w:leader="none" w:pos="177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release or permit the release of any person from, waive or permit the waiver of any right under, fail to enforce any provision of, or grant any consent or make any election under, any confidentiality, “standstill” or similar agreement to which Smith or any of its Subsidiaries is a party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20"/>
        <w:spacing w:after="0" w:line="268" w:lineRule="auto"/>
        <w:rPr>
          <w:sz w:val="20"/>
          <w:szCs w:val="20"/>
          <w:color w:val="auto"/>
        </w:rPr>
      </w:pPr>
      <w:r>
        <w:rPr>
          <w:rFonts w:ascii="Arial" w:cs="Arial" w:eastAsia="Arial" w:hAnsi="Arial"/>
          <w:sz w:val="18"/>
          <w:szCs w:val="18"/>
          <w:color w:val="auto"/>
        </w:rPr>
        <w:t>take any action to exempt any person other than Merger Sub and its affiliates from the restrictions on “business combinations” contained in Section 203 of the DGCL or the effects set forth in the Rights Agreement;</w:t>
      </w:r>
    </w:p>
    <w:p>
      <w:pPr>
        <w:spacing w:after="0" w:line="51" w:lineRule="exact"/>
        <w:rPr>
          <w:sz w:val="20"/>
          <w:szCs w:val="20"/>
          <w:color w:val="auto"/>
        </w:rPr>
      </w:pPr>
    </w:p>
    <w:p>
      <w:pPr>
        <w:ind w:left="920" w:right="240" w:firstLine="421"/>
        <w:spacing w:after="0" w:line="259" w:lineRule="auto"/>
        <w:tabs>
          <w:tab w:leader="none" w:pos="182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(1) result in the failure of a condition set forth in Section 8.1 or Section 8.3, or (2) prevent, materially delay or materially impede the consummation of the Merger and the other transactions contemplated by this Agreement;</w:t>
      </w:r>
    </w:p>
    <w:p>
      <w:pPr>
        <w:spacing w:after="0" w:line="59" w:lineRule="exact"/>
        <w:rPr>
          <w:rFonts w:ascii="Arial" w:cs="Arial" w:eastAsia="Arial" w:hAnsi="Arial"/>
          <w:sz w:val="18"/>
          <w:szCs w:val="18"/>
          <w:color w:val="auto"/>
        </w:rPr>
      </w:pPr>
    </w:p>
    <w:p>
      <w:pPr>
        <w:ind w:left="920" w:right="20" w:firstLine="421"/>
        <w:spacing w:after="0" w:line="259" w:lineRule="auto"/>
        <w:tabs>
          <w:tab w:leader="none" w:pos="181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59" w:lineRule="exact"/>
        <w:rPr>
          <w:rFonts w:ascii="Arial" w:cs="Arial" w:eastAsia="Arial" w:hAnsi="Arial"/>
          <w:sz w:val="18"/>
          <w:szCs w:val="18"/>
          <w:color w:val="auto"/>
        </w:rPr>
      </w:pPr>
    </w:p>
    <w:p>
      <w:pPr>
        <w:ind w:left="1760" w:hanging="419"/>
        <w:spacing w:after="0"/>
        <w:tabs>
          <w:tab w:leader="none" w:pos="17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ind w:left="460" w:right="80" w:firstLine="881"/>
        <w:spacing w:after="0" w:line="306" w:lineRule="auto"/>
        <w:tabs>
          <w:tab w:leader="none" w:pos="157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Smith may approve in writing (such approval not to be unreasonably withheld, conditioned or delayed), (C) as set forth in Section 7.1 of the Schlumberger Disclosure Letter, or (D) as required by Applicable Law, Schlumberger and Merger Sub will not and will not permit any of their respective Subsidiaries to:</w:t>
      </w:r>
    </w:p>
    <w:p>
      <w:pPr>
        <w:spacing w:after="0" w:line="26" w:lineRule="exact"/>
        <w:rPr>
          <w:sz w:val="20"/>
          <w:szCs w:val="20"/>
          <w:color w:val="auto"/>
        </w:rPr>
      </w:pPr>
    </w:p>
    <w:p>
      <w:pPr>
        <w:ind w:left="920" w:firstLine="421"/>
        <w:spacing w:after="0" w:line="306" w:lineRule="auto"/>
        <w:tabs>
          <w:tab w:leader="none" w:pos="154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Smith Common Stock relative to a holder of Schlumberger Common Stock or delay or impede the Merger or the other transactions contemplated by this Agreement;</w:t>
      </w:r>
    </w:p>
    <w:p>
      <w:pPr>
        <w:spacing w:after="0" w:line="25" w:lineRule="exact"/>
        <w:rPr>
          <w:rFonts w:ascii="Arial" w:cs="Arial" w:eastAsia="Arial" w:hAnsi="Arial"/>
          <w:sz w:val="16"/>
          <w:szCs w:val="16"/>
          <w:color w:val="auto"/>
        </w:rPr>
      </w:pPr>
    </w:p>
    <w:p>
      <w:pPr>
        <w:jc w:val="both"/>
        <w:ind w:left="920" w:right="100" w:firstLine="421"/>
        <w:spacing w:after="0" w:line="298" w:lineRule="auto"/>
        <w:tabs>
          <w:tab w:leader="none" w:pos="159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31" w:lineRule="exact"/>
        <w:rPr>
          <w:rFonts w:ascii="Arial" w:cs="Arial" w:eastAsia="Arial" w:hAnsi="Arial"/>
          <w:sz w:val="16"/>
          <w:szCs w:val="16"/>
          <w:color w:val="auto"/>
        </w:rPr>
      </w:pPr>
    </w:p>
    <w:p>
      <w:pPr>
        <w:ind w:left="920" w:firstLine="421"/>
        <w:spacing w:after="0" w:line="294" w:lineRule="auto"/>
        <w:tabs>
          <w:tab w:leader="none" w:pos="1647"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except in each case as would not disproportionately adversely affect a holder of Smith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34" w:lineRule="exact"/>
        <w:rPr>
          <w:rFonts w:ascii="Arial" w:cs="Arial" w:eastAsia="Arial" w:hAnsi="Arial"/>
          <w:sz w:val="16"/>
          <w:szCs w:val="16"/>
          <w:color w:val="auto"/>
        </w:rPr>
      </w:pPr>
    </w:p>
    <w:p>
      <w:pPr>
        <w:ind w:left="920" w:right="80" w:firstLine="421"/>
        <w:spacing w:after="0" w:line="303" w:lineRule="auto"/>
        <w:tabs>
          <w:tab w:leader="none" w:pos="1637" w:val="left"/>
        </w:tabs>
        <w:numPr>
          <w:ilvl w:val="1"/>
          <w:numId w:val="243"/>
        </w:numPr>
        <w:rPr>
          <w:rFonts w:ascii="Arial" w:cs="Arial" w:eastAsia="Arial" w:hAnsi="Arial"/>
          <w:sz w:val="15"/>
          <w:szCs w:val="15"/>
          <w:color w:val="auto"/>
        </w:rPr>
      </w:pPr>
      <w:r>
        <w:rPr>
          <w:rFonts w:ascii="Arial" w:cs="Arial" w:eastAsia="Arial" w:hAnsi="Arial"/>
          <w:sz w:val="15"/>
          <w:szCs w:val="15"/>
          <w:color w:val="auto"/>
        </w:rPr>
        <w:t>declare, set aside, make or pay any dividend or other distribution or payment (whether in cash, equity interests or property or any combination thereof) with respect to shares of Schlumberger Common Stock, except for (1) regular quarterly dividends on shares of Schlumberger’s Common Stock with declaration, record and payment dates reasonably consistent with Schlumberger’s past practice for the comparable quarter or</w:t>
      </w:r>
    </w:p>
    <w:p>
      <w:pPr>
        <w:spacing w:after="0" w:line="1" w:lineRule="exact"/>
        <w:rPr>
          <w:rFonts w:ascii="Arial" w:cs="Arial" w:eastAsia="Arial" w:hAnsi="Arial"/>
          <w:sz w:val="15"/>
          <w:szCs w:val="15"/>
          <w:color w:val="auto"/>
        </w:rPr>
      </w:pPr>
    </w:p>
    <w:p>
      <w:pPr>
        <w:ind w:left="1160" w:hanging="239"/>
        <w:spacing w:after="0"/>
        <w:tabs>
          <w:tab w:leader="none" w:pos="11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dividends of equity interests or property for which an adjustment to the Exchange Ratio has been effected pursuant to Section 4.3;</w:t>
      </w:r>
    </w:p>
    <w:p>
      <w:pPr>
        <w:spacing w:after="0" w:line="106" w:lineRule="exact"/>
        <w:rPr>
          <w:rFonts w:ascii="Arial" w:cs="Arial" w:eastAsia="Arial" w:hAnsi="Arial"/>
          <w:sz w:val="16"/>
          <w:szCs w:val="16"/>
          <w:color w:val="auto"/>
        </w:rPr>
      </w:pPr>
    </w:p>
    <w:p>
      <w:pPr>
        <w:ind w:left="1580" w:hanging="239"/>
        <w:spacing w:after="0"/>
        <w:tabs>
          <w:tab w:leader="none" w:pos="15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(A) result in the failure of any condition set forth in Article 8, or</w:t>
      </w:r>
    </w:p>
    <w:p>
      <w:pPr>
        <w:spacing w:after="0" w:line="38" w:lineRule="exact"/>
        <w:rPr>
          <w:sz w:val="20"/>
          <w:szCs w:val="20"/>
          <w:color w:val="auto"/>
        </w:rPr>
      </w:pPr>
    </w:p>
    <w:p>
      <w:pPr>
        <w:ind w:left="1200" w:hanging="279"/>
        <w:spacing w:after="0"/>
        <w:tabs>
          <w:tab w:leader="none" w:pos="12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 the other transactions contemplated by this Agreement;</w:t>
      </w:r>
    </w:p>
    <w:p>
      <w:pPr>
        <w:spacing w:after="0" w:line="106" w:lineRule="exact"/>
        <w:rPr>
          <w:rFonts w:ascii="Arial" w:cs="Arial" w:eastAsia="Arial" w:hAnsi="Arial"/>
          <w:sz w:val="16"/>
          <w:szCs w:val="16"/>
          <w:color w:val="auto"/>
        </w:rPr>
      </w:pPr>
    </w:p>
    <w:p>
      <w:pPr>
        <w:ind w:left="920" w:right="200" w:firstLine="421"/>
        <w:spacing w:after="0" w:line="259" w:lineRule="auto"/>
        <w:tabs>
          <w:tab w:leader="none" w:pos="163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(vii) agree or commit to do any of the foregoing.</w:t>
      </w:r>
    </w:p>
    <w:p>
      <w:pPr>
        <w:spacing w:after="0" w:line="171"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Smith Stockholders Meeting</w:t>
      </w:r>
      <w:r>
        <w:rPr>
          <w:rFonts w:ascii="Arial" w:cs="Arial" w:eastAsia="Arial" w:hAnsi="Arial"/>
          <w:sz w:val="16"/>
          <w:szCs w:val="16"/>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6"/>
          <w:szCs w:val="16"/>
          <w:b w:val="1"/>
          <w:bCs w:val="1"/>
          <w:color w:val="auto"/>
        </w:rPr>
        <w:t>Form S-4</w:t>
      </w:r>
      <w:r>
        <w:rPr>
          <w:rFonts w:ascii="Arial" w:cs="Arial" w:eastAsia="Arial" w:hAnsi="Arial"/>
          <w:sz w:val="16"/>
          <w:szCs w:val="16"/>
          <w:color w:val="auto"/>
        </w:rPr>
        <w:t>”) is declared effective under the Securities Act, Smith shall (i) duly call and give notice of a meeting of its stockholders (the “</w:t>
      </w:r>
      <w:r>
        <w:rPr>
          <w:rFonts w:ascii="Arial" w:cs="Arial" w:eastAsia="Arial" w:hAnsi="Arial"/>
          <w:sz w:val="16"/>
          <w:szCs w:val="16"/>
          <w:b w:val="1"/>
          <w:bCs w:val="1"/>
          <w:color w:val="auto"/>
        </w:rPr>
        <w:t>Smith</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Meeting</w:t>
      </w:r>
      <w:r>
        <w:rPr>
          <w:rFonts w:ascii="Arial" w:cs="Arial" w:eastAsia="Arial" w:hAnsi="Arial"/>
          <w:sz w:val="16"/>
          <w:szCs w:val="16"/>
          <w:color w:val="auto"/>
        </w:rPr>
        <w:t>”) for the purpose of obtaining the Smith Stockholder Approval, (ii) use its reasonable best efforts to cause the proxy materials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xml:space="preserve">”) to be mailed to Smith’s stockholders as soon as practicable after the Form S-4 is declared effective under the Securities Act, (iii) include the Smith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Smith Board shall not be required to make such Smith Recommendation to the extent that the Smith Board has complied with the requirements of Section 7.3(b), and (iv) convene and hold the Smith Stockholders Meeting for the purpose of obtaining the Smith Stockholder Approval. Smith shall otherwise coordinate and cooperate with Schlumberger and its affiliates with respect to the timing of the Smith Stockholders Meeting and will otherwise comply with all legal requirements applicable to the Smith Stockholders Meeting.</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3" w:lineRule="auto"/>
        <w:tabs>
          <w:tab w:leader="none" w:pos="157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Smith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6"/>
          <w:szCs w:val="16"/>
          <w:b w:val="1"/>
          <w:bCs w:val="1"/>
          <w:color w:val="auto"/>
        </w:rPr>
        <w:t>Representatives</w:t>
      </w:r>
      <w:r>
        <w:rPr>
          <w:rFonts w:ascii="Arial" w:cs="Arial" w:eastAsia="Arial" w:hAnsi="Arial"/>
          <w:sz w:val="16"/>
          <w:szCs w:val="16"/>
          <w:color w:val="auto"/>
        </w:rPr>
        <w:t>”) not to, directly or indirectly, (i) take any action to solicit, initiate, knowingly encourage or knowingly facilitate the making, submission or announcement of any Acquisition Proposal (including by amending, or granting any waiver under, the Rights Agreement, as applicable) or any inquiry with respect thereto, or engage in, continue or otherwise participate in discussions or negotiations with any person with respect thereto (except to notify such person of the existence of the provisions of this Section 7.3),</w:t>
      </w:r>
    </w:p>
    <w:p>
      <w:pPr>
        <w:spacing w:after="0" w:line="1" w:lineRule="exact"/>
        <w:rPr>
          <w:rFonts w:ascii="Arial" w:cs="Arial" w:eastAsia="Arial" w:hAnsi="Arial"/>
          <w:sz w:val="16"/>
          <w:szCs w:val="16"/>
          <w:color w:val="auto"/>
        </w:rPr>
      </w:pPr>
    </w:p>
    <w:p>
      <w:pPr>
        <w:ind w:left="460" w:right="140" w:firstLine="4"/>
        <w:spacing w:after="0" w:line="253" w:lineRule="auto"/>
        <w:tabs>
          <w:tab w:leader="none" w:pos="71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furnish any nonpublic information or afford access to properties, books or records to any person that has made or, to the knowledge of Smith,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7.3), or (iv) propose publicly or agree to do any of the foregoing.</w:t>
      </w:r>
    </w:p>
    <w:p>
      <w:pPr>
        <w:spacing w:after="0" w:line="145"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Notwithstanding the foregoing, prior to (but not after) the date of the Smith Stockholder Approval, Smith may, directly or indirectly through its Representatives (A) furnish information and access, but only in response to a written request for information or access, to any person making an Acquisition Proposal to the Smith Board after the date hereof which was not solicited, initiated, knowingly encouraged or knowingly facilitated by Smith or any of its affiliates or any Representative of Smith or any of its Subsidiaries on or after the date hereof and (B) may participate in discussions and negotiate with such person concerning any such unsolicited Acquisition Proposal, if and only if, in any such case set forth in clause (A) or (B) of this sentence, (i) Smith has not breached this Section 7.3(a) in any material respect with respect to such Acquisition Proposal, (ii) the Smith Board concludes in good faith, after receipt of the advice of a financial advisor of nationally recognized reputation, that such Acquisition Proposal is reasonably likely to result in a Superior Proposal, and (iii) Smith receives from the person making such an Acquisition Proposal an executed confidentiality agreement the material terms of which, as they relate to confidentiality, are (without regard to the terms of such Acquisition Proposal) in all material respects (x) no less favorable to Smith and (y) no less restrictive to the person making such Acquisition Proposal than those contained in the Confidentiality Agreement dated April 14, 2009 between Schlumberger and Smith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any information provided to such person has previously been provided to Schlumberger or is provided to Schlumberger concurrently with its provision to such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83" w:lineRule="auto"/>
        <w:tabs>
          <w:tab w:leader="none" w:pos="1585"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Except as expressly permitted by this Section 7.3(b), the Smith Board shall recommend approval and adoption of this Agreement and the Merger by Smith’s stockholders, and unless permitted by this Section 7.3(b), neither the Smith Board nor any committee thereof shall (i) fail to make, withdraw, modify or qualify, or propose publicly to withhold, withdraw, modify or qualify, in any manner adverse to Schlumberger or its affiliates, the approval of this Agreement, the Merger or the Smith Recommendation, except for notice provided to Schlumberger with respect to such Acquisition Proposal and Smith’s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60" w:right="120" w:firstLine="4"/>
        <w:spacing w:after="0" w:line="295" w:lineRule="auto"/>
        <w:tabs>
          <w:tab w:leader="none" w:pos="71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Smith Board or any committee thereof of an Acquisition Proposal, but shall not include any notice provided to Schlumberger with respect to such Acquisition Proposal and Smith’s views thereof prior to any definitive Change in Recommendation.</w:t>
      </w:r>
    </w:p>
    <w:p>
      <w:pPr>
        <w:spacing w:after="0" w:line="115" w:lineRule="exact"/>
        <w:rPr>
          <w:sz w:val="20"/>
          <w:szCs w:val="20"/>
          <w:color w:val="auto"/>
        </w:rPr>
      </w:pPr>
    </w:p>
    <w:p>
      <w:pPr>
        <w:ind w:left="460" w:right="140" w:firstLine="876"/>
        <w:spacing w:after="0" w:line="302" w:lineRule="auto"/>
        <w:rPr>
          <w:sz w:val="20"/>
          <w:szCs w:val="20"/>
          <w:color w:val="auto"/>
        </w:rPr>
      </w:pPr>
      <w:r>
        <w:rPr>
          <w:rFonts w:ascii="Arial" w:cs="Arial" w:eastAsia="Arial" w:hAnsi="Arial"/>
          <w:sz w:val="15"/>
          <w:szCs w:val="15"/>
          <w:color w:val="auto"/>
        </w:rPr>
        <w:t>Notwithstanding the foregoing, the Smith Board shall be permitted not to recommend to Smith’s stockholders that they give the Smith Stockholder Approval, to withhold, withdraw, modify or qualify, or propose to publicly withhold, withdraw, modify or qualify, in a manner adverse to Schlumberger or its affiliates the Smith Recommendation, or to approve, endorse or recommend, or propose publicly to approve, endorse or recommend, any Acquisition Proposal, only if and to the extent that all of the following conditions are met: (i) the Smith Stockholder Approval has not been obtained;</w:t>
      </w:r>
    </w:p>
    <w:p>
      <w:pPr>
        <w:spacing w:after="0" w:line="3" w:lineRule="exact"/>
        <w:rPr>
          <w:sz w:val="20"/>
          <w:szCs w:val="20"/>
          <w:color w:val="auto"/>
        </w:rPr>
      </w:pPr>
    </w:p>
    <w:p>
      <w:pPr>
        <w:ind w:left="460" w:firstLine="4"/>
        <w:spacing w:after="0" w:line="281" w:lineRule="auto"/>
        <w:tabs>
          <w:tab w:leader="none" w:pos="71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Smith Board determines in good faith, after consulting with outside legal counsel, that failure to so withhold, withdraw, modify or qualify the Smith Recommendation would be inconsistent with the directors’ exercise of their fiduciary duties to stockholders under Applicable Law; and (iii) before taking any such action, Smith promptly gives Schlumberger three business days written notice advising Schlumberger of the decision of the Smith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Smith shall nevertheless submit this Agreement and the Merger to the stockholders of Smith for the purpose of obtaining the Smith Stockholder Approval at the Smith Stockholders Meeting and nothing contained herein shall be deemed to relieve Smith of such obligation, unless Schlumberger otherwise directs Smith in writing or this Agreement shall have been terminated in accordance with its terms prior to the Smith Stockholders Meeting. In addition, notwithstanding the foregoing, Smith may terminate this Agreement, upon payment of the Smith Termination Fee in accordance with</w:t>
      </w:r>
    </w:p>
    <w:p>
      <w:pPr>
        <w:spacing w:after="0" w:line="5"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Section 9.5(a), in order to enter into any agreement, understanding or arrangement providing for an Acquisition Proposal if all of the following conditions are met: (x) the Smith Stockholder Approval has not been obtained, (y) Smith gives Schlumberger written notice at least three business days prior to taking such action, which notice advises Schlumberger of the intention of the Smith Board to take such action and such notice specifies the material terms and conditions of such Acquisition Proposal and identifies the person making such Acquisition Proposal (provided that if there are any subsequent changes in the financial terms of such proposal, Smith will not take any such action prior to the second business day following a subsequent notice to Schlumberger of such changes) (it being understood that there may be multiple extensions); and (z) the Smith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24" w:lineRule="exact"/>
        <w:rPr>
          <w:rFonts w:ascii="Arial" w:cs="Arial" w:eastAsia="Arial" w:hAnsi="Arial"/>
          <w:sz w:val="16"/>
          <w:szCs w:val="16"/>
          <w:color w:val="auto"/>
        </w:rPr>
      </w:pPr>
    </w:p>
    <w:p>
      <w:pPr>
        <w:ind w:left="460" w:right="40" w:firstLine="881"/>
        <w:spacing w:after="0" w:line="253" w:lineRule="auto"/>
        <w:tabs>
          <w:tab w:leader="none" w:pos="1575"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In the event Smith receives an Acquisition Proposal, or any request for nonpublic information relating to Smith or any Subsidiary of Smith or for access to the properties, books or records of Smith or any Subsidiary of Smith by any person that has made or, to the knowledge of Smith, would reasonably be expected to make, an Acquisition Proposal, Smith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881"/>
        <w:spacing w:after="0" w:line="291" w:lineRule="auto"/>
        <w:tabs>
          <w:tab w:leader="none" w:pos="158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Subject to Schlumberger’s rights under Article 9, nothing in this Section 7.3 shall prohibit the Smith Board from taking and disclosing to Smith’s stockholders a position contemplated by Rule 14e-2(a), Rule 14d-9 or Item 1012(a) of Regulation M-A promulgated under the Exchange Act, or other Applicable Law, if the Smith Board, after consultation with outside legal counsel, determines in good faith that the failure to so disclose such position would reasonably be expected to be inconsistent with the directors’ exercise of their fiduciary obligations to Smith’s stockholders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disclosure that relates to an Acquisition Proposal shall be deemed to be a Change in Recommendation unless the Smith</w:t>
      </w:r>
      <w:r>
        <w:rPr>
          <w:rFonts w:ascii="Arial" w:cs="Arial" w:eastAsia="Arial" w:hAnsi="Arial"/>
          <w:sz w:val="16"/>
          <w:szCs w:val="16"/>
          <w:i w:val="1"/>
          <w:iCs w:val="1"/>
          <w:color w:val="auto"/>
        </w:rPr>
        <w:t xml:space="preserve"> </w:t>
      </w:r>
      <w:r>
        <w:rPr>
          <w:rFonts w:ascii="Arial" w:cs="Arial" w:eastAsia="Arial" w:hAnsi="Arial"/>
          <w:sz w:val="16"/>
          <w:szCs w:val="16"/>
          <w:color w:val="auto"/>
        </w:rPr>
        <w:t>Board reaffirms the Smith Recommendation in such disclosure.</w:t>
      </w:r>
    </w:p>
    <w:p>
      <w:pPr>
        <w:spacing w:after="0" w:line="120" w:lineRule="exact"/>
        <w:rPr>
          <w:rFonts w:ascii="Arial" w:cs="Arial" w:eastAsia="Arial" w:hAnsi="Arial"/>
          <w:sz w:val="16"/>
          <w:szCs w:val="16"/>
          <w:color w:val="auto"/>
        </w:rPr>
      </w:pPr>
    </w:p>
    <w:p>
      <w:pPr>
        <w:ind w:left="460" w:firstLine="881"/>
        <w:spacing w:after="0" w:line="294" w:lineRule="auto"/>
        <w:tabs>
          <w:tab w:leader="none" w:pos="157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Smith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15" w:lineRule="exact"/>
        <w:rPr>
          <w:rFonts w:ascii="Arial" w:cs="Arial" w:eastAsia="Arial" w:hAnsi="Arial"/>
          <w:sz w:val="16"/>
          <w:szCs w:val="16"/>
          <w:color w:val="auto"/>
        </w:rPr>
      </w:pPr>
    </w:p>
    <w:p>
      <w:pPr>
        <w:ind w:left="1560" w:hanging="219"/>
        <w:spacing w:after="0"/>
        <w:tabs>
          <w:tab w:leader="none" w:pos="15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65" w:lineRule="exact"/>
        <w:rPr>
          <w:sz w:val="20"/>
          <w:szCs w:val="20"/>
          <w:color w:val="auto"/>
        </w:rPr>
      </w:pPr>
    </w:p>
    <w:p>
      <w:pPr>
        <w:ind w:left="460" w:right="120" w:firstLine="8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means any bona fide written offer or proposal for, or any bona fide written indication of interest in, any (i) direct or indirect acquisition or purchase of any business or assets of Smith or any of its Subsidiaries that, individually or in the aggregate, constitutes 20% or more of the net revenues, net income or assets of Smith and its Subsidiaries, taken as a whole, (ii) direct or indirect acquisition or purchase of 20% or more of any class of equity securities of Smith, (iii) tender offer or exchange offer that, if consummated, would result in any person beneficially owning 20% or more of any class of equity securities of Smith, (iv)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(v) the declaration or payment of an extraordinary dividend (whether in cash or in property) by Smith, other than the transactions contemplated by this Agreement.</w:t>
      </w:r>
    </w:p>
    <w:p>
      <w:pPr>
        <w:spacing w:after="0" w:line="112" w:lineRule="exact"/>
        <w:rPr>
          <w:sz w:val="20"/>
          <w:szCs w:val="20"/>
          <w:color w:val="auto"/>
        </w:rPr>
      </w:pPr>
    </w:p>
    <w:p>
      <w:pPr>
        <w:ind w:left="460" w:right="40" w:firstLine="87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Proposal</w:t>
      </w:r>
      <w:r>
        <w:rPr>
          <w:rFonts w:ascii="Arial" w:cs="Arial" w:eastAsia="Arial" w:hAnsi="Arial"/>
          <w:sz w:val="16"/>
          <w:szCs w:val="16"/>
          <w:color w:val="auto"/>
        </w:rPr>
        <w:t>” means any bona fide written Acquisition Proposal for or in respect of at least a majority of the outstanding shares of Smith Common Stock or all or substantially all of Smith’s and its Subsidiaries’ assets (A) on terms that the Smith Board determines in its good faith judgment (after consultation with a financial advisor of nationally recognized reputation) are more favorable to Smith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14" w:lineRule="exact"/>
        <w:rPr>
          <w:sz w:val="20"/>
          <w:szCs w:val="20"/>
          <w:color w:val="auto"/>
        </w:rPr>
      </w:pPr>
    </w:p>
    <w:p>
      <w:pPr>
        <w:ind w:left="460" w:right="640" w:firstLine="881"/>
        <w:spacing w:after="0" w:line="332" w:lineRule="auto"/>
        <w:tabs>
          <w:tab w:leader="none" w:pos="158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Smith agrees that it will take the necessary steps promptly to inform its Subsidiaries and its officers, directors, investment bankers, consultants, attorneys, accountants, agents and other representatives of the obligations undertaken in this Section 7.3.</w:t>
      </w:r>
    </w:p>
    <w:p>
      <w:pPr>
        <w:spacing w:after="0" w:line="85" w:lineRule="exact"/>
        <w:rPr>
          <w:sz w:val="20"/>
          <w:szCs w:val="20"/>
          <w:color w:val="auto"/>
        </w:rPr>
      </w:pPr>
    </w:p>
    <w:p>
      <w:pPr>
        <w:ind w:left="460" w:right="60" w:firstLine="876"/>
        <w:spacing w:after="0" w:line="290"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Reasonable Best Efforts</w:t>
      </w:r>
      <w:r>
        <w:rPr>
          <w:rFonts w:ascii="Arial" w:cs="Arial" w:eastAsia="Arial" w:hAnsi="Arial"/>
          <w:sz w:val="16"/>
          <w:szCs w:val="16"/>
          <w:color w:val="auto"/>
        </w:rPr>
        <w:t>. Subject to Section 7.2 and Section 7.6,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from third parties, (iii) the defending of any lawsuits or other legal proceedings, whether judicial or administrative, challenging this Agreement or the consummation of the transactions contemplated by this Agreement, (iv) the delivery of an officer’s certificate to tax counsel setting forth facts which, in the case of a certificate provided by an officer of Smith, relate to Smith and its Subsidiaries, and, in the case of a certificate provided by an officer of Schlumberger, relate to Schlumberger and its Subsidiaries, and which are relevant to any tax opinion that may be reasonably required in connection with the filing of the Form S-4 or the delivery of the legal opinions described in Sections 8.2(c) and 8.3(b), and (v) the execution and delivery of any additional instruments necessary to consummate the transactions contemplated by this Agreement.</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8" w:lineRule="auto"/>
        <w:tabs>
          <w:tab w:leader="none" w:pos="15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hereof, Schlumberger and Smith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12" w:lineRule="exact"/>
        <w:rPr>
          <w:rFonts w:ascii="Arial" w:cs="Arial" w:eastAsia="Arial" w:hAnsi="Arial"/>
          <w:sz w:val="16"/>
          <w:szCs w:val="16"/>
          <w:color w:val="auto"/>
        </w:rPr>
      </w:pPr>
    </w:p>
    <w:p>
      <w:pPr>
        <w:ind w:left="460" w:right="500" w:firstLine="881"/>
        <w:spacing w:after="0" w:line="259" w:lineRule="auto"/>
        <w:tabs>
          <w:tab w:leader="none" w:pos="158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of Schlumberger and Smith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40" w:lineRule="exact"/>
        <w:rPr>
          <w:rFonts w:ascii="Arial" w:cs="Arial" w:eastAsia="Arial" w:hAnsi="Arial"/>
          <w:sz w:val="18"/>
          <w:szCs w:val="18"/>
          <w:color w:val="auto"/>
        </w:rPr>
      </w:pPr>
    </w:p>
    <w:p>
      <w:pPr>
        <w:ind w:left="460" w:right="40" w:firstLine="881"/>
        <w:spacing w:after="0" w:line="298" w:lineRule="auto"/>
        <w:tabs>
          <w:tab w:leader="none" w:pos="15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Schlumberger and Smith shall, as promptly as practicable after receipt thereof, provide the other party copies of any written comments, and advise the other party of any oral comments, received from the SEC with respect to the Proxy Statement/Prospectus. Schlumberger shall provide Smith with a reasonable opportunity to review and comment on any amendment or supplement to the Form S-4 and any communications prior to filing such with the SEC, and will promptly provide Smith with a copy of all such filings and communications made with the SEC.</w:t>
      </w:r>
    </w:p>
    <w:p>
      <w:pPr>
        <w:spacing w:after="0" w:line="112" w:lineRule="exact"/>
        <w:rPr>
          <w:rFonts w:ascii="Arial" w:cs="Arial" w:eastAsia="Arial" w:hAnsi="Arial"/>
          <w:sz w:val="16"/>
          <w:szCs w:val="16"/>
          <w:color w:val="auto"/>
        </w:rPr>
      </w:pPr>
    </w:p>
    <w:p>
      <w:pPr>
        <w:ind w:left="460" w:firstLine="881"/>
        <w:spacing w:after="0" w:line="253" w:lineRule="auto"/>
        <w:tabs>
          <w:tab w:leader="none" w:pos="158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Smith shall furnish all information concerning Smith and the holders of Smith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47" w:lineRule="exact"/>
        <w:rPr>
          <w:rFonts w:ascii="Arial" w:cs="Arial" w:eastAsia="Arial" w:hAnsi="Arial"/>
          <w:sz w:val="18"/>
          <w:szCs w:val="18"/>
          <w:color w:val="auto"/>
        </w:rPr>
      </w:pPr>
    </w:p>
    <w:p>
      <w:pPr>
        <w:ind w:left="460" w:right="60" w:firstLine="881"/>
        <w:spacing w:after="0" w:line="291" w:lineRule="auto"/>
        <w:tabs>
          <w:tab w:leader="none" w:pos="15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Schlumberger or Smith, or any of their respective affiliates, officers or directors, should be discovered by Schlumberger or Smith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Smith.</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90" w:lineRule="exact"/>
        <w:rPr>
          <w:sz w:val="20"/>
          <w:szCs w:val="20"/>
          <w:color w:val="auto"/>
        </w:rPr>
      </w:pPr>
    </w:p>
    <w:p>
      <w:pPr>
        <w:ind w:left="460" w:right="360" w:firstLine="881"/>
        <w:spacing w:after="0" w:line="259" w:lineRule="auto"/>
        <w:tabs>
          <w:tab w:leader="none" w:pos="157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each of the parties hereto shall use its reasonable best efforts to take, or cause to be taken, all actions, and to do, or cause to be done, and to assist and cooperate with the other parties in doing, all things necessary, proper or advisable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18" w:lineRule="exact"/>
        <w:rPr>
          <w:sz w:val="20"/>
          <w:szCs w:val="20"/>
          <w:color w:val="auto"/>
        </w:rPr>
      </w:pPr>
    </w:p>
    <w:p>
      <w:pPr>
        <w:ind w:left="460" w:right="160" w:firstLine="881"/>
        <w:spacing w:after="0" w:line="268" w:lineRule="auto"/>
        <w:tabs>
          <w:tab w:leader="none" w:pos="158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Subject to Section 7.6(c) and the other terms and conditions herein provided and without limiting the foregoing, Smith and Schlumberger shall (and shall cause their respective Subsidiaries to):</w:t>
      </w:r>
    </w:p>
    <w:p>
      <w:pPr>
        <w:spacing w:after="0" w:line="51" w:lineRule="exact"/>
        <w:rPr>
          <w:sz w:val="20"/>
          <w:szCs w:val="20"/>
          <w:color w:val="auto"/>
        </w:rPr>
      </w:pPr>
    </w:p>
    <w:p>
      <w:pPr>
        <w:ind w:left="920" w:right="180" w:firstLine="421"/>
        <w:spacing w:after="0" w:line="256" w:lineRule="auto"/>
        <w:tabs>
          <w:tab w:leader="none" w:pos="154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considered by Schlumberger to be advisable) under the HSR Act, the EC Merger Regulation and any other Regulatory Laws (and shall share equally all filing fees incident thereto), which filings shall be made promptly, but in no event later than 10 days after the date hereof with respect to the filing under the HSR Act, and thereafter shall promptly make any other required submissions under the HSR Act or other such laws;</w:t>
      </w:r>
    </w:p>
    <w:p>
      <w:pPr>
        <w:spacing w:after="0" w:line="62" w:lineRule="exact"/>
        <w:rPr>
          <w:rFonts w:ascii="Arial" w:cs="Arial" w:eastAsia="Arial" w:hAnsi="Arial"/>
          <w:sz w:val="18"/>
          <w:szCs w:val="18"/>
          <w:color w:val="auto"/>
        </w:rPr>
      </w:pPr>
    </w:p>
    <w:p>
      <w:pPr>
        <w:ind w:left="920" w:right="120" w:firstLine="421"/>
        <w:spacing w:after="0" w:line="298" w:lineRule="auto"/>
        <w:tabs>
          <w:tab w:leader="none" w:pos="159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use their reasonable best efforts to cooperate with one another in (A) determining which filings are required (or considered by Schlumberger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64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w:t>
      </w:r>
    </w:p>
    <w:p>
      <w:pPr>
        <w:spacing w:after="0" w:line="25" w:lineRule="exact"/>
        <w:rPr>
          <w:rFonts w:ascii="Arial" w:cs="Arial" w:eastAsia="Arial" w:hAnsi="Arial"/>
          <w:sz w:val="16"/>
          <w:szCs w:val="16"/>
          <w:color w:val="auto"/>
        </w:rPr>
      </w:pPr>
    </w:p>
    <w:p>
      <w:pPr>
        <w:ind w:left="920" w:right="120" w:firstLine="421"/>
        <w:spacing w:after="0" w:line="294" w:lineRule="auto"/>
        <w:tabs>
          <w:tab w:leader="none" w:pos="163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not agree to participate in any meeting or substantive discussion (including, without limitation,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unless the Governmental Entity prohibits such attendance;</w:t>
      </w:r>
    </w:p>
    <w:p>
      <w:pPr>
        <w:spacing w:after="0" w:line="34" w:lineRule="exact"/>
        <w:rPr>
          <w:rFonts w:ascii="Arial" w:cs="Arial" w:eastAsia="Arial" w:hAnsi="Arial"/>
          <w:sz w:val="16"/>
          <w:szCs w:val="16"/>
          <w:color w:val="auto"/>
        </w:rPr>
      </w:pPr>
    </w:p>
    <w:p>
      <w:pPr>
        <w:ind w:left="920" w:firstLine="421"/>
        <w:spacing w:after="0" w:line="294" w:lineRule="auto"/>
        <w:tabs>
          <w:tab w:leader="none" w:pos="15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of all correspondence, filings and communications (and memoranda setting forth the substance thereof) that they, their affiliates or their respective representatives intend to submit to any Governmental Entity, it being understood that correspondence, filings and communications received from any Governmental Entity shall be immediately provided to the other party upon receipt;</w:t>
      </w:r>
    </w:p>
    <w:p>
      <w:pPr>
        <w:spacing w:after="0" w:line="34" w:lineRule="exact"/>
        <w:rPr>
          <w:rFonts w:ascii="Arial" w:cs="Arial" w:eastAsia="Arial" w:hAnsi="Arial"/>
          <w:sz w:val="16"/>
          <w:szCs w:val="16"/>
          <w:color w:val="auto"/>
        </w:rPr>
      </w:pPr>
    </w:p>
    <w:p>
      <w:pPr>
        <w:ind w:left="920" w:right="180" w:firstLine="421"/>
        <w:spacing w:after="0" w:line="298" w:lineRule="auto"/>
        <w:tabs>
          <w:tab w:leader="none" w:pos="163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without limitation, any filings necessary or appropriate under the provisions of Regulatory Laws;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(vii) deliver to the other party’s outside counsel complete copies of all documents furnished to any Governmental Entity as part of any filing.</w:t>
      </w:r>
    </w:p>
    <w:p>
      <w:pPr>
        <w:spacing w:after="0" w:line="194" w:lineRule="exact"/>
        <w:rPr>
          <w:sz w:val="20"/>
          <w:szCs w:val="20"/>
          <w:color w:val="auto"/>
        </w:rPr>
      </w:pPr>
    </w:p>
    <w:p>
      <w:pPr>
        <w:ind w:left="460" w:right="100" w:firstLine="881"/>
        <w:spacing w:after="0" w:line="290" w:lineRule="auto"/>
        <w:tabs>
          <w:tab w:leader="none" w:pos="1575"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7.6(a), Section 7.6(b), Section 7.6(d) and Section 7.6(e). Smith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Smith shall use its reasonable best efforts to provide full and effective support of Schlumberger in all material respects in all such negotiations and discussions to the extent requested by Schlumberger.</w:t>
      </w:r>
    </w:p>
    <w:p>
      <w:pPr>
        <w:spacing w:after="0" w:line="118" w:lineRule="exact"/>
        <w:rPr>
          <w:rFonts w:ascii="Arial" w:cs="Arial" w:eastAsia="Arial" w:hAnsi="Arial"/>
          <w:sz w:val="16"/>
          <w:szCs w:val="16"/>
          <w:color w:val="auto"/>
        </w:rPr>
      </w:pPr>
    </w:p>
    <w:p>
      <w:pPr>
        <w:ind w:left="460" w:firstLine="881"/>
        <w:spacing w:after="0" w:line="301" w:lineRule="auto"/>
        <w:tabs>
          <w:tab w:leader="none" w:pos="1585" w:val="left"/>
        </w:tabs>
        <w:numPr>
          <w:ilvl w:val="1"/>
          <w:numId w:val="257"/>
        </w:numPr>
        <w:rPr>
          <w:rFonts w:ascii="Arial" w:cs="Arial" w:eastAsia="Arial" w:hAnsi="Arial"/>
          <w:sz w:val="15"/>
          <w:szCs w:val="15"/>
          <w:color w:val="auto"/>
        </w:rPr>
      </w:pPr>
      <w:r>
        <w:rPr>
          <w:rFonts w:ascii="Arial" w:cs="Arial" w:eastAsia="Arial" w:hAnsi="Arial"/>
          <w:sz w:val="15"/>
          <w:szCs w:val="15"/>
          <w:color w:val="auto"/>
        </w:rPr>
        <w:t xml:space="preserve">Without limiting the foregoing, Schlumberger and Merger Sub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in this Agreement requires Schlumberger, Merger Sub or Smith to take, or cause to be taken, any action with respect to any of the assets, businesses or product lines of Smith or any of its Subsidiaries, or of Schlumberger or any of its Subsidiaries (including the Surviving Entity), or any combination thereof, if such action would exceed the Detriment Limit. For purposes of this Agreement, the “Detriment Limit” would be exceeded if the assets, businesses or product lines required to be divested or held separate in order to obtain actions or nonactions, waivers, authorizations, expirations or terminations of waiting periods, clearances, consents and approvals from Governmental Entities under Regulatory Laws includes assets, business or product lines other than (i) the assets, businesses and product lines acquired by Smith in connection with its acquisition of W-H Energy Services, Inc. or corresponding assets, businesses or product lines of Schlumberger or its Subsidiaries overlapping with the assets, businesses or product lines acquired by Smith in connection with its acquisition of W-H Energy Services, Inc., and</w:t>
      </w:r>
    </w:p>
    <w:p>
      <w:pPr>
        <w:spacing w:after="0" w:line="3" w:lineRule="exact"/>
        <w:rPr>
          <w:rFonts w:ascii="Arial" w:cs="Arial" w:eastAsia="Arial" w:hAnsi="Arial"/>
          <w:sz w:val="15"/>
          <w:szCs w:val="15"/>
          <w:color w:val="auto"/>
        </w:rPr>
      </w:pPr>
    </w:p>
    <w:p>
      <w:pPr>
        <w:ind w:left="460" w:right="380" w:firstLine="4"/>
        <w:spacing w:after="0" w:line="300" w:lineRule="auto"/>
        <w:tabs>
          <w:tab w:leader="none" w:pos="719" w:val="left"/>
        </w:tabs>
        <w:numPr>
          <w:ilvl w:val="0"/>
          <w:numId w:val="258"/>
        </w:numPr>
        <w:rPr>
          <w:rFonts w:ascii="Arial" w:cs="Arial" w:eastAsia="Arial" w:hAnsi="Arial"/>
          <w:sz w:val="15"/>
          <w:szCs w:val="15"/>
          <w:color w:val="auto"/>
        </w:rPr>
      </w:pPr>
      <w:r>
        <w:rPr>
          <w:rFonts w:ascii="Arial" w:cs="Arial" w:eastAsia="Arial" w:hAnsi="Arial"/>
          <w:sz w:val="15"/>
          <w:szCs w:val="15"/>
          <w:color w:val="auto"/>
        </w:rPr>
        <w:t>other assets, businesses and product lines accounting for not more than $190 million of revenue of either Schlumberger or Smith for the 12 months ending December 31, 2009, excluding from such calculation (A) assets, businesses or product lines described in clause (i) of this Section 7.6(d), and</w:t>
      </w:r>
    </w:p>
    <w:p>
      <w:pPr>
        <w:ind w:left="460" w:right="100"/>
        <w:spacing w:after="0" w:line="287" w:lineRule="auto"/>
        <w:rPr>
          <w:rFonts w:ascii="Arial" w:cs="Arial" w:eastAsia="Arial" w:hAnsi="Arial"/>
          <w:sz w:val="15"/>
          <w:szCs w:val="15"/>
          <w:color w:val="auto"/>
        </w:rPr>
      </w:pPr>
      <w:r>
        <w:rPr>
          <w:rFonts w:ascii="Arial" w:cs="Arial" w:eastAsia="Arial" w:hAnsi="Arial"/>
          <w:sz w:val="16"/>
          <w:szCs w:val="16"/>
          <w:color w:val="auto"/>
        </w:rPr>
        <w:t xml:space="preserve">(B) assets, businesses or product lines of the Wilson business unit of Smith (which assets, businesses or product lines may be required to be divested or held separate and if so will not be deemed to exceed the Detriment Limit). If requested by Schlumberger, Smith will agree to any action contemplated by this Section 7.6(b),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or action is conditioned on the consummation of the Merger. The parties agree that the calculation of revenue shall be measured by reference to the lowest such revenue of Schlumberger or Smith for each such overlapping asset, business or product line so required to be divested, regardless of which asset, business or product line Schlumberger actually divests. The foregoing agreement in this section is made solely to facilitate the closing of the Merger and does not constitute a representation or admission that the Merger, if consummated without any modification, would violate any Regulatory Laws or that agreeing to the divestitures, hold separate conditions or other restrictions permitted herein or suggested by any person or authority acting under any Regulatory Law would not be harmful to the parties.</w:t>
      </w:r>
    </w:p>
    <w:p>
      <w:pPr>
        <w:spacing w:after="0" w:line="124" w:lineRule="exact"/>
        <w:rPr>
          <w:rFonts w:ascii="Arial" w:cs="Arial" w:eastAsia="Arial" w:hAnsi="Arial"/>
          <w:sz w:val="15"/>
          <w:szCs w:val="15"/>
          <w:color w:val="auto"/>
        </w:rPr>
      </w:pPr>
    </w:p>
    <w:p>
      <w:pPr>
        <w:ind w:left="460" w:firstLine="881"/>
        <w:spacing w:after="0" w:line="306" w:lineRule="auto"/>
        <w:tabs>
          <w:tab w:leader="none" w:pos="157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Schlumberger shall have the right, but not the obligation, to oppose by refusing to consent to, through litigation or otherwise any request, attempt or demand by any Governmental Entity or other person for any divestiture, hold separate condition or any other restriction with respect to any assets, businesses or product lines of either Schlumberger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Smith and shall have the obligation to defend litigation instituted by such Governmental Entity or other person with respect to the legality of the Merger under applicable Regulatory Laws. In the event Schlumberger exercises its rights to oppose through litigation, including any appeals, a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 manner, as are necessary to achieve the clearance or approval of the Governmental Entity or other person prior to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shall not be required to take actions that would exceed the Detriment Limit. If there is no decree, order or injunction restricting or prohibiting the Merger, but the decision of a Governmental Entity in litigation contemplated by this Section 7.6(e) is under appeal, Schlumberger shall have the right to elect, and Smith shall have the obligation upon such election by Schlumberger, to proceed to close the Merger if the other conditions to Closing have been satisfied.</w:t>
      </w:r>
    </w:p>
    <w:p>
      <w:pPr>
        <w:spacing w:after="0" w:line="114" w:lineRule="exact"/>
        <w:rPr>
          <w:sz w:val="20"/>
          <w:szCs w:val="20"/>
          <w:color w:val="auto"/>
        </w:rPr>
      </w:pPr>
    </w:p>
    <w:p>
      <w:pPr>
        <w:ind w:left="460" w:right="80" w:firstLine="881"/>
        <w:spacing w:after="0" w:line="256" w:lineRule="auto"/>
        <w:tabs>
          <w:tab w:leader="none" w:pos="155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45" w:lineRule="exact"/>
        <w:rPr>
          <w:sz w:val="20"/>
          <w:szCs w:val="20"/>
          <w:color w:val="auto"/>
        </w:rPr>
      </w:pPr>
    </w:p>
    <w:p>
      <w:pPr>
        <w:ind w:left="460" w:right="220" w:firstLine="876"/>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of the Smith Options to be approved for listing on the NYSE, subject to official notice of issuance, prior to the Effective Time.</w:t>
      </w:r>
    </w:p>
    <w:p>
      <w:pPr>
        <w:spacing w:after="0" w:line="140"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Smith shall take all such steps as may be required to cause any dispositions of Smith Common Stock (including derivative securities with respect to Smith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Smith, to be exempt under Rule 16b-3 promulgated under the Exchange Act.</w:t>
      </w:r>
    </w:p>
    <w:p>
      <w:pPr>
        <w:spacing w:after="0" w:line="143" w:lineRule="exact"/>
        <w:rPr>
          <w:sz w:val="20"/>
          <w:szCs w:val="20"/>
          <w:color w:val="auto"/>
        </w:rPr>
      </w:pPr>
    </w:p>
    <w:p>
      <w:pPr>
        <w:ind w:left="460" w:firstLine="876"/>
        <w:spacing w:after="0" w:line="29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i w:val="1"/>
          <w:iCs w:val="1"/>
          <w:color w:val="auto"/>
        </w:rPr>
        <w:t>Schlumberger Options and Stock Incentive Awards</w:t>
      </w:r>
      <w:r>
        <w:rPr>
          <w:rFonts w:ascii="Arial" w:cs="Arial" w:eastAsia="Arial" w:hAnsi="Arial"/>
          <w:sz w:val="16"/>
          <w:szCs w:val="16"/>
          <w:color w:val="auto"/>
        </w:rPr>
        <w:t>. As of the Closing Date, to the extent necessary to provide for registration of shares of Schlumberger Common Stock subject to a substituted Schlumberger Option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Schlumberger Options or Schlumberger Stock Incentive Awards remain outstanding.</w:t>
      </w:r>
    </w:p>
    <w:p>
      <w:pPr>
        <w:spacing w:after="0" w:line="118" w:lineRule="exact"/>
        <w:rPr>
          <w:sz w:val="20"/>
          <w:szCs w:val="20"/>
          <w:color w:val="auto"/>
        </w:rPr>
      </w:pPr>
    </w:p>
    <w:p>
      <w:pPr>
        <w:ind w:left="460" w:right="660" w:firstLine="876"/>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Coordination of Dividends</w:t>
      </w:r>
      <w:r>
        <w:rPr>
          <w:rFonts w:ascii="Arial" w:cs="Arial" w:eastAsia="Arial" w:hAnsi="Arial"/>
          <w:sz w:val="18"/>
          <w:szCs w:val="18"/>
          <w:color w:val="auto"/>
        </w:rPr>
        <w:t>. Smith shall coordinate with Schlumberger to designate the record dates for Smith’s quarterly dividends to coincide with the record dates for Schlumberger’s quarterly dividends.</w:t>
      </w:r>
    </w:p>
    <w:p>
      <w:pPr>
        <w:spacing w:after="0" w:line="132"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Inspection</w:t>
      </w:r>
      <w:r>
        <w:rPr>
          <w:rFonts w:ascii="Arial" w:cs="Arial" w:eastAsia="Arial" w:hAnsi="Arial"/>
          <w:sz w:val="18"/>
          <w:szCs w:val="18"/>
          <w:color w:val="auto"/>
        </w:rPr>
        <w:t>. From the date hereof to the Effective Time, each of Smith on the one hand, and Schlumberger and Merger Sub on the other hand, shall allow designated officers, attorneys,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 xml:space="preserve">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7.11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Smith on the one hand, nor Schlumberger or Merger Sub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7.11 for any purpose unrelated to the consummation of the Merger and the other transactions contemplated by this Agreement. All nonpublic information obtained pursuant to this Section 7.11 shall be governed by the Confidentiality Agreement.</w:t>
      </w:r>
    </w:p>
    <w:p>
      <w:pPr>
        <w:spacing w:after="0" w:line="124" w:lineRule="exact"/>
        <w:rPr>
          <w:sz w:val="20"/>
          <w:szCs w:val="20"/>
          <w:color w:val="auto"/>
        </w:rPr>
      </w:pPr>
    </w:p>
    <w:p>
      <w:pPr>
        <w:ind w:left="460" w:right="20" w:firstLine="876"/>
        <w:spacing w:after="0" w:line="29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7.2, neither Schlumberger nor Smith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Smith agree to issue a mutually acceptable joint press release announcing this Agreement.</w:t>
      </w:r>
    </w:p>
    <w:p>
      <w:pPr>
        <w:spacing w:after="0" w:line="118"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9.5,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43"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Rights Agreement</w:t>
      </w:r>
      <w:r>
        <w:rPr>
          <w:rFonts w:ascii="Arial" w:cs="Arial" w:eastAsia="Arial" w:hAnsi="Arial"/>
          <w:sz w:val="16"/>
          <w:szCs w:val="16"/>
          <w:color w:val="auto"/>
        </w:rPr>
        <w:t>. Prior to the Effective Time, the Smith Board shall take any action (including, as necessary, amending or terminating (but with respect to termination, only as of immediately prior to the Effective Time) the Rights Agreement) necessary so that (a) none of the execution and delivery of this Agreement, the conversion of shares of Smith Common Stock into the right to receive the Merger Consideration in accordance with this Agreement, and the consummation of the Merger or any other transaction contemplated by this Agreement hereby will cause (i) the Smith Rights to become exercisable under the Rights Agreement, (ii) Schlumberger or any of its affiliates to be deemed an “Acquiring Person” (as defined in the Rights Agreement), (iii) the provisions of Section 11 or Section 13 of the Rights Agreement to become applicable to any such event or (iv) the “Distribution Date” or the “Shares Acquisition Date” (each as defined in the Rights Agreement) to occur upon any such event, and (b) the “Final Expiration Date” (as defined in the Rights Agreement) of the Smith Rights will occur immediately prior to the Effective Time so that the Smith Rights will expire immediately prior to the Effective Time. Without the prior written consent of Schlumberger, neither the Smith Board nor Smith shall take any other action to terminate the Rights Agreement, redeem the Smith Rights, cause any person not to be or become an “Acquiring Person” or otherwise amend the Rights Agreement in a manner, or take any other action under the Rights Agreement, adverse to Schlumberger or its affiliates.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firstLine="876"/>
        <w:spacing w:after="0" w:line="255"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State Takeover Laws</w:t>
      </w:r>
      <w:r>
        <w:rPr>
          <w:rFonts w:ascii="Arial" w:cs="Arial" w:eastAsia="Arial" w:hAnsi="Arial"/>
          <w:sz w:val="18"/>
          <w:szCs w:val="18"/>
          <w:color w:val="auto"/>
        </w:rPr>
        <w:t>. If any “fair price,” “moratorium,” “business combination,” or “control share acquisition” statute or other similar statute or regulation is or shall become applicable to the transactions contemplated by this Agreement, Smith and the Smith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3" w:lineRule="exact"/>
        <w:rPr>
          <w:sz w:val="20"/>
          <w:szCs w:val="20"/>
          <w:color w:val="auto"/>
        </w:rPr>
      </w:pPr>
    </w:p>
    <w:p>
      <w:pPr>
        <w:ind w:left="460" w:firstLine="876"/>
        <w:spacing w:after="0" w:line="294"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i w:val="1"/>
          <w:iCs w:val="1"/>
          <w:color w:val="auto"/>
        </w:rPr>
        <w:t>Stockholder Litigation</w:t>
      </w:r>
      <w:r>
        <w:rPr>
          <w:rFonts w:ascii="Arial" w:cs="Arial" w:eastAsia="Arial" w:hAnsi="Arial"/>
          <w:sz w:val="16"/>
          <w:szCs w:val="16"/>
          <w:color w:val="auto"/>
        </w:rPr>
        <w:t>. Smith shall give Schlumberger the opportunity to participate in the defense or settlement of any stockholder litigation against Smith and/or its directors or officers relating to the transactions contemplated by this Agreement. Smith agrees that it shall not settle or offer to settle any litigation commenced on or after the date hereof against Smith or any of its directors or officers by any stockholder of Smith relating to this Agreement, the Merger, any other transaction contemplated by this Agreement or otherwise, without the prior written consent of Schlumberger (such consent not to be unreasonably withheld, conditioned or delayed).</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ind w:left="460" w:right="160" w:firstLine="881"/>
        <w:spacing w:after="0" w:line="282" w:lineRule="auto"/>
        <w:tabs>
          <w:tab w:leader="none" w:pos="157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the Surviving Entity (i) shall indemnify, defend and hold harmless each person who is, or at any time prior to the Effective Time has been, a director, officer or employee of Smith or any of its Subsidiaries and each person who is, or at any time prior to the Effective Time, served at the request of Smith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 settlement) reasonably incurred or suffered by such person in connection with any action, suit or proceeding, whether civil, criminal, administrative or investigative (an “</w:t>
      </w:r>
      <w:r>
        <w:rPr>
          <w:rFonts w:ascii="Arial" w:cs="Arial" w:eastAsia="Arial" w:hAnsi="Arial"/>
          <w:sz w:val="16"/>
          <w:szCs w:val="16"/>
          <w:b w:val="1"/>
          <w:bCs w:val="1"/>
          <w:color w:val="auto"/>
        </w:rPr>
        <w:t>Action</w:t>
      </w:r>
      <w:r>
        <w:rPr>
          <w:rFonts w:ascii="Arial" w:cs="Arial" w:eastAsia="Arial" w:hAnsi="Arial"/>
          <w:sz w:val="16"/>
          <w:szCs w:val="16"/>
          <w:color w:val="auto"/>
        </w:rPr>
        <w:t>”), by reason of the fact that such Indemnified Party is or was a director, officer, employee or agent of Smith, any of its Subsidiaries or any such corporation, partnership, joint venture, trust or other enterprise, to the fullest extent permitted by Applicable Law, and</w:t>
      </w:r>
    </w:p>
    <w:p>
      <w:pPr>
        <w:spacing w:after="0" w:line="5" w:lineRule="exact"/>
        <w:rPr>
          <w:rFonts w:ascii="Arial" w:cs="Arial" w:eastAsia="Arial" w:hAnsi="Arial"/>
          <w:sz w:val="16"/>
          <w:szCs w:val="16"/>
          <w:color w:val="auto"/>
        </w:rPr>
      </w:pPr>
    </w:p>
    <w:p>
      <w:pPr>
        <w:ind w:left="460" w:right="80" w:firstLine="4"/>
        <w:spacing w:after="0" w:line="290" w:lineRule="auto"/>
        <w:tabs>
          <w:tab w:leader="none" w:pos="71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without limitation to clause (i), to the fullest extent permitted by Applicable Law, shall also advance expenses as incurred to the same such extent;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person to whom fees and expenses are advanced shall, if required by Applicable Law, provide an undertaking to repay such advances if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ultimately determined that such person is not entitled to indemnification;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Surviving Entity shall not be required to pay the fees and expenses of more than one counsel (which counsel shall be reasonably acceptable to the Surviving Entity) in addition to local counsel for all Indemnified Parties in any single Action unless, in the good faith judgment of any of the Indemnified Parties, there is or may be a conflict of interest between two or more of such Indemnified Parties.</w:t>
      </w:r>
    </w:p>
    <w:p>
      <w:pPr>
        <w:spacing w:after="0" w:line="118" w:lineRule="exact"/>
        <w:rPr>
          <w:rFonts w:ascii="Arial" w:cs="Arial" w:eastAsia="Arial" w:hAnsi="Arial"/>
          <w:sz w:val="16"/>
          <w:szCs w:val="16"/>
          <w:color w:val="auto"/>
        </w:rPr>
      </w:pPr>
    </w:p>
    <w:p>
      <w:pPr>
        <w:ind w:left="460" w:right="60" w:firstLine="881"/>
        <w:spacing w:after="0" w:line="287" w:lineRule="auto"/>
        <w:tabs>
          <w:tab w:leader="none" w:pos="1585"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Smith may purchase a “tail” directors’ and officers’ liability insurance policy covering the Indemnified Parties who are or at any time prior to the Effective Time covered by Smith’s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7.17(a) of the Smith Disclosure Letter. If Smith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Smith’s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Smith prior to the date hereof (the amount of which premium is set forth in Section 7.17(b)(2) of the Smith Disclosure Letter), but in such case shall purchase as much coverage as reasonably practicable for such amount. In either case, Schlumberger and the Surviving Entity will maintain such policies in full force and effect and honor the obligations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firstLine="881"/>
        <w:spacing w:after="0" w:line="256" w:lineRule="auto"/>
        <w:tabs>
          <w:tab w:leader="none" w:pos="157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event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7.17.</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6" w:lineRule="auto"/>
        <w:tabs>
          <w:tab w:leader="none" w:pos="157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Smith Benefit Plans and compensation arrangements and agreements in accordance with their terms as in effect immediately prior to the Effective Time. For a period of one year following the Effective Time, Schlumberger shall provide, or shall cause to be provided, to each current and former employee of Smith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compensation and benefits that are no less favorable, in the aggregate, than the compensation and benefits provided to each such Covered Employee immediately prior to the Effective Time, excluding for purposes of this comparison any equity-based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agrees to provide equity compensation to Covered Employees substantially comparable to equity compensation provided to similarly situated employees of Schlumberger. For a period of one year following the Effective Time, Schlumberger shall provide, or shall cause to be provided, (i) to each Covered Employee who suffers a termination of employment severance benefits in accordance with the applicable severance plans, programs, agreements and arrangements of Smith as in effect immediately prior to the Effective Time (with full service credit for years of service with Smith and its Subsidiaries (and predecessors)) and (ii) to Covered Employees who are eligible for retiree welfare benefits immediately prior to the Effective Time, retiree welfare benefits that are no less favorable than those provided pursuant to the arrangements of Smith and its Subsidiaries as in effect immediately prior to the Effective Time.</w:t>
      </w:r>
    </w:p>
    <w:p>
      <w:pPr>
        <w:spacing w:after="0" w:line="124" w:lineRule="exact"/>
        <w:rPr>
          <w:rFonts w:ascii="Arial" w:cs="Arial" w:eastAsia="Arial" w:hAnsi="Arial"/>
          <w:sz w:val="16"/>
          <w:szCs w:val="16"/>
          <w:color w:val="auto"/>
        </w:rPr>
      </w:pPr>
    </w:p>
    <w:p>
      <w:pPr>
        <w:ind w:left="460" w:firstLine="881"/>
        <w:spacing w:after="0" w:line="284" w:lineRule="auto"/>
        <w:tabs>
          <w:tab w:leader="none" w:pos="158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severance plan or program eligibility or retiree welfare eligibility under any retiree welfare plan sponsored by Schlumberger or its Subsidiaries (other than under plans sponsored by Smith and its Subsidiaries immediately prior to the Effective Date or a direct successor plan)) under the employee benefit plans of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Smith and its Subsidiaries (and predecessors) prior to the Effective Time, to the same extent as such Covered Employee was entitled, prior to the Effective Time, to credit for such service under any similar Smith employee benefit plan in which such Covered Employee participated or was eligible to participate immediately prior to the Effective Time (and to the extent there is no similar Smith plan, service as recognized for purposes of Smith’s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For purposes of determining severance benefits under any New Plan providing severance benefits based on years of service (other than under an employment or change in control agreement) payable to a Covered Employee whose employment is terminated in circumstances eligible for severance benefits: (i) following the first anniversary of the Effective Time and on or prior to the third anniversary of the Effective Time, severance benefits shall be based on the sum of (A) severance payable under the terms of the Smith severance arrangement applicable to such employee as in effect immediately prior to the Effective Time based on service with Smith and its Subsidiaries (and predecessors) up to the Effective Time and (B) severance payable under the relevant severance arrangement of Schlumberger or its applicable Subsidiary based on years of service with Schlumberger and its Subsidiaries following the Effective Time, (ii) on or following the fifth anniversary of the Effective Time, severance benefits shall be based on the severance payable under the relevant severance arrangement of Schlumberger or its applicable Subsidiary based on the sum of years of service with Smith and its Subsidiaries (and predecessors) prior to the Effective Time and years of service with Schlumberger and its Subsidiaries following the Effective Time and (iii) between the third and fifth anniversaries of the Effective Time, severance benefits shall be based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a formula which provides a ratable transition between the severance determined under clauses (i) and (ii) above. Following the first anniversary of the Effective Time, Covered Employees will be treated as new hires in any New Plan providing retiree welfare benefits, with service credited only from the period beginning with the Effective Time. In addition, and without limiting the generality of the foregoing: (i) each Covered Employee shall be immediately eligible to participate, without any waiting time, in any and all New Plans to the extent coverage under such New Plan is comparable to a Smith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w:t>
      </w:r>
    </w:p>
    <w:p>
      <w:pPr>
        <w:spacing w:after="0" w:line="2" w:lineRule="exact"/>
        <w:rPr>
          <w:sz w:val="20"/>
          <w:szCs w:val="20"/>
          <w:color w:val="auto"/>
        </w:rPr>
      </w:pPr>
    </w:p>
    <w:p>
      <w:pPr>
        <w:ind w:left="460" w:right="80" w:firstLine="4"/>
        <w:spacing w:after="0" w:line="286" w:lineRule="auto"/>
        <w:tabs>
          <w:tab w:leader="none" w:pos="71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Smith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Schlumberger agrees to consider in good faith, and to consult with Smith in good faith between the date hereof and the Closing Date in respect of, design alternatives with respect to equitable treatment under (x) the retiree medical programs of Schlumberger and its Subsidiaries of Covered Employees who have attained the age of 40 prior to the Closing Date, and (y) the defined benefit pension plans of Schlumberger and its Subsidiaries of Covered Employees who were previously employed by Schlumberger and its Subsidiaries and participated in such plans.</w:t>
      </w:r>
    </w:p>
    <w:p>
      <w:pPr>
        <w:spacing w:after="0" w:line="120"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Schlumberger and Smith hereby acknowledge that a “change of control” or “change in control” (or term of similar import) within the meaning of each of the Smith Benefit Plans identified on Section 5.11(e) of the Smith Disclosure Letter will occur at or immediately prior to the Effective Time, as applicable.</w:t>
      </w:r>
    </w:p>
    <w:p>
      <w:pPr>
        <w:spacing w:after="0" w:line="140" w:lineRule="exact"/>
        <w:rPr>
          <w:rFonts w:ascii="Arial" w:cs="Arial" w:eastAsia="Arial" w:hAnsi="Arial"/>
          <w:sz w:val="18"/>
          <w:szCs w:val="18"/>
          <w:color w:val="auto"/>
        </w:rPr>
      </w:pPr>
    </w:p>
    <w:p>
      <w:pPr>
        <w:ind w:left="460" w:firstLine="881"/>
        <w:spacing w:after="0" w:line="301" w:lineRule="auto"/>
        <w:tabs>
          <w:tab w:leader="none" w:pos="1585" w:val="left"/>
        </w:tabs>
        <w:numPr>
          <w:ilvl w:val="1"/>
          <w:numId w:val="264"/>
        </w:numPr>
        <w:rPr>
          <w:rFonts w:ascii="Arial" w:cs="Arial" w:eastAsia="Arial" w:hAnsi="Arial"/>
          <w:sz w:val="15"/>
          <w:szCs w:val="15"/>
          <w:color w:val="auto"/>
        </w:rPr>
      </w:pPr>
      <w:r>
        <w:rPr>
          <w:rFonts w:ascii="Arial" w:cs="Arial" w:eastAsia="Arial" w:hAnsi="Arial"/>
          <w:sz w:val="15"/>
          <w:szCs w:val="15"/>
          <w:color w:val="auto"/>
        </w:rPr>
        <w:t xml:space="preserve">Smith may set and pay short-term incentive bonuses (i.e., bonuses in respect of a performance period of one year or less) in the ordinary course of business consistent in all material respects with past practice,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the Effective Time occurs after the end of any short-term performance period and prior to the time that short-term incentive bonuses for such period would be paid in the ordinary course of business consistent in all material respects with past practice, Smith shall pay, immediately prior to the Effective Time, to each person who is a participant in a short-term incentive program immediately prior to the Effective Time (a “</w:t>
      </w:r>
      <w:r>
        <w:rPr>
          <w:rFonts w:ascii="Arial" w:cs="Arial" w:eastAsia="Arial" w:hAnsi="Arial"/>
          <w:sz w:val="15"/>
          <w:szCs w:val="15"/>
          <w:b w:val="1"/>
          <w:bCs w:val="1"/>
          <w:color w:val="auto"/>
        </w:rPr>
        <w:t>Bonus Plan Participant</w:t>
      </w:r>
      <w:r>
        <w:rPr>
          <w:rFonts w:ascii="Arial" w:cs="Arial" w:eastAsia="Arial" w:hAnsi="Arial"/>
          <w:sz w:val="15"/>
          <w:szCs w:val="15"/>
          <w:color w:val="auto"/>
        </w:rPr>
        <w:t>”) a bonus with respect to such performance period based on actual performance for the applicable performance period, provided to the extent that actual results are not yet available for such period or any portion thereof, such bonus shall be paid following the Effective Time at the time at which the actual results are available and (ii) for the performance period in which the Effective Time occurs, the Surviving Entity shall pay, following the conclusion of the relevant performance period to each Bonus Plan Participant an amount equal to the amount payable based on actual performance under the terms of the Smith incentive arrangement, payable at the time such amounts would have been paid in the ordinary course of business consistent in all material respects with past practice. Notwithstanding the foregoing, with respect to any Bonus Plan Participant who incurs a severance-qualifying termination of employment prior to payment of a bonus for a performance period described in this Section 7.18(d), the Surviving Entity shall pay such Bonus Plan Participant, at the same time as bonuses for such performance period are paid generally, a prorated bonus equal to the product of (x) the bonus that would have been payable to such Bonus Plan Participant had he or she remained employed through the conclusion of such period (determined without regard to any subjective criteria that could reduce such amount) times (y) the lesser of</w:t>
      </w:r>
    </w:p>
    <w:p>
      <w:pPr>
        <w:spacing w:after="0" w:line="2"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(1) a fraction, the numerator of which is the number of days that has elapsed in the performance period for the short term incentive program through the date of such termination and the denominator of which is the total number of days scheduled in the performance period for the short term incentive program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and (2) one. For purposes of this Agreement, a severance-qualifying termination shall include any termination of employment by Schlumberger and its Subsidiaries other than for Cause (as defined in the Company’s 1989 Long-Term Incentive Compensation Plan) or any other termination of employment that entitles the applicable Covered Employee to severance under an individual agreement.</w:t>
      </w:r>
    </w:p>
    <w:p>
      <w:pPr>
        <w:spacing w:after="0" w:line="140" w:lineRule="exact"/>
        <w:rPr>
          <w:sz w:val="20"/>
          <w:szCs w:val="20"/>
          <w:color w:val="auto"/>
        </w:rPr>
      </w:pPr>
    </w:p>
    <w:p>
      <w:pPr>
        <w:ind w:left="460" w:right="120" w:firstLine="881"/>
        <w:spacing w:after="0" w:line="268" w:lineRule="auto"/>
        <w:tabs>
          <w:tab w:leader="none" w:pos="157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 of the Effective Time, Schlumberger shall (or shall cause the Surviving Entity to) take all action necessary to effectuate the agreements set forth in Section 7.18(e) of the Smith Disclosure Letter.</w:t>
      </w:r>
    </w:p>
    <w:p>
      <w:pPr>
        <w:spacing w:after="0" w:line="131" w:lineRule="exact"/>
        <w:rPr>
          <w:rFonts w:ascii="Arial" w:cs="Arial" w:eastAsia="Arial" w:hAnsi="Arial"/>
          <w:sz w:val="18"/>
          <w:szCs w:val="18"/>
          <w:color w:val="auto"/>
        </w:rPr>
      </w:pPr>
    </w:p>
    <w:p>
      <w:pPr>
        <w:ind w:left="460" w:right="340" w:firstLine="881"/>
        <w:spacing w:after="0" w:line="259" w:lineRule="auto"/>
        <w:tabs>
          <w:tab w:leader="none" w:pos="155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With respect to any Covered Employees based outside of the United States, Schlumberger’s obligations under this Section 7.18 shall be modified to the extent necessary to comply with Applicable Laws of the foreign countries and political subdivisions thereof in which such Covered Employees are based.</w:t>
      </w:r>
    </w:p>
    <w:p>
      <w:pPr>
        <w:spacing w:after="0" w:line="140" w:lineRule="exact"/>
        <w:rPr>
          <w:rFonts w:ascii="Arial" w:cs="Arial" w:eastAsia="Arial" w:hAnsi="Arial"/>
          <w:sz w:val="18"/>
          <w:szCs w:val="18"/>
          <w:color w:val="auto"/>
        </w:rPr>
      </w:pPr>
    </w:p>
    <w:p>
      <w:pPr>
        <w:ind w:left="460" w:right="20" w:firstLine="881"/>
        <w:spacing w:after="0" w:line="259" w:lineRule="auto"/>
        <w:tabs>
          <w:tab w:leader="none" w:pos="158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7.18, to amend, terminate or otherwise modify any employee benefit plan following the Effective Time.</w:t>
      </w:r>
    </w:p>
    <w:p>
      <w:pPr>
        <w:spacing w:after="0" w:line="140" w:lineRule="exact"/>
        <w:rPr>
          <w:rFonts w:ascii="Arial" w:cs="Arial" w:eastAsia="Arial" w:hAnsi="Arial"/>
          <w:sz w:val="18"/>
          <w:szCs w:val="18"/>
          <w:color w:val="auto"/>
        </w:rPr>
      </w:pPr>
    </w:p>
    <w:p>
      <w:pPr>
        <w:jc w:val="both"/>
        <w:ind w:left="460" w:right="60" w:firstLine="881"/>
        <w:spacing w:after="0" w:line="298" w:lineRule="auto"/>
        <w:tabs>
          <w:tab w:leader="none" w:pos="158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parties acknowledge and agree that all provisions contained in this Section 7.18 with respect to employees are included for the sole benefit of the parties to this Agreement, and that nothing in this Agreement, whether express or implied, shall create any third party beneficiary or other rights (i) in any other Person, including, without limitation, any employees, former employees, any participant in any Smith Benefit Plan, or any dependent or beneficiary thereof, or (ii) to continued employment with Schlumberger or any Subsidiary.</w:t>
      </w:r>
    </w:p>
    <w:p>
      <w:pPr>
        <w:spacing w:after="0" w:line="113"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Certain Transfer Taxes</w:t>
      </w:r>
      <w:r>
        <w:rPr>
          <w:rFonts w:ascii="Arial" w:cs="Arial" w:eastAsia="Arial" w:hAnsi="Arial"/>
          <w:sz w:val="18"/>
          <w:szCs w:val="18"/>
          <w:color w:val="auto"/>
        </w:rPr>
        <w:t>. Any liability arising out of any real estate transfer Tax (which, for the avoidance of doubt, shall not include any Tax imposed by Section 897 or 1445 of the Code or other income Taxes) with respect to interests in real property owned directly or indirectly by Smith or any of its Subsidiaries immediately prior to the Merger, if applicable and due with respect to the Merger, shall be borne by the Surviving Entity and expressly shall not be a liability of stockholders of Smith.</w:t>
      </w:r>
    </w:p>
    <w:p>
      <w:pPr>
        <w:spacing w:after="0" w:line="143" w:lineRule="exact"/>
        <w:rPr>
          <w:sz w:val="20"/>
          <w:szCs w:val="20"/>
          <w:color w:val="auto"/>
        </w:rPr>
      </w:pPr>
    </w:p>
    <w:p>
      <w:pPr>
        <w:ind w:left="460" w:firstLine="876"/>
        <w:spacing w:after="0" w:line="306"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Neither Schlumberger, Merger Sub nor Smith shall take any action or knowingly fail to take any action, which action or failure to act would (i) prevent or impede, or would be reasonably likely to prevent or impede, the Merger from qualifying as a “reorganization” within the meaning of Section 368(a) of the Code, or (ii) cause the stockholders of Smith to recognize gain pursuant to Section 367(a) of the Code.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51" w:lineRule="exact"/>
        <w:rPr>
          <w:sz w:val="20"/>
          <w:szCs w:val="20"/>
          <w:color w:val="auto"/>
        </w:rPr>
      </w:pPr>
    </w:p>
    <w:p>
      <w:pPr>
        <w:ind w:left="1580" w:hanging="239"/>
        <w:spacing w:after="0"/>
        <w:tabs>
          <w:tab w:leader="none" w:pos="1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Smith Stockholder Approval shall have been obtained.</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8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1" w:lineRule="exact"/>
        <w:rPr>
          <w:sz w:val="20"/>
          <w:szCs w:val="20"/>
          <w:color w:val="auto"/>
        </w:rPr>
      </w:pPr>
    </w:p>
    <w:p>
      <w:pPr>
        <w:ind w:left="920" w:right="220" w:firstLine="421"/>
        <w:spacing w:after="0" w:line="255" w:lineRule="auto"/>
        <w:tabs>
          <w:tab w:leader="none" w:pos="157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8.1(c) of the Smith Disclosure Letter shall have been obtained, except for those waiting and other time periods and clearances or approvals the failure of which to expire, lapse, terminate or be obtained would not reasonably be expected to have a Smith Material Adverse Effect or a Schlumberger Material Adverse Effect (after giving effect to the Merger).</w:t>
      </w:r>
    </w:p>
    <w:p>
      <w:pPr>
        <w:spacing w:after="0" w:line="61" w:lineRule="exact"/>
        <w:rPr>
          <w:rFonts w:ascii="Arial" w:cs="Arial" w:eastAsia="Arial" w:hAnsi="Arial"/>
          <w:sz w:val="18"/>
          <w:szCs w:val="18"/>
          <w:color w:val="auto"/>
        </w:rPr>
      </w:pPr>
    </w:p>
    <w:p>
      <w:pPr>
        <w:ind w:left="920" w:right="20" w:firstLine="421"/>
        <w:spacing w:after="0" w:line="290" w:lineRule="auto"/>
        <w:tabs>
          <w:tab w:leader="none" w:pos="158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8.1(c) (an “</w:t>
      </w:r>
      <w:r>
        <w:rPr>
          <w:rFonts w:ascii="Arial" w:cs="Arial" w:eastAsia="Arial" w:hAnsi="Arial"/>
          <w:sz w:val="16"/>
          <w:szCs w:val="16"/>
          <w:b w:val="1"/>
          <w:bCs w:val="1"/>
          <w:color w:val="auto"/>
        </w:rPr>
        <w:t>8.1(c) Jurisdiction</w:t>
      </w:r>
      <w:r>
        <w:rPr>
          <w:rFonts w:ascii="Arial" w:cs="Arial" w:eastAsia="Arial" w:hAnsi="Arial"/>
          <w:sz w:val="16"/>
          <w:szCs w:val="16"/>
          <w:color w:val="auto"/>
        </w:rPr>
        <w:t xml:space="preserve">”) shall prohibit or enjoin the consummation of the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attempting to invoke this condition to delay the Closing shall have complied with Section 7.4 and 7.6, and with respect to other matters not covered by Section 7.4 and 7.6,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an 8.1(c) Jurisdiction which prohibits or makes unlawful the consummation of the Merger.</w:t>
      </w:r>
    </w:p>
    <w:p>
      <w:pPr>
        <w:spacing w:after="0" w:line="37" w:lineRule="exact"/>
        <w:rPr>
          <w:rFonts w:ascii="Arial" w:cs="Arial" w:eastAsia="Arial" w:hAnsi="Arial"/>
          <w:sz w:val="16"/>
          <w:szCs w:val="16"/>
          <w:color w:val="auto"/>
        </w:rPr>
      </w:pPr>
    </w:p>
    <w:p>
      <w:pPr>
        <w:ind w:left="920" w:right="300" w:firstLine="421"/>
        <w:spacing w:after="0" w:line="332" w:lineRule="auto"/>
        <w:tabs>
          <w:tab w:leader="none" w:pos="157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no proceedings for that purpose shall have been initiated or threatened by the SEC.</w:t>
      </w:r>
    </w:p>
    <w:p>
      <w:pPr>
        <w:spacing w:after="0" w:line="4" w:lineRule="exact"/>
        <w:rPr>
          <w:rFonts w:ascii="Arial" w:cs="Arial" w:eastAsia="Arial" w:hAnsi="Arial"/>
          <w:sz w:val="16"/>
          <w:szCs w:val="16"/>
          <w:color w:val="auto"/>
        </w:rPr>
      </w:pPr>
    </w:p>
    <w:p>
      <w:pPr>
        <w:ind w:left="920" w:right="20" w:firstLine="421"/>
        <w:spacing w:after="0" w:line="268" w:lineRule="auto"/>
        <w:tabs>
          <w:tab w:leader="none" w:pos="155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pursuant to the Merger shall have been authorized for listing on the NYSE, subject to official notice of issuance.</w:t>
      </w:r>
    </w:p>
    <w:p>
      <w:pPr>
        <w:spacing w:after="0" w:line="132" w:lineRule="exact"/>
        <w:rPr>
          <w:sz w:val="20"/>
          <w:szCs w:val="20"/>
          <w:color w:val="auto"/>
        </w:rPr>
      </w:pPr>
    </w:p>
    <w:p>
      <w:pPr>
        <w:ind w:left="460" w:right="640" w:firstLine="87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Conditions to Obligation of Smith to Effect the Merger</w:t>
      </w:r>
      <w:r>
        <w:rPr>
          <w:rFonts w:ascii="Arial" w:cs="Arial" w:eastAsia="Arial" w:hAnsi="Arial"/>
          <w:sz w:val="18"/>
          <w:szCs w:val="18"/>
          <w:color w:val="auto"/>
        </w:rPr>
        <w:t>. The obligation of Smith to effect the Merger shall be subject to the satisfaction or waiver at or prior to the Closing Date of the following conditions:</w:t>
      </w:r>
    </w:p>
    <w:p>
      <w:pPr>
        <w:spacing w:after="0" w:line="51" w:lineRule="exact"/>
        <w:rPr>
          <w:sz w:val="20"/>
          <w:szCs w:val="20"/>
          <w:color w:val="auto"/>
        </w:rPr>
      </w:pPr>
    </w:p>
    <w:p>
      <w:pPr>
        <w:ind w:left="920" w:right="320" w:firstLine="421"/>
        <w:spacing w:after="0" w:line="306" w:lineRule="auto"/>
        <w:tabs>
          <w:tab w:leader="none" w:pos="157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Each of Schlumberger and Merger Sub shall have performed, in all material respects, its covenants and agreements contained in this Agreement required to be performed on or prior to the Closing Date, and Smith shall have received a certificate of Schlumberger, executed on its behalf by its President or one of its Vice Presidents, dated the Closing Date, certifying to such effect.</w:t>
      </w:r>
    </w:p>
    <w:p>
      <w:pPr>
        <w:spacing w:after="0" w:line="25" w:lineRule="exact"/>
        <w:rPr>
          <w:rFonts w:ascii="Arial" w:cs="Arial" w:eastAsia="Arial" w:hAnsi="Arial"/>
          <w:sz w:val="16"/>
          <w:szCs w:val="16"/>
          <w:color w:val="auto"/>
        </w:rPr>
      </w:pPr>
    </w:p>
    <w:p>
      <w:pPr>
        <w:ind w:left="920" w:firstLine="421"/>
        <w:spacing w:after="0" w:line="289" w:lineRule="auto"/>
        <w:tabs>
          <w:tab w:leader="none" w:pos="158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and Merger Sub contained in this Agreement (i) that are qualified as to a Schlumberger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Schlumberger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Schlumberger Material Adverse Effect, and Smith shall have received a certificate of Schlumberger, executed on its behalf by its President or one of its Vice Presidents, dated the Closing Date, certifying to such effect.</w:t>
      </w:r>
    </w:p>
    <w:p>
      <w:pPr>
        <w:spacing w:after="0" w:line="37" w:lineRule="exact"/>
        <w:rPr>
          <w:rFonts w:ascii="Arial" w:cs="Arial" w:eastAsia="Arial" w:hAnsi="Arial"/>
          <w:sz w:val="16"/>
          <w:szCs w:val="16"/>
          <w:color w:val="auto"/>
        </w:rPr>
      </w:pPr>
    </w:p>
    <w:p>
      <w:pPr>
        <w:ind w:left="920" w:right="100" w:firstLine="421"/>
        <w:spacing w:after="0" w:line="259"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Smith shall have received an opinion from Wachtell, Lipton, Rosen &amp; Katz, in form and substance reasonably satisfactory to Smith, on the basis of representations and warranties set forth or referred to in such opinion, dated as of the Closing Date, to the effect that (i) the Merger will be treated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94" w:lineRule="auto"/>
        <w:rPr>
          <w:sz w:val="20"/>
          <w:szCs w:val="20"/>
          <w:color w:val="auto"/>
        </w:rPr>
      </w:pPr>
      <w:r>
        <w:rPr>
          <w:rFonts w:ascii="Arial" w:cs="Arial" w:eastAsia="Arial" w:hAnsi="Arial"/>
          <w:sz w:val="16"/>
          <w:szCs w:val="16"/>
          <w:color w:val="auto"/>
        </w:rPr>
        <w:t>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Conditions to Obligation of Schlumberger to Effect the Merger</w:t>
      </w:r>
      <w:r>
        <w:rPr>
          <w:rFonts w:ascii="Arial" w:cs="Arial" w:eastAsia="Arial" w:hAnsi="Arial"/>
          <w:sz w:val="16"/>
          <w:szCs w:val="16"/>
          <w:color w:val="auto"/>
        </w:rPr>
        <w:t>. The obligations of Schlumberger and Merger Sub to effect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 shall be subject to the satisfaction or waiver at or prior to the Closing Date of the following conditions:</w:t>
      </w:r>
    </w:p>
    <w:p>
      <w:pPr>
        <w:spacing w:after="0" w:line="84" w:lineRule="exact"/>
        <w:rPr>
          <w:sz w:val="20"/>
          <w:szCs w:val="20"/>
          <w:color w:val="auto"/>
        </w:rPr>
      </w:pPr>
    </w:p>
    <w:p>
      <w:pPr>
        <w:ind w:left="920" w:right="40" w:firstLine="421"/>
        <w:spacing w:after="0" w:line="288" w:lineRule="auto"/>
        <w:tabs>
          <w:tab w:leader="none" w:pos="157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Smith shall have performed, in all material respects, its covenants and agreements contained in this Agreement required to be performed on or prior to the Closing Date, and the representations and warranties of Smith contained in this Agreement (i) that are qualified as to a Smith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Smith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Smith Material Adverse Effect, and Schlumberger shall have received a certificate of Smith, executed on its behalf by its President or one of its Vice Presidents, dated the Closing Date, certifying to such effect.</w:t>
      </w:r>
    </w:p>
    <w:p>
      <w:pPr>
        <w:spacing w:after="0" w:line="38" w:lineRule="exact"/>
        <w:rPr>
          <w:rFonts w:ascii="Arial" w:cs="Arial" w:eastAsia="Arial" w:hAnsi="Arial"/>
          <w:sz w:val="16"/>
          <w:szCs w:val="16"/>
          <w:color w:val="auto"/>
        </w:rPr>
      </w:pPr>
    </w:p>
    <w:p>
      <w:pPr>
        <w:ind w:left="920" w:right="60" w:firstLine="421"/>
        <w:spacing w:after="0" w:line="290" w:lineRule="auto"/>
        <w:tabs>
          <w:tab w:leader="none" w:pos="158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Schlumberger shall have received an opinion from Baker Botts L.L.P., in form and substance reasonably satisfactory to Schlumberger, on the basis of representations and warranties set forth or referred to in such opinion, dated as of the 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left="460" w:firstLine="87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This Agreement may be terminated at any time prior to the Effective Time, whether before or after the receipt of the Smith Stockholder Approval, by the mutual written consent of Smith and Schlumberger.</w:t>
      </w:r>
    </w:p>
    <w:p>
      <w:pPr>
        <w:spacing w:after="0" w:line="132" w:lineRule="exact"/>
        <w:rPr>
          <w:sz w:val="20"/>
          <w:szCs w:val="20"/>
          <w:color w:val="auto"/>
        </w:rPr>
      </w:pPr>
    </w:p>
    <w:p>
      <w:pPr>
        <w:ind w:left="460" w:right="60" w:firstLine="876"/>
        <w:spacing w:after="0" w:line="33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Termination by Schlumberger or Smith</w:t>
      </w:r>
      <w:r>
        <w:rPr>
          <w:rFonts w:ascii="Arial" w:cs="Arial" w:eastAsia="Arial" w:hAnsi="Arial"/>
          <w:sz w:val="16"/>
          <w:szCs w:val="16"/>
          <w:color w:val="auto"/>
        </w:rPr>
        <w:t>. This Agreement may be terminated at any time prior to the Effective Time, whether before or after the receipt of the Smith Stockholder Approval, by action of the Smith Board or the Board of Directors of Schlumberger if:</w:t>
      </w:r>
    </w:p>
    <w:p>
      <w:pPr>
        <w:spacing w:after="0" w:line="1" w:lineRule="exact"/>
        <w:rPr>
          <w:sz w:val="20"/>
          <w:szCs w:val="20"/>
          <w:color w:val="auto"/>
        </w:rPr>
      </w:pPr>
    </w:p>
    <w:p>
      <w:pPr>
        <w:ind w:left="920" w:right="140" w:firstLine="421"/>
        <w:spacing w:after="0" w:line="262" w:lineRule="auto"/>
        <w:tabs>
          <w:tab w:leader="none" w:pos="157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Merger shall not have been consummated by February 21, 2011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9.2(a) shall not be available to any party whose failure to perform or observe in any material respect any of 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 xml:space="preserve">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8.1(b), (c) or (d) (but for purposes of</w:t>
      </w:r>
    </w:p>
    <w:p>
      <w:pPr>
        <w:ind w:left="920" w:right="40"/>
        <w:spacing w:after="0" w:line="292" w:lineRule="auto"/>
        <w:rPr>
          <w:sz w:val="20"/>
          <w:szCs w:val="20"/>
          <w:color w:val="auto"/>
        </w:rPr>
      </w:pPr>
      <w:r>
        <w:rPr>
          <w:rFonts w:ascii="Arial" w:cs="Arial" w:eastAsia="Arial" w:hAnsi="Arial"/>
          <w:sz w:val="16"/>
          <w:szCs w:val="16"/>
          <w:color w:val="auto"/>
        </w:rPr>
        <w:t>Section 8.1(d)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Smith by written notice to the other to a date not later than May 31, 2011. As used in this Agreement, the term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shall mean the Initial Termination Date, unless the Initial Termination Date has been extended pursuant to the foregoing proviso,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case, the term “Termination Date” shall mean the date to which the Termination Date has been extended;</w:t>
      </w:r>
    </w:p>
    <w:p>
      <w:pPr>
        <w:spacing w:after="0" w:line="36" w:lineRule="exact"/>
        <w:rPr>
          <w:sz w:val="20"/>
          <w:szCs w:val="20"/>
          <w:color w:val="auto"/>
        </w:rPr>
      </w:pPr>
    </w:p>
    <w:p>
      <w:pPr>
        <w:jc w:val="both"/>
        <w:ind w:left="920" w:right="200" w:firstLine="421"/>
        <w:spacing w:after="0" w:line="259" w:lineRule="auto"/>
        <w:tabs>
          <w:tab w:leader="none" w:pos="158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the Smith Stockholders Meeting (including adjournments and postponements) shall have concluded and the Smith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9.2(b) shall not be available to Smith if it has not materially complied with its obligations under Section 7.3; or</w:t>
      </w:r>
    </w:p>
    <w:p>
      <w:pPr>
        <w:spacing w:after="0" w:line="59" w:lineRule="exact"/>
        <w:rPr>
          <w:rFonts w:ascii="Arial" w:cs="Arial" w:eastAsia="Arial" w:hAnsi="Arial"/>
          <w:sz w:val="18"/>
          <w:szCs w:val="18"/>
          <w:color w:val="auto"/>
        </w:rPr>
      </w:pPr>
    </w:p>
    <w:p>
      <w:pPr>
        <w:ind w:left="920" w:right="80" w:firstLine="421"/>
        <w:spacing w:after="0" w:line="294" w:lineRule="auto"/>
        <w:tabs>
          <w:tab w:leader="none" w:pos="157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 court of competent jurisdiction in the United States, the European Union or an 8.1(c)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seeking to terminate this Agreement pursuant to this Section 9.2(c) shall have complied with Section 7.4 and Section 7.6 and, with respect to other matters not covered by Section 7.4 and Section 7.6, shall have used its reasonable best efforts to remove such injunction, order or decree.</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Termination by Smith</w:t>
      </w:r>
      <w:r>
        <w:rPr>
          <w:rFonts w:ascii="Arial" w:cs="Arial" w:eastAsia="Arial" w:hAnsi="Arial"/>
          <w:sz w:val="16"/>
          <w:szCs w:val="16"/>
          <w:color w:val="auto"/>
        </w:rPr>
        <w:t>. This Agreement may be terminated at any time prior to the Effective Time by action of the Smith Board</w:t>
      </w:r>
    </w:p>
    <w:p>
      <w:pPr>
        <w:spacing w:after="0" w:line="38" w:lineRule="exact"/>
        <w:rPr>
          <w:sz w:val="20"/>
          <w:szCs w:val="20"/>
          <w:color w:val="auto"/>
        </w:rPr>
      </w:pPr>
    </w:p>
    <w:p>
      <w:pPr>
        <w:ind w:left="460" w:firstLine="4"/>
        <w:spacing w:after="0" w:line="288" w:lineRule="auto"/>
        <w:tabs>
          <w:tab w:leader="none" w:pos="69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if there has been a breach by Schlumberger of any representation, warranty, covenant or agreement set forth in this Agreement or if any representation or warranty of Schlumberger shall have become untrue, in either case such that the conditions set forth in Section 8.2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9.3 shall not be available to Smith if it, at such time, is in breach of any representation, warranty, covenant or agreement set forth in this Agreement such that the conditions set forth in Section 8.3(a) shall not be satisfied, or (b) at any time prior to obtaining the Smith Stockholder Approval, in order to enter into any agreement, understanding or arrangement providing for a Superior Proposal in accordance with Section 7.3(b); </w:t>
      </w:r>
      <w:r>
        <w:rPr>
          <w:rFonts w:ascii="Arial" w:cs="Arial" w:eastAsia="Arial" w:hAnsi="Arial"/>
          <w:sz w:val="16"/>
          <w:szCs w:val="16"/>
          <w:i w:val="1"/>
          <w:iCs w:val="1"/>
          <w:color w:val="auto"/>
        </w:rPr>
        <w:t>provided</w:t>
      </w:r>
      <w:r>
        <w:rPr>
          <w:rFonts w:ascii="Arial" w:cs="Arial" w:eastAsia="Arial" w:hAnsi="Arial"/>
          <w:sz w:val="16"/>
          <w:szCs w:val="16"/>
          <w:color w:val="auto"/>
        </w:rPr>
        <w:t>, that Smith shall concurrently with such termination pay to Schlumberger the Termination Fee in accordance with Section 9.5(a).</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of Schlumberger, if:</w:t>
      </w:r>
    </w:p>
    <w:p>
      <w:pPr>
        <w:spacing w:after="0" w:line="84" w:lineRule="exact"/>
        <w:rPr>
          <w:sz w:val="20"/>
          <w:szCs w:val="20"/>
          <w:color w:val="auto"/>
        </w:rPr>
      </w:pPr>
    </w:p>
    <w:p>
      <w:pPr>
        <w:jc w:val="both"/>
        <w:ind w:left="920" w:firstLine="421"/>
        <w:spacing w:after="0" w:line="318" w:lineRule="auto"/>
        <w:tabs>
          <w:tab w:leader="none" w:pos="157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there has been a breach by Smith of any representation, warranty, covenant or agreement set forth in this Agreement or if any representation or warranty of Smith shall have become untrue, in either case such that the conditions set forth in Section 8.3 would not be satisfied, and such breach or failure to be true and correct is not curable by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right to terminate this Agreement pursuant to this Section 9.4(a) shall not be available to Schlumberger if it, at such time, is in breach of any representation, warranty, covenant or agreement set forth in this Agreement such that any of the conditions set forth in Section 8.2(a) and Section 8.2(b) shall not be satisfied; or</w:t>
      </w:r>
    </w:p>
    <w:p>
      <w:pPr>
        <w:spacing w:after="0" w:line="18" w:lineRule="exact"/>
        <w:rPr>
          <w:rFonts w:ascii="Arial" w:cs="Arial" w:eastAsia="Arial" w:hAnsi="Arial"/>
          <w:sz w:val="15"/>
          <w:szCs w:val="15"/>
          <w:color w:val="auto"/>
        </w:rPr>
      </w:pPr>
    </w:p>
    <w:p>
      <w:pPr>
        <w:ind w:left="920" w:right="480" w:firstLine="421"/>
        <w:spacing w:after="0" w:line="268" w:lineRule="auto"/>
        <w:tabs>
          <w:tab w:leader="none" w:pos="15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Smith Board shall have failed to recommend its approval or recommendation of this Agreement or the Merger or there has been a Change in Recommendation, whether or not permitted by the terms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65" w:lineRule="exact"/>
        <w:rPr>
          <w:sz w:val="20"/>
          <w:szCs w:val="20"/>
          <w:color w:val="auto"/>
        </w:rPr>
      </w:pPr>
    </w:p>
    <w:p>
      <w:pPr>
        <w:ind w:left="1580" w:hanging="239"/>
        <w:spacing w:after="0"/>
        <w:tabs>
          <w:tab w:leader="none" w:pos="1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Smith shall pay Schlumberger a fee of $340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500" w:right="120" w:firstLine="389"/>
        <w:spacing w:after="0" w:line="255" w:lineRule="auto"/>
        <w:tabs>
          <w:tab w:leader="none" w:pos="210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9.2(b), and (x) such termination occurs after an Acquisition Proposal shall have been made known to Smith (including any of its Representatives) and communicated publicly or shall have been made directly to the stockholders of Smith by any person, in each case such Acquisition Proposal shall not have been withdrawn, and (y) within one year after such termination, Smith enters into a definitive agreement with respect to an Acquisition Proposal or an Acquisition Proposal is consummated;</w:t>
      </w:r>
    </w:p>
    <w:p>
      <w:pPr>
        <w:spacing w:after="0" w:line="61" w:lineRule="exact"/>
        <w:rPr>
          <w:rFonts w:ascii="Arial" w:cs="Arial" w:eastAsia="Arial" w:hAnsi="Arial"/>
          <w:sz w:val="18"/>
          <w:szCs w:val="18"/>
          <w:color w:val="auto"/>
        </w:rPr>
      </w:pPr>
    </w:p>
    <w:p>
      <w:pPr>
        <w:ind w:left="2140" w:hanging="251"/>
        <w:spacing w:after="0"/>
        <w:tabs>
          <w:tab w:leader="none" w:pos="21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9.3(b); or</w:t>
      </w:r>
    </w:p>
    <w:p>
      <w:pPr>
        <w:spacing w:after="0" w:line="90" w:lineRule="exact"/>
        <w:rPr>
          <w:rFonts w:ascii="Arial" w:cs="Arial" w:eastAsia="Arial" w:hAnsi="Arial"/>
          <w:sz w:val="18"/>
          <w:szCs w:val="18"/>
          <w:color w:val="auto"/>
        </w:rPr>
      </w:pPr>
    </w:p>
    <w:p>
      <w:pPr>
        <w:ind w:left="2200" w:hanging="311"/>
        <w:spacing w:after="0"/>
        <w:tabs>
          <w:tab w:leader="none" w:pos="22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9.4(b);</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which fee shall be payable: in the case of clause (i), upon the first to occur of such entering into a definitive agreement or consummation referred to in subclause</w:t>
      </w:r>
    </w:p>
    <w:p>
      <w:pPr>
        <w:spacing w:after="0" w:line="38" w:lineRule="exact"/>
        <w:rPr>
          <w:sz w:val="20"/>
          <w:szCs w:val="20"/>
          <w:color w:val="auto"/>
        </w:rPr>
      </w:pPr>
    </w:p>
    <w:p>
      <w:pPr>
        <w:ind w:firstLine="8"/>
        <w:spacing w:after="0" w:line="307" w:lineRule="auto"/>
        <w:tabs>
          <w:tab w:leader="none" w:pos="249" w:val="left"/>
        </w:tabs>
        <w:numPr>
          <w:ilvl w:val="0"/>
          <w:numId w:val="275"/>
        </w:numPr>
        <w:rPr>
          <w:rFonts w:ascii="Arial" w:cs="Arial" w:eastAsia="Arial" w:hAnsi="Arial"/>
          <w:sz w:val="15"/>
          <w:szCs w:val="15"/>
          <w:color w:val="auto"/>
        </w:rPr>
      </w:pPr>
      <w:r>
        <w:rPr>
          <w:rFonts w:ascii="Arial" w:cs="Arial" w:eastAsia="Arial" w:hAnsi="Arial"/>
          <w:sz w:val="15"/>
          <w:szCs w:val="15"/>
          <w:color w:val="auto"/>
        </w:rPr>
        <w:t xml:space="preserve">thereof; and in the case of clauses (ii) and (iii), upon such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this Section 9.5(a), the references to “20%” in the definition of Acquisition Proposal shall be deemed to be references to “50%”. Any amount payable pursuant to this Section 9.5(a) shall be reduced by any amount paid pursuant to Section 9.5(c). Schlumberger and Merger Sub agree that in the event that the Termination Fee is paid or may be payable to Schlumberger pursuant to this Section 9.5(a),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5"/>
          <w:szCs w:val="15"/>
          <w:b w:val="1"/>
          <w:bCs w:val="1"/>
          <w:color w:val="auto"/>
        </w:rPr>
        <w:t>Related Persons</w:t>
      </w:r>
      <w:r>
        <w:rPr>
          <w:rFonts w:ascii="Arial" w:cs="Arial" w:eastAsia="Arial" w:hAnsi="Arial"/>
          <w:sz w:val="15"/>
          <w:szCs w:val="15"/>
          <w:color w:val="auto"/>
        </w:rPr>
        <w:t>”) against Smith or any of its Related Persons for, and in no event will Schlumberger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of the Termination Fee, neither Smith nor any Related Person of Smith shall have any further liability or obligation to Schlumberger or any of its Related Persons relating to or arising out of this Agreement or the transactions contemplated hereby (subject to Section 9.5(g)).</w:t>
      </w:r>
    </w:p>
    <w:p>
      <w:pPr>
        <w:spacing w:after="0" w:line="110" w:lineRule="exact"/>
        <w:rPr>
          <w:rFonts w:ascii="Arial" w:cs="Arial" w:eastAsia="Arial" w:hAnsi="Arial"/>
          <w:sz w:val="15"/>
          <w:szCs w:val="15"/>
          <w:color w:val="auto"/>
        </w:rPr>
      </w:pPr>
    </w:p>
    <w:p>
      <w:pPr>
        <w:ind w:left="460" w:right="100" w:firstLine="881"/>
        <w:spacing w:after="0" w:line="286" w:lineRule="auto"/>
        <w:tabs>
          <w:tab w:leader="none" w:pos="1585"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If this Agreement is terminated by Smith or Schlumberger pursuant to Section 9.2(c) as a result of an order, decree, ruling or other action under Regulatory Laws or Section 9.2(a) and all of the conditions to Closing set forth in Article 8 (other than (A) the conditions set forth in Section 8.1(b), Section 8.1(c) and Section 8.1(d) and (B) those other conditions that, by their nature, cannot be satisfied until the Closing Date, but, in the case of clause (B), which conditions would be capable of satisfaction if the Closing Date were the date of such termination) have been satisfied or waived on or prior to the date of such termination, then Schlumberger shall pay to Smith a fee of $615 million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(which fee shall be payable within two (2) business days after written notice of such termination). Smith agrees that in the event that the Reverse Termination Fee is paid to Smith pursuant to this Section 9.5(b), the payment of such Reverse Termination Fee shall be the sole and exclusive remedy of Smith and its Related Persons against Schlumberger, Merger Sub or any of their Related Persons for, and in no event will Smith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Smith of the Reverse Termination Fee, neither Schlumberger, Merger Sub nor any Related Person of Schlumberger shall have any further liability or obligation to Smith or any of its Related Persons relating to or arising out of this Agreement or the transactions contemplated hereby (subject to Section 9.5(g)).</w:t>
      </w:r>
    </w:p>
    <w:p>
      <w:pPr>
        <w:spacing w:after="0" w:line="120" w:lineRule="exact"/>
        <w:rPr>
          <w:rFonts w:ascii="Arial" w:cs="Arial" w:eastAsia="Arial" w:hAnsi="Arial"/>
          <w:sz w:val="16"/>
          <w:szCs w:val="16"/>
          <w:color w:val="auto"/>
        </w:rPr>
      </w:pPr>
    </w:p>
    <w:p>
      <w:pPr>
        <w:ind w:left="460" w:right="400" w:firstLine="881"/>
        <w:spacing w:after="0" w:line="268" w:lineRule="auto"/>
        <w:tabs>
          <w:tab w:leader="none" w:pos="157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Without limiting the rights of Schlumberger under Section 9.5(g), if this Agreement is terminated (i) pursuant to Section 9.2(b) and no Termination Fee is yet payable in respect thereof pursuant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to Section 9.5(a), or (ii) Section 9.4(a) because there has been a willful and material breach by Smith of any covenant or agreement set forth herein, then Smith shall reimburse Schlumberger for its actual costs and expenses incurred in connection with the transactions contemplated hereby in an amount not to exceed $10 million.</w:t>
      </w:r>
    </w:p>
    <w:p>
      <w:pPr>
        <w:spacing w:after="0" w:line="140" w:lineRule="exact"/>
        <w:rPr>
          <w:sz w:val="20"/>
          <w:szCs w:val="20"/>
          <w:color w:val="auto"/>
        </w:rPr>
      </w:pPr>
    </w:p>
    <w:p>
      <w:pPr>
        <w:ind w:left="460" w:right="20" w:firstLine="881"/>
        <w:spacing w:after="0" w:line="256" w:lineRule="auto"/>
        <w:tabs>
          <w:tab w:leader="none" w:pos="158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Without limiting the rights of Smith under Section 9.5(g), if this Agreement is terminated by Smith pursuant to Section 9.3(a) because there has been a willful and material breach by Schlumberger of any covenant or agreement set forth herein and no Reverse Termination Fee is payable pursuant to Section 9.5(b), then Schlumberger shall reimburse Smith for its actual costs and expenses incurred in connection with the transactions contemplated hereby in an amount not to exceed $10 million.</w:t>
      </w:r>
    </w:p>
    <w:p>
      <w:pPr>
        <w:spacing w:after="0" w:line="143" w:lineRule="exact"/>
        <w:rPr>
          <w:rFonts w:ascii="Arial" w:cs="Arial" w:eastAsia="Arial" w:hAnsi="Arial"/>
          <w:sz w:val="18"/>
          <w:szCs w:val="18"/>
          <w:color w:val="auto"/>
        </w:rPr>
      </w:pPr>
    </w:p>
    <w:p>
      <w:pPr>
        <w:ind w:left="460" w:right="420" w:firstLine="881"/>
        <w:spacing w:after="0" w:line="268" w:lineRule="auto"/>
        <w:tabs>
          <w:tab w:leader="none" w:pos="157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payments under this Section 9.5 shall be made promptly upon becoming due by wire transfer of immediately available funds to an account designated by the receiving party.</w:t>
      </w:r>
    </w:p>
    <w:p>
      <w:pPr>
        <w:spacing w:after="0" w:line="131" w:lineRule="exact"/>
        <w:rPr>
          <w:rFonts w:ascii="Arial" w:cs="Arial" w:eastAsia="Arial" w:hAnsi="Arial"/>
          <w:sz w:val="18"/>
          <w:szCs w:val="18"/>
          <w:color w:val="auto"/>
        </w:rPr>
      </w:pPr>
    </w:p>
    <w:p>
      <w:pPr>
        <w:ind w:left="460" w:right="40" w:firstLine="881"/>
        <w:spacing w:after="0" w:line="253" w:lineRule="auto"/>
        <w:tabs>
          <w:tab w:leader="none" w:pos="155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Each of Smith and Schlumberger acknowledge that the agreements contained in this Section 9.5 are an integral part of the transactions contemplated by this Agreement, and that, without these agreements, neither Smith nor Schlumberger would enter into this Agreement; accordingly, if either Smith fails to pay, or Schlumberger fails to pay, as applicable, any amount due pursuant to this Section 9.5, and, in order to obtain such payment, the party entitled to such payment commences a suit which results in a judgment against the party failing to pay for the fees to which reference is made in this Section 9.5,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460" w:firstLine="881"/>
        <w:spacing w:after="0" w:line="291" w:lineRule="auto"/>
        <w:tabs>
          <w:tab w:leader="none" w:pos="158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9, all obligations of the parties hereto shall terminate, except the obligations of the parties pursuant to this Section 9.5, the last sentence of Section 7.11 and Section 7.13, Section 7.17 and Article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covenants or agreements set forth in this Agreement,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Nonsurvival of Representations, Warranties and Agreements</w:t>
      </w:r>
      <w:r>
        <w:rPr>
          <w:rFonts w:ascii="Arial" w:cs="Arial" w:eastAsia="Arial" w:hAnsi="Arial"/>
          <w:sz w:val="18"/>
          <w:szCs w:val="18"/>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agreements contained in Article 4 and in Section 3.1, Section 3.2, Section 7.9, Section 7.17, Section 7.18 and Section 7.19 and this Article 10, and the agreements delivered pursuant to this Agreement shall survive the Effective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87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or by overnight courier (with proof of service), hand delivery or certified or registered mail (return receipt requested and first-class postage prepaid), addressed as follows:</w:t>
      </w:r>
    </w:p>
    <w:p>
      <w:pPr>
        <w:spacing w:after="0" w:line="127" w:lineRule="exact"/>
        <w:rPr>
          <w:sz w:val="20"/>
          <w:szCs w:val="20"/>
          <w:color w:val="auto"/>
        </w:rPr>
      </w:pPr>
    </w:p>
    <w:p>
      <w:pPr>
        <w:ind w:left="1480" w:hanging="567"/>
        <w:spacing w:after="0"/>
        <w:tabs>
          <w:tab w:leader="none" w:pos="14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to Smith:</w:t>
      </w:r>
    </w:p>
    <w:p>
      <w:pPr>
        <w:spacing w:after="0" w:line="144"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15" w:lineRule="exact"/>
        <w:rPr>
          <w:rFonts w:ascii="Arial" w:cs="Arial" w:eastAsia="Arial" w:hAnsi="Arial"/>
          <w:sz w:val="18"/>
          <w:szCs w:val="18"/>
          <w:color w:val="auto"/>
        </w:rPr>
      </w:pPr>
    </w:p>
    <w:p>
      <w:pPr>
        <w:ind w:left="1500" w:right="7500"/>
        <w:spacing w:after="0" w:line="254" w:lineRule="auto"/>
        <w:rPr>
          <w:rFonts w:ascii="Arial" w:cs="Arial" w:eastAsia="Arial" w:hAnsi="Arial"/>
          <w:sz w:val="18"/>
          <w:szCs w:val="18"/>
          <w:color w:val="auto"/>
        </w:rPr>
      </w:pPr>
      <w:r>
        <w:rPr>
          <w:rFonts w:ascii="Arial" w:cs="Arial" w:eastAsia="Arial" w:hAnsi="Arial"/>
          <w:sz w:val="18"/>
          <w:szCs w:val="18"/>
          <w:color w:val="auto"/>
        </w:rPr>
        <w:t>1310 Rankin Road Houston, Texas 77073 Attention: Richard E. Chandler, Jr. Facsimile: (281) 233-5996</w:t>
      </w:r>
    </w:p>
    <w:p>
      <w:pPr>
        <w:spacing w:after="0" w:line="11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44" w:lineRule="exact"/>
        <w:rPr>
          <w:rFonts w:ascii="Arial" w:cs="Arial" w:eastAsia="Arial" w:hAnsi="Arial"/>
          <w:sz w:val="18"/>
          <w:szCs w:val="18"/>
          <w:color w:val="auto"/>
        </w:rPr>
      </w:pPr>
    </w:p>
    <w:p>
      <w:pPr>
        <w:ind w:left="1500" w:right="7680"/>
        <w:spacing w:after="0" w:line="254"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ind w:left="1500" w:right="79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Attention: Daniel A. Neff</w:t>
      </w:r>
    </w:p>
    <w:p>
      <w:pPr>
        <w:spacing w:after="0" w:line="1" w:lineRule="exact"/>
        <w:rPr>
          <w:rFonts w:ascii="Arial" w:cs="Arial" w:eastAsia="Arial" w:hAnsi="Arial"/>
          <w:sz w:val="18"/>
          <w:szCs w:val="18"/>
          <w:color w:val="auto"/>
        </w:rPr>
      </w:pPr>
    </w:p>
    <w:p>
      <w:pPr>
        <w:ind w:left="1500" w:right="8060" w:firstLine="790"/>
        <w:spacing w:after="0" w:line="323" w:lineRule="auto"/>
        <w:rPr>
          <w:rFonts w:ascii="Arial" w:cs="Arial" w:eastAsia="Arial" w:hAnsi="Arial"/>
          <w:sz w:val="18"/>
          <w:szCs w:val="18"/>
          <w:color w:val="auto"/>
        </w:rPr>
      </w:pPr>
      <w:r>
        <w:rPr>
          <w:rFonts w:ascii="Arial" w:cs="Arial" w:eastAsia="Arial" w:hAnsi="Arial"/>
          <w:sz w:val="16"/>
          <w:szCs w:val="16"/>
          <w:color w:val="auto"/>
        </w:rPr>
        <w:t>David Shapiro Facsimile: (212) 403-2000</w:t>
      </w:r>
    </w:p>
    <w:p>
      <w:pPr>
        <w:spacing w:after="0" w:line="79" w:lineRule="exact"/>
        <w:rPr>
          <w:rFonts w:ascii="Arial" w:cs="Arial" w:eastAsia="Arial" w:hAnsi="Arial"/>
          <w:sz w:val="18"/>
          <w:szCs w:val="18"/>
          <w:color w:val="auto"/>
        </w:rPr>
      </w:pPr>
    </w:p>
    <w:p>
      <w:pPr>
        <w:ind w:left="1480" w:hanging="567"/>
        <w:spacing w:after="0"/>
        <w:tabs>
          <w:tab w:leader="none" w:pos="14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to Schlumberger or Merger Sub:</w:t>
      </w:r>
    </w:p>
    <w:p>
      <w:pPr>
        <w:spacing w:after="0" w:line="144" w:lineRule="exact"/>
        <w:rPr>
          <w:rFonts w:ascii="Arial" w:cs="Arial" w:eastAsia="Arial" w:hAnsi="Arial"/>
          <w:sz w:val="18"/>
          <w:szCs w:val="18"/>
          <w:color w:val="auto"/>
        </w:rPr>
      </w:pPr>
    </w:p>
    <w:p>
      <w:pPr>
        <w:ind w:left="1500" w:right="8000"/>
        <w:spacing w:after="0" w:line="327" w:lineRule="auto"/>
        <w:rPr>
          <w:rFonts w:ascii="Arial" w:cs="Arial" w:eastAsia="Arial" w:hAnsi="Arial"/>
          <w:sz w:val="18"/>
          <w:szCs w:val="18"/>
          <w:color w:val="auto"/>
        </w:rPr>
      </w:pPr>
      <w:r>
        <w:rPr>
          <w:rFonts w:ascii="Arial" w:cs="Arial" w:eastAsia="Arial" w:hAnsi="Arial"/>
          <w:sz w:val="16"/>
          <w:szCs w:val="16"/>
          <w:color w:val="auto"/>
        </w:rPr>
        <w:t>Schlumberger Limited 5599 San Felipe Houston, Texas 77056 Attention: General Counsel Facsimile: (713) 375-3481 with a copy to:</w:t>
      </w:r>
    </w:p>
    <w:p>
      <w:pPr>
        <w:spacing w:after="0" w:line="62" w:lineRule="exact"/>
        <w:rPr>
          <w:rFonts w:ascii="Arial" w:cs="Arial" w:eastAsia="Arial" w:hAnsi="Arial"/>
          <w:sz w:val="18"/>
          <w:szCs w:val="18"/>
          <w:color w:val="auto"/>
        </w:rPr>
      </w:pPr>
    </w:p>
    <w:p>
      <w:pPr>
        <w:ind w:left="1500" w:right="8620"/>
        <w:spacing w:after="0" w:line="286" w:lineRule="auto"/>
        <w:rPr>
          <w:rFonts w:ascii="Arial" w:cs="Arial" w:eastAsia="Arial" w:hAnsi="Arial"/>
          <w:sz w:val="18"/>
          <w:szCs w:val="18"/>
          <w:color w:val="auto"/>
        </w:rPr>
      </w:pPr>
      <w:r>
        <w:rPr>
          <w:rFonts w:ascii="Arial" w:cs="Arial" w:eastAsia="Arial" w:hAnsi="Arial"/>
          <w:sz w:val="16"/>
          <w:szCs w:val="16"/>
          <w:color w:val="auto"/>
        </w:rPr>
        <w:t>Baker Botts L.L.P. One Shell Plaza</w:t>
      </w:r>
    </w:p>
    <w:p>
      <w:pPr>
        <w:ind w:left="1500" w:right="7680"/>
        <w:spacing w:after="0" w:line="295" w:lineRule="auto"/>
        <w:rPr>
          <w:rFonts w:ascii="Arial" w:cs="Arial" w:eastAsia="Arial" w:hAnsi="Arial"/>
          <w:sz w:val="18"/>
          <w:szCs w:val="18"/>
          <w:color w:val="auto"/>
        </w:rPr>
      </w:pPr>
      <w:r>
        <w:rPr>
          <w:rFonts w:ascii="Arial" w:cs="Arial" w:eastAsia="Arial" w:hAnsi="Arial"/>
          <w:sz w:val="16"/>
          <w:szCs w:val="16"/>
          <w:color w:val="auto"/>
        </w:rPr>
        <w:t>910 Louisiana Street Houston, Texas 77002-4995 Attention: J. David Kirkland, Jr. Facsimile: (713) 229-7701</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to such other address as any party shall specify by written notice so given. Any notice, request, instruction or other document given as provided above shall be deemed given to the receiving party upon actual receipt, if delivered personally; three business days after deposit in the mail, if sent by registered or certified mail; upon confirmation of successful transmission, if sent by facsimile (provided that if given by facsimile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20"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Schlumberger may, notwithstanding any provision in this Agreement to the contrary and without the consent of any party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assign any of its rights (but not its obligations) hereunder to, and/or transfer any or all of the stock of Merger Sub to, any Subsidiary in which, prior to and at the time of the Merger, Schlumberger owns stock constituting control within the meaning of Section 368(c) of the Code. Subject to the preceding sentence, this Agreement shall be binding upon and shall inure to the benefit of the parties hereto and their respective successors and assigns.</w:t>
      </w:r>
    </w:p>
    <w:p>
      <w:pPr>
        <w:spacing w:after="0" w:line="107" w:lineRule="exact"/>
        <w:rPr>
          <w:sz w:val="20"/>
          <w:szCs w:val="20"/>
          <w:color w:val="auto"/>
        </w:rPr>
      </w:pPr>
    </w:p>
    <w:p>
      <w:pPr>
        <w:ind w:left="460" w:right="100" w:firstLine="876"/>
        <w:spacing w:after="0" w:line="25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 Section 7.17, nothing in this Agreement, expressed or implied, is intended to confer standing to any person other than the parties hereto or their respective heirs, successors, executors, administrators and assigns except, following the Effective Time, for the provisions of Section 4.1, Section 7.17 and Section 7.19.</w:t>
      </w:r>
    </w:p>
    <w:p>
      <w:pPr>
        <w:spacing w:after="0" w:line="143" w:lineRule="exact"/>
        <w:rPr>
          <w:sz w:val="20"/>
          <w:szCs w:val="20"/>
          <w:color w:val="auto"/>
        </w:rPr>
      </w:pPr>
    </w:p>
    <w:p>
      <w:pPr>
        <w:jc w:val="both"/>
        <w:ind w:left="460" w:right="320" w:firstLine="876"/>
        <w:spacing w:after="0" w:line="29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exhibits to this Agreement, the Smith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13" w:lineRule="exact"/>
        <w:rPr>
          <w:sz w:val="20"/>
          <w:szCs w:val="20"/>
          <w:color w:val="auto"/>
        </w:rPr>
      </w:pPr>
    </w:p>
    <w:p>
      <w:pPr>
        <w:ind w:left="460" w:right="20" w:firstLine="876"/>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Smith Stockholder Approval, but after the Smith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13"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10.7, (b) 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MAILING OF COPIES THEREOF BY REGISTERED AIRMAIL, POSTAGE PREPAID, TO IT AT ITS ADDRESS SET FORTH IN SECTION 10.2 OF THIS AGREEMENT, SUCH SERVICE OF PROCESS TO BE EFFECTIVE UPON ACKNOWLEDGMENT OF RECEIPT OF SUCH REGISTERED MAIL. NOTHING HEREIN SHALL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40" w:lineRule="exact"/>
        <w:rPr>
          <w:sz w:val="20"/>
          <w:szCs w:val="20"/>
          <w:color w:val="auto"/>
        </w:rPr>
      </w:pPr>
    </w:p>
    <w:p>
      <w:pPr>
        <w:ind w:left="460" w:right="220" w:firstLine="876"/>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32"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32"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any section of the Smith Disclosure Letter or Schlumberger Disclosure Letter shall be deemed disclosed for the purposes of any Sections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84" w:lineRule="exact"/>
        <w:rPr>
          <w:sz w:val="20"/>
          <w:szCs w:val="20"/>
          <w:color w:val="auto"/>
        </w:rPr>
      </w:pPr>
    </w:p>
    <w:p>
      <w:pPr>
        <w:ind w:left="920" w:right="80" w:firstLine="421"/>
        <w:spacing w:after="0" w:line="275" w:lineRule="auto"/>
        <w:tabs>
          <w:tab w:leader="none" w:pos="157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Smith or Schlumberger, as the case may be, shall mean the actual knowledge of its executive officers and senior management.</w:t>
      </w:r>
    </w:p>
    <w:p>
      <w:pPr>
        <w:spacing w:after="0" w:line="38" w:lineRule="exact"/>
        <w:rPr>
          <w:rFonts w:ascii="Arial" w:cs="Arial" w:eastAsia="Arial" w:hAnsi="Arial"/>
          <w:sz w:val="18"/>
          <w:szCs w:val="18"/>
          <w:color w:val="auto"/>
        </w:rPr>
      </w:pPr>
    </w:p>
    <w:p>
      <w:pPr>
        <w:ind w:left="920" w:right="60" w:firstLine="421"/>
        <w:spacing w:after="0" w:line="296" w:lineRule="auto"/>
        <w:tabs>
          <w:tab w:leader="none" w:pos="158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 (ii) 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26" w:lineRule="exact"/>
        <w:rPr>
          <w:rFonts w:ascii="Arial" w:cs="Arial" w:eastAsia="Arial" w:hAnsi="Arial"/>
          <w:sz w:val="16"/>
          <w:szCs w:val="16"/>
          <w:color w:val="auto"/>
        </w:rPr>
      </w:pPr>
    </w:p>
    <w:p>
      <w:pPr>
        <w:ind w:left="920" w:right="360" w:firstLine="421"/>
        <w:spacing w:after="0" w:line="310" w:lineRule="auto"/>
        <w:tabs>
          <w:tab w:leader="none" w:pos="157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Governmental Entity</w:t>
      </w:r>
      <w:r>
        <w:rPr>
          <w:rFonts w:ascii="Arial" w:cs="Arial" w:eastAsia="Arial" w:hAnsi="Arial"/>
          <w:sz w:val="16"/>
          <w:szCs w:val="16"/>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16" w:lineRule="exact"/>
        <w:rPr>
          <w:rFonts w:ascii="Arial" w:cs="Arial" w:eastAsia="Arial" w:hAnsi="Arial"/>
          <w:sz w:val="16"/>
          <w:szCs w:val="16"/>
          <w:color w:val="auto"/>
        </w:rPr>
      </w:pPr>
    </w:p>
    <w:p>
      <w:pPr>
        <w:ind w:left="920" w:right="60" w:firstLine="421"/>
        <w:spacing w:after="0" w:line="296" w:lineRule="auto"/>
        <w:tabs>
          <w:tab w:leader="none" w:pos="158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(B) changes or conditions in the industries in which the person operates, (C) the announcement or the existence of, or compliance with, or taking any action required or permitted by this Agreement or the transactions contemplated hereby or any litigation referred to in Section 7.16,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1"/>
        <w:spacing w:after="0" w:line="256" w:lineRule="auto"/>
        <w:tabs>
          <w:tab w:leader="none" w:pos="120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taking any action by such person at the written request of Schlumberger or Merger Sub, in the case of Smith, or of Smith, in the case of Schlumberger or Merger Sub, or (E) any weather-related or other force majeure event or outbreak or escalation of hostilities or acts of war or terrorism. “</w:t>
      </w:r>
      <w:r>
        <w:rPr>
          <w:rFonts w:ascii="Arial" w:cs="Arial" w:eastAsia="Arial" w:hAnsi="Arial"/>
          <w:sz w:val="18"/>
          <w:szCs w:val="18"/>
          <w:b w:val="1"/>
          <w:bCs w:val="1"/>
          <w:color w:val="auto"/>
        </w:rPr>
        <w:t>Smith Material Adverse Effect</w:t>
      </w:r>
      <w:r>
        <w:rPr>
          <w:rFonts w:ascii="Arial" w:cs="Arial" w:eastAsia="Arial" w:hAnsi="Arial"/>
          <w:sz w:val="18"/>
          <w:szCs w:val="18"/>
          <w:color w:val="auto"/>
        </w:rPr>
        <w:t>” and “</w:t>
      </w:r>
      <w:r>
        <w:rPr>
          <w:rFonts w:ascii="Arial" w:cs="Arial" w:eastAsia="Arial" w:hAnsi="Arial"/>
          <w:sz w:val="18"/>
          <w:szCs w:val="18"/>
          <w:b w:val="1"/>
          <w:bCs w:val="1"/>
          <w:color w:val="auto"/>
        </w:rPr>
        <w:t>Schlumberger Material Adverse Effect</w:t>
      </w:r>
      <w:r>
        <w:rPr>
          <w:rFonts w:ascii="Arial" w:cs="Arial" w:eastAsia="Arial" w:hAnsi="Arial"/>
          <w:sz w:val="18"/>
          <w:szCs w:val="18"/>
          <w:color w:val="auto"/>
        </w:rPr>
        <w:t>” mean a Material Adverse Effect with respect to Smith and Schlumberger, respectively.</w:t>
      </w:r>
    </w:p>
    <w:p>
      <w:pPr>
        <w:spacing w:after="0" w:line="5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Lien</w:t>
      </w:r>
      <w:r>
        <w:rPr>
          <w:rFonts w:ascii="Arial" w:cs="Arial" w:eastAsia="Arial" w:hAnsi="Arial"/>
          <w:sz w:val="18"/>
          <w:szCs w:val="18"/>
          <w:color w:val="auto"/>
        </w:rPr>
        <w:t>” means (i) any liens for Taxes not yet due or which are being contested in good faith by appropriate proceedings, (ii) 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57" w:lineRule="exact"/>
        <w:rPr>
          <w:rFonts w:ascii="Arial" w:cs="Arial" w:eastAsia="Arial" w:hAnsi="Arial"/>
          <w:sz w:val="18"/>
          <w:szCs w:val="18"/>
          <w:color w:val="auto"/>
        </w:rPr>
      </w:pPr>
    </w:p>
    <w:p>
      <w:pPr>
        <w:ind w:left="920" w:right="140" w:firstLine="421"/>
        <w:spacing w:after="0" w:line="275" w:lineRule="auto"/>
        <w:tabs>
          <w:tab w:leader="none" w:pos="155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38" w:lineRule="exact"/>
        <w:rPr>
          <w:rFonts w:ascii="Arial" w:cs="Arial" w:eastAsia="Arial" w:hAnsi="Arial"/>
          <w:sz w:val="18"/>
          <w:szCs w:val="18"/>
          <w:color w:val="auto"/>
        </w:rPr>
      </w:pPr>
    </w:p>
    <w:p>
      <w:pPr>
        <w:ind w:left="920" w:firstLine="421"/>
        <w:spacing w:after="0" w:line="288" w:lineRule="auto"/>
        <w:tabs>
          <w:tab w:leader="none" w:pos="1585"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CE Franklin LTD (“</w:t>
      </w:r>
      <w:r>
        <w:rPr>
          <w:rFonts w:ascii="Arial" w:cs="Arial" w:eastAsia="Arial" w:hAnsi="Arial"/>
          <w:sz w:val="16"/>
          <w:szCs w:val="16"/>
          <w:b w:val="1"/>
          <w:bCs w:val="1"/>
          <w:color w:val="auto"/>
        </w:rPr>
        <w:t>Franklin</w:t>
      </w:r>
      <w:r>
        <w:rPr>
          <w:rFonts w:ascii="Arial" w:cs="Arial" w:eastAsia="Arial" w:hAnsi="Arial"/>
          <w:sz w:val="16"/>
          <w:szCs w:val="16"/>
          <w:color w:val="auto"/>
        </w:rPr>
        <w:t>”) shall not be deemed a Subsidiary for any section of this Agreement other than Article 5 hereof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or warranties made by Smith with respect to Franklin shall only be a representation as to facts and circumstances concerning Franklin that are known to Smith.</w:t>
      </w:r>
    </w:p>
    <w:p>
      <w:pPr>
        <w:spacing w:after="0" w:line="34" w:lineRule="exact"/>
        <w:rPr>
          <w:rFonts w:ascii="Arial" w:cs="Arial" w:eastAsia="Arial" w:hAnsi="Arial"/>
          <w:sz w:val="16"/>
          <w:szCs w:val="16"/>
          <w:color w:val="auto"/>
        </w:rPr>
      </w:pPr>
    </w:p>
    <w:p>
      <w:pPr>
        <w:ind w:left="920" w:firstLine="421"/>
        <w:spacing w:after="0" w:line="301" w:lineRule="auto"/>
        <w:tabs>
          <w:tab w:leader="none" w:pos="1588"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net income, gross income, gross receipts, sales, use, ad valorem, transfer, accumulated earnings, excess profits, franchise, profits, license, withholding, payroll, employment, social security,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w:t>
      </w:r>
    </w:p>
    <w:p>
      <w:pPr>
        <w:spacing w:after="0" w:line="109" w:lineRule="exact"/>
        <w:rPr>
          <w:sz w:val="20"/>
          <w:szCs w:val="20"/>
          <w:color w:val="auto"/>
        </w:rPr>
      </w:pPr>
    </w:p>
    <w:p>
      <w:pPr>
        <w:ind w:left="460" w:firstLine="876"/>
        <w:spacing w:after="0" w:line="29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Extensions; Waiver</w:t>
      </w:r>
      <w:r>
        <w:rPr>
          <w:rFonts w:ascii="Arial" w:cs="Arial" w:eastAsia="Arial" w:hAnsi="Arial"/>
          <w:sz w:val="16"/>
          <w:szCs w:val="16"/>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20" w:lineRule="exact"/>
        <w:rPr>
          <w:sz w:val="20"/>
          <w:szCs w:val="20"/>
          <w:color w:val="auto"/>
        </w:rPr>
      </w:pPr>
    </w:p>
    <w:p>
      <w:pPr>
        <w:ind w:left="460" w:right="140" w:firstLine="876"/>
        <w:spacing w:after="0" w:line="29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76"/>
        <w:spacing w:after="0" w:line="289"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Enforcement of Agreement</w:t>
      </w:r>
      <w:r>
        <w:rPr>
          <w:rFonts w:ascii="Arial" w:cs="Arial" w:eastAsia="Arial" w:hAnsi="Arial"/>
          <w:sz w:val="16"/>
          <w:szCs w:val="16"/>
          <w:color w:val="auto"/>
        </w:rPr>
        <w: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w:t>
      </w:r>
    </w:p>
    <w:p>
      <w:pPr>
        <w:spacing w:after="0" w:line="118" w:lineRule="exact"/>
        <w:rPr>
          <w:sz w:val="20"/>
          <w:szCs w:val="20"/>
          <w:color w:val="auto"/>
        </w:rPr>
      </w:pPr>
    </w:p>
    <w:p>
      <w:pPr>
        <w:ind w:left="460" w:right="60" w:firstLine="876"/>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MERGER SUB AND SMITH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43" w:lineRule="exact"/>
        <w:rPr>
          <w:sz w:val="20"/>
          <w:szCs w:val="20"/>
          <w:color w:val="auto"/>
        </w:rPr>
      </w:pPr>
    </w:p>
    <w:p>
      <w:pPr>
        <w:ind w:left="460" w:right="160" w:firstLine="876"/>
        <w:spacing w:after="0" w:line="268"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Gould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Andrew Gould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TURNBERRY MERGER SUB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Jean-Francois Poupeau</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Jean-Francois Poupeau</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SMITH INTERNATIONAL,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Yearwood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John Yearwood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w w:val="89"/>
              </w:rPr>
              <w:t>Chief Executive Officer, President and Chief Operating</w:t>
            </w:r>
          </w:p>
        </w:tc>
      </w:tr>
      <w:tr>
        <w:trPr>
          <w:trHeight w:val="222"/>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449070" cy="3429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49070" cy="34290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1000 Main Street, Suite 2750</w:t>
      </w:r>
    </w:p>
    <w:p>
      <w:pPr>
        <w:jc w:val="right"/>
        <w:spacing w:after="0" w:line="222" w:lineRule="auto"/>
        <w:rPr>
          <w:sz w:val="20"/>
          <w:szCs w:val="20"/>
          <w:color w:val="auto"/>
        </w:rPr>
      </w:pPr>
      <w:r>
        <w:rPr>
          <w:rFonts w:ascii="Arial" w:cs="Arial" w:eastAsia="Arial" w:hAnsi="Arial"/>
          <w:sz w:val="14"/>
          <w:szCs w:val="14"/>
          <w:color w:val="auto"/>
        </w:rPr>
        <w:t>Houston, Texas 77002</w:t>
      </w:r>
    </w:p>
    <w:p>
      <w:pPr>
        <w:jc w:val="right"/>
        <w:spacing w:after="0"/>
        <w:rPr>
          <w:sz w:val="20"/>
          <w:szCs w:val="20"/>
          <w:color w:val="auto"/>
        </w:rPr>
      </w:pPr>
      <w:r>
        <w:rPr>
          <w:rFonts w:ascii="Arial" w:cs="Arial" w:eastAsia="Arial" w:hAnsi="Arial"/>
          <w:sz w:val="14"/>
          <w:szCs w:val="14"/>
          <w:color w:val="auto"/>
        </w:rPr>
        <w:t>www.ubs.com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Smith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16740 East Hardy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77032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understand that Smith International, Inc., a Delaware corporation (the “Company”), is considering a transaction whereby Schlumberger Limited, a Netherlands Antilles corporation (“Schlumberger”), will enter into a business combination with the Company. Pursuant to the terms of an Agreement and Plan of Merger, draft dated as of February 14, 2009 (the “Agreement”), by and among Schlumberger, the Company and Turnberry Merger Sub, a Delaware corporation and wholly owned subsidiary of Schlumberger (“Sub”), Sub will merge with and into the Company whereby the Company will become a wholly owned subsidiary of Schlumberger (the “Transaction”). Pursuant to the terms of the Agreement all of the issued and outstanding shares of the common stock, par value of $1.00 per share, of the Company (the “Company Common Stock”), will be converted into the right to receive, for each outstanding share of Company Common Stock, 0.6966 (the “Exchange Ratio”) shares of the common stock, par value $0.01 per share, of Schlumberger (“Schlumberger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(other than Schlumberger and its affiliates) of the Exchange Ratio provided for in the Transaction.</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UBS Securities LLC (“UBS”) has acted as financial advisor to the Board of Directors of the Company in connection with the Transaction and will receive a fee for its services, a portion of which is payable in connection with this opinion and a significant portion of which is contingent upon consummation of the Transaction. In the past, UBS and its affiliates have provided investment banking services to the Company unrelated to the proposed Transaction, for which UBS and its affiliates received compensation, including having acted as a co-manager in the Company’s offering of Company Common Stock in 2009. In the ordinary course of business, UBS and its affiliates may hold or trade, for their own accounts and the accounts of their customers, securities of the Company and Schlumberger and, accordingly, may at any time hold a long or short position in such securities. The issuance of this opinion was approved by an authorized committee of UBS.</w:t>
      </w:r>
    </w:p>
    <w:p>
      <w:pPr>
        <w:spacing w:after="0" w:line="14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Schlumberger Common Stock will be when issued pursuant to the Transaction or the price at which Company Common Stock or Schlumberger Common Stock will trade at any time. In rendering this opinion, we have assumed, with your consent, that (i) the final executed form of the Agreement will not differ in any material respect from the draft that we have reviewed, (ii) Schlumberger and the Company will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the Company, Schlumberger or the Transaction. We have not been authorized to solicit and have not solicited indications of interest in a transaction with the Company from any party.</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Schlumberger; (ii) reviewed certain internal financial information and other data relating to the businesses and financial prospects of the Company and not publicly available, including financial forecasts and estimates prepared by the management of the Company that you have directed us to utilize for purposes of our analysis; (iii) reviewed certain financial information and other data relating to the businesses and financial prospects of Schlumberger that were publicly available, including Wall Street consensus financial forecasts and estimates as published by Institutional Brokers’ Estimate System (I/B/E/S) for 2010 (“Street Estimates”) that management of the Company has directed us to utilize for purposes of our analysis; (iv) conducted discussions with members of the senior managements of the Company and Schlumberger concerning the businesses and financial prospects of the Company and Schlumberger; (v) reviewed publicly available financial and stock market data with respect to certain other companies we believe to be generally relevant; (vi) compared the financial terms of the Transaction with the publicly available financial terms of certain other transactions we believe to be generally relevant; (vii) reviewed current and historical market prices of Company Common Stock and Schlumberger Common Stock; (viii) reviewed the Agreement; and (ix) conducted such other financial studies, analyses and investigations, and considered such other information, as we deemed necessary or appropriate.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Schlumberger, nor have we been furnished with any such evaluation or appraisal. With respect to the financial forecasts and estimates for the Company referred to above, we have assumed, at your direction, that they have been reasonably prepared on a basis reflecting the best currently available estimates and judgments of the management of the Company as to the future financial performance of the Company. We were not provided with any Schlumberger internal financial forecasts or estimates, nor with any forecasts or estimates regarding Schlumberger prepared by the Company, and therefore did not consider any such information in connection with our analyses or this opinion. Based on our discussions with you, we have assumed, with your consent, that the Schlumberger Street Estimates that we reviewed were a reasonable basis upon which to evaluate the future performance of Schlumberger for that year, and we have used such forecasts for purposes of our analyses and this opinion. We also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Transaction is fair, from a financial point of view, to holders of Company Common Stock other than Schlumberger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opinion is provided for the benefit of the Board of Directors in connection with, and for the purpose of, its evaluation of the Transaction.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UBS SECURITIES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SMITH INTERNATIONAL,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20"/>
        <w:spacing w:after="0"/>
        <w:tabs>
          <w:tab w:leader="none" w:pos="8300" w:val="left"/>
        </w:tabs>
        <w:rPr>
          <w:sz w:val="20"/>
          <w:szCs w:val="20"/>
          <w:color w:val="auto"/>
        </w:rPr>
      </w:pPr>
      <w:r>
        <w:rPr>
          <w:rFonts w:ascii="Arial" w:cs="Arial" w:eastAsia="Arial" w:hAnsi="Arial"/>
          <w:sz w:val="24"/>
          <w:szCs w:val="24"/>
          <w:b w:val="1"/>
          <w:bCs w:val="1"/>
          <w:color w:val="auto"/>
        </w:rPr>
        <w:t>(Amended and Restated Effective as of</w:t>
      </w:r>
      <w:r>
        <w:rPr>
          <w:sz w:val="20"/>
          <w:szCs w:val="20"/>
          <w:color w:val="auto"/>
        </w:rPr>
        <w:tab/>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-10795</wp:posOffset>
            </wp:positionV>
            <wp:extent cx="7715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SECTION 1</w:t>
            </w:r>
          </w:p>
        </w:tc>
        <w:tc>
          <w:tcPr>
            <w:tcW w:w="10020" w:type="dxa"/>
            <w:vAlign w:val="bottom"/>
          </w:tcPr>
          <w:p>
            <w:pPr>
              <w:ind w:left="100"/>
              <w:spacing w:after="0"/>
              <w:rPr>
                <w:sz w:val="20"/>
                <w:szCs w:val="20"/>
                <w:color w:val="auto"/>
              </w:rPr>
            </w:pPr>
            <w:r>
              <w:rPr>
                <w:rFonts w:ascii="Arial" w:cs="Arial" w:eastAsia="Arial" w:hAnsi="Arial"/>
                <w:sz w:val="18"/>
                <w:szCs w:val="18"/>
                <w:b w:val="1"/>
                <w:bCs w:val="1"/>
                <w:color w:val="auto"/>
              </w:rPr>
              <w:t>GENERAL PROVISIONS RELATING TO PLAN GOVERNANCE, COVERAGE AND BENEFITS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Background and Purpose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w:t>
            </w:r>
          </w:p>
        </w:tc>
        <w:tc>
          <w:tcPr>
            <w:tcW w:w="10020" w:type="dxa"/>
            <w:vAlign w:val="bottom"/>
          </w:tcPr>
          <w:p>
            <w:pPr>
              <w:ind w:left="100"/>
              <w:spacing w:after="0"/>
              <w:rPr>
                <w:sz w:val="20"/>
                <w:szCs w:val="20"/>
                <w:color w:val="auto"/>
              </w:rPr>
            </w:pPr>
            <w:r>
              <w:rPr>
                <w:rFonts w:ascii="Arial" w:cs="Arial" w:eastAsia="Arial" w:hAnsi="Arial"/>
                <w:sz w:val="18"/>
                <w:szCs w:val="18"/>
                <w:color w:val="auto"/>
              </w:rPr>
              <w:t>Advisory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w:t>
            </w:r>
          </w:p>
        </w:tc>
        <w:tc>
          <w:tcPr>
            <w:tcW w:w="10020" w:type="dxa"/>
            <w:vAlign w:val="bottom"/>
          </w:tcPr>
          <w:p>
            <w:pPr>
              <w:ind w:left="100"/>
              <w:spacing w:after="0"/>
              <w:rPr>
                <w:sz w:val="20"/>
                <w:szCs w:val="20"/>
                <w:color w:val="auto"/>
              </w:rPr>
            </w:pPr>
            <w:r>
              <w:rPr>
                <w:rFonts w:ascii="Arial" w:cs="Arial" w:eastAsia="Arial" w:hAnsi="Arial"/>
                <w:sz w:val="18"/>
                <w:szCs w:val="18"/>
                <w:color w:val="auto"/>
              </w:rPr>
              <w:t>Authorized Officer.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w:t>
            </w:r>
          </w:p>
        </w:tc>
        <w:tc>
          <w:tcPr>
            <w:tcW w:w="10020" w:type="dxa"/>
            <w:vAlign w:val="bottom"/>
          </w:tcPr>
          <w:p>
            <w:pPr>
              <w:ind w:left="100"/>
              <w:spacing w:after="0"/>
              <w:rPr>
                <w:sz w:val="20"/>
                <w:szCs w:val="20"/>
                <w:color w:val="auto"/>
              </w:rPr>
            </w:pPr>
            <w:r>
              <w:rPr>
                <w:rFonts w:ascii="Arial" w:cs="Arial" w:eastAsia="Arial" w:hAnsi="Arial"/>
                <w:sz w:val="18"/>
                <w:szCs w:val="18"/>
                <w:color w:val="auto"/>
              </w:rPr>
              <w:t>Award Date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w:t>
            </w:r>
          </w:p>
        </w:tc>
        <w:tc>
          <w:tcPr>
            <w:tcW w:w="10020" w:type="dxa"/>
            <w:vAlign w:val="bottom"/>
          </w:tcPr>
          <w:p>
            <w:pPr>
              <w:ind w:left="100"/>
              <w:spacing w:after="0"/>
              <w:rPr>
                <w:sz w:val="20"/>
                <w:szCs w:val="20"/>
                <w:color w:val="auto"/>
              </w:rPr>
            </w:pPr>
            <w:r>
              <w:rPr>
                <w:rFonts w:ascii="Arial" w:cs="Arial" w:eastAsia="Arial" w:hAnsi="Arial"/>
                <w:sz w:val="18"/>
                <w:szCs w:val="18"/>
                <w:color w:val="auto"/>
              </w:rPr>
              <w:t>Board</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w:t>
            </w:r>
          </w:p>
        </w:tc>
        <w:tc>
          <w:tcPr>
            <w:tcW w:w="10020" w:type="dxa"/>
            <w:vAlign w:val="bottom"/>
          </w:tcPr>
          <w:p>
            <w:pPr>
              <w:ind w:left="100"/>
              <w:spacing w:after="0"/>
              <w:rPr>
                <w:sz w:val="20"/>
                <w:szCs w:val="20"/>
                <w:color w:val="auto"/>
              </w:rPr>
            </w:pPr>
            <w:r>
              <w:rPr>
                <w:rFonts w:ascii="Arial" w:cs="Arial" w:eastAsia="Arial" w:hAnsi="Arial"/>
                <w:sz w:val="18"/>
                <w:szCs w:val="18"/>
                <w:color w:val="auto"/>
              </w:rPr>
              <w:t>Cause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w:t>
            </w:r>
          </w:p>
        </w:tc>
        <w:tc>
          <w:tcPr>
            <w:tcW w:w="10020" w:type="dxa"/>
            <w:vAlign w:val="bottom"/>
          </w:tcPr>
          <w:p>
            <w:pPr>
              <w:ind w:left="100"/>
              <w:spacing w:after="0"/>
              <w:rPr>
                <w:sz w:val="20"/>
                <w:szCs w:val="20"/>
                <w:color w:val="auto"/>
              </w:rPr>
            </w:pPr>
            <w:r>
              <w:rPr>
                <w:rFonts w:ascii="Arial" w:cs="Arial" w:eastAsia="Arial" w:hAnsi="Arial"/>
                <w:sz w:val="18"/>
                <w:szCs w:val="18"/>
                <w:color w:val="auto"/>
              </w:rPr>
              <w:t>CEO</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w:t>
            </w:r>
          </w:p>
        </w:tc>
        <w:tc>
          <w:tcPr>
            <w:tcW w:w="10020" w:type="dxa"/>
            <w:vAlign w:val="bottom"/>
          </w:tcPr>
          <w:p>
            <w:pPr>
              <w:ind w:left="100"/>
              <w:spacing w:after="0"/>
              <w:rPr>
                <w:sz w:val="20"/>
                <w:szCs w:val="20"/>
                <w:color w:val="auto"/>
              </w:rPr>
            </w:pPr>
            <w:r>
              <w:rPr>
                <w:rFonts w:ascii="Arial" w:cs="Arial" w:eastAsia="Arial" w:hAnsi="Arial"/>
                <w:sz w:val="18"/>
                <w:szCs w:val="18"/>
                <w:color w:val="auto"/>
              </w:rPr>
              <w:t>Change in Control</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w:t>
            </w:r>
          </w:p>
        </w:tc>
        <w:tc>
          <w:tcPr>
            <w:tcW w:w="10020" w:type="dxa"/>
            <w:vAlign w:val="bottom"/>
          </w:tcPr>
          <w:p>
            <w:pPr>
              <w:ind w:left="100"/>
              <w:spacing w:after="0"/>
              <w:rPr>
                <w:sz w:val="20"/>
                <w:szCs w:val="20"/>
                <w:color w:val="auto"/>
              </w:rPr>
            </w:pPr>
            <w:r>
              <w:rPr>
                <w:rFonts w:ascii="Arial" w:cs="Arial" w:eastAsia="Arial" w:hAnsi="Arial"/>
                <w:sz w:val="18"/>
                <w:szCs w:val="18"/>
                <w:color w:val="auto"/>
              </w:rPr>
              <w:t>Code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w:t>
            </w:r>
          </w:p>
        </w:tc>
        <w:tc>
          <w:tcPr>
            <w:tcW w:w="1002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w:t>
            </w:r>
          </w:p>
        </w:tc>
        <w:tc>
          <w:tcPr>
            <w:tcW w:w="10020" w:type="dxa"/>
            <w:vAlign w:val="bottom"/>
          </w:tcPr>
          <w:p>
            <w:pPr>
              <w:ind w:left="100"/>
              <w:spacing w:after="0"/>
              <w:rPr>
                <w:sz w:val="20"/>
                <w:szCs w:val="20"/>
                <w:color w:val="auto"/>
              </w:rPr>
            </w:pPr>
            <w:r>
              <w:rPr>
                <w:rFonts w:ascii="Arial" w:cs="Arial" w:eastAsia="Arial" w:hAnsi="Arial"/>
                <w:sz w:val="18"/>
                <w:szCs w:val="18"/>
                <w:color w:val="auto"/>
              </w:rPr>
              <w:t>Company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w:t>
            </w:r>
          </w:p>
        </w:tc>
        <w:tc>
          <w:tcPr>
            <w:tcW w:w="10020" w:type="dxa"/>
            <w:vAlign w:val="bottom"/>
          </w:tcPr>
          <w:p>
            <w:pPr>
              <w:ind w:left="100"/>
              <w:spacing w:after="0"/>
              <w:rPr>
                <w:sz w:val="20"/>
                <w:szCs w:val="20"/>
                <w:color w:val="auto"/>
              </w:rPr>
            </w:pPr>
            <w:r>
              <w:rPr>
                <w:rFonts w:ascii="Arial" w:cs="Arial" w:eastAsia="Arial" w:hAnsi="Arial"/>
                <w:sz w:val="18"/>
                <w:szCs w:val="18"/>
                <w:color w:val="auto"/>
              </w:rPr>
              <w:t>Covered 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w:t>
            </w:r>
          </w:p>
        </w:tc>
        <w:tc>
          <w:tcPr>
            <w:tcW w:w="10020" w:type="dxa"/>
            <w:vAlign w:val="bottom"/>
          </w:tcPr>
          <w:p>
            <w:pPr>
              <w:ind w:left="100"/>
              <w:spacing w:after="0"/>
              <w:rPr>
                <w:sz w:val="20"/>
                <w:szCs w:val="20"/>
                <w:color w:val="auto"/>
              </w:rPr>
            </w:pPr>
            <w:r>
              <w:rPr>
                <w:rFonts w:ascii="Arial" w:cs="Arial" w:eastAsia="Arial" w:hAnsi="Arial"/>
                <w:sz w:val="18"/>
                <w:szCs w:val="18"/>
                <w:color w:val="auto"/>
              </w:rPr>
              <w:t>Disability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w:t>
            </w:r>
          </w:p>
        </w:tc>
        <w:tc>
          <w:tcPr>
            <w:tcW w:w="10020" w:type="dxa"/>
            <w:vAlign w:val="bottom"/>
          </w:tcPr>
          <w:p>
            <w:pPr>
              <w:ind w:left="100"/>
              <w:spacing w:after="0"/>
              <w:rPr>
                <w:sz w:val="20"/>
                <w:szCs w:val="20"/>
                <w:color w:val="auto"/>
              </w:rPr>
            </w:pPr>
            <w:r>
              <w:rPr>
                <w:rFonts w:ascii="Arial" w:cs="Arial" w:eastAsia="Arial" w:hAnsi="Arial"/>
                <w:sz w:val="18"/>
                <w:szCs w:val="18"/>
                <w:color w:val="auto"/>
              </w:rPr>
              <w:t>Exchange Act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w:t>
            </w:r>
          </w:p>
        </w:tc>
        <w:tc>
          <w:tcPr>
            <w:tcW w:w="10020" w:type="dxa"/>
            <w:vAlign w:val="bottom"/>
          </w:tcPr>
          <w:p>
            <w:pPr>
              <w:ind w:left="100"/>
              <w:spacing w:after="0"/>
              <w:rPr>
                <w:sz w:val="20"/>
                <w:szCs w:val="20"/>
                <w:color w:val="auto"/>
              </w:rPr>
            </w:pPr>
            <w:r>
              <w:rPr>
                <w:rFonts w:ascii="Arial" w:cs="Arial" w:eastAsia="Arial" w:hAnsi="Arial"/>
                <w:sz w:val="18"/>
                <w:szCs w:val="18"/>
                <w:color w:val="auto"/>
              </w:rPr>
              <w:t>Fair Market Value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w:t>
            </w:r>
          </w:p>
        </w:tc>
        <w:tc>
          <w:tcPr>
            <w:tcW w:w="10020" w:type="dxa"/>
            <w:vAlign w:val="bottom"/>
          </w:tcPr>
          <w:p>
            <w:pPr>
              <w:ind w:left="100"/>
              <w:spacing w:after="0"/>
              <w:rPr>
                <w:sz w:val="20"/>
                <w:szCs w:val="20"/>
                <w:color w:val="auto"/>
              </w:rPr>
            </w:pPr>
            <w:r>
              <w:rPr>
                <w:rFonts w:ascii="Arial" w:cs="Arial" w:eastAsia="Arial" w:hAnsi="Arial"/>
                <w:sz w:val="18"/>
                <w:szCs w:val="18"/>
                <w:color w:val="auto"/>
              </w:rPr>
              <w:t>Grantee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(t)</w:t>
            </w:r>
          </w:p>
        </w:tc>
        <w:tc>
          <w:tcPr>
            <w:tcW w:w="10020" w:type="dxa"/>
            <w:vAlign w:val="bottom"/>
          </w:tcPr>
          <w:p>
            <w:pPr>
              <w:ind w:left="100"/>
              <w:spacing w:after="0"/>
              <w:rPr>
                <w:sz w:val="20"/>
                <w:szCs w:val="20"/>
                <w:color w:val="auto"/>
              </w:rPr>
            </w:pPr>
            <w:r>
              <w:rPr>
                <w:rFonts w:ascii="Arial" w:cs="Arial" w:eastAsia="Arial" w:hAnsi="Arial"/>
                <w:sz w:val="18"/>
                <w:szCs w:val="18"/>
                <w:color w:val="auto"/>
              </w:rPr>
              <w:t>Immediate Family</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(u)</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(v)</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Award or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(x)</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SAR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(y)</w:t>
            </w:r>
          </w:p>
        </w:tc>
        <w:tc>
          <w:tcPr>
            <w:tcW w:w="10020" w:type="dxa"/>
            <w:vAlign w:val="bottom"/>
          </w:tcPr>
          <w:p>
            <w:pPr>
              <w:ind w:left="100"/>
              <w:spacing w:after="0"/>
              <w:rPr>
                <w:sz w:val="20"/>
                <w:szCs w:val="20"/>
                <w:color w:val="auto"/>
              </w:rPr>
            </w:pPr>
            <w:r>
              <w:rPr>
                <w:rFonts w:ascii="Arial" w:cs="Arial" w:eastAsia="Arial" w:hAnsi="Arial"/>
                <w:sz w:val="18"/>
                <w:szCs w:val="18"/>
                <w:color w:val="auto"/>
              </w:rPr>
              <w:t>Insider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(z)</w:t>
            </w:r>
          </w:p>
        </w:tc>
        <w:tc>
          <w:tcPr>
            <w:tcW w:w="10020" w:type="dxa"/>
            <w:vAlign w:val="bottom"/>
          </w:tcPr>
          <w:p>
            <w:pPr>
              <w:ind w:left="100"/>
              <w:spacing w:after="0"/>
              <w:rPr>
                <w:sz w:val="20"/>
                <w:szCs w:val="20"/>
                <w:color w:val="auto"/>
              </w:rPr>
            </w:pPr>
            <w:r>
              <w:rPr>
                <w:rFonts w:ascii="Arial" w:cs="Arial" w:eastAsia="Arial" w:hAnsi="Arial"/>
                <w:sz w:val="18"/>
                <w:szCs w:val="18"/>
                <w:color w:val="auto"/>
              </w:rPr>
              <w:t>Option Price</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(aa)</w:t>
            </w:r>
          </w:p>
        </w:tc>
        <w:tc>
          <w:tcPr>
            <w:tcW w:w="10020" w:type="dxa"/>
            <w:vAlign w:val="bottom"/>
          </w:tcPr>
          <w:p>
            <w:pPr>
              <w:ind w:left="100"/>
              <w:spacing w:after="0"/>
              <w:rPr>
                <w:sz w:val="20"/>
                <w:szCs w:val="20"/>
                <w:color w:val="auto"/>
              </w:rPr>
            </w:pPr>
            <w:r>
              <w:rPr>
                <w:rFonts w:ascii="Arial" w:cs="Arial" w:eastAsia="Arial" w:hAnsi="Arial"/>
                <w:sz w:val="18"/>
                <w:szCs w:val="18"/>
                <w:color w:val="auto"/>
              </w:rPr>
              <w:t>Other Stock-Based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(bb)</w:t>
            </w:r>
          </w:p>
        </w:tc>
        <w:tc>
          <w:tcPr>
            <w:tcW w:w="10020" w:type="dxa"/>
            <w:vAlign w:val="bottom"/>
          </w:tcPr>
          <w:p>
            <w:pPr>
              <w:ind w:left="100"/>
              <w:spacing w:after="0"/>
              <w:rPr>
                <w:sz w:val="20"/>
                <w:szCs w:val="20"/>
                <w:color w:val="auto"/>
              </w:rPr>
            </w:pPr>
            <w:r>
              <w:rPr>
                <w:rFonts w:ascii="Arial" w:cs="Arial" w:eastAsia="Arial" w:hAnsi="Arial"/>
                <w:sz w:val="18"/>
                <w:szCs w:val="18"/>
                <w:color w:val="auto"/>
              </w:rPr>
              <w:t>Outside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(cc)</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(dd)</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Exception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(ee)</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Restricted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(ff)</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Criteria</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(gg)</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(hh)</w:t>
            </w:r>
          </w:p>
        </w:tc>
        <w:tc>
          <w:tcPr>
            <w:tcW w:w="10020" w:type="dxa"/>
            <w:vAlign w:val="bottom"/>
          </w:tcPr>
          <w:p>
            <w:pPr>
              <w:ind w:left="100"/>
              <w:spacing w:after="0"/>
              <w:rPr>
                <w:sz w:val="20"/>
                <w:szCs w:val="20"/>
                <w:color w:val="auto"/>
              </w:rPr>
            </w:pPr>
            <w:r>
              <w:rPr>
                <w:rFonts w:ascii="Arial" w:cs="Arial" w:eastAsia="Arial" w:hAnsi="Arial"/>
                <w:sz w:val="18"/>
                <w:szCs w:val="18"/>
                <w:color w:val="auto"/>
              </w:rPr>
              <w:t>Plan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(ii)</w:t>
            </w:r>
          </w:p>
        </w:tc>
        <w:tc>
          <w:tcPr>
            <w:tcW w:w="10020" w:type="dxa"/>
            <w:vAlign w:val="bottom"/>
          </w:tcPr>
          <w:p>
            <w:pPr>
              <w:ind w:left="100"/>
              <w:spacing w:after="0"/>
              <w:rPr>
                <w:sz w:val="20"/>
                <w:szCs w:val="20"/>
                <w:color w:val="auto"/>
              </w:rPr>
            </w:pPr>
            <w:r>
              <w:rPr>
                <w:rFonts w:ascii="Arial" w:cs="Arial" w:eastAsia="Arial" w:hAnsi="Arial"/>
                <w:sz w:val="18"/>
                <w:szCs w:val="18"/>
                <w:color w:val="auto"/>
              </w:rPr>
              <w:t>Publicly Held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(jj)</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(kk)</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(ll)</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(mm)</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(nn)</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Restriction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(oo)</w:t>
            </w:r>
          </w:p>
        </w:tc>
        <w:tc>
          <w:tcPr>
            <w:tcW w:w="10020" w:type="dxa"/>
            <w:vAlign w:val="bottom"/>
          </w:tcPr>
          <w:p>
            <w:pPr>
              <w:ind w:left="100"/>
              <w:spacing w:after="0"/>
              <w:rPr>
                <w:sz w:val="20"/>
                <w:szCs w:val="20"/>
                <w:color w:val="auto"/>
              </w:rPr>
            </w:pPr>
            <w:r>
              <w:rPr>
                <w:rFonts w:ascii="Arial" w:cs="Arial" w:eastAsia="Arial" w:hAnsi="Arial"/>
                <w:sz w:val="18"/>
                <w:szCs w:val="18"/>
                <w:color w:val="auto"/>
              </w:rPr>
              <w:t>Retirement</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(pp)</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(qq)</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 Pool</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(rr)</w:t>
            </w:r>
          </w:p>
        </w:tc>
        <w:tc>
          <w:tcPr>
            <w:tcW w:w="10020" w:type="dxa"/>
            <w:vAlign w:val="bottom"/>
          </w:tcPr>
          <w:p>
            <w:pPr>
              <w:ind w:left="100"/>
              <w:spacing w:after="0"/>
              <w:rPr>
                <w:sz w:val="20"/>
                <w:szCs w:val="20"/>
                <w:color w:val="auto"/>
              </w:rPr>
            </w:pPr>
            <w:r>
              <w:rPr>
                <w:rFonts w:ascii="Arial" w:cs="Arial" w:eastAsia="Arial" w:hAnsi="Arial"/>
                <w:sz w:val="18"/>
                <w:szCs w:val="18"/>
                <w:color w:val="auto"/>
              </w:rPr>
              <w:t>Spread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22"/>
        </w:trPr>
        <w:tc>
          <w:tcPr>
            <w:tcW w:w="50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(ss)</w:t>
            </w:r>
          </w:p>
        </w:tc>
        <w:tc>
          <w:tcPr>
            <w:tcW w:w="10020" w:type="dxa"/>
            <w:vAlign w:val="bottom"/>
          </w:tcPr>
          <w:p>
            <w:pPr>
              <w:ind w:left="100"/>
              <w:spacing w:after="0"/>
              <w:rPr>
                <w:sz w:val="20"/>
                <w:szCs w:val="20"/>
                <w:color w:val="auto"/>
              </w:rPr>
            </w:pPr>
            <w:r>
              <w:rPr>
                <w:rFonts w:ascii="Arial" w:cs="Arial" w:eastAsia="Arial" w:hAnsi="Arial"/>
                <w:sz w:val="18"/>
                <w:szCs w:val="18"/>
                <w:color w:val="auto"/>
              </w:rPr>
              <w:t>Stock Appreciation Right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(tt)</w:t>
            </w:r>
          </w:p>
        </w:tc>
        <w:tc>
          <w:tcPr>
            <w:tcW w:w="9920" w:type="dxa"/>
            <w:vAlign w:val="bottom"/>
            <w:vMerge w:val="restart"/>
          </w:tcPr>
          <w:p>
            <w:pPr>
              <w:ind w:left="120"/>
              <w:spacing w:after="0"/>
              <w:rPr>
                <w:sz w:val="20"/>
                <w:szCs w:val="20"/>
                <w:color w:val="auto"/>
              </w:rPr>
            </w:pPr>
            <w:r>
              <w:rPr>
                <w:rFonts w:ascii="Arial" w:cs="Arial" w:eastAsia="Arial" w:hAnsi="Arial"/>
                <w:sz w:val="18"/>
                <w:szCs w:val="18"/>
                <w:color w:val="auto"/>
              </w:rPr>
              <w:t>Stock Option or Option</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920" w:type="dxa"/>
            <w:vAlign w:val="bottom"/>
            <w:vMerge w:val="continue"/>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C-5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(uu)</w:t>
            </w:r>
          </w:p>
        </w:tc>
        <w:tc>
          <w:tcPr>
            <w:tcW w:w="9920" w:type="dxa"/>
            <w:vAlign w:val="bottom"/>
          </w:tcPr>
          <w:p>
            <w:pPr>
              <w:ind w:left="120"/>
              <w:spacing w:after="0"/>
              <w:rPr>
                <w:sz w:val="20"/>
                <w:szCs w:val="20"/>
                <w:color w:val="auto"/>
              </w:rPr>
            </w:pPr>
            <w:r>
              <w:rPr>
                <w:rFonts w:ascii="Arial" w:cs="Arial" w:eastAsia="Arial" w:hAnsi="Arial"/>
                <w:sz w:val="18"/>
                <w:szCs w:val="18"/>
                <w:color w:val="auto"/>
              </w:rPr>
              <w:t>Stock Option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(vv)</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(ww)</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Plan Administration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Authority of the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Meetings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Decisions Binding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Modification of Outstanding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(f)</w:t>
            </w:r>
          </w:p>
        </w:tc>
        <w:tc>
          <w:tcPr>
            <w:tcW w:w="9920" w:type="dxa"/>
            <w:vAlign w:val="bottom"/>
          </w:tcPr>
          <w:p>
            <w:pPr>
              <w:ind w:left="120"/>
              <w:spacing w:after="0"/>
              <w:rPr>
                <w:sz w:val="20"/>
                <w:szCs w:val="20"/>
                <w:color w:val="auto"/>
              </w:rPr>
            </w:pPr>
            <w:r>
              <w:rPr>
                <w:rFonts w:ascii="Arial" w:cs="Arial" w:eastAsia="Arial" w:hAnsi="Arial"/>
                <w:sz w:val="18"/>
                <w:szCs w:val="18"/>
                <w:color w:val="auto"/>
              </w:rPr>
              <w:t>Expenses of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(g)</w:t>
            </w:r>
          </w:p>
        </w:tc>
        <w:tc>
          <w:tcPr>
            <w:tcW w:w="99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Shares of Common Stock Available for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 Pool Adjustments for Awards and Payouts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Common Stock Available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Eligibility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Types of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STOCK OPTIONS AND 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Grant of Stock Options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Terms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Written Agreement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Term</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Exercises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Method of Exercise and Payment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Restrictions on Share Transferability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Proceeds of Option 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3</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COMMON STOCK AWARDS FOR OUTSIDE DIRECTORS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Initial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Annual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Issuance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Deferral of Common Stock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Subsequent Deferrals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2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Award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Immediate Transfer Without Immediate Delivery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Forfeiture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Issuance of Certificates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Removal of 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Delivery of Shares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5</w:t>
            </w:r>
          </w:p>
        </w:tc>
        <w:tc>
          <w:tcPr>
            <w:tcW w:w="98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RESTRICTED STOCK UNITS</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160" w:type="dxa"/>
            <w:vAlign w:val="bottom"/>
            <w:gridSpan w:val="2"/>
            <w:vMerge w:val="continue"/>
          </w:tcPr>
          <w:p>
            <w:pPr>
              <w:spacing w:after="0"/>
              <w:rPr>
                <w:sz w:val="17"/>
                <w:szCs w:val="17"/>
                <w:color w:val="auto"/>
              </w:rPr>
            </w:pPr>
          </w:p>
        </w:tc>
        <w:tc>
          <w:tcPr>
            <w:tcW w:w="9820" w:type="dxa"/>
            <w:vAlign w:val="bottom"/>
            <w:vMerge w:val="continue"/>
          </w:tcPr>
          <w:p>
            <w:pPr>
              <w:spacing w:after="0"/>
              <w:rPr>
                <w:sz w:val="17"/>
                <w:szCs w:val="17"/>
                <w:color w:val="auto"/>
              </w:rPr>
            </w:pPr>
          </w:p>
        </w:tc>
        <w:tc>
          <w:tcPr>
            <w:tcW w:w="4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w w:val="87"/>
              </w:rPr>
              <w:t>C-14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 of Restricted Stock Units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Restricted Stock Unit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Vesting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Initial Deferral of Restricted Stock Unit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Subsequent Deferrals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Grant of 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Other Stock-Based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Performance Criteria and Other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7</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PERFORMANCE CRITERIA</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Measures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Criteria</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Award</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7.6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Subject to the Performance-Based Exception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PROVISIONS RELATING TO PLAN PARTICIPATION</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Incentive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No Right to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Securities Requirements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Transferability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Rights as a Stockholder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No Stockholder Rights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Representation of Ownership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Stock and Adjustments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Changes in Law or Circumstances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Exercise of Corporate Powers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Recapitalization of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Issue of Common Stock by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under the Plan of Outstanding Stock Options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of Incentive Awards by a Successor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8.7</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Employment or Directorship, Death, Disability and 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Directorship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 for Cause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Voluntary Resignation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Disability or Death</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(g)</w:t>
            </w:r>
          </w:p>
        </w:tc>
        <w:tc>
          <w:tcPr>
            <w:tcW w:w="9820" w:type="dxa"/>
            <w:vAlign w:val="bottom"/>
          </w:tcPr>
          <w:p>
            <w:pPr>
              <w:ind w:left="140"/>
              <w:spacing w:after="0"/>
              <w:rPr>
                <w:sz w:val="20"/>
                <w:szCs w:val="20"/>
                <w:color w:val="auto"/>
              </w:rPr>
            </w:pPr>
            <w:r>
              <w:rPr>
                <w:rFonts w:ascii="Arial" w:cs="Arial" w:eastAsia="Arial" w:hAnsi="Arial"/>
                <w:sz w:val="18"/>
                <w:szCs w:val="18"/>
                <w:color w:val="auto"/>
              </w:rPr>
              <w:t>Continuation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8.8</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Control</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8.9</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Exchange of Incentive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8.10</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Financing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C-iii</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9</w:t>
            </w:r>
          </w:p>
        </w:tc>
        <w:tc>
          <w:tcPr>
            <w:tcW w:w="9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GENERAL</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60" w:type="dxa"/>
            <w:vAlign w:val="bottom"/>
            <w:gridSpan w:val="2"/>
            <w:vMerge w:val="continue"/>
          </w:tcPr>
          <w:p>
            <w:pPr>
              <w:spacing w:after="0"/>
              <w:rPr>
                <w:sz w:val="17"/>
                <w:szCs w:val="17"/>
                <w:color w:val="auto"/>
              </w:rPr>
            </w:pPr>
          </w:p>
        </w:tc>
        <w:tc>
          <w:tcPr>
            <w:tcW w:w="9940" w:type="dxa"/>
            <w:vAlign w:val="bottom"/>
            <w:vMerge w:val="continue"/>
          </w:tcPr>
          <w:p>
            <w:pPr>
              <w:spacing w:after="0"/>
              <w:rPr>
                <w:sz w:val="17"/>
                <w:szCs w:val="17"/>
                <w:color w:val="auto"/>
              </w:rPr>
            </w:pPr>
          </w:p>
        </w:tc>
        <w:tc>
          <w:tcPr>
            <w:tcW w:w="4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b w:val="1"/>
                <w:bCs w:val="1"/>
                <w:color w:val="auto"/>
                <w:w w:val="87"/>
              </w:rPr>
              <w:t>C-25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Effective Date and Grant Period</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Funding and Liability of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Withholding Taxes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(a)</w:t>
            </w:r>
          </w:p>
        </w:tc>
        <w:tc>
          <w:tcPr>
            <w:tcW w:w="9940" w:type="dxa"/>
            <w:vAlign w:val="bottom"/>
          </w:tcPr>
          <w:p>
            <w:pPr>
              <w:ind w:left="140"/>
              <w:spacing w:after="0"/>
              <w:rPr>
                <w:sz w:val="20"/>
                <w:szCs w:val="20"/>
                <w:color w:val="auto"/>
              </w:rPr>
            </w:pPr>
            <w:r>
              <w:rPr>
                <w:rFonts w:ascii="Arial" w:cs="Arial" w:eastAsia="Arial" w:hAnsi="Arial"/>
                <w:sz w:val="18"/>
                <w:szCs w:val="18"/>
                <w:color w:val="auto"/>
              </w:rPr>
              <w:t>Tax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(b)</w:t>
            </w:r>
          </w:p>
        </w:tc>
        <w:tc>
          <w:tcPr>
            <w:tcW w:w="9940" w:type="dxa"/>
            <w:vAlign w:val="bottom"/>
          </w:tcPr>
          <w:p>
            <w:pPr>
              <w:ind w:left="140"/>
              <w:spacing w:after="0"/>
              <w:rPr>
                <w:sz w:val="20"/>
                <w:szCs w:val="20"/>
                <w:color w:val="auto"/>
              </w:rPr>
            </w:pPr>
            <w:r>
              <w:rPr>
                <w:rFonts w:ascii="Arial" w:cs="Arial" w:eastAsia="Arial" w:hAnsi="Arial"/>
                <w:sz w:val="18"/>
                <w:szCs w:val="18"/>
                <w:color w:val="auto"/>
              </w:rPr>
              <w:t>Share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(c)</w:t>
            </w:r>
          </w:p>
        </w:tc>
        <w:tc>
          <w:tcPr>
            <w:tcW w:w="9940" w:type="dxa"/>
            <w:vAlign w:val="bottom"/>
          </w:tcPr>
          <w:p>
            <w:pPr>
              <w:ind w:left="140"/>
              <w:spacing w:after="0"/>
              <w:rPr>
                <w:sz w:val="20"/>
                <w:szCs w:val="20"/>
                <w:color w:val="auto"/>
              </w:rPr>
            </w:pPr>
            <w:r>
              <w:rPr>
                <w:rFonts w:ascii="Arial" w:cs="Arial" w:eastAsia="Arial" w:hAnsi="Arial"/>
                <w:sz w:val="18"/>
                <w:szCs w:val="18"/>
                <w:color w:val="auto"/>
              </w:rPr>
              <w:t>Loans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 Guarantee of Tax Consequences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Designation of Beneficiary by Grantee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Amendment and Termination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Requirements of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   Governmental Entities and Securities Exchanges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(b)   Securities Act Rule 701</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Rule 16b-3 Securities Law Compliance for Insiders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Compliance with Code Section 162(m) for Publicly Held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9.10</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Notices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Pre-Clearance Agreement with Brokers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Successors to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Miscellaneous Provisions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Severability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Gender, Tense and Headings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22"/>
        </w:trPr>
        <w:tc>
          <w:tcPr>
            <w:tcW w:w="600" w:type="dxa"/>
            <w:vAlign w:val="bottom"/>
          </w:tcPr>
          <w:p>
            <w:pPr>
              <w:ind w:left="180"/>
              <w:spacing w:after="0"/>
              <w:rPr>
                <w:sz w:val="20"/>
                <w:szCs w:val="20"/>
                <w:color w:val="auto"/>
              </w:rPr>
            </w:pPr>
            <w:r>
              <w:rPr>
                <w:rFonts w:ascii="Arial" w:cs="Arial" w:eastAsia="Arial" w:hAnsi="Arial"/>
                <w:sz w:val="18"/>
                <w:szCs w:val="18"/>
                <w:color w:val="auto"/>
              </w:rPr>
              <w:t>9.17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Section 409A Compliance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COMPENSATION PLAN</w:t>
      </w:r>
    </w:p>
    <w:p>
      <w:pPr>
        <w:spacing w:after="0" w:line="7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1</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GENERAL PROVISIONS RELATING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GOVERNANCE, COVERAGE AND BENEFITS</w:t>
      </w:r>
    </w:p>
    <w:p>
      <w:pPr>
        <w:spacing w:after="0" w:line="1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Background and Purpose</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5"/>
          <w:szCs w:val="15"/>
          <w:color w:val="auto"/>
        </w:rPr>
        <w:t>Smith International, Inc., (the “</w:t>
      </w:r>
      <w:r>
        <w:rPr>
          <w:rFonts w:ascii="Arial" w:cs="Arial" w:eastAsia="Arial" w:hAnsi="Arial"/>
          <w:sz w:val="15"/>
          <w:szCs w:val="15"/>
          <w:b w:val="1"/>
          <w:bCs w:val="1"/>
          <w:color w:val="auto"/>
        </w:rPr>
        <w:t>Company</w:t>
      </w:r>
      <w:r>
        <w:rPr>
          <w:rFonts w:ascii="Arial" w:cs="Arial" w:eastAsia="Arial" w:hAnsi="Arial"/>
          <w:sz w:val="15"/>
          <w:szCs w:val="15"/>
          <w:color w:val="auto"/>
        </w:rPr>
        <w:t>”) established and adopted the “Smith International, Inc. 1989 Long-Term Incentive Compensation Plan” (the “</w:t>
      </w:r>
      <w:r>
        <w:rPr>
          <w:rFonts w:ascii="Arial" w:cs="Arial" w:eastAsia="Arial" w:hAnsi="Arial"/>
          <w:sz w:val="15"/>
          <w:szCs w:val="15"/>
          <w:b w:val="1"/>
          <w:bCs w:val="1"/>
          <w:color w:val="auto"/>
        </w:rPr>
        <w:t>Plan</w:t>
      </w:r>
      <w:r>
        <w:rPr>
          <w:rFonts w:ascii="Arial" w:cs="Arial" w:eastAsia="Arial" w:hAnsi="Arial"/>
          <w:sz w:val="15"/>
          <w:szCs w:val="15"/>
          <w:color w:val="auto"/>
        </w:rPr>
        <w:t>”). The Plan has been amended from time to time, and most recently amended and restated effective as of January 1, 2008. This amendment and restatement, which shall rename the Plan the “Smith International, Inc. Long-Term Incentive Compensation Plan” and shall make certain additional changes to</w:t>
      </w:r>
    </w:p>
    <w:p>
      <w:pPr>
        <w:spacing w:after="0" w:line="1"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the Plan, is generally effective as of</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except as may otherwise be noted under certain terms and provisions of the Plan.</w:t>
      </w:r>
    </w:p>
    <w:p>
      <w:pPr>
        <w:spacing w:after="0" w:line="16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purpose of the Plan is to foster and promote the long-term financial success of the Company and to increase stockholder value by: (i) encouraging the commitment of selected key Employees, (ii) motivating superior performance of key Employees by means of long-term performance related incentives,</w:t>
      </w:r>
    </w:p>
    <w:p>
      <w:pPr>
        <w:ind w:right="20" w:firstLine="8"/>
        <w:spacing w:after="0" w:line="292" w:lineRule="auto"/>
        <w:tabs>
          <w:tab w:leader="none" w:pos="30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encouraging and providing key Employees with a program for obtaining ownership interests in the Company which link and align their personal interests to those of the Company’s stockholders, (iv) attracting and retaining key Employees by providing competitive compensation opportunities, (v) enabling key Employees to share in the long-term growth and success of the Company, (vi) providing additional incentives for securing and retaining qualified individuals who are not employees of the Company to serve on the Board of Directors of the Company (“</w:t>
      </w:r>
      <w:r>
        <w:rPr>
          <w:rFonts w:ascii="Arial" w:cs="Arial" w:eastAsia="Arial" w:hAnsi="Arial"/>
          <w:sz w:val="16"/>
          <w:szCs w:val="16"/>
          <w:b w:val="1"/>
          <w:bCs w:val="1"/>
          <w:color w:val="auto"/>
        </w:rPr>
        <w:t>Outside Directors</w:t>
      </w:r>
      <w:r>
        <w:rPr>
          <w:rFonts w:ascii="Arial" w:cs="Arial" w:eastAsia="Arial" w:hAnsi="Arial"/>
          <w:sz w:val="16"/>
          <w:szCs w:val="16"/>
          <w:color w:val="auto"/>
        </w:rPr>
        <w:t>”), and (vii) to enhance the future growth of the Company by furthering Outside Directors’ identification with the interests of the Company and its stockholders.</w:t>
      </w:r>
    </w:p>
    <w:p>
      <w:pPr>
        <w:spacing w:after="0" w:line="11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Plan provides for payment of various forms of compensation. It is not intended to be a plan that is subject to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The Plan shall be interpreted, construed and administered consistent with its status as a plan that is not subject to ERISA.</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The Plan will remain in effect, subject to the right of the Board to amend or terminate the Plan at any time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until all Shares subject to the Plan have been purchased or acquired according to its provisions.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set forth below:</w:t>
      </w:r>
    </w:p>
    <w:p>
      <w:pPr>
        <w:spacing w:after="0" w:line="84" w:lineRule="exact"/>
        <w:rPr>
          <w:sz w:val="20"/>
          <w:szCs w:val="20"/>
          <w:color w:val="auto"/>
        </w:rPr>
      </w:pPr>
    </w:p>
    <w:p>
      <w:pPr>
        <w:ind w:left="460" w:right="260" w:firstLine="881"/>
        <w:spacing w:after="0" w:line="275" w:lineRule="auto"/>
        <w:tabs>
          <w:tab w:leader="none" w:pos="1575"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Advisory Director</w:t>
      </w:r>
      <w:r>
        <w:rPr>
          <w:rFonts w:ascii="Arial" w:cs="Arial" w:eastAsia="Arial" w:hAnsi="Arial"/>
          <w:sz w:val="18"/>
          <w:szCs w:val="18"/>
          <w:color w:val="auto"/>
        </w:rPr>
        <w:t>. An individual who (i) is not an officer or employee of the Company or any Subsidiary and (ii) serves as an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 the Board.</w:t>
      </w:r>
    </w:p>
    <w:p>
      <w:pPr>
        <w:spacing w:after="0" w:line="38" w:lineRule="exact"/>
        <w:rPr>
          <w:rFonts w:ascii="Arial" w:cs="Arial" w:eastAsia="Arial" w:hAnsi="Arial"/>
          <w:sz w:val="18"/>
          <w:szCs w:val="18"/>
          <w:color w:val="auto"/>
        </w:rPr>
      </w:pPr>
    </w:p>
    <w:p>
      <w:pPr>
        <w:ind w:left="460" w:right="60" w:firstLine="881"/>
        <w:spacing w:after="0" w:line="262" w:lineRule="auto"/>
        <w:tabs>
          <w:tab w:leader="none" w:pos="1585"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Authorized Officer</w:t>
      </w:r>
      <w:r>
        <w:rPr>
          <w:rFonts w:ascii="Arial" w:cs="Arial" w:eastAsia="Arial" w:hAnsi="Arial"/>
          <w:sz w:val="18"/>
          <w:szCs w:val="18"/>
          <w:color w:val="auto"/>
        </w:rPr>
        <w:t>. The Chairman of the Board, the CEO or any other senior officer of the Company to whom either of them delegate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execute any Incentive Agreement for and on behalf of the Company. No officer or director shall be an Authorized Officer with respect to any Incentive Agreement for himself.</w:t>
      </w:r>
    </w:p>
    <w:p>
      <w:pPr>
        <w:spacing w:after="0" w:line="51" w:lineRule="exact"/>
        <w:rPr>
          <w:rFonts w:ascii="Arial" w:cs="Arial" w:eastAsia="Arial" w:hAnsi="Arial"/>
          <w:sz w:val="18"/>
          <w:szCs w:val="18"/>
          <w:color w:val="auto"/>
        </w:rPr>
      </w:pPr>
    </w:p>
    <w:p>
      <w:pPr>
        <w:ind w:left="460" w:right="120" w:firstLine="881"/>
        <w:spacing w:after="0" w:line="275" w:lineRule="auto"/>
        <w:tabs>
          <w:tab w:leader="none" w:pos="1575"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 The annual date or other date upon which a Common Stock Award is granted by the Independent Directors of the Board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as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The Board of Directors of the Company.</w:t>
      </w:r>
    </w:p>
    <w:p>
      <w:pPr>
        <w:spacing w:after="0" w:line="90" w:lineRule="exact"/>
        <w:rPr>
          <w:rFonts w:ascii="Arial" w:cs="Arial" w:eastAsia="Arial" w:hAnsi="Arial"/>
          <w:sz w:val="18"/>
          <w:szCs w:val="18"/>
          <w:color w:val="auto"/>
        </w:rPr>
      </w:pPr>
    </w:p>
    <w:p>
      <w:pPr>
        <w:ind w:left="460" w:right="940" w:firstLine="881"/>
        <w:spacing w:after="0" w:line="275" w:lineRule="auto"/>
        <w:tabs>
          <w:tab w:leader="none" w:pos="1575"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When used in connection with the termination of a Grantee’s Employment, shall mean the termination of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Subsidiary by reason of (i)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conviction of the Grantee by a court of competent jurisdiction as to which no further appeal can be taken of a crime involving moral turpitude or a felony;</w:t>
      </w:r>
    </w:p>
    <w:p>
      <w:pPr>
        <w:spacing w:after="0" w:line="38" w:lineRule="exact"/>
        <w:rPr>
          <w:sz w:val="20"/>
          <w:szCs w:val="20"/>
          <w:color w:val="auto"/>
        </w:rPr>
      </w:pPr>
    </w:p>
    <w:p>
      <w:pPr>
        <w:ind w:left="460" w:firstLine="4"/>
        <w:spacing w:after="0" w:line="287" w:lineRule="auto"/>
        <w:tabs>
          <w:tab w:leader="none" w:pos="71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proven commission by the Grantee of a material act of fraud upon the Company or any Subsidiary, or any customer or supplier thereof; (iii) the misappropriation of any funds or property of the Company or any Subsidiary, or any customer or supplier thereof; (iv) the willful and continued failure by the Grantee to perform the material duties assigned to him that is not cured to the reasonable satisfaction of the Company within 30 days after written notice of such failure is provided to Grantee by the Board or CEO (or by another officer of the Company or a Subsidiary who has been designated by the Board or CEO for such purpose); (v) the knowing engagement by the Grantee in any direct and material conflict of interest with the Company or any Subsidiary without compliance with the Company’s or Subsidiary’s conflict of interest policy, if any, then in effect; or (vi) the knowing engagement by the Grantee, without the written approval of the Board or CEO, in any material activity which competes with the business of the Company or any Subsidiary or which would result in a material injury to the business, reputation or goodwill of the Company or any Subsidiary.</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CEO</w:t>
      </w:r>
      <w:r>
        <w:rPr>
          <w:rFonts w:ascii="Arial" w:cs="Arial" w:eastAsia="Arial" w:hAnsi="Arial"/>
          <w:sz w:val="18"/>
          <w:szCs w:val="18"/>
          <w:color w:val="auto"/>
        </w:rPr>
        <w:t>. The Chief Executive Officer of the Company.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Any of the events described in and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881"/>
        <w:spacing w:after="0" w:line="275" w:lineRule="auto"/>
        <w:tabs>
          <w:tab w:leader="none" w:pos="1585" w:val="left"/>
        </w:tabs>
        <w:numPr>
          <w:ilvl w:val="1"/>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Internal Revenue Code of 1986, as amended, and the regulations and other authority promulgated thereunder by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References herein to any provision of the Code shall refer to any successor provision thereto.</w:t>
      </w:r>
    </w:p>
    <w:p>
      <w:pPr>
        <w:spacing w:after="0" w:line="38" w:lineRule="exact"/>
        <w:rPr>
          <w:rFonts w:ascii="Arial" w:cs="Arial" w:eastAsia="Arial" w:hAnsi="Arial"/>
          <w:sz w:val="18"/>
          <w:szCs w:val="18"/>
          <w:color w:val="auto"/>
        </w:rPr>
      </w:pPr>
    </w:p>
    <w:p>
      <w:pPr>
        <w:ind w:left="460" w:right="20" w:firstLine="881"/>
        <w:spacing w:after="0" w:line="290" w:lineRule="auto"/>
        <w:tabs>
          <w:tab w:leader="none" w:pos="1546" w:val="left"/>
        </w:tabs>
        <w:numPr>
          <w:ilvl w:val="1"/>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A committee appointed by the Board to administer the Plan. While the Company is a Publicly Held Corporation, the Plan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administered by a Committee appointed by the Board consisting of not less than two directors who fulfill the “nonemployee director” requirements of Rule 16b-3 under the Exchange Act and the “outside director” requirements of Code Section 162(m). In either case, the Committee may be the Compensation and Benefits Committee of the Board, or any subcommittee of the Compensation and Benefits Committee, provided that the members of the Committee satisfy the requirements of the previous provisions of this paragraph. Notwithstanding the preceding provisions of this subsection, with regard to Incentive Awards granted to Outside Directors, the Independent Directors of the Board shall have the sole power and authority to administer the Plan, and thus all references to the Committee herein shall mean the Independent Directors of the Board with respect to Incentive Awards granted to Outside Directors.</w:t>
      </w:r>
    </w:p>
    <w:p>
      <w:pPr>
        <w:spacing w:after="0" w:line="37" w:lineRule="exact"/>
        <w:rPr>
          <w:sz w:val="20"/>
          <w:szCs w:val="20"/>
          <w:color w:val="auto"/>
        </w:rPr>
      </w:pPr>
    </w:p>
    <w:p>
      <w:pPr>
        <w:ind w:left="460" w:right="600" w:firstLine="438"/>
        <w:spacing w:after="0" w:line="306" w:lineRule="auto"/>
        <w:rPr>
          <w:sz w:val="20"/>
          <w:szCs w:val="20"/>
          <w:color w:val="auto"/>
        </w:rPr>
      </w:pPr>
      <w:r>
        <w:rPr>
          <w:rFonts w:ascii="Arial" w:cs="Arial" w:eastAsia="Arial" w:hAnsi="Arial"/>
          <w:sz w:val="16"/>
          <w:szCs w:val="16"/>
          <w:color w:val="auto"/>
        </w:rPr>
        <w:t>The Board shall have the power to fill vacancies on the Committee arising by resignation, death, removal or otherwise. The Board, in its sole discretion, may bifurcate the powers and duties of the Committee among one or more separate committees, or retain all powers and duties of the Committee in a single Committee. The members of the Committee shall serve at the discretion of the Board.</w:t>
      </w:r>
    </w:p>
    <w:p>
      <w:pPr>
        <w:spacing w:after="0" w:line="20" w:lineRule="exact"/>
        <w:rPr>
          <w:sz w:val="20"/>
          <w:szCs w:val="20"/>
          <w:color w:val="auto"/>
        </w:rPr>
      </w:pPr>
    </w:p>
    <w:p>
      <w:pPr>
        <w:ind w:left="460" w:right="140" w:firstLine="881"/>
        <w:spacing w:after="0" w:line="275" w:lineRule="auto"/>
        <w:tabs>
          <w:tab w:leader="none" w:pos="1546"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The common stock of the Company, $1.00 par value per share, and any class of common stock into which such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hereafter be converted, reclassified or recapitalized.</w:t>
      </w:r>
    </w:p>
    <w:p>
      <w:pPr>
        <w:spacing w:after="0" w:line="38" w:lineRule="exact"/>
        <w:rPr>
          <w:rFonts w:ascii="Arial" w:cs="Arial" w:eastAsia="Arial" w:hAnsi="Arial"/>
          <w:sz w:val="18"/>
          <w:szCs w:val="18"/>
          <w:color w:val="auto"/>
        </w:rPr>
      </w:pPr>
    </w:p>
    <w:p>
      <w:pPr>
        <w:ind w:left="460" w:right="20" w:firstLine="881"/>
        <w:spacing w:after="0" w:line="275" w:lineRule="auto"/>
        <w:tabs>
          <w:tab w:leader="none" w:pos="1585"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 Award</w:t>
      </w:r>
      <w:r>
        <w:rPr>
          <w:rFonts w:ascii="Arial" w:cs="Arial" w:eastAsia="Arial" w:hAnsi="Arial"/>
          <w:sz w:val="18"/>
          <w:szCs w:val="18"/>
          <w:color w:val="auto"/>
        </w:rPr>
        <w:t>. An authorization of the Independent Directors of the Board to issue or transfer common stock to a Grantee who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Outside Director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60" w:hanging="219"/>
        <w:spacing w:after="0"/>
        <w:tabs>
          <w:tab w:leader="none" w:pos="156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Smith International, Inc. and any successor in interest thereto.</w:t>
      </w:r>
    </w:p>
    <w:p>
      <w:pPr>
        <w:spacing w:after="0" w:line="90" w:lineRule="exact"/>
        <w:rPr>
          <w:rFonts w:ascii="Arial" w:cs="Arial" w:eastAsia="Arial" w:hAnsi="Arial"/>
          <w:sz w:val="18"/>
          <w:szCs w:val="18"/>
          <w:color w:val="auto"/>
        </w:rPr>
      </w:pPr>
    </w:p>
    <w:p>
      <w:pPr>
        <w:ind w:left="460" w:right="280" w:firstLine="881"/>
        <w:spacing w:after="0" w:line="334" w:lineRule="auto"/>
        <w:tabs>
          <w:tab w:leader="none" w:pos="1634"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Covered Employee</w:t>
      </w:r>
      <w:r>
        <w:rPr>
          <w:rFonts w:ascii="Arial" w:cs="Arial" w:eastAsia="Arial" w:hAnsi="Arial"/>
          <w:sz w:val="16"/>
          <w:szCs w:val="16"/>
          <w:color w:val="auto"/>
        </w:rPr>
        <w:t>. A named executive officer who is one of the group of covered employees, as defined in Code Section 162(m) and</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 § 1.162-27(c) (or its successor), during any period that the Company is a Publicly Held Corporation.</w:t>
      </w:r>
    </w:p>
    <w:p>
      <w:pPr>
        <w:spacing w:after="0" w:line="1" w:lineRule="exact"/>
        <w:rPr>
          <w:rFonts w:ascii="Arial" w:cs="Arial" w:eastAsia="Arial" w:hAnsi="Arial"/>
          <w:sz w:val="16"/>
          <w:szCs w:val="16"/>
          <w:color w:val="auto"/>
        </w:rPr>
      </w:pPr>
    </w:p>
    <w:p>
      <w:pPr>
        <w:ind w:left="460" w:right="60" w:firstLine="881"/>
        <w:spacing w:after="0" w:line="256" w:lineRule="auto"/>
        <w:tabs>
          <w:tab w:leader="none" w:pos="1585"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A condition of a Grantee which (i) renders him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or mental impairment that can be expected to result in death or can be expected to last for a continuous period of not less than 12 months, or (ii) is a medically determinable physical or mental impairment that can be expected to result in death or can be expected to last for a continuous period of not less than 12 months, for which the Grantee is receiving income replacement benefits for a period of not less than three months under an accident and health plan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long-term disability plan covering Employees of the Company or any Subsidiary. A determination of Disability shall be made by a physician selected or approved by the Committee and, in this respect, the Grantee shall submit to any reasonable examination(s) required by such physician upon request. In addition, any determination of Disability shall be made in accordance with the requirements of Code Section 409A as determined by the Committee.</w:t>
      </w:r>
    </w:p>
    <w:p>
      <w:pPr>
        <w:spacing w:after="0" w:line="20" w:lineRule="exact"/>
        <w:rPr>
          <w:sz w:val="20"/>
          <w:szCs w:val="20"/>
          <w:color w:val="auto"/>
        </w:rPr>
      </w:pPr>
    </w:p>
    <w:p>
      <w:pPr>
        <w:ind w:left="460" w:right="60" w:firstLine="881"/>
        <w:spacing w:after="0" w:line="262" w:lineRule="auto"/>
        <w:tabs>
          <w:tab w:leader="none" w:pos="1585"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Any full-time, salaried employee of the Company (or any Subsidiary) within the meaning of Code Section 3401(c) who,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of the Committee, is in a position to contribute to the growth, development or financial success of the Company (or any Subsidiary), including, without limitation, officers who are members of the Board.</w:t>
      </w:r>
    </w:p>
    <w:p>
      <w:pPr>
        <w:spacing w:after="0" w:line="51" w:lineRule="exact"/>
        <w:rPr>
          <w:rFonts w:ascii="Arial" w:cs="Arial" w:eastAsia="Arial" w:hAnsi="Arial"/>
          <w:sz w:val="18"/>
          <w:szCs w:val="18"/>
          <w:color w:val="auto"/>
        </w:rPr>
      </w:pPr>
    </w:p>
    <w:p>
      <w:pPr>
        <w:ind w:left="460" w:right="60" w:firstLine="881"/>
        <w:spacing w:after="0" w:line="291" w:lineRule="auto"/>
        <w:tabs>
          <w:tab w:leader="none" w:pos="1585"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color w:val="auto"/>
        </w:rPr>
        <w:t>. Employment means that the individual is employed as an Employee by the Company or any Subsidiary. In this regard,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transfer of a Grantee from Employment by the Company to Employment by any Subsidiary, nor the transfer of a Grantee from Employment by any Subsidiary to Employment by the Company, shall be deemed to be a termination of Employment of the Grantee. Moreover, the Employment of a Grantee shall not be deemed to have been terminated because of an approved leave of absence from active Employment on account of temporary illness, authorized vacation or granted for reasons of professional advancement, education, or health, or during any period required to be treated as a leave of absence by virtue of any applicable statute, Company personnel policy or written agreement. All determinations regarding Employment, and the termination of Employment hereunder, shall be made by the Committee.</w:t>
      </w:r>
    </w:p>
    <w:p>
      <w:pPr>
        <w:spacing w:after="0" w:line="32" w:lineRule="exact"/>
        <w:rPr>
          <w:rFonts w:ascii="Arial" w:cs="Arial" w:eastAsia="Arial" w:hAnsi="Arial"/>
          <w:sz w:val="16"/>
          <w:szCs w:val="16"/>
          <w:color w:val="auto"/>
        </w:rPr>
      </w:pPr>
    </w:p>
    <w:p>
      <w:pPr>
        <w:ind w:left="1580" w:hanging="239"/>
        <w:spacing w:after="0"/>
        <w:tabs>
          <w:tab w:leader="none" w:pos="158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The Securities Exchange Act of 1934, as amended.</w:t>
      </w:r>
    </w:p>
    <w:p>
      <w:pPr>
        <w:spacing w:after="0" w:line="90" w:lineRule="exact"/>
        <w:rPr>
          <w:rFonts w:ascii="Arial" w:cs="Arial" w:eastAsia="Arial" w:hAnsi="Arial"/>
          <w:sz w:val="18"/>
          <w:szCs w:val="18"/>
          <w:color w:val="auto"/>
        </w:rPr>
      </w:pPr>
    </w:p>
    <w:p>
      <w:pPr>
        <w:ind w:left="460" w:firstLine="881"/>
        <w:spacing w:after="0" w:line="254" w:lineRule="auto"/>
        <w:tabs>
          <w:tab w:leader="none" w:pos="1556"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While the Company is a Publicly Held Corporation, the Fair Market Value of one Share of Common Stock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question is deemed to be (i) the closing sales price of a Share as reported on the New York Stock Exchange or other principal securities exchange on which Shares are then listed or admitted to trading, or (ii) the closing sales price for a Share as quoted on the National Association of Securities Dealers Automated Quotation System (“NASDAQ”), or (iii) if not quoted on NASDAQ, the average of the closing bid and asked prices for a Share as quoted by the National Quotation Bureau’s “Pink Sheets” or the National Association of Securities Dealers’ OTC Bulletin Board System. If there was no public trade of Common Stock on the date in question, Fair Market Value shall be determined by reference to the last preceding date on which such a trade was so reported.</w:t>
      </w:r>
    </w:p>
    <w:p>
      <w:pPr>
        <w:spacing w:after="0" w:line="66"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If the Company is not a Publicly Held Corporation at the time a determination of the Fair Market Value of the Common Stock is required to be made hereunder, the determination of Fair Market Value for purposes of the Plan shall be made by the Committee in its sole and absolute discretion. In this respect, the Committee may rely on such financial data, appraisals, valuations, experts, and other sources as, in its sole and absolute discretion, it deems advisable under the circumstances.</w:t>
      </w:r>
    </w:p>
    <w:p>
      <w:pPr>
        <w:spacing w:after="0" w:line="56" w:lineRule="exact"/>
        <w:rPr>
          <w:sz w:val="20"/>
          <w:szCs w:val="20"/>
          <w:color w:val="auto"/>
        </w:rPr>
      </w:pPr>
    </w:p>
    <w:p>
      <w:pPr>
        <w:ind w:left="1560" w:hanging="219"/>
        <w:spacing w:after="0"/>
        <w:tabs>
          <w:tab w:leader="none" w:pos="156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Any Employee or Outside Director who is granted an Incentive Award under the Plan.</w:t>
      </w:r>
    </w:p>
    <w:p>
      <w:pPr>
        <w:spacing w:after="0" w:line="90" w:lineRule="exact"/>
        <w:rPr>
          <w:rFonts w:ascii="Arial" w:cs="Arial" w:eastAsia="Arial" w:hAnsi="Arial"/>
          <w:sz w:val="18"/>
          <w:szCs w:val="18"/>
          <w:color w:val="auto"/>
        </w:rPr>
      </w:pPr>
    </w:p>
    <w:p>
      <w:pPr>
        <w:ind w:left="460" w:right="180" w:firstLine="881"/>
        <w:spacing w:after="0" w:line="334" w:lineRule="auto"/>
        <w:tabs>
          <w:tab w:leader="none" w:pos="1546"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Immediate Family</w:t>
      </w:r>
      <w:r>
        <w:rPr>
          <w:rFonts w:ascii="Arial" w:cs="Arial" w:eastAsia="Arial" w:hAnsi="Arial"/>
          <w:sz w:val="16"/>
          <w:szCs w:val="16"/>
          <w:color w:val="auto"/>
        </w:rPr>
        <w:t>. With respect to a Grantee, the Grantee’s child, stepchild, grandchild, parent, stepparent, grandparent, spouse, former</w:t>
      </w:r>
      <w:r>
        <w:rPr>
          <w:rFonts w:ascii="Arial" w:cs="Arial" w:eastAsia="Arial" w:hAnsi="Arial"/>
          <w:sz w:val="16"/>
          <w:szCs w:val="16"/>
          <w:b w:val="1"/>
          <w:bCs w:val="1"/>
          <w:color w:val="auto"/>
        </w:rPr>
        <w:t xml:space="preserve"> </w:t>
      </w:r>
      <w:r>
        <w:rPr>
          <w:rFonts w:ascii="Arial" w:cs="Arial" w:eastAsia="Arial" w:hAnsi="Arial"/>
          <w:sz w:val="16"/>
          <w:szCs w:val="16"/>
          <w:color w:val="auto"/>
        </w:rPr>
        <w:t>spouse, sibling, mother-in-law, father-in-law, son-in-law, daughter-in-law, brother-in-law, or sister-in-law, including adoptive relationships.</w:t>
      </w:r>
    </w:p>
    <w:p>
      <w:pPr>
        <w:spacing w:after="0" w:line="1" w:lineRule="exact"/>
        <w:rPr>
          <w:rFonts w:ascii="Arial" w:cs="Arial" w:eastAsia="Arial" w:hAnsi="Arial"/>
          <w:sz w:val="16"/>
          <w:szCs w:val="16"/>
          <w:color w:val="auto"/>
        </w:rPr>
      </w:pPr>
    </w:p>
    <w:p>
      <w:pPr>
        <w:ind w:left="460" w:right="520" w:firstLine="881"/>
        <w:spacing w:after="0" w:line="334" w:lineRule="auto"/>
        <w:tabs>
          <w:tab w:leader="none" w:pos="1585"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Incentive Agreement</w:t>
      </w:r>
      <w:r>
        <w:rPr>
          <w:rFonts w:ascii="Arial" w:cs="Arial" w:eastAsia="Arial" w:hAnsi="Arial"/>
          <w:sz w:val="16"/>
          <w:szCs w:val="16"/>
          <w:color w:val="auto"/>
        </w:rPr>
        <w:t>. A separate written agreement entered into between the Company and the Grantee setting forth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pursuant to which an Incentive Award is granted under the Plan, as such agreement is further defined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120" w:firstLine="881"/>
        <w:spacing w:after="0" w:line="262" w:lineRule="auto"/>
        <w:tabs>
          <w:tab w:leader="none" w:pos="1585"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Award or Award</w:t>
      </w:r>
      <w:r>
        <w:rPr>
          <w:rFonts w:ascii="Arial" w:cs="Arial" w:eastAsia="Arial" w:hAnsi="Arial"/>
          <w:sz w:val="18"/>
          <w:szCs w:val="18"/>
          <w:color w:val="auto"/>
        </w:rPr>
        <w:t>. A grant of an award under the Plan to a Grantee, including any Stock Option, Stock Appreciation Right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Restricted Stock Award, Performance-Based Restricted Award, Common Stock Award, Restricted Stock Unit Award, Other Stock-Based Award or Performance Award.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firstLine="881"/>
        <w:spacing w:after="0" w:line="275" w:lineRule="auto"/>
        <w:tabs>
          <w:tab w:leader="none" w:pos="1624"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Director</w:t>
      </w:r>
      <w:r>
        <w:rPr>
          <w:rFonts w:ascii="Arial" w:cs="Arial" w:eastAsia="Arial" w:hAnsi="Arial"/>
          <w:sz w:val="18"/>
          <w:szCs w:val="18"/>
          <w:color w:val="auto"/>
        </w:rPr>
        <w:t>. A director who is an “independent director” as defined in the New York Stock Exchange current listings, or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stock exchange as may be applicable.</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SAR or SAR</w:t>
      </w:r>
      <w:r>
        <w:rPr>
          <w:rFonts w:ascii="Arial" w:cs="Arial" w:eastAsia="Arial" w:hAnsi="Arial"/>
          <w:sz w:val="18"/>
          <w:szCs w:val="18"/>
          <w:color w:val="auto"/>
        </w:rPr>
        <w:t>. A Stock Appreciation Right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60" w:firstLine="881"/>
        <w:spacing w:after="0" w:line="262" w:lineRule="auto"/>
        <w:tabs>
          <w:tab w:leader="none" w:pos="1585"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w:t>
      </w:r>
      <w:r>
        <w:rPr>
          <w:rFonts w:ascii="Arial" w:cs="Arial" w:eastAsia="Arial" w:hAnsi="Arial"/>
          <w:sz w:val="18"/>
          <w:szCs w:val="18"/>
          <w:color w:val="auto"/>
        </w:rPr>
        <w:t>. While the Company is a Publicly Held Corporation, an individual who is, on the relevant date, an officer, director or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all as defined under Section 16 of the Exchange Act.</w:t>
      </w:r>
    </w:p>
    <w:p>
      <w:pPr>
        <w:spacing w:after="0" w:line="51" w:lineRule="exact"/>
        <w:rPr>
          <w:rFonts w:ascii="Arial" w:cs="Arial" w:eastAsia="Arial" w:hAnsi="Arial"/>
          <w:sz w:val="18"/>
          <w:szCs w:val="18"/>
          <w:color w:val="auto"/>
        </w:rPr>
      </w:pPr>
    </w:p>
    <w:p>
      <w:pPr>
        <w:ind w:left="1580" w:hanging="239"/>
        <w:spacing w:after="0"/>
        <w:tabs>
          <w:tab w:leader="none" w:pos="158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The exercise price at which a Share may be purchased by the Grantee of a Stock Option.</w:t>
      </w:r>
    </w:p>
    <w:p>
      <w:pPr>
        <w:spacing w:after="0" w:line="90" w:lineRule="exact"/>
        <w:rPr>
          <w:sz w:val="20"/>
          <w:szCs w:val="20"/>
          <w:color w:val="auto"/>
        </w:rPr>
      </w:pPr>
    </w:p>
    <w:p>
      <w:pPr>
        <w:ind w:left="460" w:right="400" w:firstLine="881"/>
        <w:spacing w:after="0" w:line="334" w:lineRule="auto"/>
        <w:tabs>
          <w:tab w:leader="none" w:pos="1653"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Stock-Based Award</w:t>
      </w:r>
      <w:r>
        <w:rPr>
          <w:rFonts w:ascii="Arial" w:cs="Arial" w:eastAsia="Arial" w:hAnsi="Arial"/>
          <w:sz w:val="16"/>
          <w:szCs w:val="16"/>
          <w:color w:val="auto"/>
        </w:rPr>
        <w:t>. An award granted by the Committee to a Grantee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valued in whole or in part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or is otherwise based upon, Common Stock.</w:t>
      </w:r>
    </w:p>
    <w:p>
      <w:pPr>
        <w:spacing w:after="0" w:line="1" w:lineRule="exact"/>
        <w:rPr>
          <w:rFonts w:ascii="Arial" w:cs="Arial" w:eastAsia="Arial" w:hAnsi="Arial"/>
          <w:sz w:val="16"/>
          <w:szCs w:val="16"/>
          <w:color w:val="auto"/>
        </w:rPr>
      </w:pPr>
    </w:p>
    <w:p>
      <w:pPr>
        <w:ind w:left="460" w:right="360" w:firstLine="881"/>
        <w:spacing w:after="0" w:line="275"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Outside Director</w:t>
      </w:r>
      <w:r>
        <w:rPr>
          <w:rFonts w:ascii="Arial" w:cs="Arial" w:eastAsia="Arial" w:hAnsi="Arial"/>
          <w:sz w:val="18"/>
          <w:szCs w:val="18"/>
          <w:color w:val="auto"/>
        </w:rPr>
        <w:t>. A member of the Board, or an Advisory Director, who is not, at the time the Incentive Award is granted to him,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employee of the Company or any Subsidiary.</w:t>
      </w:r>
    </w:p>
    <w:p>
      <w:pPr>
        <w:spacing w:after="0" w:line="38" w:lineRule="exact"/>
        <w:rPr>
          <w:rFonts w:ascii="Arial" w:cs="Arial" w:eastAsia="Arial" w:hAnsi="Arial"/>
          <w:sz w:val="18"/>
          <w:szCs w:val="18"/>
          <w:color w:val="auto"/>
        </w:rPr>
      </w:pPr>
    </w:p>
    <w:p>
      <w:pPr>
        <w:ind w:left="1660" w:hanging="319"/>
        <w:spacing w:after="0"/>
        <w:tabs>
          <w:tab w:leader="none" w:pos="166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Award</w:t>
      </w:r>
      <w:r>
        <w:rPr>
          <w:rFonts w:ascii="Arial" w:cs="Arial" w:eastAsia="Arial" w:hAnsi="Arial"/>
          <w:sz w:val="18"/>
          <w:szCs w:val="18"/>
          <w:color w:val="auto"/>
        </w:rPr>
        <w:t>. An award granted by the Committee to a Grantee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80" w:firstLine="881"/>
        <w:spacing w:after="0" w:line="262"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Exception</w:t>
      </w:r>
      <w:r>
        <w:rPr>
          <w:rFonts w:ascii="Arial" w:cs="Arial" w:eastAsia="Arial" w:hAnsi="Arial"/>
          <w:sz w:val="18"/>
          <w:szCs w:val="18"/>
          <w:color w:val="auto"/>
        </w:rPr>
        <w:t>. The performance-based exception from the tax deductibility limitations of Code Section 162(m), as</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in Code Section 162(m)(4)(C) and Treasury Regulation § 1.162-27(e) (or its successor), which is applicable during such period that the Company is a Publicly Held Corporation.</w:t>
      </w:r>
    </w:p>
    <w:p>
      <w:pPr>
        <w:spacing w:after="0" w:line="51" w:lineRule="exact"/>
        <w:rPr>
          <w:rFonts w:ascii="Arial" w:cs="Arial" w:eastAsia="Arial" w:hAnsi="Arial"/>
          <w:sz w:val="18"/>
          <w:szCs w:val="18"/>
          <w:color w:val="auto"/>
        </w:rPr>
      </w:pPr>
    </w:p>
    <w:p>
      <w:pPr>
        <w:ind w:left="460" w:right="240" w:firstLine="881"/>
        <w:spacing w:after="0" w:line="310" w:lineRule="auto"/>
        <w:tabs>
          <w:tab w:leader="none" w:pos="1653"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Performance-Based Restricted Award</w:t>
      </w:r>
      <w:r>
        <w:rPr>
          <w:rFonts w:ascii="Arial" w:cs="Arial" w:eastAsia="Arial" w:hAnsi="Arial"/>
          <w:sz w:val="16"/>
          <w:szCs w:val="16"/>
          <w:color w:val="auto"/>
        </w:rPr>
        <w:t>. Restricted Stock Awards or Restricted Stock Unit Awards awarded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w:t>
      </w:r>
      <w:r>
        <w:rPr>
          <w:rFonts w:ascii="Arial" w:cs="Arial" w:eastAsia="Arial" w:hAnsi="Arial"/>
          <w:sz w:val="16"/>
          <w:szCs w:val="16"/>
          <w:color w:val="auto"/>
        </w:rPr>
        <w:t>, as applicable, the grant of which is contingent upon the attainment of specified Performance Criteria, and/or the vesting of which are subject to a risk of forfeiture if the specified Performance Criteria are not met within the Performance Period.</w:t>
      </w:r>
    </w:p>
    <w:p>
      <w:pPr>
        <w:spacing w:after="0" w:line="16" w:lineRule="exact"/>
        <w:rPr>
          <w:rFonts w:ascii="Arial" w:cs="Arial" w:eastAsia="Arial" w:hAnsi="Arial"/>
          <w:sz w:val="16"/>
          <w:szCs w:val="16"/>
          <w:color w:val="auto"/>
        </w:rPr>
      </w:pPr>
    </w:p>
    <w:p>
      <w:pPr>
        <w:ind w:left="460" w:right="260" w:firstLine="881"/>
        <w:spacing w:after="0" w:line="310" w:lineRule="auto"/>
        <w:tabs>
          <w:tab w:leader="none" w:pos="1611"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w:t>
      </w:r>
      <w:r>
        <w:rPr>
          <w:rFonts w:ascii="Arial" w:cs="Arial" w:eastAsia="Arial" w:hAnsi="Arial"/>
          <w:sz w:val="16"/>
          <w:szCs w:val="16"/>
          <w:color w:val="auto"/>
        </w:rPr>
        <w:t>. The business criteria that are specified by the Committee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for an Incentive Award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for the Performance-Based Exception; the satisfaction of such business criteria during the Performance Period being required for the grant or vesting of the particular Incentive Award to occur, as specified in the Incentive Agreement.</w:t>
      </w:r>
    </w:p>
    <w:p>
      <w:pPr>
        <w:spacing w:after="0" w:line="16" w:lineRule="exact"/>
        <w:rPr>
          <w:rFonts w:ascii="Arial" w:cs="Arial" w:eastAsia="Arial" w:hAnsi="Arial"/>
          <w:sz w:val="16"/>
          <w:szCs w:val="16"/>
          <w:color w:val="auto"/>
        </w:rPr>
      </w:pPr>
    </w:p>
    <w:p>
      <w:pPr>
        <w:ind w:left="460" w:firstLine="881"/>
        <w:spacing w:after="0" w:line="262"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A period of time determined by the Committee over which performance is measured for the purpose of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a Grantee’s right to and the payment value of any Performance-Based Restricted Award, Other Stock-Based Award or Performance Award that is intended to qualify for the Performance-Based Exception.</w:t>
      </w:r>
    </w:p>
    <w:p>
      <w:pPr>
        <w:spacing w:after="0" w:line="51" w:lineRule="exact"/>
        <w:rPr>
          <w:rFonts w:ascii="Arial" w:cs="Arial" w:eastAsia="Arial" w:hAnsi="Arial"/>
          <w:sz w:val="18"/>
          <w:szCs w:val="18"/>
          <w:color w:val="auto"/>
        </w:rPr>
      </w:pPr>
    </w:p>
    <w:p>
      <w:pPr>
        <w:ind w:left="1680" w:hanging="339"/>
        <w:spacing w:after="0"/>
        <w:tabs>
          <w:tab w:leader="none" w:pos="1680"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Smith International, Inc. Long-Term Incentive Compensation Plan, as set forth herein and as it may be amended from time to time.</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Publicly Held Corporation</w:t>
      </w:r>
      <w:r>
        <w:rPr>
          <w:rFonts w:ascii="Arial" w:cs="Arial" w:eastAsia="Arial" w:hAnsi="Arial"/>
          <w:sz w:val="16"/>
          <w:szCs w:val="16"/>
          <w:color w:val="auto"/>
        </w:rPr>
        <w:t>. A corporation issuing any class of common equity securities required to be registered under Section 12 of the</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77" w:lineRule="exact"/>
        <w:rPr>
          <w:rFonts w:ascii="Arial" w:cs="Arial" w:eastAsia="Arial" w:hAnsi="Arial"/>
          <w:sz w:val="16"/>
          <w:szCs w:val="16"/>
          <w:color w:val="auto"/>
        </w:rPr>
      </w:pPr>
    </w:p>
    <w:p>
      <w:pPr>
        <w:ind w:left="1600" w:hanging="259"/>
        <w:spacing w:after="0"/>
        <w:tabs>
          <w:tab w:leader="none" w:pos="160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Shares of Common Stock issued or transferred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Award</w:t>
      </w:r>
      <w:r>
        <w:rPr>
          <w:rFonts w:ascii="Arial" w:cs="Arial" w:eastAsia="Arial" w:hAnsi="Arial"/>
          <w:sz w:val="16"/>
          <w:szCs w:val="16"/>
          <w:color w:val="auto"/>
        </w:rPr>
        <w:t>. An authorization by the Committee to issue or transfer Restricted Stock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60" w:firstLine="881"/>
        <w:spacing w:after="0" w:line="275" w:lineRule="auto"/>
        <w:tabs>
          <w:tab w:leader="none" w:pos="1595"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color w:val="auto"/>
        </w:rPr>
        <w:t>. A unit granted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entitles him to receive one share of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Incentive Agreement.</w:t>
      </w:r>
    </w:p>
    <w:p>
      <w:pPr>
        <w:spacing w:after="0" w:line="38" w:lineRule="exact"/>
        <w:rPr>
          <w:rFonts w:ascii="Arial" w:cs="Arial" w:eastAsia="Arial" w:hAnsi="Arial"/>
          <w:sz w:val="18"/>
          <w:szCs w:val="18"/>
          <w:color w:val="auto"/>
        </w:rPr>
      </w:pPr>
    </w:p>
    <w:p>
      <w:pPr>
        <w:ind w:left="1780" w:hanging="439"/>
        <w:spacing w:after="0"/>
        <w:tabs>
          <w:tab w:leader="none" w:pos="178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Award</w:t>
      </w:r>
      <w:r>
        <w:rPr>
          <w:rFonts w:ascii="Arial" w:cs="Arial" w:eastAsia="Arial" w:hAnsi="Arial"/>
          <w:sz w:val="18"/>
          <w:szCs w:val="18"/>
          <w:color w:val="auto"/>
        </w:rPr>
        <w:t>. An authorization to award Restricted Stock Units to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881"/>
        <w:spacing w:after="0" w:line="275" w:lineRule="auto"/>
        <w:tabs>
          <w:tab w:leader="none" w:pos="1673"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The period of time determined by the Committee and set forth in the Incentive Agreement during which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Incentive Award by the Grantee is restricted.</w:t>
      </w:r>
    </w:p>
    <w:p>
      <w:pPr>
        <w:spacing w:after="0" w:line="38" w:lineRule="exact"/>
        <w:rPr>
          <w:rFonts w:ascii="Arial" w:cs="Arial" w:eastAsia="Arial" w:hAnsi="Arial"/>
          <w:sz w:val="18"/>
          <w:szCs w:val="18"/>
          <w:color w:val="auto"/>
        </w:rPr>
      </w:pPr>
    </w:p>
    <w:p>
      <w:pPr>
        <w:ind w:left="460" w:right="180" w:firstLine="881"/>
        <w:spacing w:after="0" w:line="258" w:lineRule="auto"/>
        <w:tabs>
          <w:tab w:leader="none" w:pos="1673"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The voluntary termination of Employment by an Employee from the Company and any Subsidiary constituting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confirmed through the Company’s Human Resources Department (i) on any date after the Employee attains the normal retirement age, (ii) on an earlier retirement date as expressly agreed to by the Committee prior to termination of Employment, or (iii) as of such other age as may be designated by the Committee in the Employee’s individual Incentive Agreement.</w:t>
      </w:r>
    </w:p>
    <w:p>
      <w:pPr>
        <w:spacing w:after="0" w:line="55" w:lineRule="exact"/>
        <w:rPr>
          <w:rFonts w:ascii="Arial" w:cs="Arial" w:eastAsia="Arial" w:hAnsi="Arial"/>
          <w:sz w:val="18"/>
          <w:szCs w:val="18"/>
          <w:color w:val="auto"/>
        </w:rPr>
      </w:pPr>
    </w:p>
    <w:p>
      <w:pPr>
        <w:ind w:left="1680" w:hanging="339"/>
        <w:spacing w:after="0"/>
        <w:tabs>
          <w:tab w:leader="none" w:pos="1680"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A share of the Common Stock of the Company.</w:t>
      </w:r>
    </w:p>
    <w:p>
      <w:pPr>
        <w:spacing w:after="0" w:line="90" w:lineRule="exact"/>
        <w:rPr>
          <w:rFonts w:ascii="Arial" w:cs="Arial" w:eastAsia="Arial" w:hAnsi="Arial"/>
          <w:sz w:val="18"/>
          <w:szCs w:val="18"/>
          <w:color w:val="auto"/>
        </w:rPr>
      </w:pPr>
    </w:p>
    <w:p>
      <w:pPr>
        <w:ind w:left="460" w:right="20" w:firstLine="881"/>
        <w:spacing w:after="0" w:line="275" w:lineRule="auto"/>
        <w:tabs>
          <w:tab w:leader="none" w:pos="1673"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Pool</w:t>
      </w:r>
      <w:r>
        <w:rPr>
          <w:rFonts w:ascii="Arial" w:cs="Arial" w:eastAsia="Arial" w:hAnsi="Arial"/>
          <w:sz w:val="18"/>
          <w:szCs w:val="18"/>
          <w:color w:val="auto"/>
        </w:rPr>
        <w:t>. The number of Shares authorized for issuance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 as adjusted for awards and payouts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b w:val="1"/>
          <w:bCs w:val="1"/>
          <w:color w:val="auto"/>
        </w:rPr>
        <w:t xml:space="preserve"> </w:t>
      </w:r>
      <w:r>
        <w:rPr>
          <w:rFonts w:ascii="Arial" w:cs="Arial" w:eastAsia="Arial" w:hAnsi="Arial"/>
          <w:sz w:val="18"/>
          <w:szCs w:val="18"/>
          <w:color w:val="auto"/>
        </w:rPr>
        <w:t>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adjusted for changes in corporate capitalization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120" w:firstLine="881"/>
        <w:spacing w:after="0" w:line="275" w:lineRule="auto"/>
        <w:tabs>
          <w:tab w:leader="none" w:pos="1614"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Spread</w:t>
      </w:r>
      <w:r>
        <w:rPr>
          <w:rFonts w:ascii="Arial" w:cs="Arial" w:eastAsia="Arial" w:hAnsi="Arial"/>
          <w:sz w:val="18"/>
          <w:szCs w:val="18"/>
          <w:color w:val="auto"/>
        </w:rPr>
        <w:t>. The difference between the exercise price per Share specified in a SAR grant and the Fair Market Value of a Share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SAR.</w:t>
      </w:r>
    </w:p>
    <w:p>
      <w:pPr>
        <w:spacing w:after="0" w:line="38" w:lineRule="exact"/>
        <w:rPr>
          <w:rFonts w:ascii="Arial" w:cs="Arial" w:eastAsia="Arial" w:hAnsi="Arial"/>
          <w:sz w:val="18"/>
          <w:szCs w:val="18"/>
          <w:color w:val="auto"/>
        </w:rPr>
      </w:pPr>
    </w:p>
    <w:p>
      <w:pPr>
        <w:ind w:left="1640" w:hanging="299"/>
        <w:spacing w:after="0"/>
        <w:tabs>
          <w:tab w:leader="none" w:pos="1640" w:val="left"/>
        </w:tabs>
        <w:numPr>
          <w:ilvl w:val="0"/>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Appreciation Right or SAR</w:t>
      </w:r>
      <w:r>
        <w:rPr>
          <w:rFonts w:ascii="Arial" w:cs="Arial" w:eastAsia="Arial" w:hAnsi="Arial"/>
          <w:sz w:val="16"/>
          <w:szCs w:val="16"/>
          <w:color w:val="auto"/>
        </w:rPr>
        <w:t>. A Stock Appreciation Right as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400" w:firstLine="881"/>
        <w:spacing w:after="0" w:line="275" w:lineRule="auto"/>
        <w:tabs>
          <w:tab w:leader="none" w:pos="1595"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or Option</w:t>
      </w:r>
      <w:r>
        <w:rPr>
          <w:rFonts w:ascii="Arial" w:cs="Arial" w:eastAsia="Arial" w:hAnsi="Arial"/>
          <w:sz w:val="18"/>
          <w:szCs w:val="18"/>
          <w:color w:val="auto"/>
        </w:rPr>
        <w:t>. A stock option that is a nonstatutory stock option (and not an “incentive stock option” as described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422), as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680" w:hanging="339"/>
        <w:spacing w:after="0"/>
        <w:tabs>
          <w:tab w:leader="none" w:pos="1680"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Award</w:t>
      </w:r>
      <w:r>
        <w:rPr>
          <w:rFonts w:ascii="Arial" w:cs="Arial" w:eastAsia="Arial" w:hAnsi="Arial"/>
          <w:sz w:val="18"/>
          <w:szCs w:val="18"/>
          <w:color w:val="auto"/>
        </w:rPr>
        <w:t>. An authorization to award a Stock Option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60" w:firstLine="881"/>
        <w:spacing w:after="0" w:line="262" w:lineRule="auto"/>
        <w:tabs>
          <w:tab w:leader="none" w:pos="1673"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Any corporation (whether now or hereafter existing) which constitutes a “subsidiary” of the Company, as defined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424(f), and any limited liability company, partnership, or other entity in which the Company controls fifty percent (50%) or more of the voting power or equity interests.</w:t>
      </w:r>
    </w:p>
    <w:p>
      <w:pPr>
        <w:spacing w:after="0" w:line="51" w:lineRule="exact"/>
        <w:rPr>
          <w:rFonts w:ascii="Arial" w:cs="Arial" w:eastAsia="Arial" w:hAnsi="Arial"/>
          <w:sz w:val="18"/>
          <w:szCs w:val="18"/>
          <w:color w:val="auto"/>
        </w:rPr>
      </w:pPr>
    </w:p>
    <w:p>
      <w:pPr>
        <w:ind w:left="460" w:firstLine="881"/>
        <w:spacing w:after="0" w:line="258" w:lineRule="auto"/>
        <w:tabs>
          <w:tab w:leader="none" w:pos="1751"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The date upon which a Grantee who is an Outside Director ceases to be an Outside Director for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 voluntary or involuntary. The effective date of such Termination of Directorship shall be the actual date of such termination (whether occasioned by death, Disability, retirement, resignation, non-election or otherwise). The change in an Outside Director’s position to an Advisory Director shall not be a Termination of Directorship hereunder.</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Plan Administration</w:t>
      </w:r>
    </w:p>
    <w:p>
      <w:pPr>
        <w:spacing w:after="0" w:line="90" w:lineRule="exact"/>
        <w:rPr>
          <w:sz w:val="20"/>
          <w:szCs w:val="20"/>
          <w:color w:val="auto"/>
        </w:rPr>
      </w:pPr>
    </w:p>
    <w:p>
      <w:pPr>
        <w:ind w:left="460" w:firstLine="881"/>
        <w:spacing w:after="0" w:line="293" w:lineRule="auto"/>
        <w:tabs>
          <w:tab w:leader="none" w:pos="1575"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 of the Committee</w:t>
      </w:r>
      <w:r>
        <w:rPr>
          <w:rFonts w:ascii="Arial" w:cs="Arial" w:eastAsia="Arial" w:hAnsi="Arial"/>
          <w:sz w:val="16"/>
          <w:szCs w:val="16"/>
          <w:color w:val="auto"/>
        </w:rPr>
        <w:t>. Except as may be limited by law or applicable stock exchange requirements,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the Committee shall have full power to (i) select Grantees who shall participate in the Plan; (ii) determine the amounts, duration and types of Incentive Awards; (iii) determine the terms and conditions of Incentive Awards and Incentive Agreements; (iv) determine whether any Shares subject to Incentive Awards will be subject to any restrictions on transfer; (v) construe and interpret the Plan and any Incentive Agreement or other agreement entered into under the Plan; and (vi) establish, amend, or waive rules for the Plan’s administration. Further, the Committee shall make all other determinations which may be necessary or advisable for the administration of the Plan.</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With respect to Incentive Awards granted under the Plan to Outside Directors, the Independent Directors of the Board shall constitute the Committee.</w:t>
      </w:r>
    </w:p>
    <w:p>
      <w:pPr>
        <w:spacing w:after="0" w:line="119" w:lineRule="exact"/>
        <w:rPr>
          <w:sz w:val="20"/>
          <w:szCs w:val="20"/>
          <w:color w:val="auto"/>
        </w:rPr>
      </w:pPr>
    </w:p>
    <w:p>
      <w:pPr>
        <w:ind w:left="460" w:right="100" w:firstLine="881"/>
        <w:spacing w:after="0" w:line="256" w:lineRule="auto"/>
        <w:tabs>
          <w:tab w:leader="none" w:pos="1585" w:val="left"/>
        </w:tabs>
        <w:numPr>
          <w:ilvl w:val="0"/>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 The Committee shall designate a chairman from among its members who shall preside at its meetings, and shall designate a</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without regard to whether that person is a member of the Committee, who shall keep the minutes of the proceedings and all records, documents, and data pertaining to its administration of the Plan. Meetings shall be held at such times and places as shall be determined by the Committee and the Committee may hold telephonic meetings. The Committee may take any action otherwise proper under the Plan by the affirmative vote, taken with or without a meeting, of 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majority of its members. The Committee may authorize any one or more of its members or any officer of the Company to execute and deliver documents on behalf of the Committee.</w:t>
      </w:r>
    </w:p>
    <w:p>
      <w:pPr>
        <w:spacing w:after="0" w:line="45" w:lineRule="exact"/>
        <w:rPr>
          <w:sz w:val="20"/>
          <w:szCs w:val="20"/>
          <w:color w:val="auto"/>
        </w:rPr>
      </w:pPr>
    </w:p>
    <w:p>
      <w:pPr>
        <w:ind w:left="460" w:right="60" w:firstLine="881"/>
        <w:spacing w:after="0" w:line="301" w:lineRule="auto"/>
        <w:tabs>
          <w:tab w:leader="none" w:pos="1575" w:val="left"/>
        </w:tabs>
        <w:numPr>
          <w:ilvl w:val="0"/>
          <w:numId w:val="291"/>
        </w:numPr>
        <w:rPr>
          <w:rFonts w:ascii="Arial" w:cs="Arial" w:eastAsia="Arial" w:hAnsi="Arial"/>
          <w:sz w:val="16"/>
          <w:szCs w:val="16"/>
          <w:color w:val="auto"/>
        </w:rPr>
      </w:pPr>
      <w:r>
        <w:rPr>
          <w:rFonts w:ascii="Arial" w:cs="Arial" w:eastAsia="Arial" w:hAnsi="Arial"/>
          <w:sz w:val="16"/>
          <w:szCs w:val="16"/>
          <w:b w:val="1"/>
          <w:bCs w:val="1"/>
          <w:u w:val="single" w:color="auto"/>
          <w:color w:val="auto"/>
        </w:rPr>
        <w:t>Decisions Binding</w:t>
      </w:r>
      <w:r>
        <w:rPr>
          <w:rFonts w:ascii="Arial" w:cs="Arial" w:eastAsia="Arial" w:hAnsi="Arial"/>
          <w:sz w:val="16"/>
          <w:szCs w:val="16"/>
          <w:color w:val="auto"/>
        </w:rPr>
        <w:t>. All determinations and decisions of the Committee shall be made in its discretion pursuant to the terms and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and shall be final, conclusive and binding on all persons including the Company, its stockholders, Employees, Grantees, and their estates and beneficiaries. The Committee’s decisions with respect to any Incentive Award need not be uniform and may be made selectively among Incentive Awards and Grantees, whether or not such Incentive Awards are similar or such Grantees are similarly situated.</w:t>
      </w:r>
    </w:p>
    <w:p>
      <w:pPr>
        <w:spacing w:after="0" w:line="22" w:lineRule="exact"/>
        <w:rPr>
          <w:rFonts w:ascii="Arial" w:cs="Arial" w:eastAsia="Arial" w:hAnsi="Arial"/>
          <w:sz w:val="16"/>
          <w:szCs w:val="16"/>
          <w:color w:val="auto"/>
        </w:rPr>
      </w:pPr>
    </w:p>
    <w:p>
      <w:pPr>
        <w:ind w:left="460" w:right="100" w:firstLine="881"/>
        <w:spacing w:after="0" w:line="288" w:lineRule="auto"/>
        <w:tabs>
          <w:tab w:leader="none" w:pos="1585" w:val="left"/>
        </w:tabs>
        <w:numPr>
          <w:ilvl w:val="0"/>
          <w:numId w:val="291"/>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of Outstanding Incentive Awards</w:t>
      </w:r>
      <w:r>
        <w:rPr>
          <w:rFonts w:ascii="Arial" w:cs="Arial" w:eastAsia="Arial" w:hAnsi="Arial"/>
          <w:sz w:val="16"/>
          <w:szCs w:val="16"/>
          <w:color w:val="auto"/>
        </w:rPr>
        <w:t>. Subject to the stockholder approval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9.6</w:t>
      </w:r>
      <w:r>
        <w:rPr>
          <w:rFonts w:ascii="Arial" w:cs="Arial" w:eastAsia="Arial" w:hAnsi="Arial"/>
          <w:sz w:val="16"/>
          <w:szCs w:val="16"/>
          <w:b w:val="1"/>
          <w:bCs w:val="1"/>
          <w:color w:val="auto"/>
        </w:rPr>
        <w:t xml:space="preserve"> </w:t>
      </w:r>
      <w:r>
        <w:rPr>
          <w:rFonts w:ascii="Arial" w:cs="Arial" w:eastAsia="Arial" w:hAnsi="Arial"/>
          <w:sz w:val="16"/>
          <w:szCs w:val="16"/>
          <w:color w:val="auto"/>
        </w:rPr>
        <w:t>if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in its discretion, provide for the extension of the exercisability of an Incentive Award, accelerate the vesting or exercisability of an Incentive Award, eliminate or make less restrictive any restrictions contained in an Incentive Award, waive any restriction or other provisions of an Incentive Award, or otherwise amend or modify an Incentive Award in any manner that is either (i) not adverse to the Grantee to whom such Incentive Award was granted or (ii) consented to by such Grantee. Notwithstanding the preceding provisions of this subsection, (i) no amendment or other modification of an Incentive Award shall be made to the extent such modification results in any Stock Option with an exercise price less than 100% of the Fair Market Value per Share on the date of grant, (ii) no acceleration of the vesting of any Incentive Award shall be made, except in the event of the Grantee’s death, Disability, or Retirement, or a Change in Control, or another type of similar circumstance as determined by the Committee, and (iii) no acceleration of vesting, extension of exercisability or other modification shall be made that will subject the Grantee to adverse taxation under Code Section 409A.</w:t>
      </w:r>
    </w:p>
    <w:p>
      <w:pPr>
        <w:spacing w:after="0" w:line="34" w:lineRule="exact"/>
        <w:rPr>
          <w:rFonts w:ascii="Arial" w:cs="Arial" w:eastAsia="Arial" w:hAnsi="Arial"/>
          <w:sz w:val="16"/>
          <w:szCs w:val="16"/>
          <w:color w:val="auto"/>
        </w:rPr>
      </w:pPr>
    </w:p>
    <w:p>
      <w:pPr>
        <w:ind w:left="460" w:firstLine="881"/>
        <w:spacing w:after="0" w:line="256" w:lineRule="auto"/>
        <w:tabs>
          <w:tab w:leader="none" w:pos="1575"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Delegation of Authority</w:t>
      </w:r>
      <w:r>
        <w:rPr>
          <w:rFonts w:ascii="Arial" w:cs="Arial" w:eastAsia="Arial" w:hAnsi="Arial"/>
          <w:sz w:val="18"/>
          <w:szCs w:val="18"/>
          <w:color w:val="auto"/>
        </w:rPr>
        <w:t>. The Committee may delegate to designated officers or other employees of the Company any of its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under the Plan pursuant to such conditions or limitations as the Committee may establish from time to time; provided, however, the Committee may not delegate to any person the authority (i) to grant Incentive Awards or (ii) if the Company is a Publicly Held Corporation, to take any action which would contravene the requirements of Rule 16b-3 under the Exchange Act, the Performance-Based Exception under Code Section 162(m), or the Sarbanes-Oxley Act of 2002.</w:t>
      </w:r>
    </w:p>
    <w:p>
      <w:pPr>
        <w:spacing w:after="0" w:line="57" w:lineRule="exact"/>
        <w:rPr>
          <w:rFonts w:ascii="Arial" w:cs="Arial" w:eastAsia="Arial" w:hAnsi="Arial"/>
          <w:sz w:val="18"/>
          <w:szCs w:val="18"/>
          <w:color w:val="auto"/>
        </w:rPr>
      </w:pPr>
    </w:p>
    <w:p>
      <w:pPr>
        <w:ind w:left="460" w:firstLine="881"/>
        <w:spacing w:after="0" w:line="301" w:lineRule="auto"/>
        <w:tabs>
          <w:tab w:leader="none" w:pos="1556" w:val="left"/>
        </w:tabs>
        <w:numPr>
          <w:ilvl w:val="0"/>
          <w:numId w:val="291"/>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 of Committee</w:t>
      </w:r>
      <w:r>
        <w:rPr>
          <w:rFonts w:ascii="Arial" w:cs="Arial" w:eastAsia="Arial" w:hAnsi="Arial"/>
          <w:sz w:val="16"/>
          <w:szCs w:val="16"/>
          <w:color w:val="auto"/>
        </w:rPr>
        <w:t>. The Committee may employ legal counsel, including, without limitation, independent legal counsel and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employed by the Company, and other agents as the Committee may deem appropriate for the administration of the Plan. The Committee may rely upon any opinion or computation received from any such counsel or agent. All expenses incurred by the Committee in interpreting and administering the Plan, including, without limitation, meeting expenses and professional fees, shall be paid by the Company.</w:t>
      </w:r>
    </w:p>
    <w:p>
      <w:pPr>
        <w:spacing w:after="0" w:line="22" w:lineRule="exact"/>
        <w:rPr>
          <w:rFonts w:ascii="Arial" w:cs="Arial" w:eastAsia="Arial" w:hAnsi="Arial"/>
          <w:sz w:val="16"/>
          <w:szCs w:val="16"/>
          <w:color w:val="auto"/>
        </w:rPr>
      </w:pPr>
    </w:p>
    <w:p>
      <w:pPr>
        <w:ind w:left="460" w:right="20" w:firstLine="881"/>
        <w:spacing w:after="0" w:line="289" w:lineRule="auto"/>
        <w:tabs>
          <w:tab w:leader="none" w:pos="1585" w:val="left"/>
        </w:tabs>
        <w:numPr>
          <w:ilvl w:val="0"/>
          <w:numId w:val="291"/>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person who is or was a member of the Committee shall be indemnified by the Company against and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damage, loss, liability, cost and expense that may be imposed upon or reasonably incurred by him in connection with or resulting from any claim, action, suit, or proceeding to which he may be a party or in which he may be involved by reason of any action taken or failure to act under the Plan, except for any such act or omission constituting willful misconduct or gross negligence. Each such person shall be indemnified by the Company for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or Certificate of Incorporation or Bylaws, as a matter of law, or otherwise, or any power that the Company may have to indemnify them or hold them harmless.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Shares of Common Stock Available for Incentive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u w:val="single" w:color="auto"/>
          <w:color w:val="auto"/>
        </w:rPr>
        <w:t>Section 8.6</w:t>
      </w:r>
      <w:r>
        <w:rPr>
          <w:rFonts w:ascii="Arial" w:cs="Arial" w:eastAsia="Arial" w:hAnsi="Arial"/>
          <w:sz w:val="16"/>
          <w:szCs w:val="16"/>
          <w:color w:val="auto"/>
        </w:rPr>
        <w:t>, there shall be available for Incentive Awards that are granted wholly or partly in Common Stock (including rights or Stock Options that may be exercised for or settled in Common Stock) Thirty-Eight Million and Forty Thousand (38,040,000) Shares of Common Stock. The number of Shares of Common Stock that are the subject of Incentive Awards under the Plan, and which are forfeited or terminated, expire, are settled in a manner such that all or some of the Shares covered by an Incentive Award are not issued to a Grantee or are exchanged for Incentive Awards that do not involve Common Stock, shall again immediately become available for Incentive Awards hereunder. The Committee may from time to time adopt and observe such procedures concerning the counting of Shares against the Plan maximum as it may deem appropriate.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any period that the Company is a Publicly Held Corporation, then unless and until the Committee determines that a particular Incentive Award granted to a Covered Employee is not intended to comply with the Performance-Based Exception, the following rules shall apply to grants of Incentive Awards to Covered Employees:</w:t>
      </w:r>
    </w:p>
    <w:p>
      <w:pPr>
        <w:spacing w:after="0" w:line="59" w:lineRule="exact"/>
        <w:rPr>
          <w:sz w:val="20"/>
          <w:szCs w:val="20"/>
          <w:color w:val="auto"/>
        </w:rPr>
      </w:pPr>
    </w:p>
    <w:p>
      <w:pPr>
        <w:ind w:left="460" w:firstLine="443"/>
        <w:spacing w:after="0" w:line="255" w:lineRule="auto"/>
        <w:tabs>
          <w:tab w:leader="none" w:pos="11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8.6</w:t>
      </w:r>
      <w:r>
        <w:rPr>
          <w:rFonts w:ascii="Arial" w:cs="Arial" w:eastAsia="Arial" w:hAnsi="Arial"/>
          <w:sz w:val="18"/>
          <w:szCs w:val="18"/>
          <w:color w:val="auto"/>
        </w:rPr>
        <w:t>, the maximum aggregate number of Shares of Common Stock (including Stock Options, SARs, Restricted Stock, Performance-Based Restricted Awards, and Other Stock-Based Awards that are paid out in Shares) that may be granted (in the case of Stock Options and SARs) or that may vest (in the case of Restricted Stock Awards, Performance-Based Restricted Awards, Restricted Stock Unit Awards or Other Stock-Based Awards), as applicable, in any calendar year pursuant to any Incentive Award held by any individual Covered Employee shall be One Million (1,000,000) Shares.</w:t>
      </w:r>
    </w:p>
    <w:p>
      <w:pPr>
        <w:spacing w:after="0" w:line="61"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With respect to any Stock Option or SAR granted to a Covered Employee that is canceled or repriced (which may only occur subject to the approval of the Company’s stockholders, as required under applicable securities laws and stock exchange requirements), the number of Shares subject to such Stock Option or SAR shall continue to count against the maximum number of Shares that may be the subject of Stock Options or SARs granted to such Covered Employee hereunder and, in this regard, such maximum number shall be determined in accordance with Code Section 162(m).</w:t>
      </w:r>
    </w:p>
    <w:p>
      <w:pPr>
        <w:spacing w:after="0" w:line="31" w:lineRule="exact"/>
        <w:rPr>
          <w:rFonts w:ascii="Arial" w:cs="Arial" w:eastAsia="Arial" w:hAnsi="Arial"/>
          <w:sz w:val="16"/>
          <w:szCs w:val="16"/>
          <w:color w:val="auto"/>
        </w:rPr>
      </w:pPr>
    </w:p>
    <w:p>
      <w:pPr>
        <w:ind w:left="460" w:right="20" w:firstLine="443"/>
        <w:spacing w:after="0" w:line="256" w:lineRule="auto"/>
        <w:tabs>
          <w:tab w:leader="none" w:pos="113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$5,000,000, and any payment due with respect to a Performance Award shall be paid no later than ten (10) years after the date of grant of such Performance Award.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limitations of subsections (a), (b) and (c) above shall be construed and administered so as to comply with the Performance-Based Exception.</w:t>
      </w: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Share Pool Adjustments for Awards and Payouts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Incentive Awards and payouts shall reduce, on a one Share for one Share basis, the number of Shares authorized for issuance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Pool:</w:t>
      </w:r>
    </w:p>
    <w:p>
      <w:pPr>
        <w:spacing w:after="0" w:line="84" w:lineRule="exact"/>
        <w:rPr>
          <w:sz w:val="20"/>
          <w:szCs w:val="20"/>
          <w:color w:val="auto"/>
        </w:rPr>
      </w:pPr>
    </w:p>
    <w:p>
      <w:pPr>
        <w:ind w:left="1140" w:hanging="237"/>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Stock Option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SAR;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Common Stock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Restricted Stock Award;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Performance-Based Restricted Award;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Restricted Stock Unit Awards;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cancellation, termination, expiration, forfeiture, or lapse for any reason of any Shares subject to an Award shall restore, on a one Share for one Share basis, the number of Shares authorized for issuance under the Share Pool. With respect to SARs that are paid out in Shares, the Share Pool shall be reduced by a number of Shares equal to the gross number of Shares subject to the SAR.</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Common Stock Available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Common Stock available for issuance or transfer under the Plan shall be made available from Shares now or hereafter (i) held in the treasury of the Company, (ii) authorized but unissued Shares, or (iii) Shares to be purchased or acquired by the Company. No fractional Shares shall be issued under the Plan; payment for fractional Shares shall be made in cash.</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Eligibility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Outside Directors and Employees shall be eligible to receive Incentive Awards under the Plan. The Committee shall from time to time designate those Employees to be granted Incentive Awards, the type of Incentive Awards granted, the number of Shares, Stock Options, rights or units, as the case may be, which are subject to an Award, and any other terms or conditions relating to each Award, as it may deem appropriate to the extent consistent with the provisions of the Plan. A Grantee who has been granted an Incentive Award may, if otherwise eligible, be granted additional Incentive Awards at any time.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Insider shall be eligible to be granted an Incentive Award that is subject to Rule 16a-3 under the Exchange Act unless and until such Insider has granted a limited power of attorney to those employees of the Company who have been designated by the Company for purposes of future required filings under the Exchange Act.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Types of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types of Incentive Awards under the Plan are (i) Stock Options and Stock Appreciation Rights, (ii) Common Stock Awards as described in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38" w:lineRule="exact"/>
        <w:rPr>
          <w:sz w:val="20"/>
          <w:szCs w:val="20"/>
          <w:color w:val="auto"/>
        </w:rPr>
      </w:pPr>
    </w:p>
    <w:p>
      <w:pPr>
        <w:ind w:left="320" w:hanging="312"/>
        <w:spacing w:after="0"/>
        <w:tabs>
          <w:tab w:leader="none" w:pos="3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Restricted Stock and Performance-Based Restricted Awards, (iv) Restricted Stock Units as described in </w:t>
      </w:r>
      <w:r>
        <w:rPr>
          <w:rFonts w:ascii="Arial" w:cs="Arial" w:eastAsia="Arial" w:hAnsi="Arial"/>
          <w:sz w:val="16"/>
          <w:szCs w:val="16"/>
          <w:u w:val="single" w:color="auto"/>
          <w:color w:val="auto"/>
        </w:rPr>
        <w:t>Section 5</w:t>
      </w:r>
      <w:r>
        <w:rPr>
          <w:rFonts w:ascii="Arial" w:cs="Arial" w:eastAsia="Arial" w:hAnsi="Arial"/>
          <w:sz w:val="16"/>
          <w:szCs w:val="16"/>
          <w:color w:val="auto"/>
        </w:rPr>
        <w:t>, (v) Other Stock-Based Awards,</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Performance Awards, or (vii) any combination of the foregoing.</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Grant of Stock Options</w:t>
      </w:r>
    </w:p>
    <w:p>
      <w:pPr>
        <w:spacing w:after="0" w:line="9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Committee is authorized to grant Stock Options to Employees, and the Independent Directors of the Board are authorized to grant Stock Options to Outside Directors, in accordance with the terms and conditions of the Plan, and with such additional terms and conditions, not inconsistent with the Plan, as the Committee or Independent Directors, as applicable, shall determine in its discretion. Successive grants may be made to the same Grantee regardless of whether any Stock Option previously granted to such person remains unexercised.</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Stock Option Terms</w:t>
      </w:r>
    </w:p>
    <w:p>
      <w:pPr>
        <w:spacing w:after="0" w:line="90" w:lineRule="exact"/>
        <w:rPr>
          <w:sz w:val="20"/>
          <w:szCs w:val="20"/>
          <w:color w:val="auto"/>
        </w:rPr>
      </w:pPr>
    </w:p>
    <w:p>
      <w:pPr>
        <w:jc w:val="both"/>
        <w:ind w:left="460" w:right="40" w:firstLine="881"/>
        <w:spacing w:after="0" w:line="301" w:lineRule="auto"/>
        <w:tabs>
          <w:tab w:leader="none" w:pos="1575"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Each grant of a Stock Option shall be evidenced by a written Incentive Agreement. Among its other provisions, each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Agreement shall set forth the extent to which the Grantee shall have the right to exercise the Stock Option following termination of the Grantee’s Employment or Termination of Directorship, as the case may be. Such provisions shall be determined in the discretion of the Committee, shall be included in the Grantee’s Incentive Agreement, and need not be uniform among all Stock Options issued pursuant to the Plan.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hanging="239"/>
        <w:spacing w:after="0"/>
        <w:tabs>
          <w:tab w:leader="none" w:pos="1580"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Each Stock Option Award shall specify the number of Shares of Common Stock to which it pertains.</w:t>
      </w:r>
    </w:p>
    <w:p>
      <w:pPr>
        <w:spacing w:after="0" w:line="90" w:lineRule="exact"/>
        <w:rPr>
          <w:rFonts w:ascii="Arial" w:cs="Arial" w:eastAsia="Arial" w:hAnsi="Arial"/>
          <w:sz w:val="18"/>
          <w:szCs w:val="18"/>
          <w:color w:val="auto"/>
        </w:rPr>
      </w:pPr>
    </w:p>
    <w:p>
      <w:pPr>
        <w:ind w:left="460" w:firstLine="881"/>
        <w:spacing w:after="0" w:line="262" w:lineRule="auto"/>
        <w:tabs>
          <w:tab w:leader="none" w:pos="1575"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exercise price per Share of Common Stock under each Stock Option shall be determined by the Committee, but in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shall the exercise price be less than 100% of the Fair Market Value per Share on the date the Stock Option is granted. Each Stock Option shall specify the method of exercise which shall be consistent with the requirements of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left="460" w:right="320" w:firstLine="881"/>
        <w:spacing w:after="0" w:line="275" w:lineRule="auto"/>
        <w:tabs>
          <w:tab w:leader="none" w:pos="1585"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In the Incentive Agreement, the Committee shall fix the term of each Stock Option, not to exceed ten (10)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In the event no term is fixed, such term shall be ten (10) years from the date of grant.</w:t>
      </w:r>
    </w:p>
    <w:p>
      <w:pPr>
        <w:spacing w:after="0" w:line="38" w:lineRule="exact"/>
        <w:rPr>
          <w:rFonts w:ascii="Arial" w:cs="Arial" w:eastAsia="Arial" w:hAnsi="Arial"/>
          <w:sz w:val="18"/>
          <w:szCs w:val="18"/>
          <w:color w:val="auto"/>
        </w:rPr>
      </w:pPr>
    </w:p>
    <w:p>
      <w:pPr>
        <w:ind w:left="460" w:right="20" w:firstLine="881"/>
        <w:spacing w:after="0" w:line="291" w:lineRule="auto"/>
        <w:tabs>
          <w:tab w:leader="none" w:pos="1575"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The Committee shall determine the time or times at which a Stock Option may be exercised, in whole or in part. Each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may specify the required period of continuous Employment or service as an Outside Director, as applicable, and/or the performance objectives to be achieved before the Stock Option (or any portion thereof) will become exercisable. Each Stock Option Award, the exercise (or timing of the exercise) of which is dependent, in whole or in part, on the achievement of designated performance objectives, may specify a minimum level of achievement in respect of the specified performance objectives below which no Stock Options will be exercisable, as well as a method for determining the number of Stock Options that will be exercisable if performance is at or above such minimum but short of full achievement of the performance objectives. All such terms and conditions shall be set forth in the Incentive Agreement.</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Stock Option Exercises</w:t>
      </w:r>
    </w:p>
    <w:p>
      <w:pPr>
        <w:spacing w:after="0" w:line="90" w:lineRule="exact"/>
        <w:rPr>
          <w:sz w:val="20"/>
          <w:szCs w:val="20"/>
          <w:color w:val="auto"/>
        </w:rPr>
      </w:pPr>
    </w:p>
    <w:p>
      <w:pPr>
        <w:ind w:left="460" w:right="20" w:firstLine="881"/>
        <w:spacing w:after="0" w:line="287" w:lineRule="auto"/>
        <w:tabs>
          <w:tab w:leader="none" w:pos="1575"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 and Payment</w:t>
      </w:r>
      <w:r>
        <w:rPr>
          <w:rFonts w:ascii="Arial" w:cs="Arial" w:eastAsia="Arial" w:hAnsi="Arial"/>
          <w:sz w:val="16"/>
          <w:szCs w:val="16"/>
          <w:color w:val="auto"/>
        </w:rPr>
        <w:t>. Exercise of the Option shall be by means of electronic or written notice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i w:val="1"/>
          <w:iCs w:val="1"/>
          <w:color w:val="auto"/>
        </w:rPr>
        <w:t>”</w:t>
      </w:r>
      <w:r>
        <w:rPr>
          <w:rFonts w:ascii="Arial" w:cs="Arial" w:eastAsia="Arial" w:hAnsi="Arial"/>
          <w:sz w:val="16"/>
          <w:szCs w:val="16"/>
          <w:color w:val="auto"/>
        </w:rPr>
        <w:t>) in a</w:t>
      </w:r>
      <w:r>
        <w:rPr>
          <w:rFonts w:ascii="Arial" w:cs="Arial" w:eastAsia="Arial" w:hAnsi="Arial"/>
          <w:sz w:val="16"/>
          <w:szCs w:val="16"/>
          <w:b w:val="1"/>
          <w:bCs w:val="1"/>
          <w:color w:val="auto"/>
        </w:rPr>
        <w:t xml:space="preserve"> </w:t>
      </w:r>
      <w:r>
        <w:rPr>
          <w:rFonts w:ascii="Arial" w:cs="Arial" w:eastAsia="Arial" w:hAnsi="Arial"/>
          <w:sz w:val="16"/>
          <w:szCs w:val="16"/>
          <w:color w:val="auto"/>
        </w:rPr>
        <w:t>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Stock Option exercise price upon exercise of any Stock Option shall be payable to the Company in full either: (i) in cash or its equivalent; or</w:t>
      </w:r>
    </w:p>
    <w:p>
      <w:pPr>
        <w:spacing w:after="0" w:line="38" w:lineRule="exact"/>
        <w:rPr>
          <w:sz w:val="20"/>
          <w:szCs w:val="20"/>
          <w:color w:val="auto"/>
        </w:rPr>
      </w:pPr>
    </w:p>
    <w:p>
      <w:pPr>
        <w:ind w:left="460" w:right="60" w:firstLine="4"/>
        <w:spacing w:after="0" w:line="292" w:lineRule="auto"/>
        <w:tabs>
          <w:tab w:leader="none" w:pos="71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subject to prior approval by the Committee in its discretion, by tendering previously acquired Shares having an aggregate Fair Market Value at the time of exercise equal to the Option Price (provided that the Shares which are tendered must have been held by the Grantee for at least six (6) months prior to their tender to satisfy the Option Price); or (iii) subject to prior approval by the Committee in its discretion, by withholding Shares which otherwise would be acquired on exercise having an aggregate Fair Market Value at the time of exercise equal to the total Option Price; or (iv) subject to prior approval by the Committee in its discretion, by a combination of (i), (ii), and (iii) above.</w:t>
      </w:r>
    </w:p>
    <w:p>
      <w:pPr>
        <w:spacing w:after="0" w:line="36"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Any payment in Shares shall be effected by the surrender of such Shares to the Company in good form for transfer and shall be valued at their Fair Market Value on the date when the Stock Option is exercised.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Unless otherwise permitted by the Committee in its discretion, the Grantee shall not surrender, or attest to the ownership of, Shares in payment of the Option Price if such action would cause the Company to recognize compensation expense (or additional compensation expense) with respect to the Stock Option for financial accounting reporting purposes.</w:t>
      </w:r>
    </w:p>
    <w:p>
      <w:pPr>
        <w:spacing w:after="0" w:line="59"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The Committee, in its discretion, also may allow the Option Price to be paid with such other consideration as shall constitute lawful consideration for the issuance of Shares (including, without limitation, effecting a “cashless exercise” with a broker of the Stock Option), subject to applicable securities law restrictions and tax withholdings, or by any other means which the Committee determines to be consistent with the Plan’s purpose and applicable law. At the direction of the Grantee, the broker will either (i) sell all of the Shares received when the Stock Option is exercised and pay the Grantee the proceeds of the sale (minus the Option Price, withholding taxes and any fees due to the broker); or (ii) sell enough of the Shares received upon exercise of the Stock Option to cover the Option Price, withholding taxes and any fees due the broker and deliver the remaining Shares to the Grantee (either directly or through the Company). Dispositions to a broker effecting a cashless exercise are not exempt under Section 16 of the Exchange Act while the Company is a Publicly Held Corporation. Moreover, in no event will the Committee allow the Option Price to be paid with a form of consideration, including a loan or a “cashless exercise,” if such form of consideration would violate the Sarbanes-Oxley Act of 2002 as determined by the Committee.</w:t>
      </w:r>
    </w:p>
    <w:p>
      <w:pPr>
        <w:spacing w:after="0" w:line="39" w:lineRule="exact"/>
        <w:rPr>
          <w:sz w:val="20"/>
          <w:szCs w:val="20"/>
          <w:color w:val="auto"/>
        </w:rPr>
      </w:pPr>
    </w:p>
    <w:p>
      <w:pPr>
        <w:jc w:val="both"/>
        <w:ind w:left="460" w:right="180" w:firstLine="438"/>
        <w:spacing w:after="0" w:line="259" w:lineRule="auto"/>
        <w:rPr>
          <w:sz w:val="20"/>
          <w:szCs w:val="20"/>
          <w:color w:val="auto"/>
        </w:rPr>
      </w:pPr>
      <w:r>
        <w:rPr>
          <w:rFonts w:ascii="Arial" w:cs="Arial" w:eastAsia="Arial" w:hAnsi="Arial"/>
          <w:sz w:val="18"/>
          <w:szCs w:val="18"/>
          <w:color w:val="auto"/>
        </w:rPr>
        <w:t>As soon as practicable after receipt of a written notification of exercise and full payment, the Company shall deliver, or cause to be delivered, to or on behalf of the Grantee, in the name of the Grantee or other appropriate recipient, evidence of ownership for the number of Shares purchased under the Stock Option.</w:t>
      </w:r>
    </w:p>
    <w:p>
      <w:pPr>
        <w:spacing w:after="0" w:line="59" w:lineRule="exact"/>
        <w:rPr>
          <w:sz w:val="20"/>
          <w:szCs w:val="20"/>
          <w:color w:val="auto"/>
        </w:rPr>
      </w:pPr>
    </w:p>
    <w:p>
      <w:pPr>
        <w:jc w:val="both"/>
        <w:ind w:left="460" w:right="400" w:firstLine="438"/>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during the lifetime of a Grantee, each Stock Option granted to him shall be exercisable only by the Grantee (or his legal guardian in the event of his Disability) or by a broker-dealer acting on his behalf pursuant to a cashless exercise under the foregoing provisions of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3" w:lineRule="exact"/>
        <w:rPr>
          <w:sz w:val="20"/>
          <w:szCs w:val="20"/>
          <w:color w:val="auto"/>
        </w:rPr>
      </w:pPr>
    </w:p>
    <w:p>
      <w:pPr>
        <w:ind w:left="460" w:right="40" w:firstLine="881"/>
        <w:spacing w:after="0" w:line="254" w:lineRule="auto"/>
        <w:tabs>
          <w:tab w:leader="none" w:pos="1585"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Share Transferability</w:t>
      </w:r>
      <w:r>
        <w:rPr>
          <w:rFonts w:ascii="Arial" w:cs="Arial" w:eastAsia="Arial" w:hAnsi="Arial"/>
          <w:sz w:val="18"/>
          <w:szCs w:val="18"/>
          <w:color w:val="auto"/>
        </w:rPr>
        <w:t>. The Committee may impose such restrictions on any grant of Stock Options or on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pursuant to the exercise of a Stock Option as it may deem advisable, including, without limitation, restrictions under (i) any stockholders’ agreement, buy/sell agreement, right of first refusal, non-competition, and any other agreement between the Company and any of its securities holders or employees; (ii) any applicable federal securities laws; (iii) the requirements of any stock exchange or market upon which such Shares are then listed and/or traded; or (iv) any blue sky or state securities law applicable to such Shares. Any certificate issued to evidence Shares issued upon the exercise of an Incentive Award may bear such legends and statements as the Committee shall deem advisable to assure compliance with federal and state laws and regulations.</w:t>
      </w:r>
    </w:p>
    <w:p>
      <w:pPr>
        <w:spacing w:after="0" w:line="66"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Any Grantee or other person exercising an Incentive Award shall be required, if requested by the Committee, to give a written representation that the Incentive Award and the Shares subject to the Incentive Award will be acquired for investment and not with a view to public distribution; provided, however, that the Committee in its discretion, may release any person receiving an Incentive Award from any such representations either prior to or subsequent to the exercise of the Incentive Award.</w:t>
      </w:r>
    </w:p>
    <w:p>
      <w:pPr>
        <w:spacing w:after="0" w:line="56" w:lineRule="exact"/>
        <w:rPr>
          <w:sz w:val="20"/>
          <w:szCs w:val="20"/>
          <w:color w:val="auto"/>
        </w:rPr>
      </w:pPr>
    </w:p>
    <w:p>
      <w:pPr>
        <w:ind w:left="460" w:right="160" w:firstLine="881"/>
        <w:spacing w:after="0" w:line="275" w:lineRule="auto"/>
        <w:tabs>
          <w:tab w:leader="none" w:pos="1575"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Proceeds of Option Exercise</w:t>
      </w:r>
      <w:r>
        <w:rPr>
          <w:rFonts w:ascii="Arial" w:cs="Arial" w:eastAsia="Arial" w:hAnsi="Arial"/>
          <w:sz w:val="18"/>
          <w:szCs w:val="18"/>
          <w:color w:val="auto"/>
        </w:rPr>
        <w:t>. The proceeds received by the Company from the sale of Shares pursuant to Stock Options exercised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used for general corporate purposes.</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Stock Appreciation Rights</w:t>
      </w:r>
    </w:p>
    <w:p>
      <w:pPr>
        <w:spacing w:after="0" w:line="90" w:lineRule="exact"/>
        <w:rPr>
          <w:sz w:val="20"/>
          <w:szCs w:val="20"/>
          <w:color w:val="auto"/>
        </w:rPr>
      </w:pPr>
    </w:p>
    <w:p>
      <w:pPr>
        <w:ind w:left="460" w:right="40" w:firstLine="881"/>
        <w:spacing w:after="0" w:line="275" w:lineRule="auto"/>
        <w:tabs>
          <w:tab w:leader="none" w:pos="1575"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Committee may grant to Employees Stock Appreciation Rights that are independent of Stock Options. All SARs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are intended to be exempt from taxation as deferred compensation under Code Section 409A.</w:t>
      </w:r>
    </w:p>
    <w:p>
      <w:pPr>
        <w:spacing w:after="0" w:line="38" w:lineRule="exact"/>
        <w:rPr>
          <w:rFonts w:ascii="Arial" w:cs="Arial" w:eastAsia="Arial" w:hAnsi="Arial"/>
          <w:sz w:val="18"/>
          <w:szCs w:val="18"/>
          <w:color w:val="auto"/>
        </w:rPr>
      </w:pPr>
    </w:p>
    <w:p>
      <w:pPr>
        <w:ind w:left="460" w:right="200" w:firstLine="881"/>
        <w:spacing w:after="0" w:line="262" w:lineRule="auto"/>
        <w:tabs>
          <w:tab w:leader="none" w:pos="1585"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The terms and conditions of each SAR shall be evidenced by an Incentive Agreement. The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not less than one hundred percent (100%) of the Fair Market Value of a Share on the grant date of the SAR. The term of the SAR shall be determined by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Committee. The Committee cannot include any feature for the deferral of compensation other than the deferral of recognition of income until exercise of the SAR.</w:t>
      </w:r>
    </w:p>
    <w:p>
      <w:pPr>
        <w:spacing w:after="0" w:line="45" w:lineRule="exact"/>
        <w:rPr>
          <w:sz w:val="20"/>
          <w:szCs w:val="20"/>
          <w:color w:val="auto"/>
        </w:rPr>
      </w:pPr>
    </w:p>
    <w:p>
      <w:pPr>
        <w:ind w:left="460" w:right="40" w:firstLine="881"/>
        <w:spacing w:after="0" w:line="310" w:lineRule="auto"/>
        <w:tabs>
          <w:tab w:leader="none" w:pos="1575"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SARs shall be exercisable subject to such terms and conditions as the Committee shall specify in the Incentive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grant. No SAR granted to an Insider may be exercised prior to six (6) months from the date of grant, except in the event of his death or Disability which occurs prior to the expiration of such six-month period if so permitted under the Incentive Agreement.</w:t>
      </w:r>
    </w:p>
    <w:p>
      <w:pPr>
        <w:spacing w:after="0" w:line="16"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color w:val="auto"/>
        </w:rPr>
        <w:t>. Effective for any SARs issued on or after January 1, 2005, upon exercise of the SAR, the Grantee shall receive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Spread. The Spread, less applicable withholdings, shall be payable in cash or in Shares, the number of which shall be determined based on the Fair Market Value of the Shares as of the exercise date, as provided in the Incentive Agreement, which payment shall be made within thirty (30) calendar days after the exercise date. In addition, the Incentive Agreement under which such SARs are awarded, or any other agreements or arrangements, shall not provide that the Company will purchase any Shares delivered as a result of the exercise or vesting of a SAR. Any SARs issued under the Plan prior to January 1, 2005 shall be subject to the settlement provisions of the Plan as in effect prior to January 1, 2005, but only to the extent that such settlement is not considered a payment of deferred compensation that would be subject to Code Section 409A after December 31, 2004.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AWARDS FOR OUTSIDE DIRECTORS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Initial Award</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Each Outside Director shall receive, upon initial election or appointment to the Board, the grant of a Common Stock Award for the number of Shares as deemed appropriate to provide equity compensation to such Grantee having a Fair Market Value, effective as of the first date of such Outside Director’s service on the Board, as determined and voted upon by the Independent Directors of the Board from time to time in its discretion.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Annual Award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Outside Director shall receive an annual Common Stock Award on each Award Date with respect to service rendered by the Grantee during the 12-month period ending on such annual Award Date. The Shares subject to the annual Common Stock Award shall be such number as deemed appropriate to provide equity compensation to such Grantee having a Fair Market Value as determined by the Independent Directors of the Board from time to time, and effective as of the Award Date. The Award Date for annual Common Stock Awards shall be made on the date of the annual Board meeting with respect to the Grantee’s service as an Outside Director during the 12-month period ending on such annual Award Date. The annual Common Stock Awards shall not be prorated for partial service of any Outside Director, except as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Termination of Directorship</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Termination of Directorship occurs to an Outside Director, then in lieu of the annual Common Stock Award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of the next following annual Award Date such Outside Director shall be entitled to receive a number of Shares equal to the nearest whole number of Shares obtained by multiplying the number of Shares having a Fair Market Value approximately equal to a dollar amount set by the Board from time to time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a fraction, the numerator of which is the number of days from the last previous annual Award Date up to and including the date of his Termination of Directorship, and the denominator of which is the number of days from the last previous annual Award Date up to and including his next following regularly scheduled annual Award Date. Such Shares shall be delivered to the Outside Director within thirty (30) days following the date of his Termination of Directorship.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Issuance of Common Stock</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Within thirty (30) days of the Award Date of a Common Stock Award pursuant to </w:t>
      </w:r>
      <w:r>
        <w:rPr>
          <w:rFonts w:ascii="Arial" w:cs="Arial" w:eastAsia="Arial" w:hAnsi="Arial"/>
          <w:sz w:val="18"/>
          <w:szCs w:val="18"/>
          <w:u w:val="single" w:color="auto"/>
          <w:color w:val="auto"/>
        </w:rPr>
        <w:t>Sections 3.1, 3.2 or 3.3</w:t>
      </w:r>
      <w:r>
        <w:rPr>
          <w:rFonts w:ascii="Arial" w:cs="Arial" w:eastAsia="Arial" w:hAnsi="Arial"/>
          <w:sz w:val="18"/>
          <w:szCs w:val="18"/>
          <w:color w:val="auto"/>
        </w:rPr>
        <w:t>, the Company shall cause Shares of Common Stock to be issued in the name of the Grantee.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Deferral of Common Stock Award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provided, however, that such election be made by the Grantee not later than by the end of the calendar year that precedes the calendar year in which the applicable 12-month performance period begins. Notwithstanding the previous sentence, at the discretion of the Committee, a Grantee who is eligible to receive an initial award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may elect in writing to defer receipt of such initial award within thirty (30) days after the Grantee first becomes eligible to participate in the Plan or any other plan maintained by the Company that is an “account balance” plan within the meaning of, and subject to, Code Section 409A.</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Subsequent Deferrals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which has previously been deferred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must be consistent with the requirements of Code Section 409A.</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Award of Restricted Stock</w:t>
      </w:r>
    </w:p>
    <w:p>
      <w:pPr>
        <w:spacing w:after="0" w:line="90" w:lineRule="exact"/>
        <w:rPr>
          <w:sz w:val="20"/>
          <w:szCs w:val="20"/>
          <w:color w:val="auto"/>
        </w:rPr>
      </w:pPr>
    </w:p>
    <w:p>
      <w:pPr>
        <w:ind w:left="460" w:firstLine="881"/>
        <w:spacing w:after="0" w:line="288" w:lineRule="auto"/>
        <w:tabs>
          <w:tab w:leader="none" w:pos="1575" w:val="left"/>
        </w:tabs>
        <w:numPr>
          <w:ilvl w:val="0"/>
          <w:numId w:val="304"/>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In consideration of the Grantee’s Employment or service as an Outside Director, as applicable, Shares of Restricted Stock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by the Committee (or, with respect to Outside Directors, by the Independent Directors of the Board) with such restrictions during the Restriction Period as may be imposed by the Committee or the Independent Directors, as applicable, in its discretion. The minimum Restriction Period for a Restricted Stock Award shall be three (3) years, and for a Performance Based Restricted Stock Award shall be one (1) year. Any such restrictions may differ with respect to a particular Grantee. Restricted Stock shall be awarded for no additional consideration or such additional consideration as the Committee may determine, which consideration may be less than, equal to, or more than the Fair Market Value of the Shares of Restricted Stock on the grant date. The terms and conditions of each Restricted Stock Award shall be evidenced by an Incentive Agreement and, during the Restriction Period, Shares of Restricted Stock must remain subject to a “substantial risk of forfeiture” within the meaning given to such term under Code Section 83. Any Restricted Stock Award granted to an Employee may, at the time of grant, be designated by the Committee as a Performance-Based Restricted Award that is intended to qualify for the Performance-Based Exception.</w:t>
      </w:r>
    </w:p>
    <w:p>
      <w:pPr>
        <w:spacing w:after="0" w:line="34" w:lineRule="exact"/>
        <w:rPr>
          <w:rFonts w:ascii="Arial" w:cs="Arial" w:eastAsia="Arial" w:hAnsi="Arial"/>
          <w:sz w:val="16"/>
          <w:szCs w:val="16"/>
          <w:color w:val="auto"/>
        </w:rPr>
      </w:pPr>
    </w:p>
    <w:p>
      <w:pPr>
        <w:ind w:left="460" w:firstLine="881"/>
        <w:spacing w:after="0" w:line="258" w:lineRule="auto"/>
        <w:tabs>
          <w:tab w:leader="none" w:pos="1585"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Immediate Transfer Without Immediate Delivery of Restricted Stock</w:t>
      </w:r>
      <w:r>
        <w:rPr>
          <w:rFonts w:ascii="Arial" w:cs="Arial" w:eastAsia="Arial" w:hAnsi="Arial"/>
          <w:sz w:val="18"/>
          <w:szCs w:val="18"/>
          <w:color w:val="auto"/>
        </w:rPr>
        <w:t>. Unless otherwise specified in the Grantee’s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each Restricted Stock Award shall constitute an immediate transfer of the record and beneficial ownership of the Shares of Restricted Stock to the Grantee in consideration of his performance of services as an Employee or Outside Director, as applicable, entitling such Grantee to all voting and other ownership rights in such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color w:val="auto"/>
        </w:rPr>
        <w:t>As specified in the Incentive Agreement, a Restricted Stock Award may limit the Grantee’s dividend rights during the Restriction Period in which the Shares of Restricted Stock are subject to a “substantial risk of forfeiture” (within the meaning given to such term under Code Section 83) and restrictions on transfer. In the Incentive Agreement, the Committee may apply any restrictions to the dividends that the Committee deems appropriate. Without limiting the generality of the preceding sentence, if the grant or vesting of Shares of Performance-Based Restricted Stock granted to a Covered Employee is designed to comply with the requirements of the Performance-Based Exception, the Committee may apply any restrictions it deems appropriate to the payment of dividends declared with respect to such Shares of Restricted Stock, such that the dividends and/or the Shares of Restricted Stock maintain eligibility for the Performance-Based Exception. In the event that any dividend constitutes a derivative security or an equity security pursuant to the rules under Section 16 of the Exchange Act, if applicable, such dividend shall be subject to a vesting period equal to the remaining vesting period of the Shares subject to the Restricted Stock Award with respect to which the dividend is paid.</w:t>
      </w:r>
    </w:p>
    <w:p>
      <w:pPr>
        <w:spacing w:after="0" w:line="39"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Shares awarded pursuant to a Restricted Stock Award or Performance-Based Restricted Stock Award may be issued in the name of the Grantee and held, together with a stock power endorsed in blank, by (i) the Committee (or its delegate), (ii) Company (or its delegate), (iii) in trust or in escrow pursuant to an agreement satisfactory to the Committee, or (iv) in a restricted account held by the transfer agent, as shall be determined by the Committee, until such time as the restrictions on transfer have expired. All such terms and conditions shall be set forth in the particular Grantee’s Incentive Agreement. The Company or Committee, or its delegate, shall issue to the Grantee a receipt evidencing the Shares held by it which are registered in the name of the Grantee.</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Restrictions</w:t>
      </w:r>
    </w:p>
    <w:p>
      <w:pPr>
        <w:spacing w:after="0" w:line="90" w:lineRule="exact"/>
        <w:rPr>
          <w:sz w:val="20"/>
          <w:szCs w:val="20"/>
          <w:color w:val="auto"/>
        </w:rPr>
      </w:pPr>
    </w:p>
    <w:p>
      <w:pPr>
        <w:ind w:left="460" w:right="160" w:firstLine="881"/>
        <w:spacing w:after="0" w:line="254" w:lineRule="auto"/>
        <w:tabs>
          <w:tab w:leader="none" w:pos="1575"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Stock</w:t>
      </w:r>
      <w:r>
        <w:rPr>
          <w:rFonts w:ascii="Arial" w:cs="Arial" w:eastAsia="Arial" w:hAnsi="Arial"/>
          <w:sz w:val="18"/>
          <w:szCs w:val="18"/>
          <w:color w:val="auto"/>
        </w:rPr>
        <w:t>. Restricted Stock awarded to a Grantee may be subject to the following restrictions until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Restriction Period: (i) a restriction that constitutes a “substantial risk of forfeiture” (as defined under Code Section 83), or a restriction on transferability; (ii) unless otherwise specified by the Committee in the Incentive Agreement, the Shares of Restricted Stock that are subject to restrictions which are not satisfied shall be forfeited and all rights of the Grantee to such Shares shall terminate; and (iii) any other restrictions that the Committee determines in advance are appropriate, including, without limitation, rights of repurchase or first refusal in the Company or provisions subjecting the Restricted Stock to a continuing substantial risk of forfeiture in the hands of any transferee. Any such restrictions shall be set forth in the Grantee’s Incentive Agreement.</w:t>
      </w:r>
    </w:p>
    <w:p>
      <w:pPr>
        <w:spacing w:after="0" w:line="60" w:lineRule="exact"/>
        <w:rPr>
          <w:rFonts w:ascii="Arial" w:cs="Arial" w:eastAsia="Arial" w:hAnsi="Arial"/>
          <w:sz w:val="18"/>
          <w:szCs w:val="18"/>
          <w:color w:val="auto"/>
        </w:rPr>
      </w:pPr>
    </w:p>
    <w:p>
      <w:pPr>
        <w:ind w:left="460" w:right="140" w:firstLine="881"/>
        <w:spacing w:after="0" w:line="296" w:lineRule="auto"/>
        <w:tabs>
          <w:tab w:leader="none" w:pos="1585" w:val="left"/>
        </w:tabs>
        <w:numPr>
          <w:ilvl w:val="0"/>
          <w:numId w:val="305"/>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Certificates</w:t>
      </w:r>
      <w:r>
        <w:rPr>
          <w:rFonts w:ascii="Arial" w:cs="Arial" w:eastAsia="Arial" w:hAnsi="Arial"/>
          <w:sz w:val="16"/>
          <w:szCs w:val="16"/>
          <w:color w:val="auto"/>
        </w:rPr>
        <w:t>. Reasonably promptly after the date of grant with respect to the Restricted Stock Award, and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approved the use of electronic stock accounts that do not require the issuance of stock certificates, the Company shall cause to be issued a stock certificate, registered in the name of the Grantee to whom the Restricted Stock Award was granted, evidencing such Shares; provided, however, that the Company shall not cause to be issued such a stock certificate unless it has received a stock power duly endorsed in blank with respect to such Shares. Each such stock certificate shall bear the following legend or any other legend approved by the Company:</w:t>
      </w:r>
    </w:p>
    <w:p>
      <w:pPr>
        <w:spacing w:after="0" w:line="33"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i w:val="1"/>
          <w:iCs w:val="1"/>
          <w:color w:val="auto"/>
        </w:rPr>
        <w:t>The transferability of this certificate and the shares of stock represented hereby are subject to the restrictions, terms and conditions (including forfeiture and restrictions against transfer) contained in the Smith International, Inc. Long-Term Incentive Compensation Plan and an Incentive Agreement entered into between the registered owner of such shares and Smith International, Inc. A copy of the Plan and Incentive Agreement are on file in the main corporate office of Smith International, Inc.</w:t>
      </w:r>
    </w:p>
    <w:p>
      <w:pPr>
        <w:spacing w:after="0" w:line="6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Such legend shall not be removed from the certificate evidencing such Shares of Restricted Stock unless and until such Shares vest pursuant to the terms of the Incentive Agreement.</w:t>
      </w:r>
    </w:p>
    <w:p>
      <w:pPr>
        <w:spacing w:after="0" w:line="45" w:lineRule="exact"/>
        <w:rPr>
          <w:sz w:val="20"/>
          <w:szCs w:val="20"/>
          <w:color w:val="auto"/>
        </w:rPr>
      </w:pPr>
    </w:p>
    <w:p>
      <w:pPr>
        <w:ind w:left="460" w:right="720" w:firstLine="881"/>
        <w:spacing w:after="0" w:line="275" w:lineRule="auto"/>
        <w:tabs>
          <w:tab w:leader="none" w:pos="1575"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Removal of Restrictions</w:t>
      </w:r>
      <w:r>
        <w:rPr>
          <w:rFonts w:ascii="Arial" w:cs="Arial" w:eastAsia="Arial" w:hAnsi="Arial"/>
          <w:sz w:val="18"/>
          <w:szCs w:val="18"/>
          <w:color w:val="auto"/>
        </w:rPr>
        <w:t>. The Committee, in its discretion, shall have the authority to provide in an Incentive Agreement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the Restricted Stock shall lapse upon the occurrence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Grantee’s death or Disability, or in the event of a Change in Control. In addition, the Committee shall have the authority, in its discretion, to remove any or all of the restrictions on the Restricted Stock if it determines that, by reason of a change in applicable law or another change in circumstance arising after the grant date of the Restricted Stock Award, such action is necessary or appropriate.</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Delivery of Shares of Common Stock</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When the restrictions in the Incentive Agreement have been satisfied, subject to (i) withholding taxes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with respect to Employees and (ii) the terms of the Incentive Agreement, the Company shall cause Shares of Common Stock to be issued in the name of the Grantee free of restrictions.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5</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Award of Restricted Stock Units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consideration of the Grantee’s Employment or service as an Outside Director, as applicable, Restricted Stock Unit Awards may be awarded by the Committee (or, with respect to Outside Directors, by the Independent Directors of the Board) to designated Grantees, as determined in the discretion of the Committee or the Independent Directors, as applicable. Any Restricted Stock Unit Award to an Employee may, at the time of grant, be designated by the Committee as a Performance-Based Restricted Award that is intended to qualify for the Performance-Based Exception. The minimum Restriction Period for a Restricted Stock Unit Award shall be three (3) years, and for a Performance Based Restricted Stock Unit Award shall be one (1) year.</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Restricted Stock Unit Award Terms</w:t>
      </w:r>
    </w:p>
    <w:p>
      <w:pPr>
        <w:spacing w:after="0" w:line="90" w:lineRule="exact"/>
        <w:rPr>
          <w:sz w:val="20"/>
          <w:szCs w:val="20"/>
          <w:color w:val="auto"/>
        </w:rPr>
      </w:pPr>
    </w:p>
    <w:p>
      <w:pPr>
        <w:ind w:left="460" w:right="320" w:firstLine="881"/>
        <w:spacing w:after="0" w:line="258" w:lineRule="auto"/>
        <w:tabs>
          <w:tab w:leader="none" w:pos="1575" w:val="left"/>
        </w:tabs>
        <w:numPr>
          <w:ilvl w:val="1"/>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Written Agreement</w:t>
      </w:r>
      <w:r>
        <w:rPr>
          <w:rFonts w:ascii="Arial" w:cs="Arial" w:eastAsia="Arial" w:hAnsi="Arial"/>
          <w:sz w:val="18"/>
          <w:szCs w:val="18"/>
          <w:color w:val="auto"/>
        </w:rPr>
        <w:t>. The terms and conditions of each grant of a Restricted Stock Unit Award shall be evidenced by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shall specify among other provisions (i) the number of Restricted Stock Units awarded to the Grantee, (ii) a specified period during which such Restricted Stock Units must remain subject to a “substantial risk of forfeiture” within the meaning given to such term under Code Section 409A, and (iii) the Performance Criteria, if applicable.</w:t>
      </w:r>
    </w:p>
    <w:p>
      <w:pPr>
        <w:spacing w:after="0" w:line="55" w:lineRule="exact"/>
        <w:rPr>
          <w:rFonts w:ascii="Arial" w:cs="Arial" w:eastAsia="Arial" w:hAnsi="Arial"/>
          <w:sz w:val="18"/>
          <w:szCs w:val="18"/>
          <w:color w:val="auto"/>
        </w:rPr>
      </w:pPr>
    </w:p>
    <w:p>
      <w:pPr>
        <w:ind w:left="460" w:right="20" w:firstLine="881"/>
        <w:spacing w:after="0" w:line="334" w:lineRule="auto"/>
        <w:tabs>
          <w:tab w:leader="none" w:pos="1585" w:val="left"/>
        </w:tabs>
        <w:numPr>
          <w:ilvl w:val="1"/>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The Committee, in its discretion, shall specify in the Grantee’s Incentive Agreement the date or dates upon which the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risk of forfeiture” (as described in </w:t>
      </w:r>
      <w:r>
        <w:rPr>
          <w:rFonts w:ascii="Arial" w:cs="Arial" w:eastAsia="Arial" w:hAnsi="Arial"/>
          <w:sz w:val="16"/>
          <w:szCs w:val="16"/>
          <w:u w:val="single" w:color="auto"/>
          <w:color w:val="auto"/>
        </w:rPr>
        <w:t>Section 4.2(a)</w:t>
      </w:r>
      <w:r>
        <w:rPr>
          <w:rFonts w:ascii="Arial" w:cs="Arial" w:eastAsia="Arial" w:hAnsi="Arial"/>
          <w:sz w:val="16"/>
          <w:szCs w:val="16"/>
          <w:color w:val="auto"/>
        </w:rPr>
        <w:t>) will lapse (the “</w:t>
      </w:r>
      <w:r>
        <w:rPr>
          <w:rFonts w:ascii="Arial" w:cs="Arial" w:eastAsia="Arial" w:hAnsi="Arial"/>
          <w:sz w:val="16"/>
          <w:szCs w:val="16"/>
          <w:b w:val="1"/>
          <w:bCs w:val="1"/>
          <w:color w:val="auto"/>
        </w:rPr>
        <w:t>Vesting Date</w:t>
      </w:r>
      <w:r>
        <w:rPr>
          <w:rFonts w:ascii="Arial" w:cs="Arial" w:eastAsia="Arial" w:hAnsi="Arial"/>
          <w:sz w:val="16"/>
          <w:szCs w:val="16"/>
          <w:color w:val="auto"/>
        </w:rPr>
        <w:t>”), and the events upon which such lapse occurs.</w:t>
      </w:r>
    </w:p>
    <w:p>
      <w:pPr>
        <w:spacing w:after="0" w:line="1" w:lineRule="exact"/>
        <w:rPr>
          <w:rFonts w:ascii="Arial" w:cs="Arial" w:eastAsia="Arial" w:hAnsi="Arial"/>
          <w:sz w:val="16"/>
          <w:szCs w:val="16"/>
          <w:color w:val="auto"/>
        </w:rPr>
      </w:pPr>
    </w:p>
    <w:p>
      <w:pPr>
        <w:ind w:left="460" w:right="80" w:firstLine="881"/>
        <w:spacing w:after="0" w:line="289" w:lineRule="auto"/>
        <w:tabs>
          <w:tab w:leader="none" w:pos="1575" w:val="left"/>
        </w:tabs>
        <w:numPr>
          <w:ilvl w:val="1"/>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When the restrictions in the Incentive Agreement have been satisfied, subject to (i) withholding taxes under Section 9.3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Employees and (ii) the terms of the Incentive Agreement, Restricted Stock Units shall be paid in Shares within thirty (30) days after the later of</w:t>
      </w:r>
    </w:p>
    <w:p>
      <w:pPr>
        <w:spacing w:after="0" w:line="1" w:lineRule="exact"/>
        <w:rPr>
          <w:rFonts w:ascii="Arial" w:cs="Arial" w:eastAsia="Arial" w:hAnsi="Arial"/>
          <w:sz w:val="16"/>
          <w:szCs w:val="16"/>
          <w:color w:val="auto"/>
        </w:rPr>
      </w:pPr>
    </w:p>
    <w:p>
      <w:pPr>
        <w:ind w:left="460" w:right="220" w:firstLine="4"/>
        <w:spacing w:after="0" w:line="323" w:lineRule="auto"/>
        <w:tabs>
          <w:tab w:leader="none" w:pos="74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Vesting Date (as defined in Section 5.2(b)) or (B) the date that satisfaction of any Performance Criteria for the Restricted Stock Units have been certified by the Committee but, in either event, not later than 2-1/2 months following the last day of the calendar year containing the Vesting Date.</w:t>
      </w:r>
    </w:p>
    <w:p>
      <w:pPr>
        <w:spacing w:after="0" w:line="5"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1"/>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Initial Deferral of Restricted Stock Unit Awards</w:t>
      </w:r>
      <w:r>
        <w:rPr>
          <w:rFonts w:ascii="Arial" w:cs="Arial" w:eastAsia="Arial" w:hAnsi="Arial"/>
          <w:sz w:val="16"/>
          <w:szCs w:val="16"/>
          <w:color w:val="auto"/>
        </w:rPr>
        <w:t>. As permitted in the discretion of the Committee and subject to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required by the Committee, a Grantee may elect in writing to defer the receipt of Shares that become payable upon vesting of a Restricted Stock Unit Award; provided, however, that such election be made by the Grantee not later than by the end of the calendar year that immediately precedes the calendar year during which the applicable performance period begins. Notwithstanding the previous sentence, at the discretion of the Committee and subject to such terms and conditions as required by the Committee, a Grantee who is first eligible to participate in the Plan under Section 1.7 may elect in writing to defer receipt of his initial Restricted Stock Unit Award under the Plan within thirty (30) days after the grant date of such Restricted Stock Unit Award. Any deferral election made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340"/>
          </w:cols>
          <w:pgMar w:left="240" w:top="459" w:right="3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Grantee pursuant to this Section 5.2(d) must be consistent with the requirements of Code Section 409A and shall be construed accordingly.</w:t>
      </w:r>
    </w:p>
    <w:p>
      <w:pPr>
        <w:spacing w:after="0" w:line="107" w:lineRule="exact"/>
        <w:rPr>
          <w:sz w:val="20"/>
          <w:szCs w:val="20"/>
          <w:color w:val="auto"/>
        </w:rPr>
      </w:pPr>
    </w:p>
    <w:p>
      <w:pPr>
        <w:ind w:left="460" w:right="120" w:firstLine="881"/>
        <w:spacing w:after="0" w:line="290" w:lineRule="auto"/>
        <w:tabs>
          <w:tab w:leader="none" w:pos="1575"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Subsequent Deferrals</w:t>
      </w:r>
      <w:r>
        <w:rPr>
          <w:rFonts w:ascii="Arial" w:cs="Arial" w:eastAsia="Arial" w:hAnsi="Arial"/>
          <w:sz w:val="16"/>
          <w:szCs w:val="16"/>
          <w:color w:val="auto"/>
        </w:rPr>
        <w:t>. As permitted in the discretion of the Committee and subject to such terms and conditions as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if a Grantee has previously made an initial deferral election pursuant to Section 5.2(d), the Grantee may elect in writing to defer the receipt of Shares payable upon vesting of the outstanding Restricted Stock Unit Award;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Section 5.2(e) must be consistent with the requirements of Code Section 409A and shall be construed accordingly.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Grant of Other Stock-Based Awards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Other Stock-Based Awards may be awarded by the Committee to selected Grantees that are payable in Shares, as determined by the Committee to be consistent with the goals of the Company. Other types of Stock-Based Awards include, without limitation, purchase rights, Shares of Common Stock awarded that are not subject to any restrictions or conditions other than Common Stock Awards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(limited, however, to not more than five percent (5%) of the Shares available under the Plan under </w:t>
      </w:r>
      <w:r>
        <w:rPr>
          <w:rFonts w:ascii="Arial" w:cs="Arial" w:eastAsia="Arial" w:hAnsi="Arial"/>
          <w:sz w:val="16"/>
          <w:szCs w:val="16"/>
          <w:u w:val="single" w:color="auto"/>
          <w:color w:val="auto"/>
        </w:rPr>
        <w:t>Section 1.4</w:t>
      </w:r>
      <w:r>
        <w:rPr>
          <w:rFonts w:ascii="Arial" w:cs="Arial" w:eastAsia="Arial" w:hAnsi="Arial"/>
          <w:sz w:val="16"/>
          <w:szCs w:val="16"/>
          <w:color w:val="auto"/>
        </w:rPr>
        <w:t>), convertible or exchangeable debentures, other rights convertible into Shares, Incentive Awards valued by reference to the performance of a specified Subsidiary, division or department of the Company, and settlement in cancellation of rights of any person with a vested interest in any other plan, fund, program or arrangement that is or was sponsored, maintained or participated in by the Company or any Subsidiary. As is the case with other types of Incentive Awards, Other Stock-Based Awards may be awarded either alone or in addition to or in conjunction with any other Incentive Awards. Other Stock-Based Awards are not intended to be deferred compensation that is subject to Code Section 409A unless otherwise determined by the Committee.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Other Stock-Based Award Terms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The terms and conditions of each grant of an Other Stock-Based Award shall be evidenced by an Incentive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78" w:lineRule="exact"/>
        <w:rPr>
          <w:sz w:val="20"/>
          <w:szCs w:val="20"/>
          <w:color w:val="auto"/>
        </w:rPr>
      </w:pPr>
    </w:p>
    <w:p>
      <w:pPr>
        <w:jc w:val="both"/>
        <w:ind w:left="460" w:right="100" w:firstLine="881"/>
        <w:spacing w:after="0" w:line="338" w:lineRule="auto"/>
        <w:tabs>
          <w:tab w:leader="none" w:pos="1585" w:val="left"/>
        </w:tabs>
        <w:numPr>
          <w:ilvl w:val="0"/>
          <w:numId w:val="310"/>
        </w:numPr>
        <w:rPr>
          <w:rFonts w:ascii="Arial" w:cs="Arial" w:eastAsia="Arial" w:hAnsi="Arial"/>
          <w:sz w:val="15"/>
          <w:szCs w:val="15"/>
          <w:color w:val="auto"/>
        </w:rPr>
      </w:pPr>
      <w:r>
        <w:rPr>
          <w:rFonts w:ascii="Arial" w:cs="Arial" w:eastAsia="Arial" w:hAnsi="Arial"/>
          <w:sz w:val="15"/>
          <w:szCs w:val="15"/>
          <w:b w:val="1"/>
          <w:bCs w:val="1"/>
          <w:u w:val="single" w:color="auto"/>
          <w:color w:val="auto"/>
        </w:rPr>
        <w:t>Purchase Price</w:t>
      </w:r>
      <w:r>
        <w:rPr>
          <w:rFonts w:ascii="Arial" w:cs="Arial" w:eastAsia="Arial" w:hAnsi="Arial"/>
          <w:sz w:val="15"/>
          <w:szCs w:val="15"/>
          <w:color w:val="auto"/>
        </w:rPr>
        <w:t>. Except to the extent that an Other Stock-Based Award is granted in substitution for an outstanding Incentive Award or is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upon exercise of a Stock Option, the amount of consideration required to be received by the Company shall be either (i) no consideration other than services actually rendered (in the case of authorized and unissued Shares) or to be rendered, or (ii) as otherwise specified in the Incentive Agreement.</w:t>
      </w:r>
    </w:p>
    <w:p>
      <w:pPr>
        <w:ind w:left="460" w:firstLine="881"/>
        <w:spacing w:after="0" w:line="301" w:lineRule="auto"/>
        <w:tabs>
          <w:tab w:leader="none" w:pos="1575" w:val="left"/>
        </w:tabs>
        <w:numPr>
          <w:ilvl w:val="0"/>
          <w:numId w:val="310"/>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 and Other Terms</w:t>
      </w:r>
      <w:r>
        <w:rPr>
          <w:rFonts w:ascii="Arial" w:cs="Arial" w:eastAsia="Arial" w:hAnsi="Arial"/>
          <w:sz w:val="16"/>
          <w:szCs w:val="16"/>
          <w:color w:val="auto"/>
        </w:rPr>
        <w:t>. In its discretion, the Committee may specify Performance Criteria for (i) vesting in Other Stock-Based Awards and (ii) payment thereof to the Grantee, as it may determine in its discretion. The extent to which any such Performance Criteria have been met shall be determined and certified by the Committee in accordance with the requirements to qualify for the Performance-Based Exception under Code Section 162(m). All terms and conditions of Other Stock-Based Awards shall be determined by the Committee and set forth in the Incentive Agreement.</w:t>
      </w:r>
    </w:p>
    <w:p>
      <w:pPr>
        <w:spacing w:after="0" w:line="22" w:lineRule="exact"/>
        <w:rPr>
          <w:rFonts w:ascii="Arial" w:cs="Arial" w:eastAsia="Arial" w:hAnsi="Arial"/>
          <w:sz w:val="16"/>
          <w:szCs w:val="16"/>
          <w:color w:val="auto"/>
        </w:rPr>
      </w:pPr>
    </w:p>
    <w:p>
      <w:pPr>
        <w:ind w:left="460" w:right="320" w:firstLine="881"/>
        <w:spacing w:after="0" w:line="275" w:lineRule="auto"/>
        <w:tabs>
          <w:tab w:leader="none" w:pos="1585"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Other Stock-Based Awards shall be paid in Shares, in a single payment or in installments on such dates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all as specified in the Incentive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7</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CRITERIA</w:t>
      </w:r>
    </w:p>
    <w:p>
      <w:pPr>
        <w:spacing w:after="0" w:line="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Performance Awards.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purpose of this Section 7 is to provide the Committee the ability to (i) grant Performance-Based Restricted Awards, Other Stock-Based Awards and other types of Incentive Awards which satisfy the Performance-Based Exception, and (ii) grant Performance Awards that are settled in cash or shares of Common Stock based on the satisfaction of Performance Criteria and, where applicable, to cause such awards to satisfy the Performance-Based Exception. If the Committee, in its discretion, decides to grant an Award to a Covered Employee that is intended to satisfy the requirements of the Performance-Based Exception, the provisions of Section 7.6 shall control over any contrary provision contained herein.</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Performance Measures.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Performance Award shall be awarded to a Grantee contingent upon future performance of the Company during the Performance Period. The Committee shall designate (i) the Performance Criteria for each Performance Award, (ii) the Performance Period for each Performance Award, (iii) the number of shares of Common Stock subject to, or the maximum value of, the Performance Award. The Committee, in its sole discretion, may provide for an adjustable Performance Award value based upon the level of achievement of the Performance Goals.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Awards Criteria.</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determining the value of Performance Awards, the Committee shall take into account a Grantee’s responsibility level, performance, potential, other Awards, and such other considerations as it deems appropriate. The Committee, in its sole discretion, may provide for a reduction in the value of a Grantee’s Performance Award during a Performance Period.</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Payment.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end of the Performance Period, the holder of a Performance Award shall be entitled to receive payment of an amount not exceeding the number of Shares subject to, or the maximum value of, the Performance Award, based on the achievement of the performance measures for such Performance Period, as determined and certified in writing by the Committee. Payment of a Performance Award may be made in a lump sum in cash, Shares, or a combination thereof, as determined by the Committee, and shall be made no later than 2-1/2 months after the end of the Performance Period. If a Performance Award covering Shares is to be paid in cash, such payment shall be based on the Fair Market Value of the Shares on the payment date.</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Termination of Award.</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Performance Award shall terminate if the Grantee does not remain continuously in the employ of the Company at all times during the applicable Performance Period, except as may be determined by the Committee.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Awards Subject to the Performance-Based Exception.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determined by the Committee at the time of grant, Performance-Based Restricted Awards, Other Stock-Based Awards, Performance Awards and other types of Incentive Awards made under the Plan may be granted to an Employee subject to performance objectives relating to one or more of the following within the meaning of Code Section 162(m) in order to qualify for the Performance-Based Exception (the “Performance Criteria”):</w:t>
      </w:r>
    </w:p>
    <w:p>
      <w:pPr>
        <w:spacing w:after="0" w:line="26"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profits (including, but not limited to, profit growth, net operating profit or economic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profit-related return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equity, investment or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360"/>
          </w:cols>
          <w:pgMar w:left="240" w:top="460" w:right="2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or cash flow return on capital or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earnings (including but not limited to, total shareholder return, earnings per share or earnings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net sales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net earnings or income (before or after taxes, interest, depreciation and/or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gross, operating or net profit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turnover of assets, capital, or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measures of health, safety or environment;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customer service or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credit quality;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Criteria may be stated in absolute terms or relative to comparison companies or indices to be achieved during a Performance Period.</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Committee shall establish one or more Performance Criteria for each Incentive Award that is intended to qualify for the Performance-Based Exception no later than ninety (90) days after the beginning of the Performance Period to which the Award relates. In establishing the Performance Criteria for each applicable Incentive Award, the Committee may provide that the effect of specified extraordinary or unusual events will be included or excluded (including, but not limited to, all items of gain, loss or expense determined to be extraordinary or unusual in nature or infrequent in occurrence or related to the disposal of a segment of business or related to a change in accounting principle, all as determined in accordance with standards by Opinion No. 30 of the Accounting Principles Board (APB Opinion 30) or other authoritative financial accounting standards). The terms of the stated Performance Criteria for each applicable Incentive Award must preclude the Committee’s discretion to increase the amount payable to any Grantee that would otherwise be due upon attainment of the Performance Criteria. The Performance Criteria specified in any Incentive Agreement need not be applicable to all Incentive Awards, and may be particular to an individual Grantee’s function or business unit. The Committee may establish the Performance Criteria of the Company or any entity which is affiliated by common ownership with the Company as determined and designated by the Committee, in its discretion, in the Incentive Agreement.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PROVISIONS RELATING TO PLAN PARTICIPATION</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Incentive Agreement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Grantee to whom an Incentive Award is granted (other than a Common Stock Award) shall be required to enter into an Incentive Agreement with the Company, in such a form as is provided by the Committee.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360"/>
          </w:cols>
          <w:pgMar w:left="240" w:top="459" w:right="2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Incentive Agreement shall contain such specific terms as determined by the Committee, in its discretion, with respect to the Grantee’s particular Incentive Award. Such terms need not be uniform among all Grantees or any similarly situated Grantees. The Incentive Agreement may include, without limitation, vesting, forfeiture and other provisions that are specific to the individual Grantee’s Incentive Award, as well as, for example, provisions to the effect that the Grantee</w:t>
      </w:r>
    </w:p>
    <w:p>
      <w:pPr>
        <w:spacing w:after="0" w:line="1" w:lineRule="exact"/>
        <w:rPr>
          <w:sz w:val="20"/>
          <w:szCs w:val="20"/>
          <w:color w:val="auto"/>
        </w:rPr>
      </w:pPr>
    </w:p>
    <w:p>
      <w:pPr>
        <w:ind w:firstLine="8"/>
        <w:spacing w:after="0" w:line="287" w:lineRule="auto"/>
        <w:tabs>
          <w:tab w:leader="none" w:pos="21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shall not disclose any confidential information acquired during Employment with the Company, (ii) shall abide by all the terms and conditions of the Plan and such other terms and conditions as may be imposed by the Committee, (iii) shall not interfere with the employment or other service of any employee, (iv) shall not compete with the Company or become involved in a conflict of interest with the interests of the Company, (v) shall forfeit an Incentive Award if terminated for Cause, (vi) shall not be permitted to make an election under Code Section 83(b) when applicable, and (vii) shall be subject to any other agreement between the Grantee and the Company regarding Shares that may be acquired under an Incentive Award including, without limitation, a stockholders’ agreement, buy-sell agreement, or other agreement restricting the transferability of Shares by Grantee. An Incentive Agreement shall include such terms and conditions as are determined by the Committee, in its discretion, to be appropriate with respect to the Grantee. The Incentive Agreement shall be signed by the Grantee to whom the Incentive Award is made and by an Authorized Officer; provided, however, the Committee, in its discretion, may from time to time approve another method of acceptance.</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No Right to Employment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in the Plan or any instrument executed pursuant to the Plan shall create any Employment rights (including without limitation, rights to either continued Employment or service as an Outside Director) in any Grantee or affect any right to terminate the Employment of any Grantee or service as an Outside Director at any time without regard to the existence of the Plan.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Securities Requirements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shall be under no obligation to effect the registration pursuant to the Securities Act of 1933 of any Shares to be issued hereunder or to effect similar compliance under any state laws. Notwithstanding anything herein to the contrary, the Company shall not be obligated to cause to be issued or delivered any certificates evidencing Shares pursuant to the Plan unless and until the Company is advised by its counsel that the issuance and delivery of such certificates is in compliance with all applicable laws, regulations of governmental authorities, and the requirements of any securities exchange on which Shares are traded. The Committee may require, as a condition of the issuance and delivery of certificates evidencing Shares pursuant to the terms hereof, that the recipient of such Shares make such covenants, agreements and representations, and that such certificates bear such legends, as the Committee, in its discretion, deems necessary or desirable.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in its discretion, defer the effectiveness of any payment under an Incentive Award to allow the issuance of Shares to be made pursuant to registration or an exemption from registration or other methods for compliance available under federal or state securities laws. The Committee shall inform the Grantee in writing of its decision to defer the effectiveness of the exercise of an Incentive Award. During the period that the effectiveness of the exercise of an Incentive Award has been deferred, the Grantee may, by written notice to the Committee withdraw such exercise and obtain the refund of any amount paid with respect thereto.</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the Shares issuable on payment of an Incentive Award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(“ACT”), OR THE SECURITIES LAWS OF ANY STATE. THE SECURITIES MAY NOT BE TRANSFERRED EXCEPT PURSUANT TO AN EFFECTIVE REGISTRATION STATEMENT UNDER SUCH ACT AND APPLICABLE STATE SECURITIES LAWS OR PURSUANT TO ANY APPLICABLE EXEMPTION FROM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REGISTRATION REQUIREMENTS OF SUCH ACT AND SUCH LAWS OR PURSUANT TO A WRITTEN OPINION OF COUNSEL REASONABLY SATISFACTORY TO THE COMPANY THAT SUCH REGISTRATION IS NOT REQUIRED.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Transferability</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Incentive Awards granted under the Plan shall not be transferable or assignable other than: (a) by will or the laws of descent and distribution or (b) pursuant to a qualified domestic relations order (as defined under Code Section 414(p)); provided, however, only with respect to Incentive Awards consisting of Stock Options awarded to an Employee, the Committee may, in its discretion, authorize all or a portion of the Stock Options to be granted on terms which permit transfer by the Grantee to (i) the members of the Grantee’s Immediate Family, (ii) a trust or trusts for the exclusive benefit of Immediate Family members, (iii) a partnership in which such Immediate Family members are the only partners, or (iv) any other entity owned solely by Immediate Family members; provided that</w:t>
      </w:r>
    </w:p>
    <w:p>
      <w:pPr>
        <w:spacing w:after="0" w:line="2" w:lineRule="exact"/>
        <w:rPr>
          <w:sz w:val="20"/>
          <w:szCs w:val="20"/>
          <w:color w:val="auto"/>
        </w:rPr>
      </w:pPr>
    </w:p>
    <w:p>
      <w:pPr>
        <w:ind w:firstLine="8"/>
        <w:spacing w:after="0" w:line="288" w:lineRule="auto"/>
        <w:tabs>
          <w:tab w:leader="none" w:pos="28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there may be no consideration for any such transfer, (B) the Incentive Agreement pursuant to which such Stock Options are granted must be approved by the Committee, and must expressly provide for transferability in a manner consistent with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(C) subsequent transfers of transferred Stock Options shall be prohibited except in accordance with clauses (a) and (b) (above) of this sentence, and (D) there may be no transfer of any Incentive Award in a listed transaction as described in IRS Notice 2003-47. Following any permitted transfer, the Stock Option shall continue to be subject to the same terms and conditions as were applicable immediately prior to transfer, provided that the term “Grantee” shall be deemed to refer to the transferee. The events of termination of employment, as set out in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in the Incentive Agreement, shall continue to be applied with respect to the original Grantee, and the Incentive Award shall be exercisable by the transferee only to the extent, and for the periods, specified in the Incentive Agreement.</w:t>
      </w:r>
    </w:p>
    <w:p>
      <w:pPr>
        <w:spacing w:after="0" w:line="12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Except as may otherwise be permitted under the Code, in the event of a permitted transfer of a Stock Option hereunder, the original Grantee shall remain subject to withholding taxes upon exercise. In addition, the Company and the Committee shall have no obligation to provide any notices to any Grantee or transferee thereof, including, for example, notice of the expiration of an Incentive Award following the original Grantee’s termination of Employment.</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designation by a Grantee of a beneficiary of an Incentive Award shall not constitute transfer of the Incentive Award. No transfer by will or by the laws of descent and distribution shall be effective to bind the Company unless the Committee has been furnished with a copy of the deceased Grantee’s enforceable will or such other evidence as the Committee deems necessary to establish the validity of the transfer. Any attempted transfer in violation of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void and ineffective. All determinations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made by the Committee.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Rights as a Stockholder</w:t>
      </w:r>
    </w:p>
    <w:p>
      <w:pPr>
        <w:spacing w:after="0" w:line="90" w:lineRule="exact"/>
        <w:rPr>
          <w:sz w:val="20"/>
          <w:szCs w:val="20"/>
          <w:color w:val="auto"/>
        </w:rPr>
      </w:pPr>
    </w:p>
    <w:p>
      <w:pPr>
        <w:ind w:left="460" w:right="20" w:firstLine="881"/>
        <w:spacing w:after="0" w:line="262" w:lineRule="auto"/>
        <w:tabs>
          <w:tab w:leader="none" w:pos="1575"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color w:val="auto"/>
        </w:rPr>
        <w:t>. Except as otherwise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4.1(b)</w:t>
      </w:r>
      <w:r>
        <w:rPr>
          <w:rFonts w:ascii="Arial" w:cs="Arial" w:eastAsia="Arial" w:hAnsi="Arial"/>
          <w:sz w:val="18"/>
          <w:szCs w:val="18"/>
          <w:b w:val="1"/>
          <w:bCs w:val="1"/>
          <w:color w:val="auto"/>
        </w:rPr>
        <w:t xml:space="preserve"> </w:t>
      </w:r>
      <w:r>
        <w:rPr>
          <w:rFonts w:ascii="Arial" w:cs="Arial" w:eastAsia="Arial" w:hAnsi="Arial"/>
          <w:sz w:val="18"/>
          <w:szCs w:val="18"/>
          <w:color w:val="auto"/>
        </w:rPr>
        <w:t>for grants of Restricted Stock, a Grantee of an Incentive Award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permitted transferee of such Grantee) shall have no rights as a stockholder with respect to any Shares of Common Stock until the issuance of a stock certificate or other record of ownership for such Shares.</w:t>
      </w:r>
    </w:p>
    <w:p>
      <w:pPr>
        <w:spacing w:after="0" w:line="51" w:lineRule="exact"/>
        <w:rPr>
          <w:rFonts w:ascii="Arial" w:cs="Arial" w:eastAsia="Arial" w:hAnsi="Arial"/>
          <w:sz w:val="18"/>
          <w:szCs w:val="18"/>
          <w:color w:val="auto"/>
        </w:rPr>
      </w:pPr>
    </w:p>
    <w:p>
      <w:pPr>
        <w:ind w:left="460" w:right="100" w:firstLine="881"/>
        <w:spacing w:after="0" w:line="339" w:lineRule="auto"/>
        <w:tabs>
          <w:tab w:leader="none" w:pos="1585" w:val="left"/>
        </w:tabs>
        <w:numPr>
          <w:ilvl w:val="0"/>
          <w:numId w:val="315"/>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 of Ownership</w:t>
      </w:r>
      <w:r>
        <w:rPr>
          <w:rFonts w:ascii="Arial" w:cs="Arial" w:eastAsia="Arial" w:hAnsi="Arial"/>
          <w:sz w:val="15"/>
          <w:szCs w:val="15"/>
          <w:color w:val="auto"/>
        </w:rPr>
        <w:t>. In the case of the exercise of an Incentive Award by a person or estate acquiring the right to exercise such</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Award by reason of the death or Disability of a Grantee, the Committee may require reasonable evidence as to the ownership of such Incentive Award or the authority of such person. The Committee may also require such consents and releases of taxing authorities as it deems advisable.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Change in Stock and Adjustments</w:t>
      </w:r>
    </w:p>
    <w:p>
      <w:pPr>
        <w:spacing w:after="0" w:line="90" w:lineRule="exact"/>
        <w:rPr>
          <w:sz w:val="20"/>
          <w:szCs w:val="20"/>
          <w:color w:val="auto"/>
        </w:rPr>
      </w:pPr>
    </w:p>
    <w:p>
      <w:pPr>
        <w:ind w:left="460" w:right="60" w:firstLine="881"/>
        <w:spacing w:after="0" w:line="289" w:lineRule="auto"/>
        <w:tabs>
          <w:tab w:leader="none" w:pos="1575"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Law or Circumstances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in the event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applicable law or any change in circumstances which results in or would result in any dilution of the rights granted under the Plan, or which otherwise warrants an equitable adjustment because it interferes with the intended operation of the Plan, then, if the Board or Committee should so determine, in its absolute discretion, that such change equitably requires an adjustment in the number or kind of shares of stock or other securities or property theretofore subject, or which may become subject, to issuance or transfer under the Plan or in the terms and conditions of outstanding Incentive Awards, such adjustment shall be made in accordance with such determination. Such adjustments may include changes with respect to (i) the aggregate number of Shares that may be issued under the Plan, (ii) the number of Shares subject to Incentive Awards, and (iii) the price per Share for outstanding Incentive Awards, but shall not result in the grant of any Stock Option with an exercise price less than 100% of the Fair Market Value per Share on the date of grant. The Board or Committee shall give notice to each applicable Grantee of such adjustment which shall be effective and binding.</w:t>
      </w:r>
    </w:p>
    <w:p>
      <w:pPr>
        <w:spacing w:after="0" w:line="31" w:lineRule="exact"/>
        <w:rPr>
          <w:rFonts w:ascii="Arial" w:cs="Arial" w:eastAsia="Arial" w:hAnsi="Arial"/>
          <w:sz w:val="16"/>
          <w:szCs w:val="16"/>
          <w:color w:val="auto"/>
        </w:rPr>
      </w:pPr>
    </w:p>
    <w:p>
      <w:pPr>
        <w:ind w:left="460" w:right="60" w:firstLine="881"/>
        <w:spacing w:after="0" w:line="296" w:lineRule="auto"/>
        <w:tabs>
          <w:tab w:leader="none" w:pos="1585"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Corporate Powers</w:t>
      </w:r>
      <w:r>
        <w:rPr>
          <w:rFonts w:ascii="Arial" w:cs="Arial" w:eastAsia="Arial" w:hAnsi="Arial"/>
          <w:sz w:val="16"/>
          <w:szCs w:val="16"/>
          <w:color w:val="auto"/>
        </w:rPr>
        <w:t>. The existence of the Plan or outstanding Incentive Awards hereunder shall not affect in any way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or power of the Company or its stockholders to make or authorize any or all adjustments, recapitalization, reorganization or other changes in the Company’s capital structure or its business or any merger or consolidation of the Company, or any issue of bonds, debentures, preferred or prior preference stocks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26" w:lineRule="exact"/>
        <w:rPr>
          <w:rFonts w:ascii="Arial" w:cs="Arial" w:eastAsia="Arial" w:hAnsi="Arial"/>
          <w:sz w:val="16"/>
          <w:szCs w:val="16"/>
          <w:color w:val="auto"/>
        </w:rPr>
      </w:pPr>
    </w:p>
    <w:p>
      <w:pPr>
        <w:ind w:left="460" w:firstLine="881"/>
        <w:spacing w:after="0" w:line="289" w:lineRule="auto"/>
        <w:tabs>
          <w:tab w:leader="none" w:pos="1575"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 of the Company</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if while there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Incentive Awards outstanding, the Company shall effect any subdivision or consolidation of Shares of Common Stock or other capital readjustment, the payment of a stock dividend, stock split, combination of Shares, recapitalization or other increase or reduction in the number of Shares outstanding, without receiving compensation therefor in money, services or property, then the number of Shares available under the Plan and the number of Incentive Awards which may thereafter be settled shall (i) in the event of an increase in the number of Shares outstanding, be proportionately increased and the Option Price or Fair Market Value of the Incentive Awards awarded shall be proportionately reduced; and (ii) in the event of a reduction in the number of Shares outstanding, be proportionately reduced, and the Option Price or Fair Market Value of the Incentive Awards awarded shall be proportionately increased. The Board or Committee shall take such action and whatever other action it deems appropriate, in its discretion, so that the value of each outstanding Incentive Award to the Grantee shall not be adversely affected by a corporate event described in this </w:t>
      </w:r>
      <w:r>
        <w:rPr>
          <w:rFonts w:ascii="Arial" w:cs="Arial" w:eastAsia="Arial" w:hAnsi="Arial"/>
          <w:sz w:val="16"/>
          <w:szCs w:val="16"/>
          <w:u w:val="single" w:color="auto"/>
          <w:color w:val="auto"/>
        </w:rPr>
        <w:t>Section 8.6(c)</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0" w:firstLine="881"/>
        <w:spacing w:after="0" w:line="293" w:lineRule="auto"/>
        <w:tabs>
          <w:tab w:leader="none" w:pos="1585"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Issue of Common Stock by the Company</w:t>
      </w:r>
      <w:r>
        <w:rPr>
          <w:rFonts w:ascii="Arial" w:cs="Arial" w:eastAsia="Arial" w:hAnsi="Arial"/>
          <w:sz w:val="16"/>
          <w:szCs w:val="16"/>
          <w:color w:val="auto"/>
        </w:rPr>
        <w:t>. Except as hereinabove expressly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the issue by the Company of shares of stock of any class, or securities convertible into shares of stock of any class, for cash or property, or for labor or services, either upon direct sale or upon the exercise of rights or warrants to subscribe therefor, or upon any conversion of shares or obligations of the Company convertible into such shares or other securities, shall not affect, and no adjustment by reason thereof shall be made with respect to, the number of, Option Price or Fair Market Value of, any Incentive Awards then outstanding under previously granted Incentive Awards; provided, however, in such event, outstanding Shares of Restricted Stock shall be treated the same as outstanding unrestricted Shares of Common Stock.</w:t>
      </w:r>
    </w:p>
    <w:p>
      <w:pPr>
        <w:spacing w:after="0" w:line="29" w:lineRule="exact"/>
        <w:rPr>
          <w:rFonts w:ascii="Arial" w:cs="Arial" w:eastAsia="Arial" w:hAnsi="Arial"/>
          <w:sz w:val="16"/>
          <w:szCs w:val="16"/>
          <w:color w:val="auto"/>
        </w:rPr>
      </w:pPr>
    </w:p>
    <w:p>
      <w:pPr>
        <w:ind w:left="460" w:right="20" w:firstLine="881"/>
        <w:spacing w:after="0" w:line="256" w:lineRule="auto"/>
        <w:tabs>
          <w:tab w:leader="none" w:pos="1575"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under the Plan of Outstanding Stock Options</w:t>
      </w:r>
      <w:r>
        <w:rPr>
          <w:rFonts w:ascii="Arial" w:cs="Arial" w:eastAsia="Arial" w:hAnsi="Arial"/>
          <w:sz w:val="18"/>
          <w:szCs w:val="18"/>
          <w:color w:val="auto"/>
        </w:rPr>
        <w:t>. Notwithstanding any other provision of the Plan, the Board or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may authorize the assumption and continuation under the Plan of outstanding and unexercised stock options or other types of stock-based incentive awards that were granted under a stock option plan (or other type of stock incentive plan or agreement) that is or was maintained by a corporation or other entity that was merged into, consolidated with, or whose stock or assets were acquired by, the Company as the surviving corporation. Any such 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 xml:space="preserve">shall be upon such terms and conditions as the Board or Committee, in its discretion, may deem appropriate, including provisions to preserve the holder’s rights under the previously granted and unexercised stock option or other stock-based incentive award; such as, for example, retaining an existing exercise price under an outstanding stock option. Any such assumption and continuation of any such previously granted and unexercised incentive award shall be treated as an outstanding Incentive Award under the Plan and shall thus count against the number of Shares reserved for issuance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 addition, any Shares issued by the Company through the assumption or substitution of outstanding grants from an acquired company shall reduce the Shares available for grants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if not prohibited by any applicable rule or regulation and after obtaining any required shareholder approval, shall likewise increase the number of Shares available for Incentive Awards.</w:t>
      </w:r>
    </w:p>
    <w:p>
      <w:pPr>
        <w:spacing w:after="0" w:line="31" w:lineRule="exact"/>
        <w:rPr>
          <w:sz w:val="20"/>
          <w:szCs w:val="20"/>
          <w:color w:val="auto"/>
        </w:rPr>
      </w:pPr>
    </w:p>
    <w:p>
      <w:pPr>
        <w:ind w:left="460" w:right="60" w:firstLine="881"/>
        <w:spacing w:after="0" w:line="288" w:lineRule="auto"/>
        <w:tabs>
          <w:tab w:leader="none" w:pos="1556" w:val="left"/>
        </w:tabs>
        <w:numPr>
          <w:ilvl w:val="0"/>
          <w:numId w:val="317"/>
        </w:numPr>
        <w:rPr>
          <w:rFonts w:ascii="Arial" w:cs="Arial" w:eastAsia="Arial" w:hAnsi="Arial"/>
          <w:sz w:val="16"/>
          <w:szCs w:val="16"/>
          <w:color w:val="auto"/>
        </w:rPr>
      </w:pPr>
      <w:r>
        <w:rPr>
          <w:rFonts w:ascii="Arial" w:cs="Arial" w:eastAsia="Arial" w:hAnsi="Arial"/>
          <w:sz w:val="16"/>
          <w:szCs w:val="16"/>
          <w:b w:val="1"/>
          <w:bCs w:val="1"/>
          <w:u w:val="single" w:color="auto"/>
          <w:color w:val="auto"/>
        </w:rPr>
        <w:t>Assumption of Incentive Awards by a Successor</w:t>
      </w:r>
      <w:r>
        <w:rPr>
          <w:rFonts w:ascii="Arial" w:cs="Arial" w:eastAsia="Arial" w:hAnsi="Arial"/>
          <w:sz w:val="16"/>
          <w:szCs w:val="16"/>
          <w:color w:val="auto"/>
        </w:rPr>
        <w:t>. Subject to the accelerated vesting and other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that apply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in the event of a Corporate Event (defined below), each Grantee shall be entitled to receive, in lieu of the number of Shares subject to Incentive Awards, such shares of capital stock or other securities or property as may be issuable or payable with respect to or in exchange for the number of Shares which Grantee would have received had he been entitled to exercise Shares subject to the Award immediately prior to such Corporate Event, together with any conforming adjustments. For this purpose, Shares of Restricted Stock shall be treated the same as unrestricted outstanding Shares of Common Stock. A “Corporate Event” means any of the following: (i) a dissolution or liquidation of the Company, (ii) a sale of all or substantially all of the Company’s assets, or (iii) a merger, consolidation or combination involving the Company (other than a merger, consolidation or combination (A) in which the Company is the continuing or surviving corporation and (B) which does not result in the outstanding Shares being converted into or exchanged for different securities, cash or other property, or any combination thereof). The Board or Committee shall take whatever other action it deems appropriate to preserve the rights of Grantees holding outstanding Incentive Awards.</w:t>
      </w:r>
    </w:p>
    <w:p>
      <w:pPr>
        <w:spacing w:after="0" w:line="40"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 xml:space="preserve">Notwithstanding the previous paragraph of this </w:t>
      </w:r>
      <w:r>
        <w:rPr>
          <w:rFonts w:ascii="Arial" w:cs="Arial" w:eastAsia="Arial" w:hAnsi="Arial"/>
          <w:sz w:val="18"/>
          <w:szCs w:val="18"/>
          <w:u w:val="single" w:color="auto"/>
          <w:color w:val="auto"/>
        </w:rPr>
        <w:t>Section 8.6(f)</w:t>
      </w:r>
      <w:r>
        <w:rPr>
          <w:rFonts w:ascii="Arial" w:cs="Arial" w:eastAsia="Arial" w:hAnsi="Arial"/>
          <w:sz w:val="18"/>
          <w:szCs w:val="18"/>
          <w:color w:val="auto"/>
        </w:rPr>
        <w:t xml:space="preserve">, but subject to any accelerated vesting or other provisions of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or the Incentive Agreement that apply in the event of a Change in Control, in the event of a Corporate Event (described in the previous paragraph), the Board or Committee, in its discretion, shall have the right and power to:</w:t>
      </w:r>
    </w:p>
    <w:p>
      <w:pPr>
        <w:spacing w:after="0" w:line="59" w:lineRule="exact"/>
        <w:rPr>
          <w:sz w:val="20"/>
          <w:szCs w:val="20"/>
          <w:color w:val="auto"/>
        </w:rPr>
      </w:pPr>
    </w:p>
    <w:p>
      <w:pPr>
        <w:ind w:left="920" w:right="120" w:firstLine="421"/>
        <w:spacing w:after="0" w:line="303" w:lineRule="auto"/>
        <w:tabs>
          <w:tab w:leader="none" w:pos="1549" w:val="left"/>
        </w:tabs>
        <w:numPr>
          <w:ilvl w:val="1"/>
          <w:numId w:val="318"/>
        </w:numPr>
        <w:rPr>
          <w:rFonts w:ascii="Arial" w:cs="Arial" w:eastAsia="Arial" w:hAnsi="Arial"/>
          <w:sz w:val="15"/>
          <w:szCs w:val="15"/>
          <w:color w:val="auto"/>
        </w:rPr>
      </w:pPr>
      <w:r>
        <w:rPr>
          <w:rFonts w:ascii="Arial" w:cs="Arial" w:eastAsia="Arial" w:hAnsi="Arial"/>
          <w:sz w:val="15"/>
          <w:szCs w:val="15"/>
          <w:color w:val="auto"/>
        </w:rPr>
        <w:t>cancel, effective immediately prior to the occurrence of the Corporate Event, each outstanding Incentive Award (whether or not then exercisable) and, in full consideration of such cancellation, pay to the Grantee an amount in cash equal to the excess of (A) the value, as determined by the Board or Committee, of the property (including cash) received by the holders of Common Stock as a result of such Corporate Event over</w:t>
      </w:r>
    </w:p>
    <w:p>
      <w:pPr>
        <w:spacing w:after="0" w:line="1" w:lineRule="exact"/>
        <w:rPr>
          <w:rFonts w:ascii="Arial" w:cs="Arial" w:eastAsia="Arial" w:hAnsi="Arial"/>
          <w:sz w:val="15"/>
          <w:szCs w:val="15"/>
          <w:color w:val="auto"/>
        </w:rPr>
      </w:pPr>
    </w:p>
    <w:p>
      <w:pPr>
        <w:ind w:left="920" w:right="120" w:firstLine="1"/>
        <w:spacing w:after="0" w:line="295" w:lineRule="auto"/>
        <w:tabs>
          <w:tab w:leader="none" w:pos="119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exercise price of such Incentive Award, if any; provided, however, this subsection (i) shall be inapplicable to an Incentive Award granted within six (6) months before the occurrence of the Corporate Event if the Grantee is an Insider and such disposition is not exempt under Rule 16b-3 (or other rules preventing liability of the Insider under Section 16(b) of the Exchange Act) and, in that event, the provisions hereof shall be applicable to such Incentive Award after the expiration of six (6) months from the date of grant; or</w:t>
      </w:r>
    </w:p>
    <w:p>
      <w:pPr>
        <w:spacing w:after="0" w:line="34" w:lineRule="exact"/>
        <w:rPr>
          <w:rFonts w:ascii="Arial" w:cs="Arial" w:eastAsia="Arial" w:hAnsi="Arial"/>
          <w:sz w:val="16"/>
          <w:szCs w:val="16"/>
          <w:color w:val="auto"/>
        </w:rPr>
      </w:pPr>
    </w:p>
    <w:p>
      <w:pPr>
        <w:ind w:left="920" w:right="220" w:firstLine="421"/>
        <w:spacing w:after="0" w:line="298" w:lineRule="auto"/>
        <w:tabs>
          <w:tab w:leader="none" w:pos="1598" w:val="left"/>
        </w:tabs>
        <w:numPr>
          <w:ilvl w:val="1"/>
          <w:numId w:val="319"/>
        </w:numPr>
        <w:rPr>
          <w:rFonts w:ascii="Arial" w:cs="Arial" w:eastAsia="Arial" w:hAnsi="Arial"/>
          <w:sz w:val="16"/>
          <w:szCs w:val="16"/>
          <w:color w:val="auto"/>
        </w:rPr>
      </w:pPr>
      <w:r>
        <w:rPr>
          <w:rFonts w:ascii="Arial" w:cs="Arial" w:eastAsia="Arial" w:hAnsi="Arial"/>
          <w:sz w:val="16"/>
          <w:szCs w:val="16"/>
          <w:color w:val="auto"/>
        </w:rPr>
        <w:t>provide for the exchange or substitution of each Incentive Award outstanding immediately prior to such Corporate Event (whether or not then exercisable) for another award with respect to the Common Stock or other property for which such Incentive Award is exchangeable and, incident thereto, make an equitable adjustment as determined by the Board or Committee, in its discretion, in the Option Price or exercise price of the Incentive Award, if any, or in the number of Shares or amount of property (including cash) subject to the Incentive Award; or</w:t>
      </w:r>
    </w:p>
    <w:p>
      <w:pPr>
        <w:spacing w:after="0" w:line="31" w:lineRule="exact"/>
        <w:rPr>
          <w:rFonts w:ascii="Arial" w:cs="Arial" w:eastAsia="Arial" w:hAnsi="Arial"/>
          <w:sz w:val="16"/>
          <w:szCs w:val="16"/>
          <w:color w:val="auto"/>
        </w:rPr>
      </w:pPr>
    </w:p>
    <w:p>
      <w:pPr>
        <w:ind w:left="1640" w:hanging="299"/>
        <w:spacing w:after="0"/>
        <w:tabs>
          <w:tab w:leader="none" w:pos="16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provide for assumption of the Plan and such outstanding Incentive Awards by the surviving entity or its parent.</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 xml:space="preserve">The Board or Committee, in its discretion, shall have the authority to take whatever action it deems to be necessary or appropriate to effectuate the provisions of this </w:t>
      </w:r>
      <w:r>
        <w:rPr>
          <w:rFonts w:ascii="Arial" w:cs="Arial" w:eastAsia="Arial" w:hAnsi="Arial"/>
          <w:sz w:val="18"/>
          <w:szCs w:val="18"/>
          <w:u w:val="single" w:color="auto"/>
          <w:color w:val="auto"/>
        </w:rPr>
        <w:t>Section 8.6(f)</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Termination of Employment or Directorship, Death, Disability and Retirement</w:t>
      </w:r>
    </w:p>
    <w:p>
      <w:pPr>
        <w:spacing w:after="0" w:line="90" w:lineRule="exact"/>
        <w:rPr>
          <w:sz w:val="20"/>
          <w:szCs w:val="20"/>
          <w:color w:val="auto"/>
        </w:rPr>
      </w:pPr>
    </w:p>
    <w:p>
      <w:pPr>
        <w:ind w:left="460" w:firstLine="881"/>
        <w:spacing w:after="0" w:line="284" w:lineRule="auto"/>
        <w:tabs>
          <w:tab w:leader="none" w:pos="1575" w:val="left"/>
        </w:tabs>
        <w:numPr>
          <w:ilvl w:val="1"/>
          <w:numId w:val="32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w:t>
      </w:r>
      <w:r>
        <w:rPr>
          <w:rFonts w:ascii="Arial" w:cs="Arial" w:eastAsia="Arial" w:hAnsi="Arial"/>
          <w:sz w:val="16"/>
          <w:szCs w:val="16"/>
          <w:color w:val="auto"/>
        </w:rPr>
        <w:t>t. Unless otherwise expressly provided in the Grantee’s Incentive Agreement with respect to a Grantee who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Employee, if the Grantee’s Employment is terminated (i) involuntarily by the Company without Cause or (ii) for any other reason except due to his death, Disability, Retirement, for Cause, or his voluntary resignation, as subject to the following provisions of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then any non-vested portion of any Stock Option or other Incentive Award at the time of such termination shall automatically expire and terminate and no further vesting shall occur after the termination date unless the Committee, in its discretion, provides for an extension of exercisability or other modification pursuant to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8.7(g)</w:t>
      </w:r>
      <w:r>
        <w:rPr>
          <w:rFonts w:ascii="Arial" w:cs="Arial" w:eastAsia="Arial" w:hAnsi="Arial"/>
          <w:sz w:val="16"/>
          <w:szCs w:val="16"/>
          <w:color w:val="auto"/>
        </w:rPr>
        <w:t>. In such event, except as otherwise expressly provided in his Incentive Agreement or as determined by the Committee in its discretion, the Grantee shall be entitled to exercise his rights only with respect to the vested portion of the Incentive Award for a period that shall end on the earlier of</w:t>
      </w:r>
    </w:p>
    <w:p>
      <w:pPr>
        <w:ind w:left="680" w:hanging="216"/>
        <w:spacing w:after="0"/>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expiration date set forth in the Incentive Agreement or (ii) one (1) year after the date of his termination of Employment.</w:t>
      </w:r>
    </w:p>
    <w:p>
      <w:pPr>
        <w:spacing w:after="0" w:line="77" w:lineRule="exact"/>
        <w:rPr>
          <w:rFonts w:ascii="Arial" w:cs="Arial" w:eastAsia="Arial" w:hAnsi="Arial"/>
          <w:sz w:val="18"/>
          <w:szCs w:val="18"/>
          <w:color w:val="auto"/>
        </w:rPr>
      </w:pPr>
    </w:p>
    <w:p>
      <w:pPr>
        <w:ind w:left="460" w:right="220" w:firstLine="881"/>
        <w:spacing w:after="0" w:line="262" w:lineRule="auto"/>
        <w:tabs>
          <w:tab w:leader="none" w:pos="1585" w:val="left"/>
        </w:tabs>
        <w:numPr>
          <w:ilvl w:val="1"/>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With respect to a Grantee who is an Outside Director, unless otherwise specifically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Grantee’s Incentive Agreement, and except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upon a Grantee’s Termination of Directorship, all outstanding Awards that are not vested as of such Termination of Directorship will be forfeited.</w:t>
      </w:r>
    </w:p>
    <w:p>
      <w:pPr>
        <w:spacing w:after="0" w:line="51" w:lineRule="exact"/>
        <w:rPr>
          <w:rFonts w:ascii="Arial" w:cs="Arial" w:eastAsia="Arial" w:hAnsi="Arial"/>
          <w:sz w:val="18"/>
          <w:szCs w:val="18"/>
          <w:color w:val="auto"/>
        </w:rPr>
      </w:pPr>
    </w:p>
    <w:p>
      <w:pPr>
        <w:ind w:left="460" w:right="160" w:firstLine="881"/>
        <w:spacing w:after="0" w:line="338" w:lineRule="auto"/>
        <w:tabs>
          <w:tab w:leader="none" w:pos="1575" w:val="left"/>
        </w:tabs>
        <w:numPr>
          <w:ilvl w:val="1"/>
          <w:numId w:val="321"/>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 for Cause</w:t>
      </w:r>
      <w:r>
        <w:rPr>
          <w:rFonts w:ascii="Arial" w:cs="Arial" w:eastAsia="Arial" w:hAnsi="Arial"/>
          <w:sz w:val="15"/>
          <w:szCs w:val="15"/>
          <w:color w:val="auto"/>
        </w:rPr>
        <w:t>. Unless otherwise expressly provided in the Grantee’s Incentive Agreement with respect to a</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who is an Employee, in the event of termination of the Grantee’s Employment for Cause, all vested and non-vested Incentive Awards granted to such Grantee shall immediately expire, and shall not be exercisable to any extent, as of 12:01 a.m. (CST) on the date of such termination of Employment.</w:t>
      </w:r>
    </w:p>
    <w:p>
      <w:pPr>
        <w:ind w:left="460" w:right="240" w:firstLine="881"/>
        <w:spacing w:after="0" w:line="361" w:lineRule="auto"/>
        <w:tabs>
          <w:tab w:leader="none" w:pos="1585" w:val="left"/>
        </w:tabs>
        <w:numPr>
          <w:ilvl w:val="1"/>
          <w:numId w:val="321"/>
        </w:numPr>
        <w:rPr>
          <w:rFonts w:ascii="Arial" w:cs="Arial" w:eastAsia="Arial" w:hAnsi="Arial"/>
          <w:sz w:val="15"/>
          <w:szCs w:val="15"/>
          <w:color w:val="auto"/>
        </w:rPr>
      </w:pPr>
      <w:r>
        <w:rPr>
          <w:rFonts w:ascii="Arial" w:cs="Arial" w:eastAsia="Arial" w:hAnsi="Arial"/>
          <w:sz w:val="15"/>
          <w:szCs w:val="15"/>
          <w:b w:val="1"/>
          <w:bCs w:val="1"/>
          <w:u w:val="single" w:color="auto"/>
          <w:color w:val="auto"/>
        </w:rPr>
        <w:t>Voluntary Resignation</w:t>
      </w:r>
      <w:r>
        <w:rPr>
          <w:rFonts w:ascii="Arial" w:cs="Arial" w:eastAsia="Arial" w:hAnsi="Arial"/>
          <w:sz w:val="15"/>
          <w:szCs w:val="15"/>
          <w:color w:val="auto"/>
        </w:rPr>
        <w:t>. Unless otherwise expressly provided in the Grantee’s Incentive Agreement, with respect to a Grantee who is 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 the event of termination of the Grantee’s Employment due to his voluntary resignation except resulting from his Disability or Retirement:</w:t>
      </w:r>
    </w:p>
    <w:p>
      <w:pPr>
        <w:ind w:left="1560" w:hanging="219"/>
        <w:spacing w:after="0"/>
        <w:tabs>
          <w:tab w:leader="none" w:pos="15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20" w:firstLine="421"/>
        <w:spacing w:after="0" w:line="268" w:lineRule="auto"/>
        <w:tabs>
          <w:tab w:leader="none" w:pos="159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ninety (90) days after the date of his termination of Employment.</w:t>
      </w:r>
    </w:p>
    <w:p>
      <w:pPr>
        <w:spacing w:after="0" w:line="45" w:lineRule="exact"/>
        <w:rPr>
          <w:sz w:val="20"/>
          <w:szCs w:val="20"/>
          <w:color w:val="auto"/>
        </w:rPr>
      </w:pPr>
    </w:p>
    <w:p>
      <w:pPr>
        <w:ind w:left="460" w:right="300" w:firstLine="881"/>
        <w:spacing w:after="0" w:line="275" w:lineRule="auto"/>
        <w:tabs>
          <w:tab w:leader="none" w:pos="1575"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Unless otherwise expressly provided in the Grantee’s Incentive Agreement, with respect to a Grantee who is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Employment due to Retirement:</w:t>
      </w:r>
    </w:p>
    <w:p>
      <w:pPr>
        <w:spacing w:after="0" w:line="45" w:lineRule="exact"/>
        <w:rPr>
          <w:sz w:val="20"/>
          <w:szCs w:val="20"/>
          <w:color w:val="auto"/>
        </w:rPr>
      </w:pPr>
    </w:p>
    <w:p>
      <w:pPr>
        <w:ind w:left="1560" w:hanging="219"/>
        <w:spacing w:after="0"/>
        <w:tabs>
          <w:tab w:leader="none" w:pos="15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45" w:lineRule="exact"/>
        <w:rPr>
          <w:sz w:val="20"/>
          <w:szCs w:val="20"/>
          <w:color w:val="auto"/>
        </w:rPr>
      </w:pPr>
    </w:p>
    <w:p>
      <w:pPr>
        <w:ind w:left="460" w:right="540" w:firstLine="881"/>
        <w:spacing w:after="0" w:line="275" w:lineRule="auto"/>
        <w:tabs>
          <w:tab w:leader="none" w:pos="1556"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or Death</w:t>
      </w:r>
      <w:r>
        <w:rPr>
          <w:rFonts w:ascii="Arial" w:cs="Arial" w:eastAsia="Arial" w:hAnsi="Arial"/>
          <w:sz w:val="18"/>
          <w:szCs w:val="18"/>
          <w:color w:val="auto"/>
        </w:rPr>
        <w:t>. Unless otherwise expressly provided in the Grantee’s Incentive Agreement, with respect to a Grantee who is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upon termination of Employment as a result of the Grantee’s Disability or death:</w:t>
      </w:r>
    </w:p>
    <w:p>
      <w:pPr>
        <w:spacing w:after="0" w:line="126" w:lineRule="exact"/>
        <w:rPr>
          <w:sz w:val="20"/>
          <w:szCs w:val="20"/>
          <w:color w:val="auto"/>
        </w:rPr>
      </w:pPr>
    </w:p>
    <w:p>
      <w:pPr>
        <w:ind w:left="920" w:right="260" w:firstLine="421"/>
        <w:spacing w:after="0" w:line="268" w:lineRule="auto"/>
        <w:tabs>
          <w:tab w:leader="none" w:pos="154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non-vested portion of any outstanding Incentive Award shall immediately terminate upon termination of Employment and no further vesting shall occur; and</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 xml:space="preserve">In the event that the Grantee dies or becomes permanently and totally disabled as determined by the Committee within the one-year period specified in </w:t>
      </w:r>
      <w:r>
        <w:rPr>
          <w:rFonts w:ascii="Arial" w:cs="Arial" w:eastAsia="Arial" w:hAnsi="Arial"/>
          <w:sz w:val="18"/>
          <w:szCs w:val="18"/>
          <w:u w:val="single" w:color="auto"/>
          <w:color w:val="auto"/>
        </w:rPr>
        <w:t>Section 8.7(a)</w:t>
      </w:r>
      <w:r>
        <w:rPr>
          <w:rFonts w:ascii="Arial" w:cs="Arial" w:eastAsia="Arial" w:hAnsi="Arial"/>
          <w:sz w:val="18"/>
          <w:szCs w:val="18"/>
          <w:color w:val="auto"/>
        </w:rPr>
        <w:t xml:space="preserve"> (above), then notwithstanding </w:t>
      </w:r>
      <w:r>
        <w:rPr>
          <w:rFonts w:ascii="Arial" w:cs="Arial" w:eastAsia="Arial" w:hAnsi="Arial"/>
          <w:sz w:val="18"/>
          <w:szCs w:val="18"/>
          <w:u w:val="single" w:color="auto"/>
          <w:color w:val="auto"/>
        </w:rPr>
        <w:t>Section 8.7(a)</w:t>
      </w:r>
      <w:r>
        <w:rPr>
          <w:rFonts w:ascii="Arial" w:cs="Arial" w:eastAsia="Arial" w:hAnsi="Arial"/>
          <w:sz w:val="18"/>
          <w:szCs w:val="18"/>
          <w:color w:val="auto"/>
        </w:rPr>
        <w:t>, the Incentive Award shall expire on the earlier of (A) the expiration date set forth in the Incentive Agreement for such Incentive Award or (B) the expiration of one (1) year after the date of his death or the date he is determined to be permanently and totally disabled as such date is determined by the Committee.</w:t>
      </w:r>
    </w:p>
    <w:p>
      <w:pPr>
        <w:spacing w:after="0" w:line="62" w:lineRule="exact"/>
        <w:rPr>
          <w:sz w:val="20"/>
          <w:szCs w:val="20"/>
          <w:color w:val="auto"/>
        </w:rPr>
      </w:pPr>
    </w:p>
    <w:p>
      <w:pPr>
        <w:ind w:left="460" w:firstLine="438"/>
        <w:spacing w:after="0" w:line="284" w:lineRule="auto"/>
        <w:rPr>
          <w:sz w:val="20"/>
          <w:szCs w:val="20"/>
          <w:color w:val="auto"/>
        </w:rPr>
      </w:pPr>
      <w:r>
        <w:rPr>
          <w:rFonts w:ascii="Arial" w:cs="Arial" w:eastAsia="Arial" w:hAnsi="Arial"/>
          <w:sz w:val="16"/>
          <w:szCs w:val="16"/>
          <w:color w:val="auto"/>
        </w:rPr>
        <w:t xml:space="preserve">In the event that the Grantee dies or becomes permanently and totally disabled as determined by the Committee within the three-year period specified in </w:t>
      </w:r>
      <w:r>
        <w:rPr>
          <w:rFonts w:ascii="Arial" w:cs="Arial" w:eastAsia="Arial" w:hAnsi="Arial"/>
          <w:sz w:val="16"/>
          <w:szCs w:val="16"/>
          <w:u w:val="single" w:color="auto"/>
          <w:color w:val="auto"/>
        </w:rPr>
        <w:t>Section 8.7(e)</w:t>
      </w:r>
      <w:r>
        <w:rPr>
          <w:rFonts w:ascii="Arial" w:cs="Arial" w:eastAsia="Arial" w:hAnsi="Arial"/>
          <w:sz w:val="16"/>
          <w:szCs w:val="16"/>
          <w:color w:val="auto"/>
        </w:rPr>
        <w:t xml:space="preserve"> (above), then notwithstanding </w:t>
      </w:r>
      <w:r>
        <w:rPr>
          <w:rFonts w:ascii="Arial" w:cs="Arial" w:eastAsia="Arial" w:hAnsi="Arial"/>
          <w:sz w:val="16"/>
          <w:szCs w:val="16"/>
          <w:u w:val="single" w:color="auto"/>
          <w:color w:val="auto"/>
        </w:rPr>
        <w:t>Section 8.7(e)</w:t>
      </w:r>
      <w:r>
        <w:rPr>
          <w:rFonts w:ascii="Arial" w:cs="Arial" w:eastAsia="Arial" w:hAnsi="Arial"/>
          <w:sz w:val="16"/>
          <w:szCs w:val="16"/>
          <w:color w:val="auto"/>
        </w:rPr>
        <w:t>, the Incentive Award shall expire on the earlier of: (A) the expiration date set forth in the Incentive Agreement for such Incentive Award or (B) the later of either (i) the expiration of three (3) years after the date of his Retirement or (ii) one</w:t>
      </w:r>
    </w:p>
    <w:p>
      <w:pPr>
        <w:spacing w:after="0" w:line="1" w:lineRule="exact"/>
        <w:rPr>
          <w:sz w:val="20"/>
          <w:szCs w:val="20"/>
          <w:color w:val="auto"/>
        </w:rPr>
      </w:pPr>
    </w:p>
    <w:p>
      <w:pPr>
        <w:ind w:left="720" w:hanging="256"/>
        <w:spacing w:after="0"/>
        <w:tabs>
          <w:tab w:leader="none" w:pos="72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year from the date of his death or the date he is determined to be permanently and totally disabled as such date is determined by the Committee.</w:t>
      </w:r>
    </w:p>
    <w:p>
      <w:pPr>
        <w:spacing w:after="0" w:line="100" w:lineRule="exact"/>
        <w:rPr>
          <w:rFonts w:ascii="Arial" w:cs="Arial" w:eastAsia="Arial" w:hAnsi="Arial"/>
          <w:sz w:val="16"/>
          <w:szCs w:val="16"/>
          <w:color w:val="auto"/>
        </w:rPr>
      </w:pPr>
    </w:p>
    <w:p>
      <w:pPr>
        <w:ind w:left="460" w:right="20" w:firstLine="881"/>
        <w:spacing w:after="0" w:line="293" w:lineRule="auto"/>
        <w:tabs>
          <w:tab w:leader="none" w:pos="1585"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Continuation</w:t>
      </w:r>
      <w:r>
        <w:rPr>
          <w:rFonts w:ascii="Arial" w:cs="Arial" w:eastAsia="Arial" w:hAnsi="Arial"/>
          <w:sz w:val="16"/>
          <w:szCs w:val="16"/>
          <w:color w:val="auto"/>
        </w:rPr>
        <w:t>. Subject to the conditions and limitations of the Plan and applicable law and regulation, with respect to a Grantee who is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in the event that the Grantee ceases to be an Employee, the Committee and Grantee, in their discretion, may mutually agree with respect to any outstanding Incentive Award then held by the Grantee (i) for an acceleration or other adjustment in any vesting schedule applicable to the Incentive Award; (ii) for a continuation of the exercise period following termination for a longer period than is otherwise provided under such Incentive Award; or (iii) to any other change in the terms and conditions of the Incentive Award. In the event of any such change to an outstanding Incentive Award, a written amendment to the Grantee’s Incentive Agreement shall be required.</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Change in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contrary provision in the Plan, with respect to a Grantee who is an Employee, in the event of a Change in Control (as defined below),</w:t>
      </w:r>
    </w:p>
    <w:p>
      <w:pPr>
        <w:spacing w:after="0" w:line="38"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then for each Incentive Award issued prior to</w:t>
      </w:r>
      <w:r>
        <w:rPr>
          <w:sz w:val="20"/>
          <w:szCs w:val="20"/>
          <w:color w:val="auto"/>
        </w:rPr>
        <w:tab/>
      </w:r>
      <w:r>
        <w:rPr>
          <w:rFonts w:ascii="Arial" w:cs="Arial" w:eastAsia="Arial" w:hAnsi="Arial"/>
          <w:sz w:val="16"/>
          <w:szCs w:val="16"/>
          <w:color w:val="auto"/>
        </w:rPr>
        <w:t>, 2010, the following actions shall automatically occur as of the day immediately preceding the Change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date unless expressly provided otherwise in the individual Grantee’s Incentive Agreement:</w:t>
      </w:r>
    </w:p>
    <w:p>
      <w:pPr>
        <w:spacing w:after="0" w:line="84" w:lineRule="exact"/>
        <w:rPr>
          <w:sz w:val="20"/>
          <w:szCs w:val="20"/>
          <w:color w:val="auto"/>
        </w:rPr>
      </w:pPr>
    </w:p>
    <w:p>
      <w:pPr>
        <w:ind w:left="1140" w:hanging="237"/>
        <w:spacing w:after="0"/>
        <w:tabs>
          <w:tab w:leader="none" w:pos="11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all of the Stock Options and Stock Appreciation Rights then outstanding shall become 100% vested and immediately and fully exercisable;</w:t>
      </w:r>
    </w:p>
    <w:p>
      <w:pPr>
        <w:spacing w:after="0" w:line="11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of the restrictions and conditions of any Restricted Stock and any Other Stock-Based Awards then outstanding shall be deemed satisfied, and the Restriction Period with respect thereto shall be deemed to have expired, and thus each such Incentive Award shall become free of all restrictions and fully vested; and</w:t>
      </w:r>
    </w:p>
    <w:p>
      <w:pPr>
        <w:spacing w:after="0" w:line="59" w:lineRule="exact"/>
        <w:rPr>
          <w:rFonts w:ascii="Arial" w:cs="Arial" w:eastAsia="Arial" w:hAnsi="Arial"/>
          <w:sz w:val="18"/>
          <w:szCs w:val="18"/>
          <w:color w:val="auto"/>
        </w:rPr>
      </w:pPr>
    </w:p>
    <w:p>
      <w:pPr>
        <w:ind w:left="460" w:right="220" w:firstLine="443"/>
        <w:spacing w:after="0" w:line="306" w:lineRule="auto"/>
        <w:tabs>
          <w:tab w:leader="none" w:pos="113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all of the Performance-Based Restricted Awards and any Other Stock-Based Awards shall become fully vested and deemed earned in full at the specified 100% target amounts, and promptly paid in full within thirty (30) days to the affected Grantees without regard to payment schedules and notwithstanding that the applicable performance cycle, retention cycle or other restrictions and conditions have not been completed or satisfied.</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addition, for each Incentive Award issued on or after , 2010, the Committee may, in its sole discretion, cause the provisions of this Section 8.8 to apply to such Incentive Award; provided, however, that the Committee may elect to not apply this provision to one or more such Incentive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the Plan,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Company means the occurrence of any one or more of the following events:</w:t>
      </w:r>
    </w:p>
    <w:p>
      <w:pPr>
        <w:spacing w:after="0" w:line="90" w:lineRule="exact"/>
        <w:rPr>
          <w:sz w:val="20"/>
          <w:szCs w:val="20"/>
          <w:color w:val="auto"/>
        </w:rPr>
      </w:pPr>
    </w:p>
    <w:p>
      <w:pPr>
        <w:jc w:val="both"/>
        <w:ind w:left="460" w:right="440" w:firstLine="443"/>
        <w:spacing w:after="0" w:line="310" w:lineRule="auto"/>
        <w:tabs>
          <w:tab w:leader="none" w:pos="113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(a “</w:t>
      </w:r>
      <w:r>
        <w:rPr>
          <w:rFonts w:ascii="Arial" w:cs="Arial" w:eastAsia="Arial" w:hAnsi="Arial"/>
          <w:sz w:val="16"/>
          <w:szCs w:val="16"/>
          <w:b w:val="1"/>
          <w:bCs w:val="1"/>
          <w:color w:val="auto"/>
        </w:rPr>
        <w:t>Person</w:t>
      </w:r>
      <w:r>
        <w:rPr>
          <w:rFonts w:ascii="Arial" w:cs="Arial" w:eastAsia="Arial" w:hAnsi="Arial"/>
          <w:sz w:val="16"/>
          <w:szCs w:val="16"/>
          <w:color w:val="auto"/>
        </w:rPr>
        <w:t>”) (within the meaning of Section 13(d)(3) or 14(d)(2) of the Exchange Act) of beneficial ownership (within the meaning of Rule 13d-3 promulgated under the Exchange Act) of twenty percent (20%) or more of either (i) the then outstanding Shares (the “</w:t>
      </w:r>
      <w:r>
        <w:rPr>
          <w:rFonts w:ascii="Arial" w:cs="Arial" w:eastAsia="Arial" w:hAnsi="Arial"/>
          <w:sz w:val="16"/>
          <w:szCs w:val="16"/>
          <w:b w:val="1"/>
          <w:bCs w:val="1"/>
          <w:color w:val="auto"/>
        </w:rPr>
        <w:t>Outstanding Company Stock</w:t>
      </w:r>
      <w:r>
        <w:rPr>
          <w:rFonts w:ascii="Arial" w:cs="Arial" w:eastAsia="Arial" w:hAnsi="Arial"/>
          <w:sz w:val="16"/>
          <w:szCs w:val="16"/>
          <w:color w:val="auto"/>
        </w:rPr>
        <w:t>”) or (ii) the combined voting power of the then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color w:val="auto"/>
        </w:rPr>
        <w:t>outstanding voting securities of the Company entitled to vote generally in the election of directors (the “</w:t>
      </w:r>
      <w:r>
        <w:rPr>
          <w:rFonts w:ascii="Arial" w:cs="Arial" w:eastAsia="Arial" w:hAnsi="Arial"/>
          <w:sz w:val="16"/>
          <w:szCs w:val="16"/>
          <w:b w:val="1"/>
          <w:bCs w:val="1"/>
          <w:color w:val="auto"/>
        </w:rPr>
        <w:t>Outstanding Company Voting Securities</w:t>
      </w:r>
      <w:r>
        <w:rPr>
          <w:rFonts w:ascii="Arial" w:cs="Arial" w:eastAsia="Arial" w:hAnsi="Arial"/>
          <w:sz w:val="16"/>
          <w:szCs w:val="16"/>
          <w:color w:val="auto"/>
        </w:rPr>
        <w:t>”); provided, however, that the following acquisitions shall not constitute a Change in Control: (i) any acquisition directly from the Company or any Subsidiary, (ii) any acquisition by the Company or any Subsidiary or by any employee benefit plan (or related trust) sponsored or maintained by the Company or any Subsidiary, or (iii) any acquisition by any corporation pursuant to a reorganization, merger, consolidation or similar business combination involving the Company (a “</w:t>
      </w:r>
      <w:r>
        <w:rPr>
          <w:rFonts w:ascii="Arial" w:cs="Arial" w:eastAsia="Arial" w:hAnsi="Arial"/>
          <w:sz w:val="16"/>
          <w:szCs w:val="16"/>
          <w:b w:val="1"/>
          <w:bCs w:val="1"/>
          <w:color w:val="auto"/>
        </w:rPr>
        <w:t>Merger</w:t>
      </w:r>
      <w:r>
        <w:rPr>
          <w:rFonts w:ascii="Arial" w:cs="Arial" w:eastAsia="Arial" w:hAnsi="Arial"/>
          <w:sz w:val="16"/>
          <w:szCs w:val="16"/>
          <w:color w:val="auto"/>
        </w:rPr>
        <w:t xml:space="preserve">”), if, following such Merger, the conditions described in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(below) are satisfied;</w:t>
      </w:r>
    </w:p>
    <w:p>
      <w:pPr>
        <w:spacing w:after="0" w:line="27" w:lineRule="exact"/>
        <w:rPr>
          <w:sz w:val="20"/>
          <w:szCs w:val="20"/>
          <w:color w:val="auto"/>
        </w:rPr>
      </w:pPr>
    </w:p>
    <w:p>
      <w:pPr>
        <w:ind w:left="460" w:firstLine="443"/>
        <w:spacing w:after="0" w:line="293" w:lineRule="auto"/>
        <w:tabs>
          <w:tab w:leader="none" w:pos="114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of Directors of the Company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spacing w:after="0" w:line="35" w:lineRule="exact"/>
        <w:rPr>
          <w:rFonts w:ascii="Arial" w:cs="Arial" w:eastAsia="Arial" w:hAnsi="Arial"/>
          <w:sz w:val="16"/>
          <w:szCs w:val="16"/>
          <w:color w:val="auto"/>
        </w:rPr>
      </w:pPr>
    </w:p>
    <w:p>
      <w:pPr>
        <w:ind w:left="460" w:right="80" w:firstLine="443"/>
        <w:spacing w:after="0" w:line="285" w:lineRule="auto"/>
        <w:tabs>
          <w:tab w:leader="none" w:pos="113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sixty percent (60%) of, respectively, the then outstanding Shares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corporation resulting from such Business Combination or any employee benefit plan (or related trust) of the Company or such corporation resulting from such Business Combination) beneficially owns, directly or indirectly, twenty (20%) or more of, respectively, the then outstanding Shares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the action of the Board, providing for such Business Combination; or</w:t>
      </w:r>
    </w:p>
    <w:p>
      <w:pPr>
        <w:spacing w:after="0" w:line="47" w:lineRule="exact"/>
        <w:rPr>
          <w:rFonts w:ascii="Arial" w:cs="Arial" w:eastAsia="Arial" w:hAnsi="Arial"/>
          <w:sz w:val="16"/>
          <w:szCs w:val="16"/>
          <w:color w:val="auto"/>
        </w:rPr>
      </w:pPr>
    </w:p>
    <w:p>
      <w:pPr>
        <w:ind w:left="1160" w:hanging="257"/>
        <w:spacing w:after="0"/>
        <w:tabs>
          <w:tab w:leader="none" w:pos="11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Company.</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Notwithstanding the occurrence of any of the foregoing events set out in this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which would otherwise result in a Change in Control, the Board may determine in its discretion, if it deems it to be in the best interest of the Company, that an event or events otherwise constituting or reasonably leading to a Change in Control shall not be deemed a Change in Control hereunder. Such determination shall be effective only if it is made by the Board (i) prior to the occurrence of an event that otherwise would be, or reasonably lead to, a Change in Control, or (ii) after such event only if made by the Board a majority of which is composed of directors who were members of the Board immediately prior to the event that otherwise would be, or reasonably lead to, a Change in Control.</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8.8</w:t>
      </w:r>
      <w:r>
        <w:rPr>
          <w:rFonts w:ascii="Arial" w:cs="Arial" w:eastAsia="Arial" w:hAnsi="Arial"/>
          <w:sz w:val="16"/>
          <w:szCs w:val="16"/>
          <w:color w:val="auto"/>
        </w:rPr>
        <w:t>, to the extent that any payment or acceleration hereunder is subject to Code Section 409A, whether a Change in Control has occurred with respect to such amount shall be determined within the meaning set forth in Code Section 409A(a)(2)(A)(v), but only to the extent inconsistent with the foregoing provisions as determined in the discretion of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Exchange of Incentive Awards</w:t>
      </w:r>
    </w:p>
    <w:p>
      <w:pPr>
        <w:spacing w:after="0" w:line="96" w:lineRule="exact"/>
        <w:rPr>
          <w:sz w:val="20"/>
          <w:szCs w:val="20"/>
          <w:color w:val="auto"/>
        </w:rPr>
      </w:pPr>
    </w:p>
    <w:p>
      <w:pPr>
        <w:ind w:left="460" w:right="120" w:firstLine="443"/>
        <w:spacing w:after="0" w:line="254" w:lineRule="auto"/>
        <w:tabs>
          <w:tab w:leader="none" w:pos="113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Committee shall not, without the approval of the Company’s stockholders, authorize (i) the amendment of any outstanding Incentive Award to reduce its price per share; (ii) the cancellation of a Stock Option whose exercise price is greater than the current fair market value of a share of the Company’s Common Stock in exchange for a cash payment or the grant of a new Incentive Award, or (iii) cancellation and replacement of an Incentive Award which does not have any current value in exchange for either a cash payment or the grant of an new Incentive Award . Furthermore, no Incentive Award shall be cancelled and replaced with the grant of an Incentive Award having a lesser price per share without the further approval of the Company’s stockholders.</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amend any outstanding Incentive Award to increase the price per share or to cancel and replace an Incentive Award with the grant of an new Incentive Award having a price per share that is greater than or equal to the price per share of the original Incentive Award.</w:t>
      </w:r>
    </w:p>
    <w:p>
      <w:pPr>
        <w:spacing w:after="0" w:line="59"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permit any Grantee to surrender outstanding Incentive Awards in order to exercise or realize his rights under other Incentive Awards.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5"/>
          <w:szCs w:val="15"/>
          <w:b w:val="1"/>
          <w:bCs w:val="1"/>
          <w:color w:val="auto"/>
        </w:rPr>
        <w:t>Financing</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requirements of the Sarbanes-Oxley Act of 2002, the Company may extend and maintain, or arrange for and guarantee, the extension and maintenance of financing to any Grantee to purchase Shares pursuant to exercise of an Incentive Award upon such terms as are approved by the Committee in its discretion.</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9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Effective Date and Grant Period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is adopted by the Board effective as of the Effective Date, subject to the approval of the stockholders of the Company. Incentive Awards may be granted under the Plan at any time prior to receipt of such stockholder approval; provided, however, (a) no Shares may be issued pursuant to Incentive Awards granted after the Effective Date until the requisite stockholder approval is obtained, and (b) if the requisite stockholder approval is not obtained then any Incentive Awards granted hereunder after the Effective Date shall automatically become null and void and of no force or effect. Notwithstanding the foregoing, any Incentive Award that is intended to satisfy the Performance-Based Exception shall not be granted until the terms of the Plan are disclosed to, and approved by, stockholders of the Company in accordance with the requirements of the Performance-Based Exception.</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Funding and Liability of Company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provision of the Plan shall require the Company, for the purpose of satisfying any obligations under the Plan, to purchase assets or place any assets in a trust or other entity to which contributions are made, or to otherwise segregate any assets. In addition, the Company shall not be required to maintain separate bank accounts, books, records or other evidence of the existence of a segregated or separately maintained or administered fund for purposes of the Plan. Although bookkeeping accounts may be established with respect to Grantees who are entitled to cash, Common Stock or rights thereto under the Plan, any such accounts shall be used merely as a bookkeeping convenience. The Company shall not be required to segregate any assets that may at any time be represented by cash, Common Stock or rights thereto. The Plan shall not be construed as providing for such segregation, nor shall the Company, the Board or the Committee be deemed to be a trustee of any cash, Common Stock or rights thereto. Any liability or obligation of the Company to any Grantee with respect to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Incentive Award shall be based solely upon any contractual obligations that may be created by the Plan and any Incentive Agreement, and no such liability or obligation of the Company shall be deemed to be secured by any pledge or other encumbrance on any property of the Company. Neither the Company, the Board nor the Committee shall be required to give any security or bond for the performance of any obligation that may be created by the Plan.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Withholding Taxes</w:t>
      </w:r>
    </w:p>
    <w:p>
      <w:pPr>
        <w:spacing w:after="0" w:line="90" w:lineRule="exact"/>
        <w:rPr>
          <w:sz w:val="20"/>
          <w:szCs w:val="20"/>
          <w:color w:val="auto"/>
        </w:rPr>
      </w:pPr>
    </w:p>
    <w:p>
      <w:pPr>
        <w:ind w:left="460" w:firstLine="881"/>
        <w:spacing w:after="0" w:line="296" w:lineRule="auto"/>
        <w:tabs>
          <w:tab w:leader="none" w:pos="1575"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The Company shall have the power and the right to deduct or withhold, or require a Grantee to remit to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satisfy federal, state, and local taxes, domestic or foreign, required by law or regulation to be withheld with respect to any taxable event arising as the result of an Incentive Award. Upon the lapse of restrictions on Restricted Stock, the Committee, in its discretion, may elect to satisfy the tax withholding requirement, in whole or in part, by having the Company withhold Shares having a Fair Market Value on the date the tax is to be determined equal to the minimum withholding taxes which could be imposed on the transaction as determined by the Committee.</w:t>
      </w:r>
    </w:p>
    <w:p>
      <w:pPr>
        <w:spacing w:after="0" w:line="26" w:lineRule="exact"/>
        <w:rPr>
          <w:rFonts w:ascii="Arial" w:cs="Arial" w:eastAsia="Arial" w:hAnsi="Arial"/>
          <w:sz w:val="16"/>
          <w:szCs w:val="16"/>
          <w:color w:val="auto"/>
        </w:rPr>
      </w:pPr>
    </w:p>
    <w:p>
      <w:pPr>
        <w:ind w:left="460" w:right="40" w:firstLine="881"/>
        <w:spacing w:after="0" w:line="293" w:lineRule="auto"/>
        <w:tabs>
          <w:tab w:leader="none" w:pos="1585"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Withholding</w:t>
      </w:r>
      <w:r>
        <w:rPr>
          <w:rFonts w:ascii="Arial" w:cs="Arial" w:eastAsia="Arial" w:hAnsi="Arial"/>
          <w:sz w:val="16"/>
          <w:szCs w:val="16"/>
          <w:color w:val="auto"/>
        </w:rPr>
        <w:t>. With respect to tax withholding required upon the exercise of Stock Options or SARs, upon the lapse of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on Restricted Stock or Restricted Stock Units, or upon any other taxable event arising as a result of any Incentive Awards, Grantees may elect, subject to the approval of the Committee in its discretion, to satisfy the withholding requirement, in whole or in part, by having the Company withhold Shares having a Fair Market Value on the date the tax is to be determined equal to the minimum withholding taxes which could be imposed on the transaction as determined by the Committee. All such elections shall be made in writing, signed by the Grantee, and shall be subject to any restrictions or limitations that the Committee, in its discretion, deems appropriate.</w:t>
      </w:r>
    </w:p>
    <w:p>
      <w:pPr>
        <w:spacing w:after="0" w:line="29" w:lineRule="exact"/>
        <w:rPr>
          <w:rFonts w:ascii="Arial" w:cs="Arial" w:eastAsia="Arial" w:hAnsi="Arial"/>
          <w:sz w:val="16"/>
          <w:szCs w:val="16"/>
          <w:color w:val="auto"/>
        </w:rPr>
      </w:pPr>
    </w:p>
    <w:p>
      <w:pPr>
        <w:ind w:left="460" w:right="40" w:firstLine="881"/>
        <w:spacing w:after="0" w:line="334" w:lineRule="auto"/>
        <w:tabs>
          <w:tab w:leader="none" w:pos="1575"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 To the extent permitted by the Sarbanes-Oxley Act of 2002 or other applicable law, the Committee may provide for loans, 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a short term or demand basis, from the Company to a Grantee who is an Employee to permit the payment of taxes required by law.</w:t>
      </w:r>
    </w:p>
    <w:p>
      <w:pPr>
        <w:spacing w:after="0" w:line="1" w:lineRule="exact"/>
        <w:rPr>
          <w:rFonts w:ascii="Arial" w:cs="Arial" w:eastAsia="Arial" w:hAnsi="Arial"/>
          <w:sz w:val="16"/>
          <w:szCs w:val="16"/>
          <w:color w:val="auto"/>
        </w:rPr>
      </w:pPr>
    </w:p>
    <w:p>
      <w:pPr>
        <w:ind w:left="460" w:right="140" w:firstLine="881"/>
        <w:spacing w:after="0" w:line="293" w:lineRule="auto"/>
        <w:tabs>
          <w:tab w:leader="none" w:pos="1585"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Sale</w:t>
      </w:r>
      <w:r>
        <w:rPr>
          <w:rFonts w:ascii="Arial" w:cs="Arial" w:eastAsia="Arial" w:hAnsi="Arial"/>
          <w:sz w:val="16"/>
          <w:szCs w:val="16"/>
          <w:color w:val="auto"/>
        </w:rPr>
        <w:t>. At the direction of the Committee, the Company shall have the power and the right to require the sale by Grantee of a</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number of Shares to permit the Company to satisfy its withholding and deposit obligations under any federal, state, and local taxes, domestic or foreign, laws or regulations with respect to any taxable event arising as the result of an Incentive Award. In particular, upon the lapse of restrictions on Restricted Stock, or delivery of Shares upon settlement of a Restricted Stock Unit award, the Committee, in its discretion, may elect to satisfy the tax withholding requirement, in whole or in part, by having the Company initiate the sale of Shares having a Fair Market Value on the date the tax is to be determined equal to the minimum withholding taxes which could be imposed on the transaction as determined by the Committee.</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No Guarantee of Tax Consequences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the Committee and the Board do not make any commitment or guarantee that any federal, state or local tax treatment will apply or be available to any person participating or eligible to participate in the Plan.</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Designation of Beneficiary by Grantee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Each Grantee may, from time to time, name any beneficiary or beneficiaries (who may be named contingently or successively) to whom any benefit under the Plan is to be paid in case of his death before he receives any or all of such benefit. Each such designation shall revoke all prior designations by the same Grantee, shall be in a form prescribed by the Company and will be effective only when filed by the Grantee in writing with the Company during the Grantee’s lifetime. In the absence of any such designation, benefits remaining unpaid at the Grantee’s death shall be paid to the Grantee’s estate.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C-26</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Amendment and Termination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shall have the power and authority to terminate or amend the Plan at any time, provided, however, the Board shall not, without the approval of the stockholders of the Company within the time period required by applicable law:</w:t>
      </w:r>
    </w:p>
    <w:p>
      <w:pPr>
        <w:spacing w:after="0" w:line="51" w:lineRule="exact"/>
        <w:rPr>
          <w:sz w:val="20"/>
          <w:szCs w:val="20"/>
          <w:color w:val="auto"/>
        </w:rPr>
      </w:pPr>
    </w:p>
    <w:p>
      <w:pPr>
        <w:ind w:left="1140" w:hanging="237"/>
        <w:spacing w:after="0"/>
        <w:tabs>
          <w:tab w:leader="none" w:pos="11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increase the maximum number of Shares which may be issued under the Plan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amend the requirements as to the class of individuals eligible to purchase Common Stock under the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extend the term of the Plan; or,</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while the Company is a Publicly Held Corporation (i) increase the maximum limits on Incentive Awards to Covered Employees as set for compliance with the Performance-Based Exception or (ii) decrease the authority granted to the Committee under the Plan in contravention of Rule 16b-3 under the Exchange Act.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termination, amendment, or modification of the Plan shall adversely affect in any material way any outstanding Incentive Award previously granted to a Grantee under the Plan, without the written consent of such Grantee or other designated holder of such Incentive Award.</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to the extent that the Committee determines that (a) the listing for qualification requirements of any national securities exchange or quotation system on which the Company’s Common Stock is then listed or quoted, if applicable, or (b) the Code (or regulations promulgated thereunder), require stockholder approval in order to maintain compliance with such listing requirements or to maintain any favorable tax advantages or qualifications, then the Plan shall not be amended in such respect without approval of the Company’s stockholders.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Requirements of Law</w:t>
      </w:r>
    </w:p>
    <w:p>
      <w:pPr>
        <w:spacing w:after="0" w:line="90" w:lineRule="exact"/>
        <w:rPr>
          <w:sz w:val="20"/>
          <w:szCs w:val="20"/>
          <w:color w:val="auto"/>
        </w:rPr>
      </w:pPr>
    </w:p>
    <w:p>
      <w:pPr>
        <w:ind w:left="460" w:right="160" w:firstLine="881"/>
        <w:spacing w:after="0" w:line="291" w:lineRule="auto"/>
        <w:tabs>
          <w:tab w:leader="none" w:pos="1575" w:val="left"/>
        </w:tabs>
        <w:numPr>
          <w:ilvl w:val="0"/>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Governmental Entities and Securities Exchanges</w:t>
      </w:r>
      <w:r>
        <w:rPr>
          <w:rFonts w:ascii="Arial" w:cs="Arial" w:eastAsia="Arial" w:hAnsi="Arial"/>
          <w:sz w:val="16"/>
          <w:szCs w:val="16"/>
          <w:color w:val="auto"/>
        </w:rPr>
        <w:t>. The granting of Incentive Awards and the issuance of Shares under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laws, rules, and regulations, and to such approvals by any governmental agencies or national securities exchanges as may be required. Certificates evidencing Shares delivered under the Plan (to the extent that such Shares are so evidenced) may be subject to such stop transfer orders and other restrictions as the Committee may deem advisable under the rules and regulations of the Securities and Exchange Commission, any securities exchange or transaction reporting system upon which the Common Stock is then listed or to which it is admitted for quotation, and any applicable federal or state securities law, if applicable. The Committee may cause a legend or legends to be placed upon such certificates (if any) to make appropriate reference to such restrictions.</w:t>
      </w:r>
    </w:p>
    <w:p>
      <w:pPr>
        <w:spacing w:after="0" w:line="32" w:lineRule="exact"/>
        <w:rPr>
          <w:rFonts w:ascii="Arial" w:cs="Arial" w:eastAsia="Arial" w:hAnsi="Arial"/>
          <w:sz w:val="16"/>
          <w:szCs w:val="16"/>
          <w:color w:val="auto"/>
        </w:rPr>
      </w:pPr>
    </w:p>
    <w:p>
      <w:pPr>
        <w:ind w:left="460" w:right="40" w:firstLine="881"/>
        <w:spacing w:after="0" w:line="288" w:lineRule="auto"/>
        <w:tabs>
          <w:tab w:leader="none" w:pos="1585" w:val="left"/>
        </w:tabs>
        <w:numPr>
          <w:ilvl w:val="0"/>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Securities Act Rule 701</w:t>
      </w:r>
      <w:r>
        <w:rPr>
          <w:rFonts w:ascii="Arial" w:cs="Arial" w:eastAsia="Arial" w:hAnsi="Arial"/>
          <w:sz w:val="16"/>
          <w:szCs w:val="16"/>
          <w:color w:val="auto"/>
        </w:rPr>
        <w:t>. If no class of the Company’s securities is registered under Section 12 of the Exchange Act, then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grants of Incentive Awards to “Rule 701 Grantees” (as defined below) and issuances of the underlying Shares, if any, on the exercise or conversion of such Incentive Awards are intended to comply with all applicable conditions of Securities Act Rule 701 (“</w:t>
      </w:r>
      <w:r>
        <w:rPr>
          <w:rFonts w:ascii="Arial" w:cs="Arial" w:eastAsia="Arial" w:hAnsi="Arial"/>
          <w:sz w:val="16"/>
          <w:szCs w:val="16"/>
          <w:b w:val="1"/>
          <w:bCs w:val="1"/>
          <w:color w:val="auto"/>
        </w:rPr>
        <w:t>Rule 701</w:t>
      </w:r>
      <w:r>
        <w:rPr>
          <w:rFonts w:ascii="Arial" w:cs="Arial" w:eastAsia="Arial" w:hAnsi="Arial"/>
          <w:sz w:val="16"/>
          <w:szCs w:val="16"/>
          <w:color w:val="auto"/>
        </w:rPr>
        <w:t xml:space="preserve">”), including, without limitation, the restrictions as to the amount of securities that may be offered and sold in reliance on Rule 701, so as to qualify for an exemption from the registration requirements of the Securities Act. Any ambiguities or inconsistencies in the construction of an Incentive Award or the Plan shall be interpreted to give effect to such intention. In accordance with Rule 701, each Grantee shall receive a copy of the Plan on or before the date an Incentive Award is granted to him, as well as the additional disclosure required by Rule 701(e) if the aggregate sales price or amount of securities sold during any consecutive 12-month period exceeds $5,000,000 as determined under Rule 701(e). If Rule 701 (or any successor provision) is amended to eliminate or otherwise modify any of the requirements specified in Rule 701, then the provisions of this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shall be interpreted and construed in accordance with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 xml:space="preserve">Rule 701 as so amended. For purposes of this </w:t>
      </w:r>
      <w:r>
        <w:rPr>
          <w:rFonts w:ascii="Arial" w:cs="Arial" w:eastAsia="Arial" w:hAnsi="Arial"/>
          <w:sz w:val="18"/>
          <w:szCs w:val="18"/>
          <w:u w:val="single" w:color="auto"/>
          <w:color w:val="auto"/>
        </w:rPr>
        <w:t>Section 9.7(b)</w:t>
      </w:r>
      <w:r>
        <w:rPr>
          <w:rFonts w:ascii="Arial" w:cs="Arial" w:eastAsia="Arial" w:hAnsi="Arial"/>
          <w:sz w:val="18"/>
          <w:szCs w:val="18"/>
          <w:color w:val="auto"/>
        </w:rPr>
        <w:t>, as determined in accordance with Rule 701, “Rule 701 Grantees” shall mean any Grantee other than a director of the Company, the Company’s chairman, CEO, president, chief financial officer, controller and any vice president of the Company, and any other key employee of the Company who generally has access to financial and other business related information and possesses sufficient sophistication to understand and evaluate such information.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b w:val="1"/>
          <w:bCs w:val="1"/>
          <w:color w:val="auto"/>
        </w:rPr>
        <w:t>Rule 16b-3 Securities Law Compliance for Insiders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the Company is a Publicly Held Corporation, transactions under the Plan with respect to Insiders are intended to comply with all applicable conditions of Rule 16b-3 under the Exchange Act. Any ambiguities or inconsistencies in the construction of an Incentive Award or the Plan shall be interpreted to give effect to such intention, and to the extent any provision of the Plan or action by the Committee fails to so comply, it shall be deemed null and void to the extent permitted by law and deemed advisable by the Committee in its discretion.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Compliance with Code Section 162(m) for Publicly Held Corporation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the Company is a Publicly Held Corporation, unless otherwise determined by the Committee with respect to any particular Incentive Award, it is intended that the Plan shall comply fully with the applicable requirements so that any Incentive Awards subject to Section 162(m) that are granted to Covered Employees shall qualify for the Performance-Based Exception, except for grants of Stock Options with an Option Price set at less than the Fair Market Value of a Share on the date of grant. If any provision of the Plan or an Incentive Agreement would disqualify the Plan or would not otherwise permit the Plan or Incentive Award to comply with the Performance-Based Exception as so intended, such provision shall be construed or deemed to be amended to conform to the requirements of the Performance-Based Exception to the extent permitted by applicable law and deemed advisable by the Committee; provided, however, no such construction or amendment shall have an adverse effect on the prior grant of an Incentive Award or the economic value to a Grantee of any outstanding Incentive Award.</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4"/>
          <w:szCs w:val="14"/>
          <w:b w:val="1"/>
          <w:bCs w:val="1"/>
          <w:color w:val="auto"/>
        </w:rPr>
        <w:t>Notices</w:t>
      </w:r>
    </w:p>
    <w:p>
      <w:pPr>
        <w:spacing w:after="0" w:line="90" w:lineRule="exact"/>
        <w:rPr>
          <w:sz w:val="20"/>
          <w:szCs w:val="20"/>
          <w:color w:val="auto"/>
        </w:rPr>
      </w:pPr>
    </w:p>
    <w:p>
      <w:pPr>
        <w:ind w:left="460" w:firstLine="881"/>
        <w:spacing w:after="0" w:line="256" w:lineRule="auto"/>
        <w:tabs>
          <w:tab w:leader="none" w:pos="1575"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From Insiders to Secretary of Change in Beneficial Ownership</w:t>
      </w:r>
      <w:r>
        <w:rPr>
          <w:rFonts w:ascii="Arial" w:cs="Arial" w:eastAsia="Arial" w:hAnsi="Arial"/>
          <w:sz w:val="18"/>
          <w:szCs w:val="18"/>
          <w:color w:val="auto"/>
        </w:rPr>
        <w:t>. Within two business days after the date of a change in beneficial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Common Stock issued or delivered pursuant to the Plan, an Insider should report to the Secretary of the Company, or his delegate, any such change to the beneficial ownership of Common Stock that is required to be reported with respect to such Insider under Rule 16(a)-3 promulgated pursuant to the Exchange Act. Whenever reasonably feasible, Insiders will provide the Committee or Company with advance notification of such change in beneficial ownership.</w:t>
      </w:r>
    </w:p>
    <w:p>
      <w:pPr>
        <w:spacing w:after="0" w:line="57" w:lineRule="exact"/>
        <w:rPr>
          <w:rFonts w:ascii="Arial" w:cs="Arial" w:eastAsia="Arial" w:hAnsi="Arial"/>
          <w:sz w:val="18"/>
          <w:szCs w:val="18"/>
          <w:color w:val="auto"/>
        </w:rPr>
      </w:pPr>
    </w:p>
    <w:p>
      <w:pPr>
        <w:ind w:left="460" w:right="160" w:firstLine="881"/>
        <w:spacing w:after="0" w:line="310" w:lineRule="auto"/>
        <w:tabs>
          <w:tab w:leader="none" w:pos="1585" w:val="left"/>
        </w:tabs>
        <w:numPr>
          <w:ilvl w:val="0"/>
          <w:numId w:val="33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to Insiders and Securities and Exchange Commission</w:t>
      </w:r>
      <w:r>
        <w:rPr>
          <w:rFonts w:ascii="Arial" w:cs="Arial" w:eastAsia="Arial" w:hAnsi="Arial"/>
          <w:sz w:val="16"/>
          <w:szCs w:val="16"/>
          <w:color w:val="auto"/>
        </w:rPr>
        <w:t>. The Company shall provide notice to any Insider, as well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of any “blackout period,” as defined in Section 306(a)(4) of the Sarbanes-Oxley Act of 2002, in any case in which Insider is subject to the requirements of Section 304 of said Act in connection with such “blackout period.”</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Pre-Clearance Agreement with Brokers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anything in the Plan to the contrary, no Shares issued pursuant to the Plan will be delivered to a broker or dealer that receives such Shares for the account of an Insider unless and until the broker or dealer enters into an agreement with the Company whereby such broker or dealer agrees to report immediately to the Secretary of the Company (or other designated person) a change in the beneficial ownership of such Shares.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5"/>
          <w:szCs w:val="15"/>
          <w:b w:val="1"/>
          <w:bCs w:val="1"/>
          <w:color w:val="auto"/>
        </w:rPr>
        <w:t>Successors to Company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obligations of the Company under the Plan with respect to Incentive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5"/>
          <w:szCs w:val="15"/>
          <w:b w:val="1"/>
          <w:bCs w:val="1"/>
          <w:color w:val="auto"/>
        </w:rPr>
        <w:t>Miscellaneous Provisions</w:t>
      </w:r>
    </w:p>
    <w:p>
      <w:pPr>
        <w:spacing w:after="0" w:line="96" w:lineRule="exact"/>
        <w:rPr>
          <w:sz w:val="20"/>
          <w:szCs w:val="20"/>
          <w:color w:val="auto"/>
        </w:rPr>
      </w:pPr>
    </w:p>
    <w:p>
      <w:pPr>
        <w:ind w:left="460" w:right="80" w:firstLine="443"/>
        <w:spacing w:after="0" w:line="259" w:lineRule="auto"/>
        <w:tabs>
          <w:tab w:leader="none" w:pos="113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 Employee, Outside Director, or other person shall have any claim or right to be granted an Incentive Award under the Plan. Neither the Plan, nor any action taken hereunder, shall be construed as giving any Employee or Outside Director any right to be retained in the Employment or other service of the Company or any Subsidiary.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expenses of the Plan shall be borne by the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By accepting any Incentive Award, each Grantee and each person claiming by or through him shall be deemed to have indicated his acceptance of</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Plan.</w:t>
      </w: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color w:val="auto"/>
        </w:rPr>
        <w:t>Severability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that any provision of the Plan shall be held illegal, invalid or unenforceable for any reason, such provision shall be fully severable, but shall not affect the remaining provisions of the Plan, and the Plan shall be construed and enforced as if the illegal, invalid, or unenforceable provision was not included herein.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5"/>
          <w:szCs w:val="15"/>
          <w:b w:val="1"/>
          <w:bCs w:val="1"/>
          <w:color w:val="auto"/>
        </w:rPr>
        <w:t>Gender, Tense and Headings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Whenever the context so requires, words of the masculine gender used herein shall include the feminine and neuter, and words used in the singular shall include the plural. Section headings as used herein are inserted solely for convenience and reference and constitute no part of the interpretation or construction of the Plan.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Governing Law</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Plan shall be interpreted, construed and constructed in accordance with the laws of the State of Delaware without regard to its conflicts of law provisions, except as may be superseded by applicable laws of the United States.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5"/>
          <w:szCs w:val="15"/>
          <w:b w:val="1"/>
          <w:bCs w:val="1"/>
          <w:color w:val="auto"/>
        </w:rPr>
        <w:t>Section 409A Compliance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the extent that the Plan provides for the payment of amounts that constitute “nonqualified deferred compensation” under Code Section 409A, the Plan is intended to comply with the provisions of Section 409A so as to prevent the inclusion in gross income of any amounts deferred hereunder in a taxable year that is prior to the taxable year or years in which such amounts would otherwise be actually distributed and made available to Grantees or beneficiaries.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IN WITNESS WHEREOF, on this</w:t>
            </w:r>
          </w:p>
        </w:tc>
        <w:tc>
          <w:tcPr>
            <w:tcW w:w="1020" w:type="dxa"/>
            <w:vAlign w:val="bottom"/>
          </w:tcPr>
          <w:p>
            <w:pPr>
              <w:ind w:left="280"/>
              <w:spacing w:after="0"/>
              <w:rPr>
                <w:sz w:val="20"/>
                <w:szCs w:val="20"/>
                <w:color w:val="auto"/>
              </w:rPr>
            </w:pPr>
            <w:r>
              <w:rPr>
                <w:rFonts w:ascii="Arial" w:cs="Arial" w:eastAsia="Arial" w:hAnsi="Arial"/>
                <w:sz w:val="18"/>
                <w:szCs w:val="18"/>
                <w:color w:val="auto"/>
              </w:rPr>
              <w:t>day of</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w w:val="89"/>
              </w:rPr>
              <w:t>, 2010, the Company has caused the Plan to be duly executed in its name and on its behalf by its</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500"/>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b w:val="1"/>
                <w:bCs w:val="1"/>
                <w:color w:val="auto"/>
              </w:rPr>
              <w:t>SMITH INTERNATIONAL, INC.</w:t>
            </w:r>
          </w:p>
        </w:tc>
      </w:tr>
      <w:tr>
        <w:trPr>
          <w:trHeight w:val="421"/>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ind w:left="26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304"/>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Name:</w:t>
            </w:r>
          </w:p>
        </w:tc>
      </w:tr>
      <w:tr>
        <w:trPr>
          <w:trHeight w:val="196"/>
        </w:trPr>
        <w:tc>
          <w:tcPr>
            <w:tcW w:w="3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ind w:left="2660"/>
              <w:spacing w:after="0" w:line="196" w:lineRule="exact"/>
              <w:rPr>
                <w:sz w:val="20"/>
                <w:szCs w:val="20"/>
                <w:color w:val="auto"/>
              </w:rPr>
            </w:pPr>
            <w:r>
              <w:rPr>
                <w:rFonts w:ascii="Arial" w:cs="Arial" w:eastAsia="Arial" w:hAnsi="Arial"/>
                <w:sz w:val="18"/>
                <w:szCs w:val="18"/>
                <w:color w:val="auto"/>
              </w:rPr>
              <w:t>Title:</w:t>
            </w:r>
          </w:p>
        </w:tc>
        <w:tc>
          <w:tcPr>
            <w:tcW w:w="4020" w:type="dxa"/>
            <w:vAlign w:val="bottom"/>
            <w:tcBorders>
              <w:top w:val="single" w:sz="8" w:color="auto"/>
              <w:bottom w:val="single" w:sz="8" w:color="auto"/>
            </w:tcBorders>
          </w:tcPr>
          <w:p>
            <w:pPr>
              <w:spacing w:after="0"/>
              <w:rPr>
                <w:sz w:val="17"/>
                <w:szCs w:val="17"/>
                <w:color w:val="auto"/>
              </w:rPr>
            </w:pPr>
          </w:p>
        </w:tc>
      </w:tr>
      <w:tr>
        <w:trPr>
          <w:trHeight w:val="356"/>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1340"/>
              <w:spacing w:after="0"/>
              <w:rPr>
                <w:sz w:val="20"/>
                <w:szCs w:val="20"/>
                <w:color w:val="auto"/>
              </w:rPr>
            </w:pPr>
            <w:r>
              <w:rPr>
                <w:rFonts w:ascii="Arial" w:cs="Arial" w:eastAsia="Arial" w:hAnsi="Arial"/>
                <w:sz w:val="18"/>
                <w:szCs w:val="18"/>
                <w:color w:val="auto"/>
              </w:rPr>
              <w:t>C-30</w:t>
            </w:r>
          </w:p>
        </w:tc>
      </w:tr>
    </w:tbl>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4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Schlumberger is required to indemnify any present or former officer or director of Schlumberger to the fullest extent allowed by the preceding paragraphs in the event of a “Change of Control.” “Change of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Schlumberger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Expenses (including attorneys’ fees) incurred by a present or former director or a present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8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ITEM 21.</w:t>
            </w:r>
          </w:p>
        </w:tc>
        <w:tc>
          <w:tcPr>
            <w:tcW w:w="10460" w:type="dxa"/>
            <w:vAlign w:val="bottom"/>
          </w:tcPr>
          <w:p>
            <w:pPr>
              <w:ind w:left="16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520"/>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10460" w:type="dxa"/>
            <w:vAlign w:val="bottom"/>
          </w:tcPr>
          <w:p>
            <w:pPr>
              <w:ind w:left="160"/>
              <w:spacing w:after="0"/>
              <w:rPr>
                <w:sz w:val="20"/>
                <w:szCs w:val="20"/>
                <w:color w:val="auto"/>
              </w:rPr>
            </w:pPr>
            <w:r>
              <w:rPr>
                <w:rFonts w:ascii="Arial" w:cs="Arial" w:eastAsia="Arial" w:hAnsi="Arial"/>
                <w:sz w:val="18"/>
                <w:szCs w:val="18"/>
                <w:color w:val="auto"/>
                <w:w w:val="89"/>
              </w:rPr>
              <w:t>Agreement and Plan of Merger among Schlumberger Limited, Turnberry Merger Sub Inc. and Smith International, Inc., dated February 21, 2010</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(attached as Annex A to the proxy statement/prospectus that is part of this Registration Statement).</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10460" w:type="dxa"/>
            <w:vAlign w:val="bottom"/>
          </w:tcPr>
          <w:p>
            <w:pPr>
              <w:ind w:left="160"/>
              <w:spacing w:after="0"/>
              <w:rPr>
                <w:sz w:val="20"/>
                <w:szCs w:val="20"/>
                <w:color w:val="auto"/>
              </w:rPr>
            </w:pPr>
            <w:r>
              <w:rPr>
                <w:rFonts w:ascii="Arial" w:cs="Arial" w:eastAsia="Arial" w:hAnsi="Arial"/>
                <w:sz w:val="18"/>
                <w:szCs w:val="18"/>
                <w:color w:val="auto"/>
                <w:w w:val="90"/>
              </w:rPr>
              <w:t>Articles of Incorporation of Schlumberger Limited (Schlumberger N.V.), as last amended on April 12, 2006 (incorporated by reference to Exhibit</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0460" w:type="dxa"/>
            <w:vAlign w:val="bottom"/>
          </w:tcPr>
          <w:p>
            <w:pPr>
              <w:ind w:left="16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April 21, 2005 (incorporated by reference to</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0460" w:type="dxa"/>
            <w:vAlign w:val="bottom"/>
          </w:tcPr>
          <w:p>
            <w:pPr>
              <w:ind w:left="160"/>
              <w:spacing w:after="0"/>
              <w:rPr>
                <w:sz w:val="20"/>
                <w:szCs w:val="20"/>
                <w:color w:val="auto"/>
              </w:rPr>
            </w:pPr>
            <w:r>
              <w:rPr>
                <w:rFonts w:ascii="Arial" w:cs="Arial" w:eastAsia="Arial" w:hAnsi="Arial"/>
                <w:sz w:val="18"/>
                <w:szCs w:val="18"/>
                <w:color w:val="auto"/>
                <w:w w:val="88"/>
              </w:rPr>
              <w:t>Indenture dated as of June 9, 2003, by and between Schlumberger Limited and Citibank, N.A., as Trustee (incorporated by reference to Exhibit 4.3</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to Schlumberger’s Registration Statement on Form S-3 filed on September 12, 2003)</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4.2</w:t>
            </w:r>
          </w:p>
        </w:tc>
        <w:tc>
          <w:tcPr>
            <w:tcW w:w="10460" w:type="dxa"/>
            <w:vAlign w:val="bottom"/>
          </w:tcPr>
          <w:p>
            <w:pPr>
              <w:ind w:left="160"/>
              <w:spacing w:after="0"/>
              <w:rPr>
                <w:sz w:val="20"/>
                <w:szCs w:val="20"/>
                <w:color w:val="auto"/>
              </w:rPr>
            </w:pPr>
            <w:r>
              <w:rPr>
                <w:rFonts w:ascii="Arial" w:cs="Arial" w:eastAsia="Arial" w:hAnsi="Arial"/>
                <w:sz w:val="18"/>
                <w:szCs w:val="18"/>
                <w:color w:val="auto"/>
                <w:w w:val="90"/>
              </w:rPr>
              <w:t>First Supplemental Indenture dated as of June 9, 2003, by and between Schlumberger Limited and Citibank, N.A., as Trustee (incorporated by</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Alexander C. Juden.</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8.1**</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Baker Botts L.L.P. regarding certain federal income tax matters.</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8.2**</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Wachtell, Lipton, Rosen &amp; Katz regarding certain federal income tax matters.</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21.1</w:t>
            </w:r>
          </w:p>
        </w:tc>
        <w:tc>
          <w:tcPr>
            <w:tcW w:w="10460" w:type="dxa"/>
            <w:vAlign w:val="bottom"/>
          </w:tcPr>
          <w:p>
            <w:pPr>
              <w:ind w:left="160"/>
              <w:spacing w:after="0"/>
              <w:rPr>
                <w:sz w:val="20"/>
                <w:szCs w:val="20"/>
                <w:color w:val="auto"/>
              </w:rPr>
            </w:pPr>
            <w:r>
              <w:rPr>
                <w:rFonts w:ascii="Arial" w:cs="Arial" w:eastAsia="Arial" w:hAnsi="Arial"/>
                <w:sz w:val="18"/>
                <w:szCs w:val="18"/>
                <w:color w:val="auto"/>
                <w:w w:val="91"/>
              </w:rPr>
              <w:t>Subsidiaries of Schlumberger Limited (incorporated by reference to Exhibit 21 to Schlumberger Limited’s Annual Report on Form 10-K for the</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year ended December 31, 2009).</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23.1**</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23.2**</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Baker Botts L.L.P. (included in the opinion filed as Exhibit 8.1).</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23.3**</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Wachtell, Lipton, Rosen &amp; Katz (included in the opinion filed as Exhibit 8.2).</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23.4*</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 Limited.</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23.5*</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24.1*</w:t>
            </w:r>
          </w:p>
        </w:tc>
        <w:tc>
          <w:tcPr>
            <w:tcW w:w="10460" w:type="dxa"/>
            <w:vAlign w:val="bottom"/>
          </w:tcPr>
          <w:p>
            <w:pPr>
              <w:ind w:left="160"/>
              <w:spacing w:after="0"/>
              <w:rPr>
                <w:sz w:val="20"/>
                <w:szCs w:val="20"/>
                <w:color w:val="auto"/>
              </w:rPr>
            </w:pPr>
            <w:r>
              <w:rPr>
                <w:rFonts w:ascii="Arial" w:cs="Arial" w:eastAsia="Arial" w:hAnsi="Arial"/>
                <w:sz w:val="18"/>
                <w:szCs w:val="18"/>
                <w:color w:val="auto"/>
              </w:rPr>
              <w:t>Powers of Attorney.</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99.1**</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Proxy Card of Smith International, Inc.</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99.2*</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UBS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512(a) Undertaking</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as follows:</w:t>
      </w:r>
    </w:p>
    <w:p>
      <w:pPr>
        <w:spacing w:after="0" w:line="90" w:lineRule="exact"/>
        <w:rPr>
          <w:sz w:val="20"/>
          <w:szCs w:val="20"/>
          <w:color w:val="auto"/>
        </w:rPr>
      </w:pPr>
    </w:p>
    <w:p>
      <w:pPr>
        <w:ind w:left="720" w:hanging="256"/>
        <w:spacing w:after="0"/>
        <w:tabs>
          <w:tab w:leader="none" w:pos="7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460" w:right="40" w:firstLine="443"/>
        <w:spacing w:after="0" w:line="291" w:lineRule="auto"/>
        <w:tabs>
          <w:tab w:leader="none" w:pos="1157"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9" w:lineRule="exact"/>
        <w:rPr>
          <w:rFonts w:ascii="Arial" w:cs="Arial" w:eastAsia="Arial" w:hAnsi="Arial"/>
          <w:sz w:val="16"/>
          <w:szCs w:val="16"/>
          <w:color w:val="auto"/>
        </w:rPr>
      </w:pPr>
    </w:p>
    <w:p>
      <w:pPr>
        <w:ind w:left="460" w:right="60" w:firstLine="443"/>
        <w:spacing w:after="0" w:line="268" w:lineRule="auto"/>
        <w:tabs>
          <w:tab w:leader="none" w:pos="1205"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rFonts w:ascii="Arial" w:cs="Arial" w:eastAsia="Arial" w:hAnsi="Arial"/>
          <w:sz w:val="16"/>
          <w:szCs w:val="16"/>
          <w:color w:val="auto"/>
        </w:rPr>
      </w:pPr>
    </w:p>
    <w:p>
      <w:pPr>
        <w:ind w:right="280" w:firstLine="464"/>
        <w:spacing w:after="0" w:line="323" w:lineRule="auto"/>
        <w:tabs>
          <w:tab w:leader="none" w:pos="705" w:val="left"/>
        </w:tabs>
        <w:numPr>
          <w:ilvl w:val="0"/>
          <w:numId w:val="339"/>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 w:lineRule="exact"/>
        <w:rPr>
          <w:rFonts w:ascii="Arial" w:cs="Arial" w:eastAsia="Arial" w:hAnsi="Arial"/>
          <w:sz w:val="15"/>
          <w:szCs w:val="15"/>
          <w:color w:val="auto"/>
        </w:rPr>
      </w:pPr>
    </w:p>
    <w:p>
      <w:pPr>
        <w:ind w:left="1120" w:hanging="217"/>
        <w:spacing w:after="0"/>
        <w:tabs>
          <w:tab w:leader="none" w:pos="1120" w:val="left"/>
        </w:tabs>
        <w:numPr>
          <w:ilvl w:val="1"/>
          <w:numId w:val="3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00" w:firstLine="443"/>
        <w:spacing w:after="0" w:line="268" w:lineRule="auto"/>
        <w:tabs>
          <w:tab w:leader="none" w:pos="1157"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68" w:lineRule="auto"/>
        <w:tabs>
          <w:tab w:leader="none" w:pos="120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512(b) Undertaking</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512(g) Undertaking</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8" w:lineRule="auto"/>
        <w:tabs>
          <w:tab w:leader="none" w:pos="70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12" w:lineRule="exact"/>
        <w:rPr>
          <w:rFonts w:ascii="Arial" w:cs="Arial" w:eastAsia="Arial" w:hAnsi="Arial"/>
          <w:sz w:val="16"/>
          <w:szCs w:val="16"/>
          <w:color w:val="auto"/>
        </w:rPr>
      </w:pPr>
    </w:p>
    <w:p>
      <w:pPr>
        <w:ind w:right="120" w:firstLine="464"/>
        <w:spacing w:after="0" w:line="294" w:lineRule="auto"/>
        <w:tabs>
          <w:tab w:leader="none" w:pos="70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512(h) Undertaking</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22(b) Undertaking</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40"/>
          </w:cols>
          <w:pgMar w:left="240" w:top="460" w:right="3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22(c) Undertaking</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Houston, State of Texas, on April 27, 2010.</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23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Chairman of the Board, Chief Executive Officer and</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Andrew Gould</w:t>
            </w:r>
          </w:p>
        </w:tc>
        <w:tc>
          <w:tcPr>
            <w:tcW w:w="44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Director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w w:val="99"/>
              </w:rPr>
              <w:t>Executive Vice President and Chief Financial Officer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Simon Ayat</w:t>
            </w:r>
          </w:p>
        </w:tc>
        <w:tc>
          <w:tcPr>
            <w:tcW w:w="44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Chief Accounting Officer (Principal Accounting</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Howard Guild</w:t>
            </w:r>
          </w:p>
        </w:tc>
        <w:tc>
          <w:tcPr>
            <w:tcW w:w="44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7"/>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Philippe Camus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Peter L.S. Currie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Jamie S. Gorelick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Tony Isaac</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K. Vaman Kamath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Nikolay Kudryavtsev</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Adrian Lajous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Michael E. Marks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Leo Rafael Reif</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Tore I. Sandvold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April 27,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Henri Seydoux</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0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44"/>
        </w:trPr>
        <w:tc>
          <w:tcPr>
            <w:tcW w:w="560" w:type="dxa"/>
            <w:vAlign w:val="bottom"/>
          </w:tcPr>
          <w:p>
            <w:pPr>
              <w:spacing w:after="0"/>
              <w:rPr>
                <w:sz w:val="12"/>
                <w:szCs w:val="12"/>
                <w:color w:val="auto"/>
              </w:rPr>
            </w:pPr>
          </w:p>
        </w:tc>
        <w:tc>
          <w:tcPr>
            <w:tcW w:w="4480" w:type="dxa"/>
            <w:vAlign w:val="bottom"/>
            <w:gridSpan w:val="4"/>
          </w:tcPr>
          <w:p>
            <w:pPr>
              <w:jc w:val="center"/>
              <w:ind w:right="480"/>
              <w:spacing w:after="0" w:line="144" w:lineRule="exact"/>
              <w:rPr>
                <w:sz w:val="20"/>
                <w:szCs w:val="20"/>
                <w:color w:val="auto"/>
              </w:rPr>
            </w:pPr>
            <w:r>
              <w:rPr>
                <w:rFonts w:ascii="Arial" w:cs="Arial" w:eastAsia="Arial" w:hAnsi="Arial"/>
                <w:sz w:val="14"/>
                <w:szCs w:val="14"/>
                <w:b w:val="1"/>
                <w:bCs w:val="1"/>
                <w:color w:val="auto"/>
                <w:w w:val="88"/>
              </w:rPr>
              <w:t>Name: Alexander C. Juden,</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4"/>
        </w:trPr>
        <w:tc>
          <w:tcPr>
            <w:tcW w:w="560" w:type="dxa"/>
            <w:vAlign w:val="bottom"/>
          </w:tcPr>
          <w:p>
            <w:pPr>
              <w:spacing w:after="0"/>
              <w:rPr>
                <w:sz w:val="15"/>
                <w:szCs w:val="15"/>
                <w:color w:val="auto"/>
              </w:rPr>
            </w:pPr>
          </w:p>
        </w:tc>
        <w:tc>
          <w:tcPr>
            <w:tcW w:w="4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058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Agreement and Plan of Merger among Schlumberger Limited, Turnberry Merger Sub Inc. and Smith International, Inc., dated February 21, 2010</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(attached as Annex A to the proxy statement/prospectus that is part of this Registration Statement).</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Articles of Incorporation of Schlumberger Limited (Schlumberger N.V.), as last amended on April 12, 2006 (incorporated by reference to Exhibit</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April 21, 2005 (incorporated by reference to</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Indenture dated as of June 9, 2003, by and between Schlumberger Limited and Citibank, N.A., as Trustee (incorporated by reference to Exhibit 4.3</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Schlumberger’s Registration Statement on Form S-3 filed on September 12, 2003)</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as of June 9, 2003, by and between Schlumberger Limited and Citibank, N.A., as Trustee (incorporated by</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rPr>
              <w:t>5.1**</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Alexander C. Juden.</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rPr>
              <w:t>8.1**</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Baker Botts L.L.P. regarding certain federal income tax matters.</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rPr>
              <w:t>8.2**</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Wachtell, Lipton, Rosen &amp; Katz regarding certain federal income tax matters.</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23.1**</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23.2**</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Baker Botts L.L.P. (included in the opinion filed as Exhibit 8.1).</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23.3**</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Wachtell, Lipton, Rosen &amp; Katz (included in the opinion filed as Exhibit 8.2).</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23.4*</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 Limited.</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23.5*</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24.1*</w:t>
            </w:r>
          </w:p>
        </w:tc>
        <w:tc>
          <w:tcPr>
            <w:tcW w:w="105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99.1**</w:t>
            </w:r>
          </w:p>
        </w:tc>
        <w:tc>
          <w:tcPr>
            <w:tcW w:w="10580" w:type="dxa"/>
            <w:vAlign w:val="bottom"/>
          </w:tcPr>
          <w:p>
            <w:pPr>
              <w:ind w:left="280"/>
              <w:spacing w:after="0"/>
              <w:rPr>
                <w:sz w:val="20"/>
                <w:szCs w:val="20"/>
                <w:color w:val="auto"/>
              </w:rPr>
            </w:pPr>
            <w:r>
              <w:rPr>
                <w:rFonts w:ascii="Arial" w:cs="Arial" w:eastAsia="Arial" w:hAnsi="Arial"/>
                <w:sz w:val="18"/>
                <w:szCs w:val="18"/>
                <w:color w:val="auto"/>
              </w:rPr>
              <w:t>Form of Proxy Card of Smith International, Inc.</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99.2*</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UBS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340"/>
          </w:cols>
          <w:pgMar w:left="240" w:top="459" w:right="3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23.4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S-4 of our report dated February 5, 2010 relating to the consolidated financial statements and the effectiveness of internal control over financial reporting, which appears in Schlumberger Limited’s Annual Report on Form 10-K for the year ended December 31, 2009. We also consent to the reference to us under the heading “Experts” in such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23, 2010</w:t>
      </w:r>
    </w:p>
    <w:p>
      <w:pPr>
        <w:sectPr>
          <w:pgSz w:w="11900" w:h="16838" w:orient="portrait"/>
          <w:cols w:equalWidth="0" w:num="1">
            <w:col w:w="11420"/>
          </w:cols>
          <w:pgMar w:left="240" w:top="125"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23.5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March 1, 2010, relating to the consolidated financial statements and financial statement schedule of Smith International, Inc. and subsidiaries (the “Company”) (which report expresses an unqualified opinion on those financial statements and financial statement schedule), and the effectiveness of the Company’s internal control over financial reporting appearing in the Annual Report on Form 10-K of Smith International, Inc. and subsidiaries for the year ended December 31, 2009, and to the reference to us under the heading “Experts” in the proxy statement/prospectus which is part of this Registration Statement.</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2010</w:t>
      </w:r>
    </w:p>
    <w:p>
      <w:pPr>
        <w:sectPr>
          <w:pgSz w:w="11900" w:h="16838" w:orient="portrait"/>
          <w:cols w:equalWidth="0" w:num="1">
            <w:col w:w="11420"/>
          </w:cols>
          <w:pgMar w:left="240" w:top="125"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TTORNEY</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constitutes and appoints Simon Ayat, Howard Guild and Alexander C. Juden, and each of them, the true and lawful attorneys-in-fact and agents of the undersigned, each of whom shall be authorized to act with or without the others, with full power of substitution and resubstitution, for and in the name, place and stead of the undersigned to execute one or more registration statements (whether on Form S-4 or such other form as may be required) relating to the issuance of the Corporation’s common stock in connection with the merger of a wholly owned subsidiary of the Corporation with and into Smith International, Inc. and any and all amendments (including post-effective amendments) thereto, and any and all other instruments and documents as may be necessary, advisable or appropriate to enable the Corporation to comply with the Securities Act of 1933, as amended, and all other federal and state securities laws, and to file the same or cause the same to be filed, with all exhibits thereto, with the Securities and Exchange Commission. Said attorneys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Andrew Gould</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line="222" w:lineRule="auto"/>
        <w:rPr>
          <w:sz w:val="20"/>
          <w:szCs w:val="20"/>
          <w:color w:val="auto"/>
        </w:rPr>
      </w:pPr>
      <w:r>
        <w:rPr>
          <w:rFonts w:ascii="Arial" w:cs="Arial" w:eastAsia="Arial" w:hAnsi="Arial"/>
          <w:sz w:val="14"/>
          <w:szCs w:val="14"/>
          <w:b w:val="1"/>
          <w:bCs w:val="1"/>
          <w:color w:val="auto"/>
        </w:rPr>
        <w:t>Chairman and Chief Executive Officer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C</w:t>
      </w:r>
      <w:r>
        <w:rPr>
          <w:rFonts w:ascii="Arial" w:cs="Arial" w:eastAsia="Arial" w:hAnsi="Arial"/>
          <w:sz w:val="13"/>
          <w:szCs w:val="13"/>
          <w:color w:val="auto"/>
        </w:rPr>
        <w:t>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Philippe Camus</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720"/>
        <w:spacing w:after="0"/>
        <w:tabs>
          <w:tab w:leader="none" w:pos="2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L.S. C</w:t>
      </w:r>
      <w:r>
        <w:rPr>
          <w:rFonts w:ascii="Arial" w:cs="Arial" w:eastAsia="Arial" w:hAnsi="Arial"/>
          <w:sz w:val="13"/>
          <w:szCs w:val="13"/>
          <w:color w:val="auto"/>
        </w:rPr>
        <w:t>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Peter L.S. Currie</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AMIE</w:t>
      </w:r>
      <w:r>
        <w:rPr>
          <w:rFonts w:ascii="Arial" w:cs="Arial" w:eastAsia="Arial" w:hAnsi="Arial"/>
          <w:sz w:val="16"/>
          <w:szCs w:val="16"/>
          <w:color w:val="auto"/>
        </w:rPr>
        <w:t xml:space="preserve"> S.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Jamie S. Gorelick</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T</w:t>
      </w:r>
      <w:r>
        <w:rPr>
          <w:rFonts w:ascii="Arial" w:cs="Arial" w:eastAsia="Arial" w:hAnsi="Arial"/>
          <w:sz w:val="14"/>
          <w:szCs w:val="14"/>
          <w:color w:val="auto"/>
        </w:rPr>
        <w:t>ONY</w:t>
      </w:r>
      <w:r>
        <w:rPr>
          <w:rFonts w:ascii="Arial" w:cs="Arial" w:eastAsia="Arial" w:hAnsi="Arial"/>
          <w:sz w:val="18"/>
          <w:szCs w:val="18"/>
          <w:color w:val="auto"/>
        </w:rPr>
        <w:t xml:space="preserve"> I</w:t>
      </w:r>
      <w:r>
        <w:rPr>
          <w:rFonts w:ascii="Arial" w:cs="Arial" w:eastAsia="Arial" w:hAnsi="Arial"/>
          <w:sz w:val="14"/>
          <w:szCs w:val="14"/>
          <w:color w:val="auto"/>
        </w:rPr>
        <w:t>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4817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Tony Isaac</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680"/>
        <w:spacing w:after="0"/>
        <w:tabs>
          <w:tab w:leader="none" w:pos="20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 V</w:t>
      </w:r>
      <w:r>
        <w:rPr>
          <w:rFonts w:ascii="Arial" w:cs="Arial" w:eastAsia="Arial" w:hAnsi="Arial"/>
          <w:sz w:val="14"/>
          <w:szCs w:val="14"/>
          <w:color w:val="auto"/>
        </w:rPr>
        <w:t>AMAN</w:t>
      </w:r>
      <w:r>
        <w:rPr>
          <w:rFonts w:ascii="Arial" w:cs="Arial" w:eastAsia="Arial" w:hAnsi="Arial"/>
          <w:sz w:val="18"/>
          <w:szCs w:val="18"/>
          <w:color w:val="auto"/>
        </w:rPr>
        <w:t xml:space="preserve"> K</w:t>
      </w:r>
      <w:r>
        <w:rPr>
          <w:rFonts w:ascii="Arial" w:cs="Arial" w:eastAsia="Arial" w:hAnsi="Arial"/>
          <w:sz w:val="14"/>
          <w:szCs w:val="14"/>
          <w:color w:val="auto"/>
        </w:rPr>
        <w:t>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K. Vaman Kamath</w:t>
      </w:r>
    </w:p>
    <w:p>
      <w:pPr>
        <w:jc w:val="center"/>
        <w:ind w:right="118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817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Simon Ayat</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Dated: April 22, 2010</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N</w:t>
      </w:r>
      <w:r>
        <w:rPr>
          <w:rFonts w:ascii="Arial" w:cs="Arial" w:eastAsia="Arial" w:hAnsi="Arial"/>
          <w:sz w:val="14"/>
          <w:szCs w:val="14"/>
          <w:color w:val="auto"/>
        </w:rPr>
        <w:t>IKOLAY</w:t>
      </w:r>
      <w:r>
        <w:rPr>
          <w:rFonts w:ascii="Arial" w:cs="Arial" w:eastAsia="Arial" w:hAnsi="Arial"/>
          <w:sz w:val="18"/>
          <w:szCs w:val="18"/>
          <w:color w:val="auto"/>
        </w:rPr>
        <w:t xml:space="preserve"> K</w:t>
      </w:r>
      <w:r>
        <w:rPr>
          <w:rFonts w:ascii="Arial" w:cs="Arial" w:eastAsia="Arial" w:hAnsi="Arial"/>
          <w:sz w:val="14"/>
          <w:szCs w:val="14"/>
          <w:color w:val="auto"/>
        </w:rPr>
        <w:t>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Nikolay Kudryavtsev</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357" w:lineRule="exact"/>
        <w:rPr>
          <w:sz w:val="20"/>
          <w:szCs w:val="20"/>
          <w:color w:val="auto"/>
        </w:rPr>
      </w:pPr>
    </w:p>
    <w:p>
      <w:pPr>
        <w:ind w:left="300"/>
        <w:spacing w:after="0"/>
        <w:tabs>
          <w:tab w:leader="none" w:pos="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DRIAN</w:t>
      </w:r>
      <w:r>
        <w:rPr>
          <w:rFonts w:ascii="Arial" w:cs="Arial" w:eastAsia="Arial" w:hAnsi="Arial"/>
          <w:sz w:val="18"/>
          <w:szCs w:val="18"/>
          <w:color w:val="auto"/>
        </w:rPr>
        <w:t xml:space="preserve"> L</w:t>
      </w:r>
      <w:r>
        <w:rPr>
          <w:rFonts w:ascii="Arial" w:cs="Arial" w:eastAsia="Arial" w:hAnsi="Arial"/>
          <w:sz w:val="14"/>
          <w:szCs w:val="14"/>
          <w:color w:val="auto"/>
        </w:rPr>
        <w:t>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Adrian Lajous</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E. M</w:t>
      </w:r>
      <w:r>
        <w:rPr>
          <w:rFonts w:ascii="Arial" w:cs="Arial" w:eastAsia="Arial" w:hAnsi="Arial"/>
          <w:sz w:val="14"/>
          <w:szCs w:val="14"/>
          <w:color w:val="auto"/>
        </w:rPr>
        <w:t>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Michael E. Marks</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208"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EO</w:t>
      </w:r>
      <w:r>
        <w:rPr>
          <w:rFonts w:ascii="Arial" w:cs="Arial" w:eastAsia="Arial" w:hAnsi="Arial"/>
          <w:sz w:val="16"/>
          <w:szCs w:val="16"/>
          <w:color w:val="auto"/>
        </w:rPr>
        <w:t xml:space="preserve"> R</w:t>
      </w:r>
      <w:r>
        <w:rPr>
          <w:rFonts w:ascii="Arial" w:cs="Arial" w:eastAsia="Arial" w:hAnsi="Arial"/>
          <w:sz w:val="13"/>
          <w:szCs w:val="13"/>
          <w:color w:val="auto"/>
        </w:rPr>
        <w:t>AFAEL</w:t>
      </w:r>
      <w:r>
        <w:rPr>
          <w:rFonts w:ascii="Arial" w:cs="Arial" w:eastAsia="Arial" w:hAnsi="Arial"/>
          <w:sz w:val="16"/>
          <w:szCs w:val="16"/>
          <w:color w:val="auto"/>
        </w:rPr>
        <w:t xml:space="preserve"> R</w:t>
      </w:r>
      <w:r>
        <w:rPr>
          <w:rFonts w:ascii="Arial" w:cs="Arial" w:eastAsia="Arial" w:hAnsi="Arial"/>
          <w:sz w:val="13"/>
          <w:szCs w:val="13"/>
          <w:color w:val="auto"/>
        </w:rPr>
        <w:t>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Leo Rafael Reif</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292100</wp:posOffset>
            </wp:positionV>
            <wp:extent cx="36188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Tore I. Sandvold</w:t>
      </w:r>
    </w:p>
    <w:p>
      <w:pPr>
        <w:ind w:left="980"/>
        <w:spacing w:after="0" w:line="223" w:lineRule="auto"/>
        <w:rPr>
          <w:sz w:val="20"/>
          <w:szCs w:val="20"/>
          <w:color w:val="auto"/>
        </w:rPr>
      </w:pPr>
      <w:r>
        <w:rPr>
          <w:rFonts w:ascii="Arial" w:cs="Arial" w:eastAsia="Arial" w:hAnsi="Arial"/>
          <w:sz w:val="14"/>
          <w:szCs w:val="14"/>
          <w:b w:val="1"/>
          <w:bCs w:val="1"/>
          <w:color w:val="auto"/>
        </w:rPr>
        <w:t>Director</w:t>
      </w:r>
    </w:p>
    <w:p>
      <w:pPr>
        <w:ind w:left="600"/>
        <w:spacing w:after="0"/>
        <w:rPr>
          <w:sz w:val="20"/>
          <w:szCs w:val="20"/>
          <w:color w:val="auto"/>
        </w:rPr>
      </w:pPr>
      <w:r>
        <w:rPr>
          <w:rFonts w:ascii="Arial" w:cs="Arial" w:eastAsia="Arial" w:hAnsi="Arial"/>
          <w:sz w:val="14"/>
          <w:szCs w:val="14"/>
          <w:b w:val="1"/>
          <w:bCs w:val="1"/>
          <w:color w:val="auto"/>
        </w:rPr>
        <w:t>Dated:</w:t>
      </w:r>
    </w:p>
    <w:p>
      <w:pPr>
        <w:spacing w:after="0" w:line="208"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ENRI</w:t>
      </w:r>
      <w:r>
        <w:rPr>
          <w:rFonts w:ascii="Arial" w:cs="Arial" w:eastAsia="Arial" w:hAnsi="Arial"/>
          <w:sz w:val="16"/>
          <w:szCs w:val="16"/>
          <w:color w:val="auto"/>
        </w:rPr>
        <w:t xml:space="preserve"> S</w:t>
      </w:r>
      <w:r>
        <w:rPr>
          <w:rFonts w:ascii="Arial" w:cs="Arial" w:eastAsia="Arial" w:hAnsi="Arial"/>
          <w:sz w:val="13"/>
          <w:szCs w:val="13"/>
          <w:color w:val="auto"/>
        </w:rPr>
        <w:t>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19685</wp:posOffset>
            </wp:positionV>
            <wp:extent cx="36188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right="1560"/>
        <w:spacing w:after="0"/>
        <w:rPr>
          <w:sz w:val="20"/>
          <w:szCs w:val="20"/>
          <w:color w:val="auto"/>
        </w:rPr>
      </w:pPr>
      <w:r>
        <w:rPr>
          <w:rFonts w:ascii="Arial" w:cs="Arial" w:eastAsia="Arial" w:hAnsi="Arial"/>
          <w:sz w:val="14"/>
          <w:szCs w:val="14"/>
          <w:b w:val="1"/>
          <w:bCs w:val="1"/>
          <w:color w:val="auto"/>
        </w:rPr>
        <w:t>Henri Seydoux</w:t>
      </w:r>
    </w:p>
    <w:p>
      <w:pPr>
        <w:jc w:val="center"/>
        <w:ind w:right="1560"/>
        <w:spacing w:after="0" w:line="223" w:lineRule="auto"/>
        <w:rPr>
          <w:sz w:val="20"/>
          <w:szCs w:val="20"/>
          <w:color w:val="auto"/>
        </w:rPr>
      </w:pPr>
      <w:r>
        <w:rPr>
          <w:rFonts w:ascii="Arial" w:cs="Arial" w:eastAsia="Arial" w:hAnsi="Arial"/>
          <w:sz w:val="14"/>
          <w:szCs w:val="14"/>
          <w:b w:val="1"/>
          <w:bCs w:val="1"/>
          <w:color w:val="auto"/>
        </w:rPr>
        <w:t>Director</w:t>
      </w:r>
    </w:p>
    <w:p>
      <w:pPr>
        <w:jc w:val="center"/>
        <w:ind w:right="1560"/>
        <w:spacing w:after="0"/>
        <w:rPr>
          <w:sz w:val="20"/>
          <w:szCs w:val="20"/>
          <w:color w:val="auto"/>
        </w:rPr>
      </w:pPr>
      <w:r>
        <w:rPr>
          <w:rFonts w:ascii="Arial" w:cs="Arial" w:eastAsia="Arial" w:hAnsi="Arial"/>
          <w:sz w:val="14"/>
          <w:szCs w:val="14"/>
          <w:b w:val="1"/>
          <w:bCs w:val="1"/>
          <w:color w:val="auto"/>
        </w:rPr>
        <w:t>Dated: April 22, 2010</w:t>
      </w:r>
    </w:p>
    <w:p>
      <w:pPr>
        <w:sectPr>
          <w:pgSz w:w="11900" w:h="16838" w:orient="portrait"/>
          <w:cols w:equalWidth="0" w:num="2">
            <w:col w:w="6680" w:space="720"/>
            <w:col w:w="4020"/>
          </w:cols>
          <w:pgMar w:left="240" w:top="125" w:right="239" w:bottom="1440" w:gutter="0" w:footer="0" w:header="0"/>
          <w:type w:val="continuous"/>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UBS SECURITIES LLC</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hereby consent to the use of our opinion letter dated February 20, 2010 to the Board of Directors of Smith International, Inc. (“Smith”) included as Appendix B to the Proxy Statement/Prospectus which forms a part of the Registration Statement on Form S-4 relating to the proposed merger of Smith and Schlumberger Limited and references to such opinion in such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UBS SECURITIES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27, 2010</w:t>
      </w:r>
    </w:p>
    <w:p>
      <w:pPr>
        <w:sectPr>
          <w:pgSz w:w="11900" w:h="16838" w:orient="portrait"/>
          <w:cols w:equalWidth="0" w:num="1">
            <w:col w:w="11420"/>
          </w:cols>
          <w:pgMar w:left="240" w:top="125" w:right="239" w:bottom="1440" w:gutter="0" w:footer="0" w:header="0"/>
        </w:sectPr>
      </w:pPr>
    </w:p>
    <w:bookmarkStart w:id="260" w:name="page261"/>
    <w:bookmarkEnd w:id="260"/>
    <w:tbl>
      <w:tblPr>
        <w:tblLayout w:type="fixed"/>
        <w:tblInd w:w="846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color w:val="auto"/>
              </w:rPr>
              <w:t>ONE SHELL PLAZA</w:t>
            </w:r>
          </w:p>
        </w:tc>
        <w:tc>
          <w:tcPr>
            <w:tcW w:w="1220" w:type="dxa"/>
            <w:vAlign w:val="bottom"/>
          </w:tcPr>
          <w:p>
            <w:pPr>
              <w:ind w:left="320"/>
              <w:spacing w:after="0"/>
              <w:rPr>
                <w:sz w:val="20"/>
                <w:szCs w:val="20"/>
                <w:color w:val="auto"/>
              </w:rPr>
            </w:pPr>
            <w:r>
              <w:rPr>
                <w:rFonts w:ascii="Arial" w:cs="Arial" w:eastAsia="Arial" w:hAnsi="Arial"/>
                <w:sz w:val="14"/>
                <w:szCs w:val="14"/>
                <w:color w:val="auto"/>
              </w:rPr>
              <w:t>ABU DHABI</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910 LOUISIANA</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AUSTIN</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HOUSTON, TEXAS</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BEIJING</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77002-4995</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DALLAS</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color w:val="auto"/>
              </w:rPr>
              <w:t>TEL</w:t>
            </w: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color w:val="auto"/>
                <w:w w:val="90"/>
              </w:rPr>
              <w:t>+1 713.229.1234</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DUBAI</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68"/>
        </w:trPr>
        <w:tc>
          <w:tcPr>
            <w:tcW w:w="320" w:type="dxa"/>
            <w:vAlign w:val="bottom"/>
            <w:vMerge w:val="restart"/>
          </w:tcPr>
          <w:p>
            <w:pPr>
              <w:spacing w:after="0" w:line="149" w:lineRule="exact"/>
              <w:rPr>
                <w:sz w:val="20"/>
                <w:szCs w:val="20"/>
                <w:color w:val="auto"/>
              </w:rPr>
            </w:pPr>
            <w:r>
              <w:rPr>
                <w:rFonts w:ascii="Arial" w:cs="Arial" w:eastAsia="Arial" w:hAnsi="Arial"/>
                <w:sz w:val="14"/>
                <w:szCs w:val="14"/>
                <w:color w:val="auto"/>
              </w:rPr>
              <w:t>FAX</w:t>
            </w:r>
          </w:p>
        </w:tc>
        <w:tc>
          <w:tcPr>
            <w:tcW w:w="1300" w:type="dxa"/>
            <w:vAlign w:val="bottom"/>
            <w:vMerge w:val="restart"/>
          </w:tcPr>
          <w:p>
            <w:pPr>
              <w:jc w:val="right"/>
              <w:ind w:right="232"/>
              <w:spacing w:after="0" w:line="149" w:lineRule="exact"/>
              <w:rPr>
                <w:sz w:val="20"/>
                <w:szCs w:val="20"/>
                <w:color w:val="auto"/>
              </w:rPr>
            </w:pPr>
            <w:r>
              <w:rPr>
                <w:rFonts w:ascii="Arial" w:cs="Arial" w:eastAsia="Arial" w:hAnsi="Arial"/>
                <w:sz w:val="14"/>
                <w:szCs w:val="14"/>
                <w:color w:val="auto"/>
                <w:w w:val="92"/>
              </w:rPr>
              <w:t>+1 713.229.1522</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HOUSTON</w:t>
            </w:r>
          </w:p>
        </w:tc>
        <w:tc>
          <w:tcPr>
            <w:tcW w:w="0" w:type="dxa"/>
            <w:vAlign w:val="bottom"/>
          </w:tcPr>
          <w:p>
            <w:pPr>
              <w:spacing w:after="0"/>
              <w:rPr>
                <w:sz w:val="1"/>
                <w:szCs w:val="1"/>
                <w:color w:val="auto"/>
              </w:rPr>
            </w:pPr>
          </w:p>
        </w:tc>
      </w:tr>
      <w:tr>
        <w:trPr>
          <w:trHeight w:val="68"/>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www.bakerbotts.com</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20" w:type="dxa"/>
            <w:vAlign w:val="bottom"/>
            <w:gridSpan w:val="2"/>
            <w:vMerge w:val="continue"/>
          </w:tcPr>
          <w:p>
            <w:pPr>
              <w:spacing w:after="0"/>
              <w:rPr>
                <w:sz w:val="9"/>
                <w:szCs w:val="9"/>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LONDON</w:t>
            </w: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PALO ALTO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72"/>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Andrew J. Ericksen</w:t>
            </w:r>
          </w:p>
        </w:tc>
        <w:tc>
          <w:tcPr>
            <w:tcW w:w="1220" w:type="dxa"/>
            <w:vAlign w:val="bottom"/>
          </w:tcPr>
          <w:p>
            <w:pPr>
              <w:ind w:left="320"/>
              <w:spacing w:after="0"/>
              <w:rPr>
                <w:sz w:val="20"/>
                <w:szCs w:val="20"/>
                <w:color w:val="auto"/>
              </w:rPr>
            </w:pPr>
            <w:r>
              <w:rPr>
                <w:rFonts w:ascii="Arial" w:cs="Arial" w:eastAsia="Arial" w:hAnsi="Arial"/>
                <w:sz w:val="14"/>
                <w:szCs w:val="14"/>
                <w:color w:val="auto"/>
                <w:w w:val="91"/>
              </w:rPr>
              <w:t>WASHINGTON</w:t>
            </w:r>
          </w:p>
        </w:tc>
        <w:tc>
          <w:tcPr>
            <w:tcW w:w="0" w:type="dxa"/>
            <w:vAlign w:val="bottom"/>
          </w:tcPr>
          <w:p>
            <w:pPr>
              <w:spacing w:after="0"/>
              <w:rPr>
                <w:sz w:val="1"/>
                <w:szCs w:val="1"/>
                <w:color w:val="auto"/>
              </w:rPr>
            </w:pPr>
          </w:p>
        </w:tc>
      </w:tr>
      <w:tr>
        <w:trPr>
          <w:trHeight w:val="138"/>
        </w:trPr>
        <w:tc>
          <w:tcPr>
            <w:tcW w:w="16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rPr>
              <w:t>TEL</w:t>
            </w:r>
          </w:p>
        </w:tc>
        <w:tc>
          <w:tcPr>
            <w:tcW w:w="130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0"/>
              </w:rPr>
              <w:t>+1 713.229.1393</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4"/>
                <w:szCs w:val="14"/>
                <w:color w:val="auto"/>
              </w:rPr>
              <w:t>FAX</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w w:val="92"/>
              </w:rPr>
              <w:t>+1 713.229.2793</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-1517650</wp:posOffset>
            </wp:positionV>
            <wp:extent cx="1741170" cy="180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41170" cy="18034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4"/>
          <w:szCs w:val="14"/>
          <w:color w:val="auto"/>
        </w:rPr>
        <w:t>aj.ericksen@bakerbotts.com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April 27,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Schlumberger Limited (Schlumberger N.V.)</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on Form S-4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behalf of our client, Schlumberger Limited (Schlumberger N.V.) (“Schlumberger”), we hereby submit for filing with the Securities and Exchange Commission (the “Commission”) a registration statement on Form S-4 relating to the merger of Smith International, Inc. (“Smith”) with and into a subsidiary of Schlumberger.</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Please call J. David Kirkland, Jr. (713.229.1101) or M. Breen Haire (713.229.1648) of this Firm, or Daniel A. Neff (212.403.1218) or David E. Shapiro (212.403.1314) of Wachtell, Lipton, Rosen &amp; Katz, counsel to Smith, with any questions or comments regarding this filing. In addition, please send copies of all correspondence with Schlumberger or Smith related to the filing directly to J. David Kirkland, Jr., Baker Botts L.L.P., One Shell Plaza, 910 Louisiana, Houston, Texas 77002-4995 (facsimile: 713.229.7701) and Daniel A. Neff, Wachtell, Lipton, Rosen &amp; Katz, 51 West 52nd Street, New York, New York 10019 (facsimile: 212.403.2218).</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BOTTS L.L.P.</w:t>
      </w:r>
    </w:p>
    <w:p>
      <w:pPr>
        <w:spacing w:after="0" w:line="23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J. E</w:t>
            </w:r>
            <w:r>
              <w:rPr>
                <w:rFonts w:ascii="Arial" w:cs="Arial" w:eastAsia="Arial" w:hAnsi="Arial"/>
                <w:sz w:val="14"/>
                <w:szCs w:val="14"/>
                <w:color w:val="auto"/>
              </w:rPr>
              <w:t>RICKSEN</w:t>
            </w:r>
          </w:p>
        </w:tc>
      </w:tr>
      <w:tr>
        <w:trPr>
          <w:trHeight w:val="217"/>
        </w:trPr>
        <w:tc>
          <w:tcPr>
            <w:tcW w:w="280" w:type="dxa"/>
            <w:vAlign w:val="bottom"/>
          </w:tcPr>
          <w:p>
            <w:pPr>
              <w:spacing w:after="0"/>
              <w:rPr>
                <w:sz w:val="18"/>
                <w:szCs w:val="18"/>
                <w:color w:val="auto"/>
              </w:rPr>
            </w:pPr>
          </w:p>
        </w:tc>
        <w:tc>
          <w:tcPr>
            <w:tcW w:w="4280" w:type="dxa"/>
            <w:vAlign w:val="bottom"/>
          </w:tcPr>
          <w:p>
            <w:pPr>
              <w:ind w:left="1500"/>
              <w:spacing w:after="0"/>
              <w:rPr>
                <w:sz w:val="20"/>
                <w:szCs w:val="20"/>
                <w:color w:val="auto"/>
              </w:rPr>
            </w:pPr>
            <w:r>
              <w:rPr>
                <w:rFonts w:ascii="Arial" w:cs="Arial" w:eastAsia="Arial" w:hAnsi="Arial"/>
                <w:sz w:val="18"/>
                <w:szCs w:val="18"/>
                <w:color w:val="auto"/>
              </w:rPr>
              <w:t>Andrew J. Ericksen</w:t>
            </w:r>
          </w:p>
        </w:tc>
      </w:tr>
    </w:tbl>
    <w:p>
      <w:pPr>
        <w:spacing w:after="0" w:line="1" w:lineRule="exact"/>
        <w:rPr>
          <w:sz w:val="20"/>
          <w:szCs w:val="20"/>
          <w:color w:val="auto"/>
        </w:rPr>
      </w:pP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D7B105"/>
    <w:multiLevelType w:val="hybridMultilevel"/>
    <w:lvl w:ilvl="0">
      <w:lvlJc w:val="left"/>
      <w:lvlText w:val="(%1)"/>
      <w:numFmt w:val="decimal"/>
      <w:start w:val="1"/>
    </w:lvl>
  </w:abstractNum>
  <w:abstractNum w:abstractNumId="1">
    <w:nsid w:val="2E8A6394"/>
    <w:multiLevelType w:val="hybridMultilevel"/>
    <w:lvl w:ilvl="0">
      <w:lvlJc w:val="left"/>
      <w:lvlText w:val="(%1)"/>
      <w:numFmt w:val="decimal"/>
      <w:start w:val="2"/>
    </w:lvl>
  </w:abstractNum>
  <w:abstractNum w:abstractNumId="2">
    <w:nsid w:val="24E60401"/>
    <w:multiLevelType w:val="hybridMultilevel"/>
    <w:lvl w:ilvl="0">
      <w:lvlJc w:val="left"/>
      <w:lvlText w:val="%1."/>
      <w:numFmt w:val="decimal"/>
      <w:start w:val="1"/>
    </w:lvl>
  </w:abstractNum>
  <w:abstractNum w:abstractNumId="3">
    <w:nsid w:val="2A6AD9BE"/>
    <w:multiLevelType w:val="hybridMultilevel"/>
    <w:lvl w:ilvl="0">
      <w:lvlJc w:val="left"/>
      <w:lvlText w:val="%1:"/>
      <w:numFmt w:val="upperLetter"/>
      <w:start w:val="17"/>
    </w:lvl>
  </w:abstractNum>
  <w:abstractNum w:abstractNumId="4">
    <w:nsid w:val="BAAC1B4"/>
    <w:multiLevelType w:val="hybridMultilevel"/>
    <w:lvl w:ilvl="0">
      <w:lvlJc w:val="left"/>
      <w:lvlText w:val="%1:"/>
      <w:numFmt w:val="upperLetter"/>
      <w:start w:val="1"/>
    </w:lvl>
  </w:abstractNum>
  <w:abstractNum w:abstractNumId="5">
    <w:nsid w:val="36B2ACBC"/>
    <w:multiLevelType w:val="hybridMultilevel"/>
    <w:lvl w:ilvl="0">
      <w:lvlJc w:val="left"/>
      <w:lvlText w:val="%1:"/>
      <w:numFmt w:val="upperLetter"/>
      <w:start w:val="17"/>
    </w:lvl>
  </w:abstractNum>
  <w:abstractNum w:abstractNumId="6">
    <w:nsid w:val="779D8544"/>
    <w:multiLevelType w:val="hybridMultilevel"/>
    <w:lvl w:ilvl="0">
      <w:lvlJc w:val="left"/>
      <w:lvlText w:val="%1:"/>
      <w:numFmt w:val="upperLetter"/>
      <w:start w:val="1"/>
    </w:lvl>
  </w:abstractNum>
  <w:abstractNum w:abstractNumId="7">
    <w:nsid w:val="4AB26E78"/>
    <w:multiLevelType w:val="hybridMultilevel"/>
    <w:lvl w:ilvl="0">
      <w:lvlJc w:val="left"/>
      <w:lvlText w:val="%1:"/>
      <w:numFmt w:val="upperLetter"/>
      <w:start w:val="17"/>
    </w:lvl>
  </w:abstractNum>
  <w:abstractNum w:abstractNumId="8">
    <w:nsid w:val="21FAA2FA"/>
    <w:multiLevelType w:val="hybridMultilevel"/>
    <w:lvl w:ilvl="0">
      <w:lvlJc w:val="left"/>
      <w:lvlText w:val="%1:"/>
      <w:numFmt w:val="upperLetter"/>
      <w:start w:val="1"/>
    </w:lvl>
  </w:abstractNum>
  <w:abstractNum w:abstractNumId="9">
    <w:nsid w:val="5451CF49"/>
    <w:multiLevelType w:val="hybridMultilevel"/>
    <w:lvl w:ilvl="0">
      <w:lvlJc w:val="left"/>
      <w:lvlText w:val="%1:"/>
      <w:numFmt w:val="upperLetter"/>
      <w:start w:val="17"/>
    </w:lvl>
  </w:abstractNum>
  <w:abstractNum w:abstractNumId="10">
    <w:nsid w:val="6181EF69"/>
    <w:multiLevelType w:val="hybridMultilevel"/>
    <w:lvl w:ilvl="0">
      <w:lvlJc w:val="left"/>
      <w:lvlText w:val="%1:"/>
      <w:numFmt w:val="upperLetter"/>
      <w:start w:val="1"/>
    </w:lvl>
  </w:abstractNum>
  <w:abstractNum w:abstractNumId="11">
    <w:nsid w:val="3E6400E6"/>
    <w:multiLevelType w:val="hybridMultilevel"/>
    <w:lvl w:ilvl="0">
      <w:lvlJc w:val="left"/>
      <w:lvlText w:val="%1:"/>
      <w:numFmt w:val="upperLetter"/>
      <w:start w:val="17"/>
    </w:lvl>
  </w:abstractNum>
  <w:abstractNum w:abstractNumId="12">
    <w:nsid w:val="14217E23"/>
    <w:multiLevelType w:val="hybridMultilevel"/>
    <w:lvl w:ilvl="0">
      <w:lvlJc w:val="left"/>
      <w:lvlText w:val="%1:"/>
      <w:numFmt w:val="upperLetter"/>
      <w:start w:val="1"/>
    </w:lvl>
  </w:abstractNum>
  <w:abstractNum w:abstractNumId="13">
    <w:nsid w:val="710757D0"/>
    <w:multiLevelType w:val="hybridMultilevel"/>
    <w:lvl w:ilvl="0">
      <w:lvlJc w:val="left"/>
      <w:lvlText w:val="%1:"/>
      <w:numFmt w:val="upperLetter"/>
      <w:start w:val="17"/>
    </w:lvl>
  </w:abstractNum>
  <w:abstractNum w:abstractNumId="14">
    <w:nsid w:val="5015CD1A"/>
    <w:multiLevelType w:val="hybridMultilevel"/>
    <w:lvl w:ilvl="0">
      <w:lvlJc w:val="left"/>
      <w:lvlText w:val="%1:"/>
      <w:numFmt w:val="upperLetter"/>
      <w:start w:val="1"/>
    </w:lvl>
  </w:abstractNum>
  <w:abstractNum w:abstractNumId="15">
    <w:nsid w:val="424479DA"/>
    <w:multiLevelType w:val="hybridMultilevel"/>
    <w:lvl w:ilvl="0">
      <w:lvlJc w:val="left"/>
      <w:lvlText w:val="%1:"/>
      <w:numFmt w:val="upperLetter"/>
      <w:start w:val="17"/>
    </w:lvl>
  </w:abstractNum>
  <w:abstractNum w:abstractNumId="16">
    <w:nsid w:val="1A9A9E69"/>
    <w:multiLevelType w:val="hybridMultilevel"/>
    <w:lvl w:ilvl="0">
      <w:lvlJc w:val="left"/>
      <w:lvlText w:val="%1:"/>
      <w:numFmt w:val="upperLetter"/>
      <w:start w:val="1"/>
    </w:lvl>
  </w:abstractNum>
  <w:abstractNum w:abstractNumId="17">
    <w:nsid w:val="475E256A"/>
    <w:multiLevelType w:val="hybridMultilevel"/>
    <w:lvl w:ilvl="0">
      <w:lvlJc w:val="left"/>
      <w:lvlText w:val="%1:"/>
      <w:numFmt w:val="upperLetter"/>
      <w:start w:val="17"/>
    </w:lvl>
  </w:abstractNum>
  <w:abstractNum w:abstractNumId="18">
    <w:nsid w:val="368DB37E"/>
    <w:multiLevelType w:val="hybridMultilevel"/>
    <w:lvl w:ilvl="0">
      <w:lvlJc w:val="left"/>
      <w:lvlText w:val="%1:"/>
      <w:numFmt w:val="upperLetter"/>
      <w:start w:val="1"/>
    </w:lvl>
  </w:abstractNum>
  <w:abstractNum w:abstractNumId="19">
    <w:nsid w:val="6A3B714C"/>
    <w:multiLevelType w:val="hybridMultilevel"/>
    <w:lvl w:ilvl="0">
      <w:lvlJc w:val="left"/>
      <w:lvlText w:val="%1:"/>
      <w:numFmt w:val="upperLetter"/>
      <w:start w:val="17"/>
    </w:lvl>
  </w:abstractNum>
  <w:abstractNum w:abstractNumId="20">
    <w:nsid w:val="327B517E"/>
    <w:multiLevelType w:val="hybridMultilevel"/>
    <w:lvl w:ilvl="0">
      <w:lvlJc w:val="left"/>
      <w:lvlText w:val="%1:"/>
      <w:numFmt w:val="upperLetter"/>
      <w:start w:val="1"/>
    </w:lvl>
  </w:abstractNum>
  <w:abstractNum w:abstractNumId="21">
    <w:nsid w:val="1F461B51"/>
    <w:multiLevelType w:val="hybridMultilevel"/>
    <w:lvl w:ilvl="0">
      <w:lvlJc w:val="left"/>
      <w:lvlText w:val="%1:"/>
      <w:numFmt w:val="upperLetter"/>
      <w:start w:val="17"/>
    </w:lvl>
  </w:abstractNum>
  <w:abstractNum w:abstractNumId="22">
    <w:nsid w:val="29BACF25"/>
    <w:multiLevelType w:val="hybridMultilevel"/>
    <w:lvl w:ilvl="0">
      <w:lvlJc w:val="left"/>
      <w:lvlText w:val="%1:"/>
      <w:numFmt w:val="upperLetter"/>
      <w:start w:val="1"/>
    </w:lvl>
  </w:abstractNum>
  <w:abstractNum w:abstractNumId="23">
    <w:nsid w:val="5D5BABB3"/>
    <w:multiLevelType w:val="hybridMultilevel"/>
    <w:lvl w:ilvl="0">
      <w:lvlJc w:val="left"/>
      <w:lvlText w:val="Q"/>
      <w:numFmt w:val="bullet"/>
      <w:start w:val="1"/>
    </w:lvl>
  </w:abstractNum>
  <w:abstractNum w:abstractNumId="24">
    <w:nsid w:val="51BF6B48"/>
    <w:multiLevelType w:val="hybridMultilevel"/>
    <w:lvl w:ilvl="0">
      <w:lvlJc w:val="left"/>
      <w:lvlText w:val="%1:"/>
      <w:numFmt w:val="upperLetter"/>
      <w:start w:val="1"/>
    </w:lvl>
  </w:abstractNum>
  <w:abstractNum w:abstractNumId="25">
    <w:nsid w:val="7E0F6384"/>
    <w:multiLevelType w:val="hybridMultilevel"/>
    <w:lvl w:ilvl="0">
      <w:lvlJc w:val="left"/>
      <w:lvlText w:val="%1:"/>
      <w:numFmt w:val="upperLetter"/>
      <w:start w:val="17"/>
    </w:lvl>
  </w:abstractNum>
  <w:abstractNum w:abstractNumId="26">
    <w:nsid w:val="2B4B8B53"/>
    <w:multiLevelType w:val="hybridMultilevel"/>
    <w:lvl w:ilvl="0">
      <w:lvlJc w:val="left"/>
      <w:lvlText w:val="%1:"/>
      <w:numFmt w:val="upperLetter"/>
      <w:start w:val="1"/>
    </w:lvl>
  </w:abstractNum>
  <w:abstractNum w:abstractNumId="27">
    <w:nsid w:val="72E3413A"/>
    <w:multiLevelType w:val="hybridMultilevel"/>
    <w:lvl w:ilvl="0">
      <w:lvlJc w:val="left"/>
      <w:lvlText w:val="%1:"/>
      <w:numFmt w:val="upperLetter"/>
      <w:start w:val="17"/>
    </w:lvl>
  </w:abstractNum>
  <w:abstractNum w:abstractNumId="28">
    <w:nsid w:val="116AE494"/>
    <w:multiLevelType w:val="hybridMultilevel"/>
    <w:lvl w:ilvl="0">
      <w:lvlJc w:val="left"/>
      <w:lvlText w:val="%1:"/>
      <w:numFmt w:val="upperLetter"/>
      <w:start w:val="1"/>
    </w:lvl>
  </w:abstractNum>
  <w:abstractNum w:abstractNumId="29">
    <w:nsid w:val="3494B2FB"/>
    <w:multiLevelType w:val="hybridMultilevel"/>
    <w:lvl w:ilvl="0">
      <w:lvlJc w:val="left"/>
      <w:lvlText w:val="%1:"/>
      <w:numFmt w:val="upperLetter"/>
      <w:start w:val="17"/>
    </w:lvl>
  </w:abstractNum>
  <w:abstractNum w:abstractNumId="30">
    <w:nsid w:val="B13A31"/>
    <w:multiLevelType w:val="hybridMultilevel"/>
    <w:lvl w:ilvl="0">
      <w:lvlJc w:val="left"/>
      <w:lvlText w:val="%1:"/>
      <w:numFmt w:val="upperLetter"/>
      <w:start w:val="1"/>
    </w:lvl>
  </w:abstractNum>
  <w:abstractNum w:abstractNumId="31">
    <w:nsid w:val="64429599"/>
    <w:multiLevelType w:val="hybridMultilevel"/>
    <w:lvl w:ilvl="0">
      <w:lvlJc w:val="left"/>
      <w:lvlText w:val="%1:"/>
      <w:numFmt w:val="upperLetter"/>
      <w:start w:val="17"/>
    </w:lvl>
  </w:abstractNum>
  <w:abstractNum w:abstractNumId="32">
    <w:nsid w:val="631F1690"/>
    <w:multiLevelType w:val="hybridMultilevel"/>
    <w:lvl w:ilvl="0">
      <w:lvlJc w:val="left"/>
      <w:lvlText w:val="%1:"/>
      <w:numFmt w:val="upperLetter"/>
      <w:start w:val="1"/>
    </w:lvl>
  </w:abstractNum>
  <w:abstractNum w:abstractNumId="33">
    <w:nsid w:val="25973E32"/>
    <w:multiLevelType w:val="hybridMultilevel"/>
    <w:lvl w:ilvl="0">
      <w:lvlJc w:val="left"/>
      <w:lvlText w:val="%1:"/>
      <w:numFmt w:val="upperLetter"/>
      <w:start w:val="17"/>
    </w:lvl>
  </w:abstractNum>
  <w:abstractNum w:abstractNumId="34">
    <w:nsid w:val="EAD6F57"/>
    <w:multiLevelType w:val="hybridMultilevel"/>
    <w:lvl w:ilvl="0">
      <w:lvlJc w:val="left"/>
      <w:lvlText w:val="%1:"/>
      <w:numFmt w:val="upperLetter"/>
      <w:start w:val="1"/>
    </w:lvl>
  </w:abstractNum>
  <w:abstractNum w:abstractNumId="35">
    <w:nsid w:val="6EC9D844"/>
    <w:multiLevelType w:val="hybridMultilevel"/>
    <w:lvl w:ilvl="0">
      <w:lvlJc w:val="left"/>
      <w:lvlText w:val="%1:"/>
      <w:numFmt w:val="upperLetter"/>
      <w:start w:val="17"/>
    </w:lvl>
  </w:abstractNum>
  <w:abstractNum w:abstractNumId="36">
    <w:nsid w:val="5C49EAEE"/>
    <w:multiLevelType w:val="hybridMultilevel"/>
    <w:lvl w:ilvl="0">
      <w:lvlJc w:val="left"/>
      <w:lvlText w:val="%1:"/>
      <w:numFmt w:val="upperLetter"/>
      <w:start w:val="1"/>
    </w:lvl>
  </w:abstractNum>
  <w:abstractNum w:abstractNumId="37">
    <w:nsid w:val="64AF49B"/>
    <w:multiLevelType w:val="hybridMultilevel"/>
    <w:lvl w:ilvl="0">
      <w:lvlJc w:val="left"/>
      <w:lvlText w:val="%1:"/>
      <w:numFmt w:val="upperLetter"/>
      <w:start w:val="17"/>
    </w:lvl>
  </w:abstractNum>
  <w:abstractNum w:abstractNumId="38">
    <w:nsid w:val="397C46BC"/>
    <w:multiLevelType w:val="hybridMultilevel"/>
    <w:lvl w:ilvl="0">
      <w:lvlJc w:val="left"/>
      <w:lvlText w:val="%1:"/>
      <w:numFmt w:val="upperLetter"/>
      <w:start w:val="1"/>
    </w:lvl>
  </w:abstractNum>
  <w:abstractNum w:abstractNumId="39">
    <w:nsid w:val="7E448DE9"/>
    <w:multiLevelType w:val="hybridMultilevel"/>
    <w:lvl w:ilvl="0">
      <w:lvlJc w:val="left"/>
      <w:lvlText w:val="%1:"/>
      <w:numFmt w:val="upperLetter"/>
      <w:start w:val="17"/>
    </w:lvl>
  </w:abstractNum>
  <w:abstractNum w:abstractNumId="40">
    <w:nsid w:val="5A9CC3E5"/>
    <w:multiLevelType w:val="hybridMultilevel"/>
    <w:lvl w:ilvl="0">
      <w:lvlJc w:val="left"/>
      <w:lvlText w:val="%1:"/>
      <w:numFmt w:val="upperLetter"/>
      <w:start w:val="1"/>
    </w:lvl>
  </w:abstractNum>
  <w:abstractNum w:abstractNumId="41">
    <w:nsid w:val="1AFE3625"/>
    <w:multiLevelType w:val="hybridMultilevel"/>
    <w:lvl w:ilvl="0">
      <w:lvlJc w:val="left"/>
      <w:lvlText w:val="%1:"/>
      <w:numFmt w:val="upperLetter"/>
      <w:start w:val="17"/>
    </w:lvl>
  </w:abstractNum>
  <w:abstractNum w:abstractNumId="42">
    <w:nsid w:val="3CA88ECF"/>
    <w:multiLevelType w:val="hybridMultilevel"/>
    <w:lvl w:ilvl="0">
      <w:lvlJc w:val="left"/>
      <w:lvlText w:val="%1:"/>
      <w:numFmt w:val="upperLetter"/>
      <w:start w:val="1"/>
    </w:lvl>
  </w:abstractNum>
  <w:abstractNum w:abstractNumId="43">
    <w:nsid w:val="6EBE4208"/>
    <w:multiLevelType w:val="hybridMultilevel"/>
    <w:lvl w:ilvl="0">
      <w:lvlJc w:val="left"/>
      <w:lvlText w:val="%1:"/>
      <w:numFmt w:val="upperLetter"/>
      <w:start w:val="17"/>
    </w:lvl>
  </w:abstractNum>
  <w:abstractNum w:abstractNumId="44">
    <w:nsid w:val="C058DF5"/>
    <w:multiLevelType w:val="hybridMultilevel"/>
    <w:lvl w:ilvl="0">
      <w:lvlJc w:val="left"/>
      <w:lvlText w:val="%1:"/>
      <w:numFmt w:val="upperLetter"/>
      <w:start w:val="1"/>
    </w:lvl>
    <w:lvl w:ilvl="1">
      <w:lvlJc w:val="left"/>
      <w:lvlText w:val="•"/>
      <w:numFmt w:val="bullet"/>
      <w:start w:val="1"/>
    </w:lvl>
  </w:abstractNum>
  <w:abstractNum w:abstractNumId="45">
    <w:nsid w:val="CBE5BE9"/>
    <w:multiLevelType w:val="hybridMultilevel"/>
    <w:lvl w:ilvl="0">
      <w:lvlJc w:val="left"/>
      <w:lvlText w:val="%1:"/>
      <w:numFmt w:val="upperLetter"/>
      <w:start w:val="16"/>
    </w:lvl>
    <w:lvl w:ilvl="1">
      <w:lvlJc w:val="left"/>
      <w:lvlText w:val="•"/>
      <w:numFmt w:val="bullet"/>
      <w:start w:val="1"/>
    </w:lvl>
  </w:abstractNum>
  <w:abstractNum w:abstractNumId="46">
    <w:nsid w:val="3102BBE2"/>
    <w:multiLevelType w:val="hybridMultilevel"/>
    <w:lvl w:ilvl="0">
      <w:lvlJc w:val="left"/>
      <w:lvlText w:val="%1:"/>
      <w:numFmt w:val="upperLetter"/>
      <w:start w:val="1"/>
    </w:lvl>
  </w:abstractNum>
  <w:abstractNum w:abstractNumId="47">
    <w:nsid w:val="26A02C5E"/>
    <w:multiLevelType w:val="hybridMultilevel"/>
    <w:lvl w:ilvl="0">
      <w:lvlJc w:val="left"/>
      <w:lvlText w:val="%1:"/>
      <w:numFmt w:val="upperLetter"/>
      <w:start w:val="17"/>
    </w:lvl>
  </w:abstractNum>
  <w:abstractNum w:abstractNumId="48">
    <w:nsid w:val="541C8153"/>
    <w:multiLevelType w:val="hybridMultilevel"/>
    <w:lvl w:ilvl="0">
      <w:lvlJc w:val="left"/>
      <w:lvlText w:val="%1:"/>
      <w:numFmt w:val="upperLetter"/>
      <w:start w:val="1"/>
    </w:lvl>
  </w:abstractNum>
  <w:abstractNum w:abstractNumId="49">
    <w:nsid w:val="67906F60"/>
    <w:multiLevelType w:val="hybridMultilevel"/>
    <w:lvl w:ilvl="0">
      <w:lvlJc w:val="left"/>
      <w:lvlText w:val="%1:"/>
      <w:numFmt w:val="upperLetter"/>
      <w:start w:val="17"/>
    </w:lvl>
  </w:abstractNum>
  <w:abstractNum w:abstractNumId="50">
    <w:nsid w:val="10DB9DAA"/>
    <w:multiLevelType w:val="hybridMultilevel"/>
    <w:lvl w:ilvl="0">
      <w:lvlJc w:val="left"/>
      <w:lvlText w:val="%1:"/>
      <w:numFmt w:val="upperLetter"/>
      <w:start w:val="1"/>
    </w:lvl>
  </w:abstractNum>
  <w:abstractNum w:abstractNumId="51">
    <w:nsid w:val="697D2D2"/>
    <w:multiLevelType w:val="hybridMultilevel"/>
    <w:lvl w:ilvl="0">
      <w:lvlJc w:val="left"/>
      <w:lvlText w:val="%1:"/>
      <w:numFmt w:val="upperLetter"/>
      <w:start w:val="17"/>
    </w:lvl>
  </w:abstractNum>
  <w:abstractNum w:abstractNumId="52">
    <w:nsid w:val="6D68AB2"/>
    <w:multiLevelType w:val="hybridMultilevel"/>
    <w:lvl w:ilvl="0">
      <w:lvlJc w:val="left"/>
      <w:lvlText w:val="%1:"/>
      <w:numFmt w:val="upperLetter"/>
      <w:start w:val="17"/>
    </w:lvl>
  </w:abstractNum>
  <w:abstractNum w:abstractNumId="53">
    <w:nsid w:val="3A966CD0"/>
    <w:multiLevelType w:val="hybridMultilevel"/>
    <w:lvl w:ilvl="0">
      <w:lvlJc w:val="left"/>
      <w:lvlText w:val="%1:"/>
      <w:numFmt w:val="upperLetter"/>
      <w:start w:val="1"/>
    </w:lvl>
  </w:abstractNum>
  <w:abstractNum w:abstractNumId="54">
    <w:nsid w:val="63F37E85"/>
    <w:multiLevelType w:val="hybridMultilevel"/>
    <w:lvl w:ilvl="0">
      <w:lvlJc w:val="left"/>
      <w:lvlText w:val="%1:"/>
      <w:numFmt w:val="upperLetter"/>
      <w:start w:val="17"/>
    </w:lvl>
  </w:abstractNum>
  <w:abstractNum w:abstractNumId="55">
    <w:nsid w:val="5895F5FA"/>
    <w:multiLevelType w:val="hybridMultilevel"/>
    <w:lvl w:ilvl="0">
      <w:lvlJc w:val="left"/>
      <w:lvlText w:val="%1:"/>
      <w:numFmt w:val="upperLetter"/>
      <w:start w:val="1"/>
    </w:lvl>
  </w:abstractNum>
  <w:abstractNum w:abstractNumId="56">
    <w:nsid w:val="38A5D054"/>
    <w:multiLevelType w:val="hybridMultilevel"/>
    <w:lvl w:ilvl="0">
      <w:lvlJc w:val="left"/>
      <w:lvlText w:val="%1:"/>
      <w:numFmt w:val="upperLetter"/>
      <w:start w:val="17"/>
    </w:lvl>
  </w:abstractNum>
  <w:abstractNum w:abstractNumId="57">
    <w:nsid w:val="F3F09D8"/>
    <w:multiLevelType w:val="hybridMultilevel"/>
    <w:lvl w:ilvl="0">
      <w:lvlJc w:val="left"/>
      <w:lvlText w:val="%1:"/>
      <w:numFmt w:val="upperLetter"/>
      <w:start w:val="1"/>
    </w:lvl>
    <w:lvl w:ilvl="1">
      <w:lvlJc w:val="left"/>
      <w:lvlText w:val="•"/>
      <w:numFmt w:val="bullet"/>
      <w:start w:val="1"/>
    </w:lvl>
  </w:abstractNum>
  <w:abstractNum w:abstractNumId="58">
    <w:nsid w:val="4B793735"/>
    <w:multiLevelType w:val="hybridMultilevel"/>
    <w:lvl w:ilvl="0">
      <w:lvlJc w:val="left"/>
      <w:lvlText w:val="%1:"/>
      <w:numFmt w:val="upperLetter"/>
      <w:start w:val="17"/>
    </w:lvl>
  </w:abstractNum>
  <w:abstractNum w:abstractNumId="59">
    <w:nsid w:val="4A10B4E8"/>
    <w:multiLevelType w:val="hybridMultilevel"/>
    <w:lvl w:ilvl="0">
      <w:lvlJc w:val="left"/>
      <w:lvlText w:val="%1:"/>
      <w:numFmt w:val="upperLetter"/>
      <w:start w:val="1"/>
    </w:lvl>
  </w:abstractNum>
  <w:abstractNum w:abstractNumId="60">
    <w:nsid w:val="43D3BCD4"/>
    <w:multiLevelType w:val="hybridMultilevel"/>
    <w:lvl w:ilvl="0">
      <w:lvlJc w:val="left"/>
      <w:lvlText w:val="•"/>
      <w:numFmt w:val="bullet"/>
      <w:start w:val="1"/>
    </w:lvl>
  </w:abstractNum>
  <w:abstractNum w:abstractNumId="61">
    <w:nsid w:val="4C2A7166"/>
    <w:multiLevelType w:val="hybridMultilevel"/>
    <w:lvl w:ilvl="0">
      <w:lvlJc w:val="left"/>
      <w:lvlText w:val="•"/>
      <w:numFmt w:val="bullet"/>
      <w:start w:val="1"/>
    </w:lvl>
  </w:abstractNum>
  <w:abstractNum w:abstractNumId="62">
    <w:nsid w:val="2E534A82"/>
    <w:multiLevelType w:val="hybridMultilevel"/>
    <w:lvl w:ilvl="0">
      <w:lvlJc w:val="left"/>
      <w:lvlText w:val="•"/>
      <w:numFmt w:val="bullet"/>
      <w:start w:val="1"/>
    </w:lvl>
  </w:abstractNum>
  <w:abstractNum w:abstractNumId="63">
    <w:nsid w:val="26F2D364"/>
    <w:multiLevelType w:val="hybridMultilevel"/>
    <w:lvl w:ilvl="0">
      <w:lvlJc w:val="left"/>
      <w:lvlText w:val="•"/>
      <w:numFmt w:val="bullet"/>
      <w:start w:val="1"/>
    </w:lvl>
    <w:lvl w:ilvl="1">
      <w:lvlJc w:val="left"/>
      <w:lvlText w:val="•"/>
      <w:numFmt w:val="bullet"/>
      <w:start w:val="1"/>
    </w:lvl>
  </w:abstractNum>
  <w:abstractNum w:abstractNumId="64">
    <w:nsid w:val="71C1AF98"/>
    <w:multiLevelType w:val="hybridMultilevel"/>
    <w:lvl w:ilvl="0">
      <w:lvlJc w:val="left"/>
      <w:lvlText w:val="•"/>
      <w:numFmt w:val="bullet"/>
      <w:start w:val="1"/>
    </w:lvl>
    <w:lvl w:ilvl="1">
      <w:lvlJc w:val="left"/>
      <w:lvlText w:val="•"/>
      <w:numFmt w:val="bullet"/>
      <w:start w:val="1"/>
    </w:lvl>
  </w:abstractNum>
  <w:abstractNum w:abstractNumId="65">
    <w:nsid w:val="3D00B9D9"/>
    <w:multiLevelType w:val="hybridMultilevel"/>
    <w:lvl w:ilvl="0">
      <w:lvlJc w:val="left"/>
      <w:lvlText w:val="•"/>
      <w:numFmt w:val="bullet"/>
      <w:start w:val="1"/>
    </w:lvl>
    <w:lvl w:ilvl="1">
      <w:lvlJc w:val="left"/>
      <w:lvlText w:val="•"/>
      <w:numFmt w:val="bullet"/>
      <w:start w:val="1"/>
    </w:lvl>
  </w:abstractNum>
  <w:abstractNum w:abstractNumId="66">
    <w:nsid w:val="15BCABA8"/>
    <w:multiLevelType w:val="hybridMultilevel"/>
    <w:lvl w:ilvl="0">
      <w:lvlJc w:val="left"/>
      <w:lvlText w:val="(%1)"/>
      <w:numFmt w:val="decimal"/>
      <w:start w:val="1"/>
    </w:lvl>
  </w:abstractNum>
  <w:abstractNum w:abstractNumId="67">
    <w:nsid w:val="4E0B9A87"/>
    <w:multiLevelType w:val="hybridMultilevel"/>
    <w:lvl w:ilvl="0">
      <w:lvlJc w:val="left"/>
      <w:lvlText w:val="•"/>
      <w:numFmt w:val="bullet"/>
      <w:start w:val="1"/>
    </w:lvl>
  </w:abstractNum>
  <w:abstractNum w:abstractNumId="68">
    <w:nsid w:val="434BAE75"/>
    <w:multiLevelType w:val="hybridMultilevel"/>
    <w:lvl w:ilvl="0">
      <w:lvlJc w:val="left"/>
      <w:lvlText w:val="•"/>
      <w:numFmt w:val="bullet"/>
      <w:start w:val="1"/>
    </w:lvl>
  </w:abstractNum>
  <w:abstractNum w:abstractNumId="69">
    <w:nsid w:val="4F38F265"/>
    <w:multiLevelType w:val="hybridMultilevel"/>
    <w:lvl w:ilvl="0">
      <w:lvlJc w:val="left"/>
      <w:lvlText w:val="•"/>
      <w:numFmt w:val="bullet"/>
      <w:start w:val="1"/>
    </w:lvl>
  </w:abstractNum>
  <w:abstractNum w:abstractNumId="70">
    <w:nsid w:val="4C502870"/>
    <w:multiLevelType w:val="hybridMultilevel"/>
    <w:lvl w:ilvl="0">
      <w:lvlJc w:val="left"/>
      <w:lvlText w:val="•"/>
      <w:numFmt w:val="bullet"/>
      <w:start w:val="1"/>
    </w:lvl>
  </w:abstractNum>
  <w:abstractNum w:abstractNumId="71">
    <w:nsid w:val="1DE8725A"/>
    <w:multiLevelType w:val="hybridMultilevel"/>
    <w:lvl w:ilvl="0">
      <w:lvlJc w:val="left"/>
      <w:lvlText w:val="•"/>
      <w:numFmt w:val="bullet"/>
      <w:start w:val="1"/>
    </w:lvl>
  </w:abstractNum>
  <w:abstractNum w:abstractNumId="72">
    <w:nsid w:val="6A37288A"/>
    <w:multiLevelType w:val="hybridMultilevel"/>
    <w:lvl w:ilvl="0">
      <w:lvlJc w:val="left"/>
      <w:lvlText w:val="•"/>
      <w:numFmt w:val="bullet"/>
      <w:start w:val="1"/>
    </w:lvl>
  </w:abstractNum>
  <w:abstractNum w:abstractNumId="73">
    <w:nsid w:val="8F8B73F"/>
    <w:multiLevelType w:val="hybridMultilevel"/>
    <w:lvl w:ilvl="0">
      <w:lvlJc w:val="left"/>
      <w:lvlText w:val="%1."/>
      <w:numFmt w:val="decimal"/>
      <w:start w:val="1"/>
    </w:lvl>
  </w:abstractNum>
  <w:abstractNum w:abstractNumId="74">
    <w:nsid w:val="CA6B462"/>
    <w:multiLevelType w:val="hybridMultilevel"/>
    <w:lvl w:ilvl="0">
      <w:lvlJc w:val="left"/>
      <w:lvlText w:val="•"/>
      <w:numFmt w:val="bullet"/>
      <w:start w:val="1"/>
    </w:lvl>
  </w:abstractNum>
  <w:abstractNum w:abstractNumId="75">
    <w:nsid w:val="763CB680"/>
    <w:multiLevelType w:val="hybridMultilevel"/>
    <w:lvl w:ilvl="0">
      <w:lvlJc w:val="left"/>
      <w:lvlText w:val="•"/>
      <w:numFmt w:val="bullet"/>
      <w:start w:val="1"/>
    </w:lvl>
  </w:abstractNum>
  <w:abstractNum w:abstractNumId="76">
    <w:nsid w:val="15B71329"/>
    <w:multiLevelType w:val="hybridMultilevel"/>
    <w:lvl w:ilvl="0">
      <w:lvlJc w:val="left"/>
      <w:lvlText w:val="•"/>
      <w:numFmt w:val="bullet"/>
      <w:start w:val="1"/>
    </w:lvl>
  </w:abstractNum>
  <w:abstractNum w:abstractNumId="77">
    <w:nsid w:val="3DA97044"/>
    <w:multiLevelType w:val="hybridMultilevel"/>
    <w:lvl w:ilvl="0">
      <w:lvlJc w:val="left"/>
      <w:lvlText w:val="•"/>
      <w:numFmt w:val="bullet"/>
      <w:start w:val="1"/>
    </w:lvl>
  </w:abstractNum>
  <w:abstractNum w:abstractNumId="78">
    <w:nsid w:val="1CDCE2DE"/>
    <w:multiLevelType w:val="hybridMultilevel"/>
    <w:lvl w:ilvl="0">
      <w:lvlJc w:val="left"/>
      <w:lvlText w:val="•"/>
      <w:numFmt w:val="bullet"/>
      <w:start w:val="1"/>
    </w:lvl>
  </w:abstractNum>
  <w:abstractNum w:abstractNumId="79">
    <w:nsid w:val="69D3947C"/>
    <w:multiLevelType w:val="hybridMultilevel"/>
    <w:lvl w:ilvl="0">
      <w:lvlJc w:val="left"/>
      <w:lvlText w:val="•"/>
      <w:numFmt w:val="bullet"/>
      <w:start w:val="1"/>
    </w:lvl>
  </w:abstractNum>
  <w:abstractNum w:abstractNumId="80">
    <w:nsid w:val="2539DFA5"/>
    <w:multiLevelType w:val="hybridMultilevel"/>
    <w:lvl w:ilvl="0">
      <w:lvlJc w:val="left"/>
      <w:lvlText w:val="•"/>
      <w:numFmt w:val="bullet"/>
      <w:start w:val="1"/>
    </w:lvl>
  </w:abstractNum>
  <w:abstractNum w:abstractNumId="81">
    <w:nsid w:val="2DB88089"/>
    <w:multiLevelType w:val="hybridMultilevel"/>
    <w:lvl w:ilvl="0">
      <w:lvlJc w:val="left"/>
      <w:lvlText w:val="•"/>
      <w:numFmt w:val="bullet"/>
      <w:start w:val="1"/>
    </w:lvl>
  </w:abstractNum>
  <w:abstractNum w:abstractNumId="82">
    <w:nsid w:val="706B674E"/>
    <w:multiLevelType w:val="hybridMultilevel"/>
    <w:lvl w:ilvl="0">
      <w:lvlJc w:val="left"/>
      <w:lvlText w:val="•"/>
      <w:numFmt w:val="bullet"/>
      <w:start w:val="1"/>
    </w:lvl>
  </w:abstractNum>
  <w:abstractNum w:abstractNumId="83">
    <w:nsid w:val="2C106A57"/>
    <w:multiLevelType w:val="hybridMultilevel"/>
    <w:lvl w:ilvl="0">
      <w:lvlJc w:val="left"/>
      <w:lvlText w:val="•"/>
      <w:numFmt w:val="bullet"/>
      <w:start w:val="1"/>
    </w:lvl>
  </w:abstractNum>
  <w:abstractNum w:abstractNumId="84">
    <w:nsid w:val="684EED59"/>
    <w:multiLevelType w:val="hybridMultilevel"/>
    <w:lvl w:ilvl="0">
      <w:lvlJc w:val="left"/>
      <w:lvlText w:val="•"/>
      <w:numFmt w:val="bullet"/>
      <w:start w:val="1"/>
    </w:lvl>
  </w:abstractNum>
  <w:abstractNum w:abstractNumId="85">
    <w:nsid w:val="545EE5D3"/>
    <w:multiLevelType w:val="hybridMultilevel"/>
    <w:lvl w:ilvl="0">
      <w:lvlJc w:val="left"/>
      <w:lvlText w:val="•"/>
      <w:numFmt w:val="bullet"/>
      <w:start w:val="1"/>
    </w:lvl>
  </w:abstractNum>
  <w:abstractNum w:abstractNumId="86">
    <w:nsid w:val="4A66051"/>
    <w:multiLevelType w:val="hybridMultilevel"/>
    <w:lvl w:ilvl="0">
      <w:lvlJc w:val="left"/>
      <w:lvlText w:val="•"/>
      <w:numFmt w:val="bullet"/>
      <w:start w:val="1"/>
    </w:lvl>
  </w:abstractNum>
  <w:abstractNum w:abstractNumId="87">
    <w:nsid w:val="20F4BDAD"/>
    <w:multiLevelType w:val="hybridMultilevel"/>
    <w:lvl w:ilvl="0">
      <w:lvlJc w:val="left"/>
      <w:lvlText w:val="•"/>
      <w:numFmt w:val="bullet"/>
      <w:start w:val="1"/>
    </w:lvl>
  </w:abstractNum>
  <w:abstractNum w:abstractNumId="88">
    <w:nsid w:val="639DEFAC"/>
    <w:multiLevelType w:val="hybridMultilevel"/>
    <w:lvl w:ilvl="0">
      <w:lvlJc w:val="left"/>
      <w:lvlText w:val="(%1)"/>
      <w:numFmt w:val="lowerRoman"/>
      <w:start w:val="2"/>
    </w:lvl>
  </w:abstractNum>
  <w:abstractNum w:abstractNumId="89">
    <w:nsid w:val="501F9786"/>
    <w:multiLevelType w:val="hybridMultilevel"/>
    <w:lvl w:ilvl="0">
      <w:lvlJc w:val="left"/>
      <w:lvlText w:val="(%1)"/>
      <w:numFmt w:val="decimal"/>
      <w:start w:val="1"/>
    </w:lvl>
  </w:abstractNum>
  <w:abstractNum w:abstractNumId="90">
    <w:nsid w:val="6B057295"/>
    <w:multiLevelType w:val="hybridMultilevel"/>
    <w:lvl w:ilvl="0">
      <w:lvlJc w:val="left"/>
      <w:lvlText w:val="•"/>
      <w:numFmt w:val="bullet"/>
      <w:start w:val="1"/>
    </w:lvl>
    <w:lvl w:ilvl="1">
      <w:lvlJc w:val="left"/>
      <w:lvlText w:val="•"/>
      <w:numFmt w:val="bullet"/>
      <w:start w:val="1"/>
    </w:lvl>
  </w:abstractNum>
  <w:abstractNum w:abstractNumId="91">
    <w:nsid w:val="2771AC80"/>
    <w:multiLevelType w:val="hybridMultilevel"/>
    <w:lvl w:ilvl="0">
      <w:lvlJc w:val="left"/>
      <w:lvlText w:val="(%1)"/>
      <w:numFmt w:val="decimal"/>
      <w:start w:val="1"/>
    </w:lvl>
  </w:abstractNum>
  <w:abstractNum w:abstractNumId="92">
    <w:nsid w:val="1C4A08EC"/>
    <w:multiLevelType w:val="hybridMultilevel"/>
    <w:lvl w:ilvl="0">
      <w:lvlJc w:val="left"/>
      <w:lvlText w:val="•"/>
      <w:numFmt w:val="bullet"/>
      <w:start w:val="1"/>
    </w:lvl>
  </w:abstractNum>
  <w:abstractNum w:abstractNumId="93">
    <w:nsid w:val="1958BD17"/>
    <w:multiLevelType w:val="hybridMultilevel"/>
    <w:lvl w:ilvl="0">
      <w:lvlJc w:val="left"/>
      <w:lvlText w:val="•"/>
      <w:numFmt w:val="bullet"/>
      <w:start w:val="1"/>
    </w:lvl>
  </w:abstractNum>
  <w:abstractNum w:abstractNumId="94">
    <w:nsid w:val="4E647FE4"/>
    <w:multiLevelType w:val="hybridMultilevel"/>
    <w:lvl w:ilvl="0">
      <w:lvlJc w:val="left"/>
      <w:lvlText w:val="•"/>
      <w:numFmt w:val="bullet"/>
      <w:start w:val="1"/>
    </w:lvl>
  </w:abstractNum>
  <w:abstractNum w:abstractNumId="95">
    <w:nsid w:val="E0BB885"/>
    <w:multiLevelType w:val="hybridMultilevel"/>
    <w:lvl w:ilvl="0">
      <w:lvlJc w:val="left"/>
      <w:lvlText w:val="•"/>
      <w:numFmt w:val="bullet"/>
      <w:start w:val="1"/>
    </w:lvl>
  </w:abstractNum>
  <w:abstractNum w:abstractNumId="96">
    <w:nsid w:val="565976F1"/>
    <w:multiLevelType w:val="hybridMultilevel"/>
    <w:lvl w:ilvl="0">
      <w:lvlJc w:val="left"/>
      <w:lvlText w:val="•"/>
      <w:numFmt w:val="bullet"/>
      <w:start w:val="1"/>
    </w:lvl>
  </w:abstractNum>
  <w:abstractNum w:abstractNumId="97">
    <w:nsid w:val="64212B8C"/>
    <w:multiLevelType w:val="hybridMultilevel"/>
    <w:lvl w:ilvl="0">
      <w:lvlJc w:val="left"/>
      <w:lvlText w:val="•"/>
      <w:numFmt w:val="bullet"/>
      <w:start w:val="1"/>
    </w:lvl>
  </w:abstractNum>
  <w:abstractNum w:abstractNumId="98">
    <w:nsid w:val="5C17530C"/>
    <w:multiLevelType w:val="hybridMultilevel"/>
    <w:lvl w:ilvl="0">
      <w:lvlJc w:val="left"/>
      <w:lvlText w:val="•"/>
      <w:numFmt w:val="bullet"/>
      <w:start w:val="1"/>
    </w:lvl>
  </w:abstractNum>
  <w:abstractNum w:abstractNumId="99">
    <w:nsid w:val="19A52566"/>
    <w:multiLevelType w:val="hybridMultilevel"/>
    <w:lvl w:ilvl="0">
      <w:lvlJc w:val="left"/>
      <w:lvlText w:val="•"/>
      <w:numFmt w:val="bullet"/>
      <w:start w:val="1"/>
    </w:lvl>
  </w:abstractNum>
  <w:abstractNum w:abstractNumId="100">
    <w:nsid w:val="335A1DF1"/>
    <w:multiLevelType w:val="hybridMultilevel"/>
    <w:lvl w:ilvl="0">
      <w:lvlJc w:val="left"/>
      <w:lvlText w:val="•"/>
      <w:numFmt w:val="bullet"/>
      <w:start w:val="1"/>
    </w:lvl>
  </w:abstractNum>
  <w:abstractNum w:abstractNumId="101">
    <w:nsid w:val="28677B7C"/>
    <w:multiLevelType w:val="hybridMultilevel"/>
    <w:lvl w:ilvl="0">
      <w:lvlJc w:val="left"/>
      <w:lvlText w:val="•"/>
      <w:numFmt w:val="bullet"/>
      <w:start w:val="1"/>
    </w:lvl>
    <w:lvl w:ilvl="1">
      <w:lvlJc w:val="left"/>
      <w:lvlText w:val="•"/>
      <w:numFmt w:val="bullet"/>
      <w:start w:val="1"/>
    </w:lvl>
  </w:abstractNum>
  <w:abstractNum w:abstractNumId="102">
    <w:nsid w:val="378D97C0"/>
    <w:multiLevelType w:val="hybridMultilevel"/>
    <w:lvl w:ilvl="0">
      <w:lvlJc w:val="left"/>
      <w:lvlText w:val="•"/>
      <w:numFmt w:val="bullet"/>
      <w:start w:val="1"/>
    </w:lvl>
  </w:abstractNum>
  <w:abstractNum w:abstractNumId="103">
    <w:nsid w:val="1D91467C"/>
    <w:multiLevelType w:val="hybridMultilevel"/>
    <w:lvl w:ilvl="0">
      <w:lvlJc w:val="left"/>
      <w:lvlText w:val="•"/>
      <w:numFmt w:val="bullet"/>
      <w:start w:val="1"/>
    </w:lvl>
  </w:abstractNum>
  <w:abstractNum w:abstractNumId="104">
    <w:nsid w:val="316032BB"/>
    <w:multiLevelType w:val="hybridMultilevel"/>
    <w:lvl w:ilvl="0">
      <w:lvlJc w:val="left"/>
      <w:lvlText w:val="•"/>
      <w:numFmt w:val="bullet"/>
      <w:start w:val="1"/>
    </w:lvl>
  </w:abstractNum>
  <w:abstractNum w:abstractNumId="105">
    <w:nsid w:val="44344C22"/>
    <w:multiLevelType w:val="hybridMultilevel"/>
    <w:lvl w:ilvl="0">
      <w:lvlJc w:val="left"/>
      <w:lvlText w:val="•"/>
      <w:numFmt w:val="bullet"/>
      <w:start w:val="1"/>
    </w:lvl>
  </w:abstractNum>
  <w:abstractNum w:abstractNumId="106">
    <w:nsid w:val="13CDFCFC"/>
    <w:multiLevelType w:val="hybridMultilevel"/>
    <w:lvl w:ilvl="0">
      <w:lvlJc w:val="left"/>
      <w:lvlText w:val="•"/>
      <w:numFmt w:val="bullet"/>
      <w:start w:val="1"/>
    </w:lvl>
  </w:abstractNum>
  <w:abstractNum w:abstractNumId="107">
    <w:nsid w:val="471745E4"/>
    <w:multiLevelType w:val="hybridMultilevel"/>
    <w:lvl w:ilvl="0">
      <w:lvlJc w:val="left"/>
      <w:lvlText w:val="•"/>
      <w:numFmt w:val="bullet"/>
      <w:start w:val="1"/>
    </w:lvl>
  </w:abstractNum>
  <w:abstractNum w:abstractNumId="108">
    <w:nsid w:val="1DDBC66"/>
    <w:multiLevelType w:val="hybridMultilevel"/>
    <w:lvl w:ilvl="0">
      <w:lvlJc w:val="left"/>
      <w:lvlText w:val="•"/>
      <w:numFmt w:val="bullet"/>
      <w:start w:val="1"/>
    </w:lvl>
  </w:abstractNum>
  <w:abstractNum w:abstractNumId="109">
    <w:nsid w:val="30AADFDA"/>
    <w:multiLevelType w:val="hybridMultilevel"/>
    <w:lvl w:ilvl="0">
      <w:lvlJc w:val="left"/>
      <w:lvlText w:val="•"/>
      <w:numFmt w:val="bullet"/>
      <w:start w:val="1"/>
    </w:lvl>
  </w:abstractNum>
  <w:abstractNum w:abstractNumId="110">
    <w:nsid w:val="30EADA61"/>
    <w:multiLevelType w:val="hybridMultilevel"/>
    <w:lvl w:ilvl="0">
      <w:lvlJc w:val="left"/>
      <w:lvlText w:val="•"/>
      <w:numFmt w:val="bullet"/>
      <w:start w:val="1"/>
    </w:lvl>
  </w:abstractNum>
  <w:abstractNum w:abstractNumId="111">
    <w:nsid w:val="27179C0B"/>
    <w:multiLevelType w:val="hybridMultilevel"/>
    <w:lvl w:ilvl="0">
      <w:lvlJc w:val="left"/>
      <w:lvlText w:val="•"/>
      <w:numFmt w:val="bullet"/>
      <w:start w:val="1"/>
    </w:lvl>
  </w:abstractNum>
  <w:abstractNum w:abstractNumId="112">
    <w:nsid w:val="5E636063"/>
    <w:multiLevelType w:val="hybridMultilevel"/>
    <w:lvl w:ilvl="0">
      <w:lvlJc w:val="left"/>
      <w:lvlText w:val="•"/>
      <w:numFmt w:val="bullet"/>
      <w:start w:val="1"/>
    </w:lvl>
  </w:abstractNum>
  <w:abstractNum w:abstractNumId="113">
    <w:nsid w:val="215641AF"/>
    <w:multiLevelType w:val="hybridMultilevel"/>
    <w:lvl w:ilvl="0">
      <w:lvlJc w:val="left"/>
      <w:lvlText w:val="•"/>
      <w:numFmt w:val="bullet"/>
      <w:start w:val="1"/>
    </w:lvl>
    <w:lvl w:ilvl="1">
      <w:lvlJc w:val="left"/>
      <w:lvlText w:val="•"/>
      <w:numFmt w:val="bullet"/>
      <w:start w:val="1"/>
    </w:lvl>
  </w:abstractNum>
  <w:abstractNum w:abstractNumId="114">
    <w:nsid w:val="53280662"/>
    <w:multiLevelType w:val="hybridMultilevel"/>
    <w:lvl w:ilvl="0">
      <w:lvlJc w:val="left"/>
      <w:lvlText w:val="•"/>
      <w:numFmt w:val="bullet"/>
      <w:start w:val="1"/>
    </w:lvl>
    <w:lvl w:ilvl="1">
      <w:lvlJc w:val="left"/>
      <w:lvlText w:val="•"/>
      <w:numFmt w:val="bullet"/>
      <w:start w:val="1"/>
    </w:lvl>
  </w:abstractNum>
  <w:abstractNum w:abstractNumId="115">
    <w:nsid w:val="46B24DBC"/>
    <w:multiLevelType w:val="hybridMultilevel"/>
    <w:lvl w:ilvl="0">
      <w:lvlJc w:val="left"/>
      <w:lvlText w:val="•"/>
      <w:numFmt w:val="bullet"/>
      <w:start w:val="1"/>
    </w:lvl>
  </w:abstractNum>
  <w:abstractNum w:abstractNumId="116">
    <w:nsid w:val="75B52783"/>
    <w:multiLevelType w:val="hybridMultilevel"/>
    <w:lvl w:ilvl="0">
      <w:lvlJc w:val="left"/>
      <w:lvlText w:val="•"/>
      <w:numFmt w:val="bullet"/>
      <w:start w:val="1"/>
    </w:lvl>
  </w:abstractNum>
  <w:abstractNum w:abstractNumId="117">
    <w:nsid w:val="57CE66B4"/>
    <w:multiLevelType w:val="hybridMultilevel"/>
    <w:lvl w:ilvl="0">
      <w:lvlJc w:val="left"/>
      <w:lvlText w:val="•"/>
      <w:numFmt w:val="bullet"/>
      <w:start w:val="1"/>
    </w:lvl>
  </w:abstractNum>
  <w:abstractNum w:abstractNumId="118">
    <w:nsid w:val="67A70B69"/>
    <w:multiLevelType w:val="hybridMultilevel"/>
    <w:lvl w:ilvl="0">
      <w:lvlJc w:val="left"/>
      <w:lvlText w:val="(%1)"/>
      <w:numFmt w:val="lowerLetter"/>
      <w:start w:val="1"/>
    </w:lvl>
  </w:abstractNum>
  <w:abstractNum w:abstractNumId="119">
    <w:nsid w:val="5953172F"/>
    <w:multiLevelType w:val="hybridMultilevel"/>
    <w:lvl w:ilvl="0">
      <w:lvlJc w:val="left"/>
      <w:lvlText w:val="(%1)"/>
      <w:numFmt w:val="lowerLetter"/>
      <w:start w:val="2"/>
    </w:lvl>
  </w:abstractNum>
  <w:abstractNum w:abstractNumId="120">
    <w:nsid w:val="27EDFE3A"/>
    <w:multiLevelType w:val="hybridMultilevel"/>
    <w:lvl w:ilvl="0">
      <w:lvlJc w:val="left"/>
      <w:lvlText w:val="(%1)"/>
      <w:numFmt w:val="upperLetter"/>
      <w:start w:val="1"/>
    </w:lvl>
  </w:abstractNum>
  <w:abstractNum w:abstractNumId="121">
    <w:nsid w:val="52AC7DFF"/>
    <w:multiLevelType w:val="hybridMultilevel"/>
    <w:lvl w:ilvl="0">
      <w:lvlJc w:val="left"/>
      <w:lvlText w:val="(%1)"/>
      <w:numFmt w:val="upperLetter"/>
      <w:start w:val="12"/>
    </w:lvl>
  </w:abstractNum>
  <w:abstractNum w:abstractNumId="122">
    <w:nsid w:val="C4C3AF"/>
    <w:multiLevelType w:val="hybridMultilevel"/>
    <w:lvl w:ilvl="0">
      <w:lvlJc w:val="left"/>
      <w:lvlText w:val="(%1)"/>
      <w:numFmt w:val="upperLetter"/>
      <w:start w:val="13"/>
    </w:lvl>
  </w:abstractNum>
  <w:abstractNum w:abstractNumId="123">
    <w:nsid w:val="44380727"/>
    <w:multiLevelType w:val="hybridMultilevel"/>
    <w:lvl w:ilvl="0">
      <w:lvlJc w:val="left"/>
      <w:lvlText w:val="(%1)"/>
      <w:numFmt w:val="upperLetter"/>
      <w:start w:val="27"/>
    </w:lvl>
  </w:abstractNum>
  <w:abstractNum w:abstractNumId="124">
    <w:nsid w:val="6C053B16"/>
    <w:multiLevelType w:val="hybridMultilevel"/>
    <w:lvl w:ilvl="0">
      <w:lvlJc w:val="left"/>
      <w:lvlText w:val="(%1)"/>
      <w:numFmt w:val="upperLetter"/>
      <w:start w:val="34"/>
    </w:lvl>
  </w:abstractNum>
  <w:abstractNum w:abstractNumId="125">
    <w:nsid w:val="4F294393"/>
    <w:multiLevelType w:val="hybridMultilevel"/>
    <w:lvl w:ilvl="0">
      <w:lvlJc w:val="left"/>
      <w:lvlText w:val="(%1)"/>
      <w:numFmt w:val="upperLetter"/>
      <w:start w:val="35"/>
    </w:lvl>
  </w:abstractNum>
  <w:abstractNum w:abstractNumId="126">
    <w:nsid w:val="5243BFAC"/>
    <w:multiLevelType w:val="hybridMultilevel"/>
    <w:lvl w:ilvl="0">
      <w:lvlJc w:val="left"/>
      <w:lvlText w:val="(%1)"/>
      <w:numFmt w:val="lowerLetter"/>
      <w:start w:val="1"/>
    </w:lvl>
  </w:abstractNum>
  <w:abstractNum w:abstractNumId="127">
    <w:nsid w:val="425EB207"/>
    <w:multiLevelType w:val="hybridMultilevel"/>
    <w:lvl w:ilvl="0">
      <w:lvlJc w:val="left"/>
      <w:lvlText w:val="(%1)"/>
      <w:numFmt w:val="lowerLetter"/>
      <w:start w:val="1"/>
    </w:lvl>
  </w:abstractNum>
  <w:abstractNum w:abstractNumId="128">
    <w:nsid w:val="334A6F1F"/>
    <w:multiLevelType w:val="hybridMultilevel"/>
    <w:lvl w:ilvl="0">
      <w:lvlJc w:val="left"/>
      <w:lvlText w:val="(%1)"/>
      <w:numFmt w:val="lowerLetter"/>
      <w:start w:val="1"/>
    </w:lvl>
  </w:abstractNum>
  <w:abstractNum w:abstractNumId="129">
    <w:nsid w:val="2E5B12B8"/>
    <w:multiLevelType w:val="hybridMultilevel"/>
    <w:lvl w:ilvl="0">
      <w:lvlJc w:val="left"/>
      <w:lvlText w:val="•"/>
      <w:numFmt w:val="bullet"/>
      <w:start w:val="1"/>
    </w:lvl>
  </w:abstractNum>
  <w:abstractNum w:abstractNumId="130">
    <w:nsid w:val="5C03D76D"/>
    <w:multiLevelType w:val="hybridMultilevel"/>
    <w:lvl w:ilvl="0">
      <w:lvlJc w:val="left"/>
      <w:lvlText w:val="•"/>
      <w:numFmt w:val="bullet"/>
      <w:start w:val="1"/>
    </w:lvl>
  </w:abstractNum>
  <w:abstractNum w:abstractNumId="131">
    <w:nsid w:val="66A48D11"/>
    <w:multiLevelType w:val="hybridMultilevel"/>
    <w:lvl w:ilvl="0">
      <w:lvlJc w:val="left"/>
      <w:lvlText w:val="•"/>
      <w:numFmt w:val="bullet"/>
      <w:start w:val="1"/>
    </w:lvl>
  </w:abstractNum>
  <w:abstractNum w:abstractNumId="132">
    <w:nsid w:val="56C28E34"/>
    <w:multiLevelType w:val="hybridMultilevel"/>
    <w:lvl w:ilvl="0">
      <w:lvlJc w:val="left"/>
      <w:lvlText w:val="(%1)"/>
      <w:numFmt w:val="decimal"/>
      <w:start w:val="1"/>
    </w:lvl>
  </w:abstractNum>
  <w:abstractNum w:abstractNumId="133">
    <w:nsid w:val="13916F2D"/>
    <w:multiLevelType w:val="hybridMultilevel"/>
    <w:lvl w:ilvl="0">
      <w:lvlJc w:val="left"/>
      <w:lvlText w:val="*"/>
      <w:numFmt w:val="bullet"/>
      <w:start w:val="1"/>
    </w:lvl>
  </w:abstractNum>
  <w:abstractNum w:abstractNumId="134">
    <w:nsid w:val="435D38D"/>
    <w:multiLevelType w:val="hybridMultilevel"/>
    <w:lvl w:ilvl="0">
      <w:lvlJc w:val="left"/>
      <w:lvlText w:val="(%1)"/>
      <w:numFmt w:val="decimal"/>
      <w:start w:val="1"/>
    </w:lvl>
  </w:abstractNum>
  <w:abstractNum w:abstractNumId="135">
    <w:nsid w:val="822C0EF"/>
    <w:multiLevelType w:val="hybridMultilevel"/>
    <w:lvl w:ilvl="0">
      <w:lvlJc w:val="left"/>
      <w:lvlText w:val="•"/>
      <w:numFmt w:val="bullet"/>
      <w:start w:val="1"/>
    </w:lvl>
  </w:abstractNum>
  <w:abstractNum w:abstractNumId="136">
    <w:nsid w:val="57C5BB4F"/>
    <w:multiLevelType w:val="hybridMultilevel"/>
    <w:lvl w:ilvl="0">
      <w:lvlJc w:val="left"/>
      <w:lvlText w:val="(%1)"/>
      <w:numFmt w:val="decimal"/>
      <w:start w:val="1"/>
    </w:lvl>
  </w:abstractNum>
  <w:abstractNum w:abstractNumId="137">
    <w:nsid w:val="1803D089"/>
    <w:multiLevelType w:val="hybridMultilevel"/>
    <w:lvl w:ilvl="0">
      <w:lvlJc w:val="left"/>
      <w:lvlText w:val="•"/>
      <w:numFmt w:val="bullet"/>
      <w:start w:val="1"/>
    </w:lvl>
  </w:abstractNum>
  <w:abstractNum w:abstractNumId="138">
    <w:nsid w:val="4F3A06D4"/>
    <w:multiLevelType w:val="hybridMultilevel"/>
    <w:lvl w:ilvl="0">
      <w:lvlJc w:val="left"/>
      <w:lvlText w:val="•"/>
      <w:numFmt w:val="bullet"/>
      <w:start w:val="1"/>
    </w:lvl>
  </w:abstractNum>
  <w:abstractNum w:abstractNumId="139">
    <w:nsid w:val="59A377B6"/>
    <w:multiLevelType w:val="hybridMultilevel"/>
    <w:lvl w:ilvl="0">
      <w:lvlJc w:val="left"/>
      <w:lvlText w:val="•"/>
      <w:numFmt w:val="bullet"/>
      <w:start w:val="1"/>
    </w:lvl>
  </w:abstractNum>
  <w:abstractNum w:abstractNumId="140">
    <w:nsid w:val="48AEB063"/>
    <w:multiLevelType w:val="hybridMultilevel"/>
    <w:lvl w:ilvl="0">
      <w:lvlJc w:val="left"/>
      <w:lvlText w:val="•"/>
      <w:numFmt w:val="bullet"/>
      <w:start w:val="1"/>
    </w:lvl>
  </w:abstractNum>
  <w:abstractNum w:abstractNumId="141">
    <w:nsid w:val="24E135"/>
    <w:multiLevelType w:val="hybridMultilevel"/>
    <w:lvl w:ilvl="0">
      <w:lvlJc w:val="left"/>
      <w:lvlText w:val="(%1)"/>
      <w:numFmt w:val="decimal"/>
      <w:start w:val="1"/>
    </w:lvl>
  </w:abstractNum>
  <w:abstractNum w:abstractNumId="142">
    <w:nsid w:val="BB13C1"/>
    <w:multiLevelType w:val="hybridMultilevel"/>
    <w:lvl w:ilvl="0">
      <w:lvlJc w:val="left"/>
      <w:lvlText w:val="•"/>
      <w:numFmt w:val="bullet"/>
      <w:start w:val="1"/>
    </w:lvl>
  </w:abstractNum>
  <w:abstractNum w:abstractNumId="143">
    <w:nsid w:val="271210C7"/>
    <w:multiLevelType w:val="hybridMultilevel"/>
    <w:lvl w:ilvl="0">
      <w:lvlJc w:val="left"/>
      <w:lvlText w:val="•"/>
      <w:numFmt w:val="bullet"/>
      <w:start w:val="1"/>
    </w:lvl>
  </w:abstractNum>
  <w:abstractNum w:abstractNumId="144">
    <w:nsid w:val="217B22E4"/>
    <w:multiLevelType w:val="hybridMultilevel"/>
    <w:lvl w:ilvl="0">
      <w:lvlJc w:val="left"/>
      <w:lvlText w:val="•"/>
      <w:numFmt w:val="bullet"/>
      <w:start w:val="1"/>
    </w:lvl>
  </w:abstractNum>
  <w:abstractNum w:abstractNumId="145">
    <w:nsid w:val="53E31A24"/>
    <w:multiLevelType w:val="hybridMultilevel"/>
    <w:lvl w:ilvl="0">
      <w:lvlJc w:val="left"/>
      <w:lvlText w:val="*"/>
      <w:numFmt w:val="bullet"/>
      <w:start w:val="1"/>
    </w:lvl>
  </w:abstractNum>
  <w:abstractNum w:abstractNumId="146">
    <w:nsid w:val="6DC45E83"/>
    <w:multiLevelType w:val="hybridMultilevel"/>
    <w:lvl w:ilvl="0">
      <w:lvlJc w:val="left"/>
      <w:lvlText w:val="**"/>
      <w:numFmt w:val="bullet"/>
      <w:start w:val="1"/>
    </w:lvl>
  </w:abstractNum>
  <w:abstractNum w:abstractNumId="147">
    <w:nsid w:val="17304A67"/>
    <w:multiLevelType w:val="hybridMultilevel"/>
    <w:lvl w:ilvl="0">
      <w:lvlJc w:val="left"/>
      <w:lvlText w:val="(%1)"/>
      <w:numFmt w:val="decimal"/>
      <w:start w:val="1"/>
    </w:lvl>
  </w:abstractNum>
  <w:abstractNum w:abstractNumId="148">
    <w:nsid w:val="2BB180D8"/>
    <w:multiLevelType w:val="hybridMultilevel"/>
    <w:lvl w:ilvl="0">
      <w:lvlJc w:val="left"/>
      <w:lvlText w:val="(%1)"/>
      <w:numFmt w:val="decimal"/>
      <w:start w:val="4"/>
    </w:lvl>
  </w:abstractNum>
  <w:abstractNum w:abstractNumId="149">
    <w:nsid w:val="556B69ED"/>
    <w:multiLevelType w:val="hybridMultilevel"/>
    <w:lvl w:ilvl="0">
      <w:lvlJc w:val="left"/>
      <w:lvlText w:val="%1"/>
      <w:numFmt w:val="decimal"/>
      <w:start w:val="1"/>
    </w:lvl>
    <w:lvl w:ilvl="1">
      <w:lvlJc w:val="left"/>
      <w:lvlText w:val="(%2)"/>
      <w:numFmt w:val="lowerLetter"/>
      <w:start w:val="1"/>
    </w:lvl>
  </w:abstractNum>
  <w:abstractNum w:abstractNumId="150">
    <w:nsid w:val="70836196"/>
    <w:multiLevelType w:val="hybridMultilevel"/>
    <w:lvl w:ilvl="0">
      <w:lvlJc w:val="left"/>
      <w:lvlText w:val="(%1)"/>
      <w:numFmt w:val="decimal"/>
      <w:start w:val="5"/>
    </w:lvl>
    <w:lvl w:ilvl="1">
      <w:lvlJc w:val="left"/>
      <w:lvlText w:val="%2"/>
      <w:numFmt w:val="lowerLetter"/>
      <w:start w:val="1"/>
    </w:lvl>
  </w:abstractNum>
  <w:abstractNum w:abstractNumId="151">
    <w:nsid w:val="539F7F12"/>
    <w:multiLevelType w:val="hybridMultilevel"/>
    <w:lvl w:ilvl="0">
      <w:lvlJc w:val="left"/>
      <w:lvlText w:val="(%1)"/>
      <w:numFmt w:val="decimal"/>
      <w:start w:val="1"/>
    </w:lvl>
  </w:abstractNum>
  <w:abstractNum w:abstractNumId="152">
    <w:nsid w:val="2817E7EC"/>
    <w:multiLevelType w:val="hybridMultilevel"/>
    <w:lvl w:ilvl="0">
      <w:lvlJc w:val="left"/>
      <w:lvlText w:val="(%1)"/>
      <w:numFmt w:val="decimal"/>
      <w:start w:val="1"/>
    </w:lvl>
  </w:abstractNum>
  <w:abstractNum w:abstractNumId="153">
    <w:nsid w:val="71482545"/>
    <w:multiLevelType w:val="hybridMultilevel"/>
    <w:lvl w:ilvl="0">
      <w:lvlJc w:val="left"/>
      <w:lvlText w:val="(%1)"/>
      <w:numFmt w:val="decimal"/>
      <w:start w:val="5"/>
    </w:lvl>
  </w:abstractNum>
  <w:abstractNum w:abstractNumId="154">
    <w:nsid w:val="17D78639"/>
    <w:multiLevelType w:val="hybridMultilevel"/>
    <w:lvl w:ilvl="0">
      <w:lvlJc w:val="left"/>
      <w:lvlText w:val="(%1)"/>
      <w:numFmt w:val="decimal"/>
      <w:start w:val="1"/>
    </w:lvl>
  </w:abstractNum>
  <w:abstractNum w:abstractNumId="155">
    <w:nsid w:val="141D2302"/>
    <w:multiLevelType w:val="hybridMultilevel"/>
    <w:lvl w:ilvl="0">
      <w:lvlJc w:val="left"/>
      <w:lvlText w:val="(%1)"/>
      <w:numFmt w:val="decimal"/>
      <w:start w:val="1"/>
    </w:lvl>
  </w:abstractNum>
  <w:abstractNum w:abstractNumId="156">
    <w:nsid w:val="407168D8"/>
    <w:multiLevelType w:val="hybridMultilevel"/>
    <w:lvl w:ilvl="0">
      <w:lvlJc w:val="left"/>
      <w:lvlText w:val="(%1)"/>
      <w:numFmt w:val="lowerRoman"/>
      <w:start w:val="1"/>
    </w:lvl>
  </w:abstractNum>
  <w:abstractNum w:abstractNumId="157">
    <w:nsid w:val="6A1B45E5"/>
    <w:multiLevelType w:val="hybridMultilevel"/>
    <w:lvl w:ilvl="0">
      <w:lvlJc w:val="left"/>
      <w:lvlText w:val="•"/>
      <w:numFmt w:val="bullet"/>
      <w:start w:val="1"/>
    </w:lvl>
  </w:abstractNum>
  <w:abstractNum w:abstractNumId="158">
    <w:nsid w:val="567BD50A"/>
    <w:multiLevelType w:val="hybridMultilevel"/>
    <w:lvl w:ilvl="0">
      <w:lvlJc w:val="left"/>
      <w:lvlText w:val="(%1)"/>
      <w:numFmt w:val="decimal"/>
      <w:start w:val="1"/>
    </w:lvl>
  </w:abstractNum>
  <w:abstractNum w:abstractNumId="159">
    <w:nsid w:val="73BBD7F8"/>
    <w:multiLevelType w:val="hybridMultilevel"/>
    <w:lvl w:ilvl="0">
      <w:lvlJc w:val="left"/>
      <w:lvlText w:val="(%1)"/>
      <w:numFmt w:val="decimal"/>
      <w:start w:val="9"/>
    </w:lvl>
  </w:abstractNum>
  <w:abstractNum w:abstractNumId="160">
    <w:nsid w:val="1876589D"/>
    <w:multiLevelType w:val="hybridMultilevel"/>
    <w:lvl w:ilvl="0">
      <w:lvlJc w:val="left"/>
      <w:lvlText w:val="(%1)"/>
      <w:numFmt w:val="decimal"/>
      <w:start w:val="10"/>
    </w:lvl>
  </w:abstractNum>
  <w:abstractNum w:abstractNumId="161">
    <w:nsid w:val="327FAC77"/>
    <w:multiLevelType w:val="hybridMultilevel"/>
    <w:lvl w:ilvl="0">
      <w:lvlJc w:val="left"/>
      <w:lvlText w:val="(%1)"/>
      <w:numFmt w:val="decimal"/>
      <w:start w:val="1"/>
    </w:lvl>
  </w:abstractNum>
  <w:abstractNum w:abstractNumId="162">
    <w:nsid w:val="5A606509"/>
    <w:multiLevelType w:val="hybridMultilevel"/>
    <w:lvl w:ilvl="0">
      <w:lvlJc w:val="left"/>
      <w:lvlText w:val="(%1)"/>
      <w:numFmt w:val="decimal"/>
      <w:start w:val="1"/>
    </w:lvl>
  </w:abstractNum>
  <w:abstractNum w:abstractNumId="163">
    <w:nsid w:val="6F38E6D1"/>
    <w:multiLevelType w:val="hybridMultilevel"/>
    <w:lvl w:ilvl="0">
      <w:lvlJc w:val="left"/>
      <w:lvlText w:val="•"/>
      <w:numFmt w:val="bullet"/>
      <w:start w:val="1"/>
    </w:lvl>
  </w:abstractNum>
  <w:abstractNum w:abstractNumId="164">
    <w:nsid w:val="46111BA5"/>
    <w:multiLevelType w:val="hybridMultilevel"/>
    <w:lvl w:ilvl="0">
      <w:lvlJc w:val="left"/>
      <w:lvlText w:val="(%1)"/>
      <w:numFmt w:val="lowerLetter"/>
      <w:start w:val="7"/>
    </w:lvl>
  </w:abstractNum>
  <w:abstractNum w:abstractNumId="165">
    <w:nsid w:val="5E963896"/>
    <w:multiLevelType w:val="hybridMultilevel"/>
    <w:lvl w:ilvl="0">
      <w:lvlJc w:val="left"/>
      <w:lvlText w:val="•"/>
      <w:numFmt w:val="bullet"/>
      <w:start w:val="1"/>
    </w:lvl>
  </w:abstractNum>
  <w:abstractNum w:abstractNumId="166">
    <w:nsid w:val="775BA7C1"/>
    <w:multiLevelType w:val="hybridMultilevel"/>
    <w:lvl w:ilvl="0">
      <w:lvlJc w:val="left"/>
      <w:lvlText w:val="•"/>
      <w:numFmt w:val="bullet"/>
      <w:start w:val="1"/>
    </w:lvl>
  </w:abstractNum>
  <w:abstractNum w:abstractNumId="167">
    <w:nsid w:val="1DD6D6F4"/>
    <w:multiLevelType w:val="hybridMultilevel"/>
    <w:lvl w:ilvl="0">
      <w:lvlJc w:val="left"/>
      <w:lvlText w:val="(%1)"/>
      <w:numFmt w:val="lowerLetter"/>
      <w:start w:val="1"/>
    </w:lvl>
  </w:abstractNum>
  <w:abstractNum w:abstractNumId="168">
    <w:nsid w:val="769A091F"/>
    <w:multiLevelType w:val="hybridMultilevel"/>
    <w:lvl w:ilvl="0">
      <w:lvlJc w:val="left"/>
      <w:lvlText w:val="(%1)"/>
      <w:numFmt w:val="lowerLetter"/>
      <w:start w:val="3"/>
    </w:lvl>
  </w:abstractNum>
  <w:abstractNum w:abstractNumId="169">
    <w:nsid w:val="4695AE95"/>
    <w:multiLevelType w:val="hybridMultilevel"/>
    <w:lvl w:ilvl="0">
      <w:lvlJc w:val="left"/>
      <w:lvlText w:val="(%1)"/>
      <w:numFmt w:val="lowerLetter"/>
      <w:start w:val="1"/>
    </w:lvl>
  </w:abstractNum>
  <w:abstractNum w:abstractNumId="170">
    <w:nsid w:val="777A4EAA"/>
    <w:multiLevelType w:val="hybridMultilevel"/>
    <w:lvl w:ilvl="0">
      <w:lvlJc w:val="left"/>
      <w:lvlText w:val="%1"/>
      <w:numFmt w:val="decimal"/>
      <w:start w:val="1"/>
    </w:lvl>
    <w:lvl w:ilvl="1">
      <w:lvlJc w:val="left"/>
      <w:lvlText w:val="(%2)"/>
      <w:numFmt w:val="lowerLetter"/>
      <w:start w:val="3"/>
    </w:lvl>
  </w:abstractNum>
  <w:abstractNum w:abstractNumId="171">
    <w:nsid w:val="3F48B982"/>
    <w:multiLevelType w:val="hybridMultilevel"/>
    <w:lvl w:ilvl="0">
      <w:lvlJc w:val="left"/>
      <w:lvlText w:val="%1."/>
      <w:numFmt w:val="decimal"/>
      <w:start w:val="4"/>
    </w:lvl>
    <w:lvl w:ilvl="1">
      <w:lvlJc w:val="left"/>
      <w:lvlText w:val="(%2)"/>
      <w:numFmt w:val="lowerLetter"/>
      <w:start w:val="4"/>
    </w:lvl>
  </w:abstractNum>
  <w:abstractNum w:abstractNumId="172">
    <w:nsid w:val="46BA8FCA"/>
    <w:multiLevelType w:val="hybridMultilevel"/>
    <w:lvl w:ilvl="0">
      <w:lvlJc w:val="left"/>
      <w:lvlText w:val="(%1)"/>
      <w:numFmt w:val="lowerRoman"/>
      <w:start w:val="1"/>
    </w:lvl>
  </w:abstractNum>
  <w:abstractNum w:abstractNumId="173">
    <w:nsid w:val="7835626C"/>
    <w:multiLevelType w:val="hybridMultilevel"/>
    <w:lvl w:ilvl="0">
      <w:lvlJc w:val="left"/>
      <w:lvlText w:val="(%1)"/>
      <w:numFmt w:val="lowerLetter"/>
      <w:start w:val="6"/>
    </w:lvl>
  </w:abstractNum>
  <w:abstractNum w:abstractNumId="174">
    <w:nsid w:val="665ACA49"/>
    <w:multiLevelType w:val="hybridMultilevel"/>
    <w:lvl w:ilvl="0">
      <w:lvlJc w:val="left"/>
      <w:lvlText w:val="(%1)"/>
      <w:numFmt w:val="lowerLetter"/>
      <w:start w:val="7"/>
    </w:lvl>
  </w:abstractNum>
  <w:abstractNum w:abstractNumId="175">
    <w:nsid w:val="6835B2AE"/>
    <w:multiLevelType w:val="hybridMultilevel"/>
    <w:lvl w:ilvl="0">
      <w:lvlJc w:val="left"/>
      <w:lvlText w:val="(%1)"/>
      <w:numFmt w:val="lowerLetter"/>
      <w:start w:val="12"/>
    </w:lvl>
  </w:abstractNum>
  <w:abstractNum w:abstractNumId="176">
    <w:nsid w:val="4C187C90"/>
    <w:multiLevelType w:val="hybridMultilevel"/>
    <w:lvl w:ilvl="0">
      <w:lvlJc w:val="left"/>
      <w:lvlText w:val="(%1)"/>
      <w:numFmt w:val="lowerLetter"/>
      <w:start w:val="1"/>
    </w:lvl>
  </w:abstractNum>
  <w:abstractNum w:abstractNumId="177">
    <w:nsid w:val="541F28CD"/>
    <w:multiLevelType w:val="hybridMultilevel"/>
    <w:lvl w:ilvl="0">
      <w:lvlJc w:val="left"/>
      <w:lvlText w:val="(%1)"/>
      <w:numFmt w:val="lowerLetter"/>
      <w:start w:val="1"/>
    </w:lvl>
  </w:abstractNum>
  <w:abstractNum w:abstractNumId="178">
    <w:nsid w:val="7F65FD16"/>
    <w:multiLevelType w:val="hybridMultilevel"/>
    <w:lvl w:ilvl="0">
      <w:lvlJc w:val="left"/>
      <w:lvlText w:val="(%1)"/>
      <w:numFmt w:val="lowerLetter"/>
      <w:start w:val="2"/>
    </w:lvl>
  </w:abstractNum>
  <w:abstractNum w:abstractNumId="179">
    <w:nsid w:val="77C9FD68"/>
    <w:multiLevelType w:val="hybridMultilevel"/>
    <w:lvl w:ilvl="0">
      <w:lvlJc w:val="left"/>
      <w:lvlText w:val="(%1)"/>
      <w:numFmt w:val="lowerLetter"/>
      <w:start w:val="1"/>
    </w:lvl>
  </w:abstractNum>
  <w:abstractNum w:abstractNumId="180">
    <w:nsid w:val="298A92BA"/>
    <w:multiLevelType w:val="hybridMultilevel"/>
    <w:lvl w:ilvl="0">
      <w:lvlJc w:val="left"/>
      <w:lvlText w:val="%1"/>
      <w:numFmt w:val="lowerLetter"/>
      <w:start w:val="1"/>
    </w:lvl>
    <w:lvl w:ilvl="1">
      <w:lvlJc w:val="left"/>
      <w:lvlText w:val="(%2)"/>
      <w:numFmt w:val="lowerLetter"/>
      <w:start w:val="1"/>
    </w:lvl>
  </w:abstractNum>
  <w:abstractNum w:abstractNumId="181">
    <w:nsid w:val="6FE95EAC"/>
    <w:multiLevelType w:val="hybridMultilevel"/>
    <w:lvl w:ilvl="0">
      <w:lvlJc w:val="left"/>
      <w:lvlText w:val="(%1)"/>
      <w:numFmt w:val="lowerLetter"/>
      <w:start w:val="22"/>
    </w:lvl>
    <w:lvl w:ilvl="1">
      <w:lvlJc w:val="left"/>
      <w:lvlText w:val="%2"/>
      <w:numFmt w:val="lowerLetter"/>
      <w:start w:val="1"/>
    </w:lvl>
  </w:abstractNum>
  <w:abstractNum w:abstractNumId="182">
    <w:nsid w:val="4B697C7A"/>
    <w:multiLevelType w:val="hybridMultilevel"/>
    <w:lvl w:ilvl="0">
      <w:lvlJc w:val="left"/>
      <w:lvlText w:val="(%1)"/>
      <w:numFmt w:val="lowerLetter"/>
      <w:start w:val="1"/>
    </w:lvl>
  </w:abstractNum>
  <w:abstractNum w:abstractNumId="183">
    <w:nsid w:val="51A27AA6"/>
    <w:multiLevelType w:val="hybridMultilevel"/>
    <w:lvl w:ilvl="0">
      <w:lvlJc w:val="left"/>
      <w:lvlText w:val="%1"/>
      <w:numFmt w:val="upperLetter"/>
      <w:start w:val="1"/>
    </w:lvl>
    <w:lvl w:ilvl="1">
      <w:lvlJc w:val="left"/>
      <w:lvlText w:val="(%2)"/>
      <w:numFmt w:val="lowerLetter"/>
      <w:start w:val="2"/>
    </w:lvl>
  </w:abstractNum>
  <w:abstractNum w:abstractNumId="184">
    <w:nsid w:val="613183F2"/>
    <w:multiLevelType w:val="hybridMultilevel"/>
    <w:lvl w:ilvl="0">
      <w:lvlJc w:val="left"/>
      <w:lvlText w:val="(%1)"/>
      <w:numFmt w:val="upperLetter"/>
      <w:start w:val="2"/>
    </w:lvl>
    <w:lvl w:ilvl="1">
      <w:lvlJc w:val="left"/>
      <w:lvlText w:val="(%2)"/>
      <w:numFmt w:val="lowerLetter"/>
      <w:start w:val="4"/>
    </w:lvl>
  </w:abstractNum>
  <w:abstractNum w:abstractNumId="185">
    <w:nsid w:val="634102B4"/>
    <w:multiLevelType w:val="hybridMultilevel"/>
    <w:lvl w:ilvl="0">
      <w:lvlJc w:val="left"/>
      <w:lvlText w:val="(%1)"/>
      <w:numFmt w:val="lowerLetter"/>
      <w:start w:val="1"/>
    </w:lvl>
  </w:abstractNum>
  <w:abstractNum w:abstractNumId="186">
    <w:nsid w:val="65BF9DA8"/>
    <w:multiLevelType w:val="hybridMultilevel"/>
    <w:lvl w:ilvl="0">
      <w:lvlJc w:val="left"/>
      <w:lvlText w:val="(%1)"/>
      <w:numFmt w:val="lowerLetter"/>
      <w:start w:val="4"/>
    </w:lvl>
  </w:abstractNum>
  <w:abstractNum w:abstractNumId="187">
    <w:nsid w:val="21A2ECCA"/>
    <w:multiLevelType w:val="hybridMultilevel"/>
    <w:lvl w:ilvl="0">
      <w:lvlJc w:val="left"/>
      <w:lvlText w:val="(%1)"/>
      <w:numFmt w:val="lowerLetter"/>
      <w:start w:val="1"/>
    </w:lvl>
  </w:abstractNum>
  <w:abstractNum w:abstractNumId="188">
    <w:nsid w:val="4D5C4899"/>
    <w:multiLevelType w:val="hybridMultilevel"/>
    <w:lvl w:ilvl="0">
      <w:lvlJc w:val="left"/>
      <w:lvlText w:val="%1"/>
      <w:numFmt w:val="lowerLetter"/>
      <w:start w:val="1"/>
    </w:lvl>
    <w:lvl w:ilvl="1">
      <w:lvlJc w:val="left"/>
      <w:lvlText w:val="(%2)"/>
      <w:numFmt w:val="lowerLetter"/>
      <w:start w:val="4"/>
    </w:lvl>
  </w:abstractNum>
  <w:abstractNum w:abstractNumId="189">
    <w:nsid w:val="3C3B72B2"/>
    <w:multiLevelType w:val="hybridMultilevel"/>
    <w:lvl w:ilvl="0">
      <w:lvlJc w:val="left"/>
      <w:lvlText w:val="(%1)"/>
      <w:numFmt w:val="lowerLetter"/>
      <w:start w:val="9"/>
    </w:lvl>
    <w:lvl w:ilvl="1">
      <w:lvlJc w:val="left"/>
      <w:lvlText w:val="(%2)"/>
      <w:numFmt w:val="lowerLetter"/>
      <w:start w:val="10"/>
    </w:lvl>
  </w:abstractNum>
  <w:abstractNum w:abstractNumId="190">
    <w:nsid w:val="155EC4C2"/>
    <w:multiLevelType w:val="hybridMultilevel"/>
    <w:lvl w:ilvl="0">
      <w:lvlJc w:val="left"/>
      <w:lvlText w:val="(%1)"/>
      <w:numFmt w:val="lowerRoman"/>
      <w:start w:val="1"/>
    </w:lvl>
  </w:abstractNum>
  <w:abstractNum w:abstractNumId="191">
    <w:nsid w:val="65D2A137"/>
    <w:multiLevelType w:val="hybridMultilevel"/>
    <w:lvl w:ilvl="0">
      <w:lvlJc w:val="left"/>
      <w:lvlText w:val="(%1)"/>
      <w:numFmt w:val="lowerRoman"/>
      <w:start w:val="3"/>
    </w:lvl>
  </w:abstractNum>
  <w:abstractNum w:abstractNumId="192">
    <w:nsid w:val="6EBB1F2A"/>
    <w:multiLevelType w:val="hybridMultilevel"/>
    <w:lvl w:ilvl="0">
      <w:lvlJc w:val="left"/>
      <w:lvlText w:val="(%1)"/>
      <w:numFmt w:val="lowerLetter"/>
      <w:start w:val="2"/>
    </w:lvl>
  </w:abstractNum>
  <w:abstractNum w:abstractNumId="193">
    <w:nsid w:val="6FBF29CB"/>
    <w:multiLevelType w:val="hybridMultilevel"/>
    <w:lvl w:ilvl="0">
      <w:lvlJc w:val="left"/>
      <w:lvlText w:val="(%1)"/>
      <w:numFmt w:val="lowerLetter"/>
      <w:start w:val="1"/>
    </w:lvl>
  </w:abstractNum>
  <w:abstractNum w:abstractNumId="194">
    <w:nsid w:val="550B8808"/>
    <w:multiLevelType w:val="hybridMultilevel"/>
    <w:lvl w:ilvl="0">
      <w:lvlJc w:val="left"/>
      <w:lvlText w:val="(%1)"/>
      <w:numFmt w:val="lowerLetter"/>
      <w:start w:val="2"/>
    </w:lvl>
  </w:abstractNum>
  <w:abstractNum w:abstractNumId="195">
    <w:nsid w:val="34CC3ACF"/>
    <w:multiLevelType w:val="hybridMultilevel"/>
    <w:lvl w:ilvl="0">
      <w:lvlJc w:val="left"/>
      <w:lvlText w:val="(%1)"/>
      <w:numFmt w:val="lowerRoman"/>
      <w:start w:val="1"/>
    </w:lvl>
  </w:abstractNum>
  <w:abstractNum w:abstractNumId="196">
    <w:nsid w:val="4E556261"/>
    <w:multiLevelType w:val="hybridMultilevel"/>
    <w:lvl w:ilvl="0">
      <w:lvlJc w:val="left"/>
      <w:lvlText w:val="(%1)"/>
      <w:numFmt w:val="upperLetter"/>
      <w:start w:val="3"/>
    </w:lvl>
    <w:lvl w:ilvl="1">
      <w:lvlJc w:val="left"/>
      <w:lvlText w:val="(%2)"/>
      <w:numFmt w:val="lowerRoman"/>
      <w:start w:val="11"/>
    </w:lvl>
  </w:abstractNum>
  <w:abstractNum w:abstractNumId="197">
    <w:nsid w:val="4C672FC9"/>
    <w:multiLevelType w:val="hybridMultilevel"/>
    <w:lvl w:ilvl="0">
      <w:lvlJc w:val="left"/>
      <w:lvlText w:val="%1"/>
      <w:numFmt w:val="lowerLetter"/>
      <w:start w:val="1"/>
    </w:lvl>
    <w:lvl w:ilvl="1">
      <w:lvlJc w:val="left"/>
      <w:lvlText w:val="(%2)"/>
      <w:numFmt w:val="lowerLetter"/>
      <w:start w:val="3"/>
    </w:lvl>
  </w:abstractNum>
  <w:abstractNum w:abstractNumId="198">
    <w:nsid w:val="52A311C3"/>
    <w:multiLevelType w:val="hybridMultilevel"/>
    <w:lvl w:ilvl="0">
      <w:lvlJc w:val="left"/>
      <w:lvlText w:val="(%1)"/>
      <w:numFmt w:val="lowerLetter"/>
      <w:start w:val="35"/>
    </w:lvl>
    <w:lvl w:ilvl="1">
      <w:lvlJc w:val="left"/>
      <w:lvlText w:val="%2"/>
      <w:numFmt w:val="lowerLetter"/>
      <w:start w:val="1"/>
    </w:lvl>
  </w:abstractNum>
  <w:abstractNum w:abstractNumId="199">
    <w:nsid w:val="44EF6B80"/>
    <w:multiLevelType w:val="hybridMultilevel"/>
    <w:lvl w:ilvl="0">
      <w:lvlJc w:val="left"/>
      <w:lvlText w:val="%1"/>
      <w:numFmt w:val="lowerLetter"/>
      <w:start w:val="1"/>
    </w:lvl>
    <w:lvl w:ilvl="1">
      <w:lvlJc w:val="left"/>
      <w:lvlText w:val="(%2)"/>
      <w:numFmt w:val="lowerLetter"/>
      <w:start w:val="6"/>
    </w:lvl>
  </w:abstractNum>
  <w:abstractNum w:abstractNumId="200">
    <w:nsid w:val="12FCDE5E"/>
    <w:multiLevelType w:val="hybridMultilevel"/>
    <w:lvl w:ilvl="0">
      <w:lvlJc w:val="left"/>
      <w:lvlText w:val="(%1)"/>
      <w:numFmt w:val="lowerLetter"/>
      <w:start w:val="35"/>
    </w:lvl>
    <w:lvl w:ilvl="1">
      <w:lvlJc w:val="left"/>
      <w:lvlText w:val="%2"/>
      <w:numFmt w:val="lowerLetter"/>
      <w:start w:val="1"/>
    </w:lvl>
  </w:abstractNum>
  <w:abstractNum w:abstractNumId="201">
    <w:nsid w:val="4A1D606E"/>
    <w:multiLevelType w:val="hybridMultilevel"/>
    <w:lvl w:ilvl="0">
      <w:lvlJc w:val="left"/>
      <w:lvlText w:val="(%1)"/>
      <w:numFmt w:val="lowerLetter"/>
      <w:start w:val="1"/>
    </w:lvl>
  </w:abstractNum>
  <w:abstractNum w:abstractNumId="202">
    <w:nsid w:val="4382503"/>
    <w:multiLevelType w:val="hybridMultilevel"/>
    <w:lvl w:ilvl="0">
      <w:lvlJc w:val="left"/>
      <w:lvlText w:val="(%1)"/>
      <w:numFmt w:val="lowerLetter"/>
      <w:start w:val="1"/>
    </w:lvl>
  </w:abstractNum>
  <w:abstractNum w:abstractNumId="203">
    <w:nsid w:val="59B76E28"/>
    <w:multiLevelType w:val="hybridMultilevel"/>
    <w:lvl w:ilvl="0">
      <w:lvlJc w:val="left"/>
      <w:lvlText w:val="(%1)"/>
      <w:numFmt w:val="lowerLetter"/>
      <w:start w:val="3"/>
    </w:lvl>
  </w:abstractNum>
  <w:abstractNum w:abstractNumId="204">
    <w:nsid w:val="4252C2DA"/>
    <w:multiLevelType w:val="hybridMultilevel"/>
    <w:lvl w:ilvl="0">
      <w:lvlJc w:val="left"/>
      <w:lvlText w:val="(%1)"/>
      <w:numFmt w:val="lowerLetter"/>
      <w:start w:val="1"/>
    </w:lvl>
  </w:abstractNum>
  <w:abstractNum w:abstractNumId="205">
    <w:nsid w:val="6A92EF4C"/>
    <w:multiLevelType w:val="hybridMultilevel"/>
    <w:lvl w:ilvl="0">
      <w:lvlJc w:val="left"/>
      <w:lvlText w:val="(%1)"/>
      <w:numFmt w:val="lowerLetter"/>
      <w:start w:val="9"/>
    </w:lvl>
  </w:abstractNum>
  <w:abstractNum w:abstractNumId="206">
    <w:nsid w:val="41ED20D7"/>
    <w:multiLevelType w:val="hybridMultilevel"/>
    <w:lvl w:ilvl="0">
      <w:lvlJc w:val="left"/>
      <w:lvlText w:val="%1"/>
      <w:numFmt w:val="decimal"/>
      <w:start w:val="1"/>
    </w:lvl>
    <w:lvl w:ilvl="1">
      <w:lvlJc w:val="left"/>
      <w:lvlText w:val="(%2)"/>
      <w:numFmt w:val="lowerRoman"/>
      <w:start w:val="2"/>
    </w:lvl>
  </w:abstractNum>
  <w:abstractNum w:abstractNumId="207">
    <w:nsid w:val="E6B3F6A"/>
    <w:multiLevelType w:val="hybridMultilevel"/>
    <w:lvl w:ilvl="0">
      <w:lvlJc w:val="left"/>
      <w:lvlText w:val="(%1)"/>
      <w:numFmt w:val="decimal"/>
      <w:start w:val="10"/>
    </w:lvl>
    <w:lvl w:ilvl="1">
      <w:lvlJc w:val="left"/>
      <w:lvlText w:val="(%2)"/>
      <w:numFmt w:val="lowerRoman"/>
      <w:start w:val="6"/>
    </w:lvl>
  </w:abstractNum>
  <w:abstractNum w:abstractNumId="208">
    <w:nsid w:val="3EB21819"/>
    <w:multiLevelType w:val="hybridMultilevel"/>
    <w:lvl w:ilvl="0">
      <w:lvlJc w:val="left"/>
      <w:lvlText w:val="(%1)"/>
      <w:numFmt w:val="lowerRoman"/>
      <w:start w:val="9"/>
    </w:lvl>
  </w:abstractNum>
  <w:abstractNum w:abstractNumId="209">
    <w:nsid w:val="41531DED"/>
    <w:multiLevelType w:val="hybridMultilevel"/>
    <w:lvl w:ilvl="0">
      <w:lvlJc w:val="left"/>
      <w:lvlText w:val="(%1)"/>
      <w:numFmt w:val="lowerLetter"/>
      <w:start w:val="2"/>
    </w:lvl>
  </w:abstractNum>
  <w:abstractNum w:abstractNumId="210">
    <w:nsid w:val="6353CD2"/>
    <w:multiLevelType w:val="hybridMultilevel"/>
    <w:lvl w:ilvl="0">
      <w:lvlJc w:val="left"/>
      <w:lvlText w:val="(%1)"/>
      <w:numFmt w:val="lowerLetter"/>
      <w:start w:val="1"/>
    </w:lvl>
  </w:abstractNum>
  <w:abstractNum w:abstractNumId="211">
    <w:nsid w:val="683CAAD3"/>
    <w:multiLevelType w:val="hybridMultilevel"/>
    <w:lvl w:ilvl="0">
      <w:lvlJc w:val="left"/>
      <w:lvlText w:val="(%1)"/>
      <w:numFmt w:val="lowerLetter"/>
      <w:start w:val="4"/>
    </w:lvl>
  </w:abstractNum>
  <w:abstractNum w:abstractNumId="212">
    <w:nsid w:val="313C7C99"/>
    <w:multiLevelType w:val="hybridMultilevel"/>
    <w:lvl w:ilvl="0">
      <w:lvlJc w:val="left"/>
      <w:lvlText w:val="%1"/>
      <w:numFmt w:val="upperLetter"/>
      <w:start w:val="1"/>
    </w:lvl>
    <w:lvl w:ilvl="1">
      <w:lvlJc w:val="left"/>
      <w:lvlText w:val="(%2)"/>
      <w:numFmt w:val="lowerLetter"/>
      <w:start w:val="1"/>
    </w:lvl>
  </w:abstractNum>
  <w:abstractNum w:abstractNumId="213">
    <w:nsid w:val="519EB94C"/>
    <w:multiLevelType w:val="hybridMultilevel"/>
    <w:lvl w:ilvl="0">
      <w:lvlJc w:val="left"/>
      <w:lvlText w:val="(%1)"/>
      <w:numFmt w:val="upperLetter"/>
      <w:start w:val="1"/>
    </w:lvl>
    <w:lvl w:ilvl="1">
      <w:lvlJc w:val="left"/>
      <w:lvlText w:val="(%2)"/>
      <w:numFmt w:val="lowerLetter"/>
      <w:start w:val="2"/>
    </w:lvl>
  </w:abstractNum>
  <w:abstractNum w:abstractNumId="214">
    <w:nsid w:val="39DF2579"/>
    <w:multiLevelType w:val="hybridMultilevel"/>
    <w:lvl w:ilvl="0">
      <w:lvlJc w:val="left"/>
      <w:lvlText w:val="(%1)"/>
      <w:numFmt w:val="lowerLetter"/>
      <w:start w:val="5"/>
    </w:lvl>
  </w:abstractNum>
  <w:abstractNum w:abstractNumId="215">
    <w:nsid w:val="126E008B"/>
    <w:multiLevelType w:val="hybridMultilevel"/>
    <w:lvl w:ilvl="0">
      <w:lvlJc w:val="left"/>
      <w:lvlText w:val="(%1)"/>
      <w:numFmt w:val="lowerRoman"/>
      <w:start w:val="1"/>
    </w:lvl>
  </w:abstractNum>
  <w:abstractNum w:abstractNumId="216">
    <w:nsid w:val="34DFBC00"/>
    <w:multiLevelType w:val="hybridMultilevel"/>
    <w:lvl w:ilvl="0">
      <w:lvlJc w:val="left"/>
      <w:lvlText w:val="(%1)"/>
      <w:numFmt w:val="lowerRoman"/>
      <w:start w:val="2"/>
    </w:lvl>
  </w:abstractNum>
  <w:abstractNum w:abstractNumId="217">
    <w:nsid w:val="1F9EC322"/>
    <w:multiLevelType w:val="hybridMultilevel"/>
    <w:lvl w:ilvl="0">
      <w:lvlJc w:val="left"/>
      <w:lvlText w:val="(%1)"/>
      <w:numFmt w:val="lowerLetter"/>
      <w:start w:val="1"/>
    </w:lvl>
  </w:abstractNum>
  <w:abstractNum w:abstractNumId="218">
    <w:nsid w:val="3410ED56"/>
    <w:multiLevelType w:val="hybridMultilevel"/>
    <w:lvl w:ilvl="0">
      <w:lvlJc w:val="left"/>
      <w:lvlText w:val="(%1)"/>
      <w:numFmt w:val="lowerLetter"/>
      <w:start w:val="2"/>
    </w:lvl>
  </w:abstractNum>
  <w:abstractNum w:abstractNumId="219">
    <w:nsid w:val="23C049A"/>
    <w:multiLevelType w:val="hybridMultilevel"/>
    <w:lvl w:ilvl="0">
      <w:lvlJc w:val="left"/>
      <w:lvlText w:val="(%1)"/>
      <w:numFmt w:val="lowerLetter"/>
      <w:start w:val="1"/>
    </w:lvl>
  </w:abstractNum>
  <w:abstractNum w:abstractNumId="220">
    <w:nsid w:val="5BDA35D4"/>
    <w:multiLevelType w:val="hybridMultilevel"/>
    <w:lvl w:ilvl="0">
      <w:lvlJc w:val="left"/>
      <w:lvlText w:val="(%1)"/>
      <w:numFmt w:val="lowerLetter"/>
      <w:start w:val="2"/>
    </w:lvl>
  </w:abstractNum>
  <w:abstractNum w:abstractNumId="221">
    <w:nsid w:val="496FB218"/>
    <w:multiLevelType w:val="hybridMultilevel"/>
    <w:lvl w:ilvl="0">
      <w:lvlJc w:val="left"/>
      <w:lvlText w:val="%1"/>
      <w:numFmt w:val="lowerLetter"/>
      <w:start w:val="1"/>
    </w:lvl>
    <w:lvl w:ilvl="1">
      <w:lvlJc w:val="left"/>
      <w:lvlText w:val="(%2)"/>
      <w:numFmt w:val="lowerLetter"/>
      <w:start w:val="1"/>
    </w:lvl>
  </w:abstractNum>
  <w:abstractNum w:abstractNumId="222">
    <w:nsid w:val="680EA5D1"/>
    <w:multiLevelType w:val="hybridMultilevel"/>
    <w:lvl w:ilvl="0">
      <w:lvlJc w:val="left"/>
      <w:lvlText w:val="(%1)"/>
      <w:numFmt w:val="lowerLetter"/>
      <w:start w:val="9"/>
    </w:lvl>
    <w:lvl w:ilvl="1">
      <w:lvlJc w:val="left"/>
      <w:lvlText w:val="(%2)"/>
      <w:numFmt w:val="lowerLetter"/>
      <w:start w:val="2"/>
    </w:lvl>
  </w:abstractNum>
  <w:abstractNum w:abstractNumId="223">
    <w:nsid w:val="4A9554FE"/>
    <w:multiLevelType w:val="hybridMultilevel"/>
    <w:lvl w:ilvl="0">
      <w:lvlJc w:val="left"/>
      <w:lvlText w:val="(%1)"/>
      <w:numFmt w:val="lowerLetter"/>
      <w:start w:val="1"/>
    </w:lvl>
  </w:abstractNum>
  <w:abstractNum w:abstractNumId="224">
    <w:nsid w:val="392EDBE4"/>
    <w:multiLevelType w:val="hybridMultilevel"/>
    <w:lvl w:ilvl="0">
      <w:lvlJc w:val="left"/>
      <w:lvlText w:val="(%1)"/>
      <w:numFmt w:val="lowerLetter"/>
      <w:start w:val="1"/>
    </w:lvl>
  </w:abstractNum>
  <w:abstractNum w:abstractNumId="225">
    <w:nsid w:val="3D1A2DD9"/>
    <w:multiLevelType w:val="hybridMultilevel"/>
    <w:lvl w:ilvl="0">
      <w:lvlJc w:val="left"/>
      <w:lvlText w:val="(%1)"/>
      <w:numFmt w:val="lowerLetter"/>
      <w:start w:val="1"/>
    </w:lvl>
  </w:abstractNum>
  <w:abstractNum w:abstractNumId="226">
    <w:nsid w:val="7F618FCD"/>
    <w:multiLevelType w:val="hybridMultilevel"/>
    <w:lvl w:ilvl="0">
      <w:lvlJc w:val="left"/>
      <w:lvlText w:val="(%1)"/>
      <w:numFmt w:val="lowerLetter"/>
      <w:start w:val="3"/>
    </w:lvl>
  </w:abstractNum>
  <w:abstractNum w:abstractNumId="227">
    <w:nsid w:val="7843E45"/>
    <w:multiLevelType w:val="hybridMultilevel"/>
    <w:lvl w:ilvl="0">
      <w:lvlJc w:val="left"/>
      <w:lvlText w:val="(%1)"/>
      <w:numFmt w:val="lowerLetter"/>
      <w:start w:val="6"/>
    </w:lvl>
  </w:abstractNum>
  <w:abstractNum w:abstractNumId="228">
    <w:nsid w:val="9815DA3"/>
    <w:multiLevelType w:val="hybridMultilevel"/>
    <w:lvl w:ilvl="0">
      <w:lvlJc w:val="left"/>
      <w:lvlText w:val="(%1)"/>
      <w:numFmt w:val="lowerLetter"/>
      <w:start w:val="1"/>
    </w:lvl>
  </w:abstractNum>
  <w:abstractNum w:abstractNumId="229">
    <w:nsid w:val="5204A191"/>
    <w:multiLevelType w:val="hybridMultilevel"/>
    <w:lvl w:ilvl="0">
      <w:lvlJc w:val="left"/>
      <w:lvlText w:val="(%1)"/>
      <w:numFmt w:val="lowerLetter"/>
      <w:start w:val="5"/>
    </w:lvl>
  </w:abstractNum>
  <w:abstractNum w:abstractNumId="230">
    <w:nsid w:val="4C73A9C6"/>
    <w:multiLevelType w:val="hybridMultilevel"/>
    <w:lvl w:ilvl="0">
      <w:lvlJc w:val="left"/>
      <w:lvlText w:val="(%1)"/>
      <w:numFmt w:val="lowerLetter"/>
      <w:start w:val="1"/>
    </w:lvl>
  </w:abstractNum>
  <w:abstractNum w:abstractNumId="231">
    <w:nsid w:val="1C7E3C01"/>
    <w:multiLevelType w:val="hybridMultilevel"/>
    <w:lvl w:ilvl="0">
      <w:lvlJc w:val="left"/>
      <w:lvlText w:val="(%1)"/>
      <w:numFmt w:val="lowerLetter"/>
      <w:start w:val="5"/>
    </w:lvl>
  </w:abstractNum>
  <w:abstractNum w:abstractNumId="232">
    <w:nsid w:val="1C2201FF"/>
    <w:multiLevelType w:val="hybridMultilevel"/>
    <w:lvl w:ilvl="0">
      <w:lvlJc w:val="left"/>
      <w:lvlText w:val="(%1)"/>
      <w:numFmt w:val="lowerLetter"/>
      <w:start w:val="1"/>
    </w:lvl>
  </w:abstractNum>
  <w:abstractNum w:abstractNumId="233">
    <w:nsid w:val="50ABCEC9"/>
    <w:multiLevelType w:val="hybridMultilevel"/>
    <w:lvl w:ilvl="0">
      <w:lvlJc w:val="left"/>
      <w:lvlText w:val="(%1)"/>
      <w:numFmt w:val="lowerRoman"/>
      <w:start w:val="1"/>
    </w:lvl>
  </w:abstractNum>
  <w:abstractNum w:abstractNumId="234">
    <w:nsid w:val="7635AA2A"/>
    <w:multiLevelType w:val="hybridMultilevel"/>
    <w:lvl w:ilvl="0">
      <w:lvlJc w:val="left"/>
      <w:lvlText w:val="%1"/>
      <w:numFmt w:val="decimal"/>
      <w:start w:val="1"/>
    </w:lvl>
    <w:lvl w:ilvl="1">
      <w:lvlJc w:val="left"/>
      <w:lvlText w:val="(%2)"/>
      <w:numFmt w:val="lowerRoman"/>
      <w:start w:val="4"/>
    </w:lvl>
  </w:abstractNum>
  <w:abstractNum w:abstractNumId="235">
    <w:nsid w:val="5E74C4D9"/>
    <w:multiLevelType w:val="hybridMultilevel"/>
    <w:lvl w:ilvl="0">
      <w:lvlJc w:val="left"/>
      <w:lvlText w:val="(%1)"/>
      <w:numFmt w:val="decimal"/>
      <w:start w:val="1"/>
    </w:lvl>
    <w:lvl w:ilvl="1">
      <w:lvlJc w:val="left"/>
      <w:lvlText w:val="(%2)"/>
      <w:numFmt w:val="lowerRoman"/>
      <w:start w:val="5"/>
    </w:lvl>
  </w:abstractNum>
  <w:abstractNum w:abstractNumId="236">
    <w:nsid w:val="3B3EBE15"/>
    <w:multiLevelType w:val="hybridMultilevel"/>
    <w:lvl w:ilvl="0">
      <w:lvlJc w:val="left"/>
      <w:lvlText w:val="(%1)"/>
      <w:numFmt w:val="decimal"/>
      <w:start w:val="3"/>
    </w:lvl>
    <w:lvl w:ilvl="1">
      <w:lvlJc w:val="left"/>
      <w:lvlText w:val="%2"/>
      <w:numFmt w:val="lowerRoman"/>
      <w:start w:val="1"/>
    </w:lvl>
  </w:abstractNum>
  <w:abstractNum w:abstractNumId="237">
    <w:nsid w:val="3822CB01"/>
    <w:multiLevelType w:val="hybridMultilevel"/>
    <w:lvl w:ilvl="0">
      <w:lvlJc w:val="left"/>
      <w:lvlText w:val="(%1)"/>
      <w:numFmt w:val="lowerRoman"/>
      <w:start w:val="6"/>
    </w:lvl>
  </w:abstractNum>
  <w:abstractNum w:abstractNumId="238">
    <w:nsid w:val="6CE00443"/>
    <w:multiLevelType w:val="hybridMultilevel"/>
    <w:lvl w:ilvl="0">
      <w:lvlJc w:val="left"/>
      <w:lvlText w:val="%1"/>
      <w:numFmt w:val="decimal"/>
      <w:start w:val="1"/>
    </w:lvl>
    <w:lvl w:ilvl="1">
      <w:lvlJc w:val="left"/>
      <w:lvlText w:val="(%2)"/>
      <w:numFmt w:val="lowerRoman"/>
      <w:start w:val="14"/>
    </w:lvl>
  </w:abstractNum>
  <w:abstractNum w:abstractNumId="239">
    <w:nsid w:val="79F0D62F"/>
    <w:multiLevelType w:val="hybridMultilevel"/>
    <w:lvl w:ilvl="0">
      <w:lvlJc w:val="left"/>
      <w:lvlText w:val="(%1)"/>
      <w:numFmt w:val="decimal"/>
      <w:start w:val="2"/>
    </w:lvl>
    <w:lvl w:ilvl="1">
      <w:lvlJc w:val="left"/>
      <w:lvlText w:val="(%2)"/>
      <w:numFmt w:val="lowerRoman"/>
      <w:start w:val="22"/>
    </w:lvl>
  </w:abstractNum>
  <w:abstractNum w:abstractNumId="240">
    <w:nsid w:val="7975E8EE"/>
    <w:multiLevelType w:val="hybridMultilevel"/>
    <w:lvl w:ilvl="0">
      <w:lvlJc w:val="left"/>
      <w:lvlText w:val="(%1)"/>
      <w:numFmt w:val="lowerRoman"/>
      <w:start w:val="23"/>
    </w:lvl>
  </w:abstractNum>
  <w:abstractNum w:abstractNumId="241">
    <w:nsid w:val="73154115"/>
    <w:multiLevelType w:val="hybridMultilevel"/>
    <w:lvl w:ilvl="0">
      <w:lvlJc w:val="left"/>
      <w:lvlText w:val="(%1)"/>
      <w:numFmt w:val="lowerLetter"/>
      <w:start w:val="3"/>
    </w:lvl>
  </w:abstractNum>
  <w:abstractNum w:abstractNumId="242">
    <w:nsid w:val="622D8102"/>
    <w:multiLevelType w:val="hybridMultilevel"/>
    <w:lvl w:ilvl="0">
      <w:lvlJc w:val="left"/>
      <w:lvlText w:val="%1"/>
      <w:numFmt w:val="decimal"/>
      <w:start w:val="1"/>
    </w:lvl>
    <w:lvl w:ilvl="1">
      <w:lvlJc w:val="left"/>
      <w:lvlText w:val="(%2)"/>
      <w:numFmt w:val="lowerRoman"/>
      <w:start w:val="1"/>
    </w:lvl>
  </w:abstractNum>
  <w:abstractNum w:abstractNumId="243">
    <w:nsid w:val="2AB26587"/>
    <w:multiLevelType w:val="hybridMultilevel"/>
    <w:lvl w:ilvl="0">
      <w:lvlJc w:val="left"/>
      <w:lvlText w:val="(%1)"/>
      <w:numFmt w:val="decimal"/>
      <w:start w:val="2"/>
    </w:lvl>
    <w:lvl w:ilvl="1">
      <w:lvlJc w:val="left"/>
      <w:lvlText w:val="(%2)"/>
      <w:numFmt w:val="lowerRoman"/>
      <w:start w:val="5"/>
    </w:lvl>
  </w:abstractNum>
  <w:abstractNum w:abstractNumId="244">
    <w:nsid w:val="44B3FA61"/>
    <w:multiLevelType w:val="hybridMultilevel"/>
    <w:lvl w:ilvl="0">
      <w:lvlJc w:val="left"/>
      <w:lvlText w:val="(%1)"/>
      <w:numFmt w:val="upperLetter"/>
      <w:start w:val="2"/>
    </w:lvl>
    <w:lvl w:ilvl="1">
      <w:lvlJc w:val="left"/>
      <w:lvlText w:val="(%2)"/>
      <w:numFmt w:val="lowerRoman"/>
      <w:start w:val="6"/>
    </w:lvl>
  </w:abstractNum>
  <w:abstractNum w:abstractNumId="245">
    <w:nsid w:val="1C0CA67C"/>
    <w:multiLevelType w:val="hybridMultilevel"/>
    <w:lvl w:ilvl="0">
      <w:lvlJc w:val="left"/>
      <w:lvlText w:val="%1"/>
      <w:numFmt w:val="lowerLetter"/>
      <w:start w:val="1"/>
    </w:lvl>
    <w:lvl w:ilvl="1">
      <w:lvlJc w:val="left"/>
      <w:lvlText w:val="(%2)"/>
      <w:numFmt w:val="lowerLetter"/>
      <w:start w:val="1"/>
    </w:lvl>
  </w:abstractNum>
  <w:abstractNum w:abstractNumId="246">
    <w:nsid w:val="3D206613"/>
    <w:multiLevelType w:val="hybridMultilevel"/>
    <w:lvl w:ilvl="0">
      <w:lvlJc w:val="left"/>
      <w:lvlText w:val="(%1)"/>
      <w:numFmt w:val="lowerLetter"/>
      <w:start w:val="35"/>
    </w:lvl>
    <w:lvl w:ilvl="1">
      <w:lvlJc w:val="left"/>
      <w:lvlText w:val="%2"/>
      <w:numFmt w:val="lowerLetter"/>
      <w:start w:val="1"/>
    </w:lvl>
  </w:abstractNum>
  <w:abstractNum w:abstractNumId="247">
    <w:nsid w:val="7993B662"/>
    <w:multiLevelType w:val="hybridMultilevel"/>
    <w:lvl w:ilvl="0">
      <w:lvlJc w:val="left"/>
      <w:lvlText w:val="%1"/>
      <w:numFmt w:val="lowerLetter"/>
      <w:start w:val="1"/>
    </w:lvl>
    <w:lvl w:ilvl="1">
      <w:lvlJc w:val="left"/>
      <w:lvlText w:val="(%2)"/>
      <w:numFmt w:val="lowerLetter"/>
      <w:start w:val="2"/>
    </w:lvl>
  </w:abstractNum>
  <w:abstractNum w:abstractNumId="248">
    <w:nsid w:val="3BAB699E"/>
    <w:multiLevelType w:val="hybridMultilevel"/>
    <w:lvl w:ilvl="0">
      <w:lvlJc w:val="left"/>
      <w:lvlText w:val="(%1)"/>
      <w:numFmt w:val="lowerLetter"/>
      <w:start w:val="35"/>
    </w:lvl>
    <w:lvl w:ilvl="1">
      <w:lvlJc w:val="left"/>
      <w:lvlText w:val="%2"/>
      <w:numFmt w:val="lowerLetter"/>
      <w:start w:val="1"/>
    </w:lvl>
  </w:abstractNum>
  <w:abstractNum w:abstractNumId="249">
    <w:nsid w:val="71315369"/>
    <w:multiLevelType w:val="hybridMultilevel"/>
    <w:lvl w:ilvl="0">
      <w:lvlJc w:val="left"/>
      <w:lvlText w:val="(%1)"/>
      <w:numFmt w:val="lowerLetter"/>
      <w:start w:val="35"/>
    </w:lvl>
    <w:lvl w:ilvl="1">
      <w:lvlJc w:val="left"/>
      <w:lvlText w:val="(%2)"/>
      <w:numFmt w:val="lowerLetter"/>
      <w:start w:val="3"/>
    </w:lvl>
  </w:abstractNum>
  <w:abstractNum w:abstractNumId="250">
    <w:nsid w:val="7BCFBAFC"/>
    <w:multiLevelType w:val="hybridMultilevel"/>
    <w:lvl w:ilvl="0">
      <w:lvlJc w:val="left"/>
      <w:lvlText w:val="(%1)"/>
      <w:numFmt w:val="lowerLetter"/>
      <w:start w:val="4"/>
    </w:lvl>
  </w:abstractNum>
  <w:abstractNum w:abstractNumId="251">
    <w:nsid w:val="17859F72"/>
    <w:multiLevelType w:val="hybridMultilevel"/>
    <w:lvl w:ilvl="0">
      <w:lvlJc w:val="left"/>
      <w:lvlText w:val="(%1)"/>
      <w:numFmt w:val="lowerLetter"/>
      <w:start w:val="7"/>
    </w:lvl>
  </w:abstractNum>
  <w:abstractNum w:abstractNumId="252">
    <w:nsid w:val="3AA10581"/>
    <w:multiLevelType w:val="hybridMultilevel"/>
    <w:lvl w:ilvl="0">
      <w:lvlJc w:val="left"/>
      <w:lvlText w:val="(%1)"/>
      <w:numFmt w:val="lowerLetter"/>
      <w:start w:val="1"/>
    </w:lvl>
  </w:abstractNum>
  <w:abstractNum w:abstractNumId="253">
    <w:nsid w:val="63DE60CD"/>
    <w:multiLevelType w:val="hybridMultilevel"/>
    <w:lvl w:ilvl="0">
      <w:lvlJc w:val="left"/>
      <w:lvlText w:val="(%1)"/>
      <w:numFmt w:val="lowerLetter"/>
      <w:start w:val="1"/>
    </w:lvl>
  </w:abstractNum>
  <w:abstractNum w:abstractNumId="254">
    <w:nsid w:val="621AF471"/>
    <w:multiLevelType w:val="hybridMultilevel"/>
    <w:lvl w:ilvl="0">
      <w:lvlJc w:val="left"/>
      <w:lvlText w:val="(%1)"/>
      <w:numFmt w:val="lowerLetter"/>
      <w:start w:val="2"/>
    </w:lvl>
  </w:abstractNum>
  <w:abstractNum w:abstractNumId="255">
    <w:nsid w:val="73CFE165"/>
    <w:multiLevelType w:val="hybridMultilevel"/>
    <w:lvl w:ilvl="0">
      <w:lvlJc w:val="left"/>
      <w:lvlText w:val="(%1)"/>
      <w:numFmt w:val="lowerRoman"/>
      <w:start w:val="1"/>
    </w:lvl>
  </w:abstractNum>
  <w:abstractNum w:abstractNumId="256">
    <w:nsid w:val="20F88EA6"/>
    <w:multiLevelType w:val="hybridMultilevel"/>
    <w:lvl w:ilvl="0">
      <w:lvlJc w:val="left"/>
      <w:lvlText w:val="%1"/>
      <w:numFmt w:val="lowerLetter"/>
      <w:start w:val="1"/>
    </w:lvl>
    <w:lvl w:ilvl="1">
      <w:lvlJc w:val="left"/>
      <w:lvlText w:val="(%2)"/>
      <w:numFmt w:val="lowerLetter"/>
      <w:start w:val="3"/>
    </w:lvl>
  </w:abstractNum>
  <w:abstractNum w:abstractNumId="257">
    <w:nsid w:val="617C843E"/>
    <w:multiLevelType w:val="hybridMultilevel"/>
    <w:lvl w:ilvl="0">
      <w:lvlJc w:val="left"/>
      <w:lvlText w:val="(%1)"/>
      <w:numFmt w:val="lowerLetter"/>
      <w:start w:val="35"/>
    </w:lvl>
    <w:lvl w:ilvl="1">
      <w:lvlJc w:val="left"/>
      <w:lvlText w:val="(%2)"/>
      <w:numFmt w:val="lowerLetter"/>
      <w:start w:val="5"/>
    </w:lvl>
  </w:abstractNum>
  <w:abstractNum w:abstractNumId="258">
    <w:nsid w:val="7B541FAB"/>
    <w:multiLevelType w:val="hybridMultilevel"/>
    <w:lvl w:ilvl="0">
      <w:lvlJc w:val="left"/>
      <w:lvlText w:val="(%1)"/>
      <w:numFmt w:val="lowerLetter"/>
      <w:start w:val="6"/>
    </w:lvl>
  </w:abstractNum>
  <w:abstractNum w:abstractNumId="259">
    <w:nsid w:val="2A79EC49"/>
    <w:multiLevelType w:val="hybridMultilevel"/>
    <w:lvl w:ilvl="0">
      <w:lvlJc w:val="left"/>
      <w:lvlText w:val="%1"/>
      <w:numFmt w:val="lowerLetter"/>
      <w:start w:val="1"/>
    </w:lvl>
    <w:lvl w:ilvl="1">
      <w:lvlJc w:val="left"/>
      <w:lvlText w:val="(%2)"/>
      <w:numFmt w:val="lowerLetter"/>
      <w:start w:val="1"/>
    </w:lvl>
  </w:abstractNum>
  <w:abstractNum w:abstractNumId="260">
    <w:nsid w:val="338125CF"/>
    <w:multiLevelType w:val="hybridMultilevel"/>
    <w:lvl w:ilvl="0">
      <w:lvlJc w:val="left"/>
      <w:lvlText w:val="(%1)"/>
      <w:numFmt w:val="lowerLetter"/>
      <w:start w:val="35"/>
    </w:lvl>
    <w:lvl w:ilvl="1">
      <w:lvlJc w:val="left"/>
      <w:lvlText w:val="(%2)"/>
      <w:numFmt w:val="lowerLetter"/>
      <w:start w:val="2"/>
    </w:lvl>
  </w:abstractNum>
  <w:abstractNum w:abstractNumId="261">
    <w:nsid w:val="47C7C971"/>
    <w:multiLevelType w:val="hybridMultilevel"/>
    <w:lvl w:ilvl="0">
      <w:lvlJc w:val="left"/>
      <w:lvlText w:val="(%1)"/>
      <w:numFmt w:val="lowerLetter"/>
      <w:start w:val="3"/>
    </w:lvl>
  </w:abstractNum>
  <w:abstractNum w:abstractNumId="262">
    <w:nsid w:val="46F8284B"/>
    <w:multiLevelType w:val="hybridMultilevel"/>
    <w:lvl w:ilvl="0">
      <w:lvlJc w:val="left"/>
      <w:lvlText w:val="(%1)"/>
      <w:numFmt w:val="lowerLetter"/>
      <w:start w:val="1"/>
    </w:lvl>
  </w:abstractNum>
  <w:abstractNum w:abstractNumId="263">
    <w:nsid w:val="4FA327CE"/>
    <w:multiLevelType w:val="hybridMultilevel"/>
    <w:lvl w:ilvl="0">
      <w:lvlJc w:val="left"/>
      <w:lvlText w:val="(%1)"/>
      <w:numFmt w:val="lowerLetter"/>
      <w:start w:val="35"/>
    </w:lvl>
    <w:lvl w:ilvl="1">
      <w:lvlJc w:val="left"/>
      <w:lvlText w:val="(%2)"/>
      <w:numFmt w:val="lowerLetter"/>
      <w:start w:val="3"/>
    </w:lvl>
  </w:abstractNum>
  <w:abstractNum w:abstractNumId="264">
    <w:nsid w:val="1873983A"/>
    <w:multiLevelType w:val="hybridMultilevel"/>
    <w:lvl w:ilvl="0">
      <w:lvlJc w:val="left"/>
      <w:lvlText w:val="(%1)"/>
      <w:numFmt w:val="lowerLetter"/>
      <w:start w:val="5"/>
    </w:lvl>
  </w:abstractNum>
  <w:abstractNum w:abstractNumId="265">
    <w:nsid w:val="3D2DD275"/>
    <w:multiLevelType w:val="hybridMultilevel"/>
    <w:lvl w:ilvl="0">
      <w:lvlJc w:val="left"/>
      <w:lvlText w:val="(%1)"/>
      <w:numFmt w:val="lowerLetter"/>
      <w:start w:val="1"/>
    </w:lvl>
  </w:abstractNum>
  <w:abstractNum w:abstractNumId="266">
    <w:nsid w:val="2E17ECA7"/>
    <w:multiLevelType w:val="hybridMultilevel"/>
    <w:lvl w:ilvl="0">
      <w:lvlJc w:val="left"/>
      <w:lvlText w:val="(%1)"/>
      <w:numFmt w:val="lowerLetter"/>
      <w:start w:val="3"/>
    </w:lvl>
  </w:abstractNum>
  <w:abstractNum w:abstractNumId="267">
    <w:nsid w:val="53B2564F"/>
    <w:multiLevelType w:val="hybridMultilevel"/>
    <w:lvl w:ilvl="0">
      <w:lvlJc w:val="left"/>
      <w:lvlText w:val="(%1)"/>
      <w:numFmt w:val="lowerLetter"/>
      <w:start w:val="1"/>
    </w:lvl>
  </w:abstractNum>
  <w:abstractNum w:abstractNumId="268">
    <w:nsid w:val="75509D76"/>
    <w:multiLevelType w:val="hybridMultilevel"/>
    <w:lvl w:ilvl="0">
      <w:lvlJc w:val="left"/>
      <w:lvlText w:val="(%1)"/>
      <w:numFmt w:val="lowerLetter"/>
      <w:start w:val="1"/>
    </w:lvl>
  </w:abstractNum>
  <w:abstractNum w:abstractNumId="269">
    <w:nsid w:val="1AF7F0EA"/>
    <w:multiLevelType w:val="hybridMultilevel"/>
    <w:lvl w:ilvl="0">
      <w:lvlJc w:val="left"/>
      <w:lvlText w:val="(%1)"/>
      <w:numFmt w:val="lowerLetter"/>
      <w:start w:val="1"/>
    </w:lvl>
  </w:abstractNum>
  <w:abstractNum w:abstractNumId="270">
    <w:nsid w:val="4DA32C7E"/>
    <w:multiLevelType w:val="hybridMultilevel"/>
    <w:lvl w:ilvl="0">
      <w:lvlJc w:val="left"/>
      <w:lvlText w:val="(%1)"/>
      <w:numFmt w:val="lowerLetter"/>
      <w:start w:val="2"/>
    </w:lvl>
  </w:abstractNum>
  <w:abstractNum w:abstractNumId="271">
    <w:nsid w:val="6EC68664"/>
    <w:multiLevelType w:val="hybridMultilevel"/>
    <w:lvl w:ilvl="0">
      <w:lvlJc w:val="left"/>
      <w:lvlText w:val="(%1)"/>
      <w:numFmt w:val="lowerLetter"/>
      <w:start w:val="1"/>
    </w:lvl>
  </w:abstractNum>
  <w:abstractNum w:abstractNumId="272">
    <w:nsid w:val="E0D31FF"/>
    <w:multiLevelType w:val="hybridMultilevel"/>
    <w:lvl w:ilvl="0">
      <w:lvlJc w:val="left"/>
      <w:lvlText w:val="(%1)"/>
      <w:numFmt w:val="lowerLetter"/>
      <w:start w:val="1"/>
    </w:lvl>
  </w:abstractNum>
  <w:abstractNum w:abstractNumId="273">
    <w:nsid w:val="2FD0AD81"/>
    <w:multiLevelType w:val="hybridMultilevel"/>
    <w:lvl w:ilvl="0">
      <w:lvlJc w:val="left"/>
      <w:lvlText w:val="(%1)"/>
      <w:numFmt w:val="lowerLetter"/>
      <w:start w:val="1"/>
    </w:lvl>
    <w:lvl w:ilvl="1">
      <w:lvlJc w:val="left"/>
      <w:lvlText w:val="(%2)"/>
      <w:numFmt w:val="lowerRoman"/>
      <w:start w:val="1"/>
    </w:lvl>
  </w:abstractNum>
  <w:abstractNum w:abstractNumId="274">
    <w:nsid w:val="1978EBEB"/>
    <w:multiLevelType w:val="hybridMultilevel"/>
    <w:lvl w:ilvl="0">
      <w:lvlJc w:val="left"/>
      <w:lvlText w:val="(%1)"/>
      <w:numFmt w:val="lowerLetter"/>
      <w:start w:val="25"/>
    </w:lvl>
    <w:lvl w:ilvl="1">
      <w:lvlJc w:val="left"/>
      <w:lvlText w:val="(%2)"/>
      <w:numFmt w:val="lowerLetter"/>
      <w:start w:val="2"/>
    </w:lvl>
  </w:abstractNum>
  <w:abstractNum w:abstractNumId="275">
    <w:nsid w:val="52C12C61"/>
    <w:multiLevelType w:val="hybridMultilevel"/>
    <w:lvl w:ilvl="0">
      <w:lvlJc w:val="left"/>
      <w:lvlText w:val="(%1)"/>
      <w:numFmt w:val="lowerLetter"/>
      <w:start w:val="4"/>
    </w:lvl>
  </w:abstractNum>
  <w:abstractNum w:abstractNumId="276">
    <w:nsid w:val="4BDD53FD"/>
    <w:multiLevelType w:val="hybridMultilevel"/>
    <w:lvl w:ilvl="0">
      <w:lvlJc w:val="left"/>
      <w:lvlText w:val="(%1)"/>
      <w:numFmt w:val="lowerLetter"/>
      <w:start w:val="1"/>
    </w:lvl>
  </w:abstractNum>
  <w:abstractNum w:abstractNumId="277">
    <w:nsid w:val="569951FE"/>
    <w:multiLevelType w:val="hybridMultilevel"/>
    <w:lvl w:ilvl="0">
      <w:lvlJc w:val="left"/>
      <w:lvlText w:val="(%1)"/>
      <w:numFmt w:val="lowerLetter"/>
      <w:start w:val="1"/>
    </w:lvl>
  </w:abstractNum>
  <w:abstractNum w:abstractNumId="278">
    <w:nsid w:val="4C54E2C3"/>
    <w:multiLevelType w:val="hybridMultilevel"/>
    <w:lvl w:ilvl="0">
      <w:lvlJc w:val="left"/>
      <w:lvlText w:val="(%1)"/>
      <w:numFmt w:val="upperLetter"/>
      <w:start w:val="4"/>
    </w:lvl>
    <w:lvl w:ilvl="1">
      <w:lvlJc w:val="left"/>
      <w:lvlText w:val="(%2)"/>
      <w:numFmt w:val="lowerLetter"/>
      <w:start w:val="5"/>
    </w:lvl>
  </w:abstractNum>
  <w:abstractNum w:abstractNumId="279">
    <w:nsid w:val="788BD9B"/>
    <w:multiLevelType w:val="hybridMultilevel"/>
    <w:lvl w:ilvl="0">
      <w:lvlJc w:val="left"/>
      <w:lvlText w:val="(%1)"/>
      <w:numFmt w:val="lowerRoman"/>
      <w:start w:val="3"/>
    </w:lvl>
  </w:abstractNum>
  <w:abstractNum w:abstractNumId="280">
    <w:nsid w:val="47CAA567"/>
    <w:multiLevelType w:val="hybridMultilevel"/>
    <w:lvl w:ilvl="0">
      <w:lvlJc w:val="left"/>
      <w:lvlText w:val="(%1)"/>
      <w:numFmt w:val="lowerLetter"/>
      <w:start w:val="1"/>
    </w:lvl>
  </w:abstractNum>
  <w:abstractNum w:abstractNumId="281">
    <w:nsid w:val="48249DBF"/>
    <w:multiLevelType w:val="hybridMultilevel"/>
    <w:lvl w:ilvl="0">
      <w:lvlJc w:val="left"/>
      <w:lvlText w:val="(%1)"/>
      <w:numFmt w:val="lowerLetter"/>
      <w:start w:val="35"/>
    </w:lvl>
    <w:lvl w:ilvl="1">
      <w:lvlJc w:val="left"/>
      <w:lvlText w:val="(%2)"/>
      <w:numFmt w:val="lowerLetter"/>
      <w:start w:val="6"/>
    </w:lvl>
  </w:abstractNum>
  <w:abstractNum w:abstractNumId="282">
    <w:nsid w:val="1F0E5D0D"/>
    <w:multiLevelType w:val="hybridMultilevel"/>
    <w:lvl w:ilvl="0">
      <w:lvlJc w:val="left"/>
      <w:lvlText w:val="(%1)"/>
      <w:numFmt w:val="lowerLetter"/>
      <w:start w:val="10"/>
    </w:lvl>
  </w:abstractNum>
  <w:abstractNum w:abstractNumId="283">
    <w:nsid w:val="26BAAE9"/>
    <w:multiLevelType w:val="hybridMultilevel"/>
    <w:lvl w:ilvl="0">
      <w:lvlJc w:val="left"/>
      <w:lvlText w:val="(%1)"/>
      <w:numFmt w:val="lowerLetter"/>
      <w:start w:val="15"/>
    </w:lvl>
  </w:abstractNum>
  <w:abstractNum w:abstractNumId="284">
    <w:nsid w:val="2C02FE8C"/>
    <w:multiLevelType w:val="hybridMultilevel"/>
    <w:lvl w:ilvl="0">
      <w:lvlJc w:val="left"/>
      <w:lvlText w:val="(%1)"/>
      <w:numFmt w:val="lowerLetter"/>
      <w:start w:val="19"/>
    </w:lvl>
  </w:abstractNum>
  <w:abstractNum w:abstractNumId="285">
    <w:nsid w:val="129517E"/>
    <w:multiLevelType w:val="hybridMultilevel"/>
    <w:lvl w:ilvl="0">
      <w:lvlJc w:val="left"/>
      <w:lvlText w:val="(%1)"/>
      <w:numFmt w:val="lowerLetter"/>
      <w:start w:val="23"/>
    </w:lvl>
  </w:abstractNum>
  <w:abstractNum w:abstractNumId="286">
    <w:nsid w:val="763B8C4E"/>
    <w:multiLevelType w:val="hybridMultilevel"/>
    <w:lvl w:ilvl="0">
      <w:lvlJc w:val="left"/>
      <w:lvlText w:val="(%1)"/>
      <w:numFmt w:val="lowerLetter"/>
      <w:start w:val="27"/>
    </w:lvl>
  </w:abstractNum>
  <w:abstractNum w:abstractNumId="287">
    <w:nsid w:val="4CFB8D32"/>
    <w:multiLevelType w:val="hybridMultilevel"/>
    <w:lvl w:ilvl="0">
      <w:lvlJc w:val="left"/>
      <w:lvlText w:val="(%1)"/>
      <w:numFmt w:val="lowerLetter"/>
      <w:start w:val="40"/>
    </w:lvl>
  </w:abstractNum>
  <w:abstractNum w:abstractNumId="288">
    <w:nsid w:val="62A5D5BD"/>
    <w:multiLevelType w:val="hybridMultilevel"/>
    <w:lvl w:ilvl="0">
      <w:lvlJc w:val="left"/>
      <w:lvlText w:val="(%1)"/>
      <w:numFmt w:val="lowerLetter"/>
      <w:start w:val="1"/>
    </w:lvl>
  </w:abstractNum>
  <w:abstractNum w:abstractNumId="289">
    <w:nsid w:val="718FABF9"/>
    <w:multiLevelType w:val="hybridMultilevel"/>
    <w:lvl w:ilvl="0">
      <w:lvlJc w:val="left"/>
      <w:lvlText w:val="(%1)"/>
      <w:numFmt w:val="lowerLetter"/>
      <w:start w:val="2"/>
    </w:lvl>
  </w:abstractNum>
  <w:abstractNum w:abstractNumId="290">
    <w:nsid w:val="7775797C"/>
    <w:multiLevelType w:val="hybridMultilevel"/>
    <w:lvl w:ilvl="0">
      <w:lvlJc w:val="left"/>
      <w:lvlText w:val="(%1)"/>
      <w:numFmt w:val="lowerLetter"/>
      <w:start w:val="3"/>
    </w:lvl>
  </w:abstractNum>
  <w:abstractNum w:abstractNumId="291">
    <w:nsid w:val="1626FB8C"/>
    <w:multiLevelType w:val="hybridMultilevel"/>
    <w:lvl w:ilvl="0">
      <w:lvlJc w:val="left"/>
      <w:lvlText w:val="(%1)"/>
      <w:numFmt w:val="lowerLetter"/>
      <w:start w:val="1"/>
    </w:lvl>
  </w:abstractNum>
  <w:abstractNum w:abstractNumId="292">
    <w:nsid w:val="3957756A"/>
    <w:multiLevelType w:val="hybridMultilevel"/>
    <w:lvl w:ilvl="0">
      <w:lvlJc w:val="left"/>
      <w:lvlText w:val="(%1)"/>
      <w:numFmt w:val="lowerLetter"/>
      <w:start w:val="1"/>
    </w:lvl>
  </w:abstractNum>
  <w:abstractNum w:abstractNumId="293">
    <w:nsid w:val="3E6DA1C7"/>
    <w:multiLevelType w:val="hybridMultilevel"/>
    <w:lvl w:ilvl="0">
      <w:lvlJc w:val="left"/>
      <w:lvlText w:val="(%1)"/>
      <w:numFmt w:val="lowerRoman"/>
      <w:start w:val="3"/>
    </w:lvl>
  </w:abstractNum>
  <w:abstractNum w:abstractNumId="294">
    <w:nsid w:val="65CA235B"/>
    <w:multiLevelType w:val="hybridMultilevel"/>
    <w:lvl w:ilvl="0">
      <w:lvlJc w:val="left"/>
      <w:lvlText w:val="(%1)"/>
      <w:numFmt w:val="lowerRoman"/>
      <w:start w:val="6"/>
    </w:lvl>
  </w:abstractNum>
  <w:abstractNum w:abstractNumId="295">
    <w:nsid w:val="51CB0DA4"/>
    <w:multiLevelType w:val="hybridMultilevel"/>
    <w:lvl w:ilvl="0">
      <w:lvlJc w:val="left"/>
      <w:lvlText w:val="(%1)"/>
      <w:numFmt w:val="lowerLetter"/>
      <w:start w:val="1"/>
    </w:lvl>
  </w:abstractNum>
  <w:abstractNum w:abstractNumId="296">
    <w:nsid w:val="7B9B743C"/>
    <w:multiLevelType w:val="hybridMultilevel"/>
    <w:lvl w:ilvl="0">
      <w:lvlJc w:val="left"/>
      <w:lvlText w:val="(%1)"/>
      <w:numFmt w:val="lowerLetter"/>
      <w:start w:val="2"/>
    </w:lvl>
  </w:abstractNum>
  <w:abstractNum w:abstractNumId="297">
    <w:nsid w:val="13E21002"/>
    <w:multiLevelType w:val="hybridMultilevel"/>
    <w:lvl w:ilvl="0">
      <w:lvlJc w:val="left"/>
      <w:lvlText w:val="(%1)"/>
      <w:numFmt w:val="lowerLetter"/>
      <w:start w:val="1"/>
    </w:lvl>
  </w:abstractNum>
  <w:abstractNum w:abstractNumId="298">
    <w:nsid w:val="257D63F4"/>
    <w:multiLevelType w:val="hybridMultilevel"/>
    <w:lvl w:ilvl="0">
      <w:lvlJc w:val="left"/>
      <w:lvlText w:val="(%1)"/>
      <w:numFmt w:val="lowerRoman"/>
      <w:start w:val="2"/>
    </w:lvl>
  </w:abstractNum>
  <w:abstractNum w:abstractNumId="299">
    <w:nsid w:val="70EC11B2"/>
    <w:multiLevelType w:val="hybridMultilevel"/>
    <w:lvl w:ilvl="0">
      <w:lvlJc w:val="left"/>
      <w:lvlText w:val="(%1)"/>
      <w:numFmt w:val="lowerLetter"/>
      <w:start w:val="2"/>
    </w:lvl>
  </w:abstractNum>
  <w:abstractNum w:abstractNumId="300">
    <w:nsid w:val="2EDA00ED"/>
    <w:multiLevelType w:val="hybridMultilevel"/>
    <w:lvl w:ilvl="0">
      <w:lvlJc w:val="left"/>
      <w:lvlText w:val="(%1)"/>
      <w:numFmt w:val="lowerLetter"/>
      <w:start w:val="3"/>
    </w:lvl>
  </w:abstractNum>
  <w:abstractNum w:abstractNumId="301">
    <w:nsid w:val="73209072"/>
    <w:multiLevelType w:val="hybridMultilevel"/>
    <w:lvl w:ilvl="0">
      <w:lvlJc w:val="left"/>
      <w:lvlText w:val="(%1)"/>
      <w:numFmt w:val="lowerLetter"/>
      <w:start w:val="1"/>
    </w:lvl>
  </w:abstractNum>
  <w:abstractNum w:abstractNumId="302">
    <w:nsid w:val="5FB29816"/>
    <w:multiLevelType w:val="hybridMultilevel"/>
    <w:lvl w:ilvl="0">
      <w:lvlJc w:val="left"/>
      <w:lvlText w:val="(%1)"/>
      <w:numFmt w:val="lowerLetter"/>
      <w:start w:val="3"/>
    </w:lvl>
  </w:abstractNum>
  <w:abstractNum w:abstractNumId="303">
    <w:nsid w:val="3CE732EC"/>
    <w:multiLevelType w:val="hybridMultilevel"/>
    <w:lvl w:ilvl="0">
      <w:lvlJc w:val="left"/>
      <w:lvlText w:val="(%1)"/>
      <w:numFmt w:val="lowerLetter"/>
      <w:start w:val="1"/>
    </w:lvl>
  </w:abstractNum>
  <w:abstractNum w:abstractNumId="304">
    <w:nsid w:val="22F13DF3"/>
    <w:multiLevelType w:val="hybridMultilevel"/>
    <w:lvl w:ilvl="0">
      <w:lvlJc w:val="left"/>
      <w:lvlText w:val="(%1)"/>
      <w:numFmt w:val="lowerLetter"/>
      <w:start w:val="1"/>
    </w:lvl>
  </w:abstractNum>
  <w:abstractNum w:abstractNumId="305">
    <w:nsid w:val="792B8401"/>
    <w:multiLevelType w:val="hybridMultilevel"/>
    <w:lvl w:ilvl="0">
      <w:lvlJc w:val="left"/>
      <w:lvlText w:val="(%1)"/>
      <w:numFmt w:val="lowerLetter"/>
      <w:start w:val="3"/>
    </w:lvl>
  </w:abstractNum>
  <w:abstractNum w:abstractNumId="306">
    <w:nsid w:val="FA85F4D"/>
    <w:multiLevelType w:val="hybridMultilevel"/>
    <w:lvl w:ilvl="0">
      <w:lvlJc w:val="left"/>
      <w:lvlText w:val="%1"/>
      <w:numFmt w:val="upperLetter"/>
      <w:start w:val="1"/>
    </w:lvl>
    <w:lvl w:ilvl="1">
      <w:lvlJc w:val="left"/>
      <w:lvlText w:val="(%2)"/>
      <w:numFmt w:val="lowerLetter"/>
      <w:start w:val="1"/>
    </w:lvl>
  </w:abstractNum>
  <w:abstractNum w:abstractNumId="307">
    <w:nsid w:val="6ECE91F0"/>
    <w:multiLevelType w:val="hybridMultilevel"/>
    <w:lvl w:ilvl="0">
      <w:lvlJc w:val="left"/>
      <w:lvlText w:val="(%1)"/>
      <w:numFmt w:val="upperLetter"/>
      <w:start w:val="1"/>
    </w:lvl>
    <w:lvl w:ilvl="1">
      <w:lvlJc w:val="left"/>
      <w:lvlText w:val="(%2)"/>
      <w:numFmt w:val="lowerLetter"/>
      <w:start w:val="4"/>
    </w:lvl>
  </w:abstractNum>
  <w:abstractNum w:abstractNumId="308">
    <w:nsid w:val="4FC4D600"/>
    <w:multiLevelType w:val="hybridMultilevel"/>
    <w:lvl w:ilvl="0">
      <w:lvlJc w:val="left"/>
      <w:lvlText w:val="(%1)"/>
      <w:numFmt w:val="lowerLetter"/>
      <w:start w:val="5"/>
    </w:lvl>
  </w:abstractNum>
  <w:abstractNum w:abstractNumId="309">
    <w:nsid w:val="5BFD4210"/>
    <w:multiLevelType w:val="hybridMultilevel"/>
    <w:lvl w:ilvl="0">
      <w:lvlJc w:val="left"/>
      <w:lvlText w:val="(%1)"/>
      <w:numFmt w:val="lowerLetter"/>
      <w:start w:val="2"/>
    </w:lvl>
  </w:abstractNum>
  <w:abstractNum w:abstractNumId="310">
    <w:nsid w:val="76574F8B"/>
    <w:multiLevelType w:val="hybridMultilevel"/>
    <w:lvl w:ilvl="0">
      <w:lvlJc w:val="left"/>
      <w:lvlText w:val="(%1)"/>
      <w:numFmt w:val="lowerLetter"/>
      <w:start w:val="1"/>
    </w:lvl>
  </w:abstractNum>
  <w:abstractNum w:abstractNumId="311">
    <w:nsid w:val="178F7B67"/>
    <w:multiLevelType w:val="hybridMultilevel"/>
    <w:lvl w:ilvl="0">
      <w:lvlJc w:val="left"/>
      <w:lvlText w:val="(%1)"/>
      <w:numFmt w:val="lowerLetter"/>
      <w:start w:val="4"/>
    </w:lvl>
  </w:abstractNum>
  <w:abstractNum w:abstractNumId="312">
    <w:nsid w:val="2421DFCF"/>
    <w:multiLevelType w:val="hybridMultilevel"/>
    <w:lvl w:ilvl="0">
      <w:lvlJc w:val="left"/>
      <w:lvlText w:val="(%1)"/>
      <w:numFmt w:val="lowerRoman"/>
      <w:start w:val="1"/>
    </w:lvl>
  </w:abstractNum>
  <w:abstractNum w:abstractNumId="313">
    <w:nsid w:val="1565AC99"/>
    <w:multiLevelType w:val="hybridMultilevel"/>
    <w:lvl w:ilvl="0">
      <w:lvlJc w:val="left"/>
      <w:lvlText w:val="(%1)"/>
      <w:numFmt w:val="upperLetter"/>
      <w:start w:val="1"/>
    </w:lvl>
  </w:abstractNum>
  <w:abstractNum w:abstractNumId="314">
    <w:nsid w:val="19FB2650"/>
    <w:multiLevelType w:val="hybridMultilevel"/>
    <w:lvl w:ilvl="0">
      <w:lvlJc w:val="left"/>
      <w:lvlText w:val="(%1)"/>
      <w:numFmt w:val="lowerLetter"/>
      <w:start w:val="1"/>
    </w:lvl>
  </w:abstractNum>
  <w:abstractNum w:abstractNumId="315">
    <w:nsid w:val="5024DE5B"/>
    <w:multiLevelType w:val="hybridMultilevel"/>
    <w:lvl w:ilvl="0">
      <w:lvlJc w:val="left"/>
      <w:lvlText w:val="(%1)"/>
      <w:numFmt w:val="lowerLetter"/>
      <w:start w:val="1"/>
    </w:lvl>
  </w:abstractNum>
  <w:abstractNum w:abstractNumId="316">
    <w:nsid w:val="168EFE17"/>
    <w:multiLevelType w:val="hybridMultilevel"/>
    <w:lvl w:ilvl="0">
      <w:lvlJc w:val="left"/>
      <w:lvlText w:val="(%1)"/>
      <w:numFmt w:val="lowerLetter"/>
      <w:start w:val="6"/>
    </w:lvl>
  </w:abstractNum>
  <w:abstractNum w:abstractNumId="317">
    <w:nsid w:val="1036B29F"/>
    <w:multiLevelType w:val="hybridMultilevel"/>
    <w:lvl w:ilvl="0">
      <w:lvlJc w:val="left"/>
      <w:lvlText w:val="%1"/>
      <w:numFmt w:val="upperLetter"/>
      <w:start w:val="1"/>
    </w:lvl>
    <w:lvl w:ilvl="1">
      <w:lvlJc w:val="left"/>
      <w:lvlText w:val="(%2)"/>
      <w:numFmt w:val="lowerRoman"/>
      <w:start w:val="1"/>
    </w:lvl>
  </w:abstractNum>
  <w:abstractNum w:abstractNumId="318">
    <w:nsid w:val="1D206B8E"/>
    <w:multiLevelType w:val="hybridMultilevel"/>
    <w:lvl w:ilvl="0">
      <w:lvlJc w:val="left"/>
      <w:lvlText w:val="(%1)"/>
      <w:numFmt w:val="upperLetter"/>
      <w:start w:val="2"/>
    </w:lvl>
    <w:lvl w:ilvl="1">
      <w:lvlJc w:val="left"/>
      <w:lvlText w:val="(%2)"/>
      <w:numFmt w:val="lowerRoman"/>
      <w:start w:val="2"/>
    </w:lvl>
  </w:abstractNum>
  <w:abstractNum w:abstractNumId="319">
    <w:nsid w:val="7934D3D4"/>
    <w:multiLevelType w:val="hybridMultilevel"/>
    <w:lvl w:ilvl="0">
      <w:lvlJc w:val="left"/>
      <w:lvlText w:val="%1"/>
      <w:numFmt w:val="lowerLetter"/>
      <w:start w:val="1"/>
    </w:lvl>
    <w:lvl w:ilvl="1">
      <w:lvlJc w:val="left"/>
      <w:lvlText w:val="(%2)"/>
      <w:numFmt w:val="lowerLetter"/>
      <w:start w:val="1"/>
    </w:lvl>
  </w:abstractNum>
  <w:abstractNum w:abstractNumId="320">
    <w:nsid w:val="1C65E98"/>
    <w:multiLevelType w:val="hybridMultilevel"/>
    <w:lvl w:ilvl="0">
      <w:lvlJc w:val="left"/>
      <w:lvlText w:val="(%1)"/>
      <w:numFmt w:val="lowerLetter"/>
      <w:start w:val="9"/>
    </w:lvl>
    <w:lvl w:ilvl="1">
      <w:lvlJc w:val="left"/>
      <w:lvlText w:val="(%2)"/>
      <w:numFmt w:val="lowerLetter"/>
      <w:start w:val="2"/>
    </w:lvl>
  </w:abstractNum>
  <w:abstractNum w:abstractNumId="321">
    <w:nsid w:val="1495E50A"/>
    <w:multiLevelType w:val="hybridMultilevel"/>
    <w:lvl w:ilvl="0">
      <w:lvlJc w:val="left"/>
      <w:lvlText w:val="(%1)"/>
      <w:numFmt w:val="lowerRoman"/>
      <w:start w:val="1"/>
    </w:lvl>
  </w:abstractNum>
  <w:abstractNum w:abstractNumId="322">
    <w:nsid w:val="F5BCF61"/>
    <w:multiLevelType w:val="hybridMultilevel"/>
    <w:lvl w:ilvl="0">
      <w:lvlJc w:val="left"/>
      <w:lvlText w:val="(%1)"/>
      <w:numFmt w:val="lowerLetter"/>
      <w:start w:val="5"/>
    </w:lvl>
  </w:abstractNum>
  <w:abstractNum w:abstractNumId="323">
    <w:nsid w:val="3B1DD403"/>
    <w:multiLevelType w:val="hybridMultilevel"/>
    <w:lvl w:ilvl="0">
      <w:lvlJc w:val="left"/>
      <w:lvlText w:val="(%1)"/>
      <w:numFmt w:val="lowerRoman"/>
      <w:start w:val="1"/>
    </w:lvl>
  </w:abstractNum>
  <w:abstractNum w:abstractNumId="324">
    <w:nsid w:val="530386D1"/>
    <w:multiLevelType w:val="hybridMultilevel"/>
    <w:lvl w:ilvl="0">
      <w:lvlJc w:val="left"/>
      <w:lvlText w:val="(%1)"/>
      <w:numFmt w:val="lowerLetter"/>
      <w:start w:val="6"/>
    </w:lvl>
  </w:abstractNum>
  <w:abstractNum w:abstractNumId="325">
    <w:nsid w:val="7525F2BC"/>
    <w:multiLevelType w:val="hybridMultilevel"/>
    <w:lvl w:ilvl="0">
      <w:lvlJc w:val="left"/>
      <w:lvlText w:val="(%1)"/>
      <w:numFmt w:val="lowerRoman"/>
      <w:start w:val="1"/>
    </w:lvl>
  </w:abstractNum>
  <w:abstractNum w:abstractNumId="326">
    <w:nsid w:val="CE8E1A7"/>
    <w:multiLevelType w:val="hybridMultilevel"/>
    <w:lvl w:ilvl="0">
      <w:lvlJc w:val="left"/>
      <w:lvlText w:val="(%1)"/>
      <w:numFmt w:val="decimal"/>
      <w:start w:val="1"/>
    </w:lvl>
    <w:lvl w:ilvl="1">
      <w:lvlJc w:val="left"/>
      <w:lvlText w:val="(%2)"/>
      <w:numFmt w:val="lowerLetter"/>
      <w:start w:val="7"/>
    </w:lvl>
  </w:abstractNum>
  <w:abstractNum w:abstractNumId="327">
    <w:nsid w:val="4E9EFB0D"/>
    <w:multiLevelType w:val="hybridMultilevel"/>
    <w:lvl w:ilvl="0">
      <w:lvlJc w:val="left"/>
      <w:lvlText w:val="(%1)"/>
      <w:numFmt w:val="lowerLetter"/>
      <w:start w:val="1"/>
    </w:lvl>
  </w:abstractNum>
  <w:abstractNum w:abstractNumId="328">
    <w:nsid w:val="90802BE"/>
    <w:multiLevelType w:val="hybridMultilevel"/>
    <w:lvl w:ilvl="0">
      <w:lvlJc w:val="left"/>
      <w:lvlText w:val="(%1)"/>
      <w:numFmt w:val="lowerLetter"/>
      <w:start w:val="1"/>
    </w:lvl>
  </w:abstractNum>
  <w:abstractNum w:abstractNumId="329">
    <w:nsid w:val="3266459B"/>
    <w:multiLevelType w:val="hybridMultilevel"/>
    <w:lvl w:ilvl="0">
      <w:lvlJc w:val="left"/>
      <w:lvlText w:val="(%1)"/>
      <w:numFmt w:val="lowerLetter"/>
      <w:start w:val="2"/>
    </w:lvl>
  </w:abstractNum>
  <w:abstractNum w:abstractNumId="330">
    <w:nsid w:val="3F8B0CBF"/>
    <w:multiLevelType w:val="hybridMultilevel"/>
    <w:lvl w:ilvl="0">
      <w:lvlJc w:val="left"/>
      <w:lvlText w:val="(%1)"/>
      <w:numFmt w:val="lowerLetter"/>
      <w:start w:val="1"/>
    </w:lvl>
  </w:abstractNum>
  <w:abstractNum w:abstractNumId="331">
    <w:nsid w:val="37E203AB"/>
    <w:multiLevelType w:val="hybridMultilevel"/>
    <w:lvl w:ilvl="0">
      <w:lvlJc w:val="left"/>
      <w:lvlText w:val="(%1)"/>
      <w:numFmt w:val="lowerLetter"/>
      <w:start w:val="1"/>
    </w:lvl>
  </w:abstractNum>
  <w:abstractNum w:abstractNumId="332">
    <w:nsid w:val="2586D60E"/>
    <w:multiLevelType w:val="hybridMultilevel"/>
    <w:lvl w:ilvl="0">
      <w:lvlJc w:val="left"/>
      <w:lvlText w:val="(%1)"/>
      <w:numFmt w:val="lowerLetter"/>
      <w:start w:val="1"/>
    </w:lvl>
  </w:abstractNum>
  <w:abstractNum w:abstractNumId="333">
    <w:nsid w:val="1F3DA4D5"/>
    <w:multiLevelType w:val="hybridMultilevel"/>
    <w:lvl w:ilvl="0">
      <w:lvlJc w:val="left"/>
      <w:lvlText w:val="(%1)"/>
      <w:numFmt w:val="lowerLetter"/>
      <w:start w:val="1"/>
    </w:lvl>
  </w:abstractNum>
  <w:abstractNum w:abstractNumId="334">
    <w:nsid w:val="74C93698"/>
    <w:multiLevelType w:val="hybridMultilevel"/>
    <w:lvl w:ilvl="0">
      <w:lvlJc w:val="left"/>
      <w:lvlText w:val="(%1)"/>
      <w:numFmt w:val="lowerLetter"/>
      <w:start w:val="1"/>
    </w:lvl>
  </w:abstractNum>
  <w:abstractNum w:abstractNumId="335">
    <w:nsid w:val="48781401"/>
    <w:multiLevelType w:val="hybridMultilevel"/>
    <w:lvl w:ilvl="0">
      <w:lvlJc w:val="left"/>
      <w:lvlText w:val="(%1)"/>
      <w:numFmt w:val="lowerLetter"/>
      <w:start w:val="1"/>
    </w:lvl>
  </w:abstractNum>
  <w:abstractNum w:abstractNumId="336">
    <w:nsid w:val="186928D6"/>
    <w:multiLevelType w:val="hybridMultilevel"/>
    <w:lvl w:ilvl="0">
      <w:lvlJc w:val="left"/>
      <w:lvlText w:val="*"/>
      <w:numFmt w:val="bullet"/>
      <w:start w:val="1"/>
    </w:lvl>
  </w:abstractNum>
  <w:abstractNum w:abstractNumId="337">
    <w:nsid w:val="47195E5"/>
    <w:multiLevelType w:val="hybridMultilevel"/>
    <w:lvl w:ilvl="0">
      <w:lvlJc w:val="left"/>
      <w:lvlText w:val="**"/>
      <w:numFmt w:val="bullet"/>
      <w:start w:val="1"/>
    </w:lvl>
  </w:abstractNum>
  <w:abstractNum w:abstractNumId="338">
    <w:nsid w:val="3746A5F2"/>
    <w:multiLevelType w:val="hybridMultilevel"/>
    <w:lvl w:ilvl="0">
      <w:lvlJc w:val="left"/>
      <w:lvlText w:val="(%1)"/>
      <w:numFmt w:val="decimal"/>
      <w:start w:val="1"/>
    </w:lvl>
    <w:lvl w:ilvl="1">
      <w:lvlJc w:val="left"/>
      <w:lvlText w:val="(%2)"/>
      <w:numFmt w:val="lowerRoman"/>
      <w:start w:val="1"/>
    </w:lvl>
  </w:abstractNum>
  <w:abstractNum w:abstractNumId="339">
    <w:nsid w:val="682DFED6"/>
    <w:multiLevelType w:val="hybridMultilevel"/>
    <w:lvl w:ilvl="0">
      <w:lvlJc w:val="left"/>
      <w:lvlText w:val="(%1)"/>
      <w:numFmt w:val="lowerRoman"/>
      <w:start w:val="3"/>
    </w:lvl>
  </w:abstractNum>
  <w:abstractNum w:abstractNumId="340">
    <w:nsid w:val="606ED7F6"/>
    <w:multiLevelType w:val="hybridMultilevel"/>
    <w:lvl w:ilvl="0">
      <w:lvlJc w:val="left"/>
      <w:lvlText w:val="(%1)"/>
      <w:numFmt w:val="decimal"/>
      <w:start w:val="1"/>
    </w:lvl>
  </w:abstractNum>
  <w:abstractNum w:abstractNumId="341">
    <w:nsid w:val="2D9DF57D"/>
    <w:multiLevelType w:val="hybridMultilevel"/>
    <w:lvl w:ilvl="0">
      <w:lvlJc w:val="left"/>
      <w:lvlText w:val="*"/>
      <w:numFmt w:val="bullet"/>
      <w:start w:val="1"/>
    </w:lvl>
  </w:abstractNum>
  <w:abstractNum w:abstractNumId="342">
    <w:nsid w:val="7FBD7A3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2019-12-10T02:08:59Z</dcterms:created>
  <dcterms:modified xsi:type="dcterms:W3CDTF">2019-12-10T02:08:59Z</dcterms:modified>
</cp:coreProperties>
</file>