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37842d425.htm"/>
      <w:bookmarkStart w:id="1" w:name="ksd837842d425"/>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36"/>
        </w:rPr>
      </w:pPr>
      <w:r>
        <w:rPr>
          <w:rFonts w:ascii="ARIAL" w:hAnsi="ARIAL"/>
          <w:b/>
          <w:sz w:val="36"/>
        </w:rPr>
        <w:t xml:space="preserve">FORM 8-K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24"/>
        </w:rPr>
      </w:pPr>
      <w:r>
        <w:rPr>
          <w:rFonts w:ascii="ARIAL" w:hAnsi="ARIAL"/>
          <w:b/>
          <w:sz w:val="24"/>
        </w:rPr>
        <w:t xml:space="preserve">CURRENT REPORT </w:t>
      </w:r>
    </w:p>
    <w:p>
      <w:pPr>
        <w:pStyle w:val="TextBody"/>
        <w:bidi w:val="0"/>
        <w:spacing w:before="0" w:after="0"/>
        <w:jc w:val="center"/>
        <w:rPr>
          <w:rFonts w:ascii="ARIAL" w:hAnsi="ARIAL"/>
          <w:b/>
          <w:sz w:val="24"/>
        </w:rPr>
      </w:pPr>
      <w:r>
        <w:rPr>
          <w:rFonts w:ascii="ARIAL" w:hAnsi="ARIAL"/>
          <w:b/>
          <w:sz w:val="24"/>
        </w:rPr>
        <w:t xml:space="preserve">Pursuant to Section 13 or 15(d) </w:t>
      </w:r>
    </w:p>
    <w:p>
      <w:pPr>
        <w:pStyle w:val="TextBody"/>
        <w:bidi w:val="0"/>
        <w:spacing w:before="0" w:after="0"/>
        <w:jc w:val="center"/>
        <w:rPr>
          <w:rFonts w:ascii="ARIAL" w:hAnsi="ARIAL"/>
          <w:b/>
          <w:sz w:val="24"/>
        </w:rPr>
      </w:pPr>
      <w:r>
        <w:rPr>
          <w:rFonts w:ascii="ARIAL" w:hAnsi="ARIAL"/>
          <w:b/>
          <w:sz w:val="24"/>
        </w:rPr>
        <w:t xml:space="preserve">of the Securities Exchange Act of 1934 </w:t>
      </w:r>
    </w:p>
    <w:p>
      <w:pPr>
        <w:pStyle w:val="TextBody"/>
        <w:bidi w:val="0"/>
        <w:spacing w:before="240" w:after="0"/>
        <w:jc w:val="center"/>
        <w:rPr>
          <w:rFonts w:ascii="ARIAL" w:hAnsi="ARIAL"/>
          <w:b/>
          <w:sz w:val="24"/>
        </w:rPr>
      </w:pPr>
      <w:r>
        <w:rPr>
          <w:rFonts w:ascii="ARIAL" w:hAnsi="ARIAL"/>
          <w:b/>
          <w:sz w:val="24"/>
        </w:rPr>
        <w:t xml:space="preserve">Date of Report (Date of earliest event reported): October 18, 2024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48"/>
        </w:rPr>
      </w:pPr>
      <w:r>
        <w:rPr>
          <w:rFonts w:ascii="ARIAL" w:hAnsi="ARIAL"/>
          <w:b/>
          <w:sz w:val="48"/>
        </w:rPr>
        <w:t xml:space="preserve">SCHLUMBERGER N.V. (SCHLUMBERGER LIMITED) </w:t>
      </w:r>
    </w:p>
    <w:p>
      <w:pPr>
        <w:pStyle w:val="TextBody"/>
        <w:bidi w:val="0"/>
        <w:spacing w:before="0" w:after="0"/>
        <w:jc w:val="center"/>
        <w:rPr>
          <w:rFonts w:ascii="ARIAL" w:hAnsi="ARIAL"/>
          <w:b/>
          <w:sz w:val="20"/>
        </w:rPr>
      </w:pPr>
      <w:r>
        <w:rPr>
          <w:rFonts w:ascii="ARIAL" w:hAnsi="ARIAL"/>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Curaçao</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1-4601</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52-0684746</w:t>
            </w:r>
          </w:p>
        </w:tc>
      </w:tr>
      <w:tr>
        <w:trPr/>
        <w:tc>
          <w:tcPr>
            <w:tcW w:w="3470" w:type="dxa"/>
            <w:tcBorders/>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240" w:after="0"/>
        <w:jc w:val="center"/>
        <w:rPr>
          <w:rFonts w:ascii="ARIAL" w:hAnsi="ARIAL"/>
          <w:b/>
          <w:sz w:val="20"/>
        </w:rPr>
      </w:pPr>
      <w:r>
        <w:rPr>
          <w:rFonts w:ascii="ARIAL" w:hAnsi="ARIAL"/>
          <w:b/>
          <w:sz w:val="20"/>
        </w:rPr>
        <w:t xml:space="preserve">42 rue Saint-Dominique, Paris, France 75007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center"/>
              <w:rPr>
                <w:rFonts w:ascii="ARIAL" w:hAnsi="ARIAL"/>
                <w:b/>
                <w:sz w:val="20"/>
              </w:rPr>
            </w:pPr>
            <w:r>
              <w:rPr>
                <w:rFonts w:ascii="ARIAL" w:hAnsi="ARIAL"/>
                <w:b/>
                <w:sz w:val="20"/>
              </w:rPr>
              <w:t>5599 San Felipe, Houston, Texas, U.S.A. 77056</w:t>
            </w:r>
          </w:p>
          <w:p>
            <w:pPr>
              <w:pStyle w:val="TableContents"/>
              <w:bidi w:val="0"/>
              <w:spacing w:before="0" w:after="20"/>
              <w:jc w:val="center"/>
              <w:rPr>
                <w:rFonts w:ascii="ARIAL" w:hAnsi="ARIAL"/>
                <w:b/>
                <w:color w:val="FFFFFF"/>
                <w:sz w:val="2"/>
              </w:rPr>
            </w:pPr>
            <w:r>
              <w:rPr>
                <w:rFonts w:ascii="ARIAL" w:hAnsi="ARIAL"/>
                <w:b/>
                <w:color w:val="FFFFFF"/>
                <w:sz w:val="2"/>
              </w:rPr>
              <w:t>(address)</w:t>
            </w:r>
          </w:p>
        </w:tc>
      </w:tr>
    </w:tbl>
    <w:p>
      <w:pPr>
        <w:pStyle w:val="TextBody"/>
        <w:bidi w:val="0"/>
        <w:spacing w:before="0" w:after="0"/>
        <w:jc w:val="center"/>
        <w:rPr>
          <w:rFonts w:ascii="ARIAL" w:hAnsi="ARIAL"/>
          <w:b/>
          <w:sz w:val="20"/>
        </w:rPr>
      </w:pPr>
      <w:r>
        <w:rPr>
          <w:rFonts w:ascii="ARIAL" w:hAnsi="ARIAL"/>
          <w:b/>
          <w:sz w:val="20"/>
        </w:rPr>
        <w:t xml:space="preserve">62 Buckingham Gate, London, United Kingdom SW1E 6AJ </w:t>
      </w:r>
    </w:p>
    <w:p>
      <w:pPr>
        <w:pStyle w:val="TextBody"/>
        <w:bidi w:val="0"/>
        <w:spacing w:before="0" w:after="0"/>
        <w:jc w:val="center"/>
        <w:rPr>
          <w:rFonts w:ascii="ARIAL" w:hAnsi="ARIAL"/>
          <w:b/>
          <w:sz w:val="20"/>
        </w:rPr>
      </w:pPr>
      <w:r>
        <w:rPr>
          <w:rFonts w:ascii="ARIAL" w:hAnsi="ARIAL"/>
          <w:b/>
          <w:sz w:val="20"/>
        </w:rPr>
        <w:t xml:space="preserve">Parkstraat 83, The Hague, The Netherlands 2514 JG </w:t>
      </w:r>
    </w:p>
    <w:p>
      <w:pPr>
        <w:pStyle w:val="TextBody"/>
        <w:bidi w:val="0"/>
        <w:spacing w:before="0" w:after="0"/>
        <w:jc w:val="center"/>
        <w:rPr>
          <w:rFonts w:ascii="ARIAL" w:hAnsi="ARIAL"/>
          <w:b/>
          <w:sz w:val="16"/>
        </w:rPr>
      </w:pPr>
      <w:r>
        <w:rPr>
          <w:rFonts w:ascii="ARIAL" w:hAnsi="ARIAL"/>
          <w:b/>
          <w:sz w:val="16"/>
        </w:rPr>
        <w:t xml:space="preserve">(Addresses of principal executive offices and zip or postal codes) </w:t>
      </w:r>
    </w:p>
    <w:p>
      <w:pPr>
        <w:pStyle w:val="TextBody"/>
        <w:bidi w:val="0"/>
        <w:spacing w:before="240" w:after="0"/>
        <w:jc w:val="center"/>
        <w:rPr>
          <w:rFonts w:ascii="ARIAL" w:hAnsi="ARIAL"/>
          <w:b/>
          <w:sz w:val="20"/>
        </w:rPr>
      </w:pPr>
      <w:r>
        <w:rPr>
          <w:rFonts w:ascii="ARIAL" w:hAnsi="ARIAL"/>
          <w:b/>
          <w:sz w:val="20"/>
        </w:rPr>
        <w:t xml:space="preserve">Registrants telephone number in the United States, including area code: (713) 513-2000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see</w:t>
      </w:r>
      <w:r>
        <w:rPr>
          <w:rFonts w:ascii="ARIAL" w:hAnsi="ARIAL"/>
          <w:sz w:val="20"/>
        </w:rPr>
        <w:t xml:space="preserv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Pre-commencement communications pursuant to Rule 13e-4(c) under the Exchange Act (17 CFR 240.13e-4(c)) </w:t>
            </w:r>
          </w:p>
        </w:tc>
      </w:tr>
    </w:tbl>
    <w:p>
      <w:pPr>
        <w:pStyle w:val="TextBody"/>
        <w:bidi w:val="0"/>
        <w:spacing w:before="240" w:after="0"/>
        <w:jc w:val="left"/>
        <w:rPr>
          <w:rFonts w:ascii="ARIAL" w:hAnsi="ARIAL"/>
          <w:sz w:val="20"/>
        </w:rPr>
      </w:pPr>
      <w:r>
        <w:rPr>
          <w:rFonts w:ascii="ARIAL" w:hAnsi="ARIAL"/>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ARIAL" w:hAnsi="ARIAL"/>
                <w:b/>
                <w:sz w:val="16"/>
              </w:rPr>
            </w:pPr>
            <w:r>
              <w:rPr>
                <w:rFonts w:ascii="ARIAL" w:hAnsi="ARIAL"/>
                <w:b/>
                <w:sz w:val="16"/>
              </w:rPr>
              <w:t>Trading</w:t>
            </w:r>
          </w:p>
          <w:p>
            <w:pPr>
              <w:pStyle w:val="TableContents"/>
              <w:bidi w:val="0"/>
              <w:spacing w:before="0" w:after="20"/>
              <w:jc w:val="center"/>
              <w:rPr>
                <w:rFonts w:ascii="ARIAL" w:hAnsi="ARIAL"/>
                <w:b/>
                <w:sz w:val="16"/>
              </w:rPr>
            </w:pPr>
            <w:r>
              <w:rPr>
                <w:rFonts w:ascii="ARIAL" w:hAnsi="ARIAL"/>
                <w:b/>
                <w:sz w:val="16"/>
              </w:rP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3470" w:type="dxa"/>
            <w:tcBorders/>
          </w:tcPr>
          <w:p>
            <w:pPr>
              <w:pStyle w:val="TableContents"/>
              <w:bidi w:val="0"/>
              <w:spacing w:before="0" w:after="283"/>
              <w:jc w:val="center"/>
              <w:rPr/>
            </w:pPr>
            <w:r>
              <w:rPr/>
              <w:t>common stock, par value $0.01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SLB</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New York Stock Exchange</w:t>
            </w:r>
          </w:p>
        </w:tc>
      </w:tr>
    </w:tbl>
    <w:p>
      <w:pPr>
        <w:pStyle w:val="TextBody"/>
        <w:bidi w:val="0"/>
        <w:spacing w:before="240" w:after="0"/>
        <w:jc w:val="left"/>
        <w:rPr>
          <w:rFonts w:ascii="ARIAL" w:hAnsi="ARIAL"/>
          <w:sz w:val="20"/>
        </w:rPr>
      </w:pPr>
      <w:r>
        <w:rPr>
          <w:rFonts w:ascii="ARIAL" w:hAnsi="ARIAL"/>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left"/>
        <w:rPr>
          <w:rFonts w:ascii="ARIAL" w:hAnsi="ARIAL"/>
          <w:sz w:val="20"/>
        </w:rPr>
      </w:pPr>
      <w:r>
        <w:rPr>
          <w:rFonts w:ascii="ARIAL" w:hAnsi="ARIAL"/>
          <w:sz w:val="20"/>
        </w:rPr>
        <w:t xml:space="preserve">Emerging growth company ☐ </w:t>
      </w:r>
    </w:p>
    <w:p>
      <w:pPr>
        <w:pStyle w:val="TextBody"/>
        <w:bidi w:val="0"/>
        <w:spacing w:before="240" w:after="0"/>
        <w:jc w:val="left"/>
        <w:rPr>
          <w:rFonts w:ascii="ARIAL" w:hAnsi="ARIAL"/>
          <w:sz w:val="20"/>
        </w:rPr>
      </w:pPr>
      <w:r>
        <w:rPr>
          <w:rFonts w:ascii="ARIAL" w:hAnsi="ARIAL"/>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2.02</w:t>
            </w:r>
          </w:p>
        </w:tc>
        <w:tc>
          <w:tcPr>
            <w:tcW w:w="9084" w:type="dxa"/>
            <w:tcBorders/>
          </w:tcPr>
          <w:p>
            <w:pPr>
              <w:pStyle w:val="TableContents"/>
              <w:bidi w:val="0"/>
              <w:spacing w:before="0" w:after="0"/>
              <w:jc w:val="left"/>
              <w:rPr>
                <w:rFonts w:ascii="ARIAL" w:hAnsi="ARIAL"/>
                <w:b/>
                <w:sz w:val="20"/>
              </w:rPr>
            </w:pPr>
            <w:r>
              <w:rPr>
                <w:rFonts w:ascii="ARIAL" w:hAnsi="ARIAL"/>
                <w:b/>
                <w:sz w:val="20"/>
              </w:rPr>
              <w:t xml:space="preserve">Results of Operations and Financial Condition. </w:t>
            </w:r>
          </w:p>
        </w:tc>
      </w:tr>
    </w:tbl>
    <w:p>
      <w:pPr>
        <w:pStyle w:val="TextBody"/>
        <w:bidi w:val="0"/>
        <w:spacing w:before="120" w:after="0"/>
        <w:jc w:val="left"/>
        <w:rPr>
          <w:rFonts w:ascii="ARIAL" w:hAnsi="ARIAL"/>
          <w:sz w:val="20"/>
        </w:rPr>
      </w:pPr>
      <w:r>
        <w:rPr>
          <w:rFonts w:ascii="ARIAL" w:hAnsi="ARIAL"/>
          <w:sz w:val="20"/>
        </w:rPr>
        <w:t>The Third-Quarter 2024 Earnings Release furnished as Exhibit 99 hereto, which is incorporated by reference into this Item 2.02, was posted on the SLB internet website (</w:t>
      </w:r>
      <w:r>
        <w:rPr>
          <w:rFonts w:ascii="ARIAL" w:hAnsi="ARIAL"/>
          <w:sz w:val="20"/>
          <w:u w:val="single"/>
        </w:rPr>
        <w:t>https://investorcenter.slb.com/financials/quarterly-results</w:t>
      </w:r>
      <w:r>
        <w:rPr>
          <w:rFonts w:ascii="ARIAL" w:hAnsi="ARIAL"/>
          <w:sz w:val="20"/>
        </w:rPr>
        <w:t xml:space="preserve">) on October 18, 2024.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ARIAL" w:hAnsi="ARIAL"/>
                <w:b/>
                <w:sz w:val="20"/>
              </w:rPr>
            </w:pPr>
            <w:r>
              <w:rPr>
                <w:rFonts w:ascii="ARIAL" w:hAnsi="ARIAL"/>
                <w:b/>
                <w:sz w:val="20"/>
              </w:rPr>
              <w:t xml:space="preserve">Regulation FD Disclosure. </w:t>
            </w:r>
          </w:p>
        </w:tc>
      </w:tr>
    </w:tbl>
    <w:p>
      <w:pPr>
        <w:pStyle w:val="TextBody"/>
        <w:bidi w:val="0"/>
        <w:spacing w:before="120" w:after="0"/>
        <w:jc w:val="left"/>
        <w:rPr>
          <w:rFonts w:ascii="ARIAL" w:hAnsi="ARIAL"/>
          <w:sz w:val="20"/>
        </w:rPr>
      </w:pPr>
      <w:r>
        <w:rPr>
          <w:rFonts w:ascii="ARIAL" w:hAnsi="ARIAL"/>
          <w:sz w:val="20"/>
        </w:rPr>
        <w:t xml:space="preserve">On October 18, 2024,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 </w:t>
      </w:r>
    </w:p>
    <w:p>
      <w:pPr>
        <w:pStyle w:val="TextBody"/>
        <w:bidi w:val="0"/>
        <w:spacing w:before="240" w:after="0"/>
        <w:jc w:val="left"/>
        <w:rPr>
          <w:rFonts w:ascii="ARIAL" w:hAnsi="ARIAL"/>
          <w:sz w:val="20"/>
        </w:rPr>
      </w:pPr>
      <w:r>
        <w:rPr>
          <w:rFonts w:ascii="ARIAL" w:hAnsi="ARIAL"/>
          <w:sz w:val="20"/>
        </w:rPr>
        <w:t xml:space="preserve">Also, see Item 2.02, Results of Operations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9.01</w:t>
            </w:r>
          </w:p>
        </w:tc>
        <w:tc>
          <w:tcPr>
            <w:tcW w:w="9084" w:type="dxa"/>
            <w:tcBorders/>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240" w:after="0"/>
        <w:jc w:val="left"/>
        <w:rPr>
          <w:rFonts w:ascii="ARIAL" w:hAnsi="ARIAL"/>
          <w:sz w:val="20"/>
        </w:rPr>
      </w:pPr>
      <w:r>
        <w:rPr>
          <w:rFonts w:ascii="ARIAL" w:hAnsi="ARIAL"/>
          <w:sz w:val="20"/>
        </w:rPr>
        <w:t xml:space="preserve">The exhibit listed below is furnished pursuant to Item 9.01 of this Form 8-K.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9"/>
        <w:gridCol w:w="322"/>
        <w:gridCol w:w="9494"/>
      </w:tblGrid>
      <w:tr>
        <w:trPr/>
        <w:tc>
          <w:tcPr>
            <w:tcW w:w="389"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9494" w:type="dxa"/>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99</w:t>
            </w:r>
          </w:p>
        </w:tc>
        <w:tc>
          <w:tcPr>
            <w:tcW w:w="322" w:type="dxa"/>
            <w:tcBorders/>
            <w:vAlign w:val="bottom"/>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Third-Quarter 2024 Earnings Release.</w:t>
            </w:r>
          </w:p>
        </w:tc>
      </w:tr>
      <w:tr>
        <w:trPr>
          <w:trHeight w:val="120" w:hRule="atLeast"/>
        </w:trPr>
        <w:tc>
          <w:tcPr>
            <w:tcW w:w="389" w:type="dxa"/>
            <w:tcBorders/>
            <w:vAlign w:val="center"/>
          </w:tcPr>
          <w:p>
            <w:pPr>
              <w:pStyle w:val="TableContents"/>
              <w:bidi w:val="0"/>
              <w:spacing w:before="0" w:after="283"/>
              <w:jc w:val="left"/>
              <w:rPr>
                <w:sz w:val="4"/>
                <w:szCs w:val="4"/>
              </w:rPr>
            </w:pPr>
            <w:r>
              <w:rPr>
                <w:sz w:val="4"/>
                <w:szCs w:val="4"/>
              </w:rPr>
            </w:r>
          </w:p>
        </w:tc>
        <w:tc>
          <w:tcPr>
            <w:tcW w:w="9816"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104</w:t>
            </w:r>
          </w:p>
        </w:tc>
        <w:tc>
          <w:tcPr>
            <w:tcW w:w="322" w:type="dxa"/>
            <w:tcBorders/>
            <w:vAlign w:val="bottom"/>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Cover Page Interactive Data File (embedded within the Inline XBRL document).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b/>
              </w:rPr>
            </w:pPr>
            <w:r>
              <w:rPr>
                <w:b/>
              </w:rPr>
              <w:t>SCHLUMBERGER LIMITED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Howard Guild</w:t>
            </w:r>
          </w:p>
        </w:tc>
      </w:tr>
      <w:tr>
        <w:trPr/>
        <w:tc>
          <w:tcPr>
            <w:tcW w:w="4082" w:type="dxa"/>
            <w:tcBorders/>
            <w:vAlign w:val="bottom"/>
          </w:tcPr>
          <w:p>
            <w:pPr>
              <w:pStyle w:val="TableContents"/>
              <w:bidi w:val="0"/>
              <w:spacing w:before="0" w:after="283"/>
              <w:jc w:val="left"/>
              <w:rPr/>
            </w:pPr>
            <w:r>
              <w:rPr/>
              <w:t>Howard Guild</w:t>
            </w:r>
          </w:p>
        </w:tc>
      </w:tr>
      <w:tr>
        <w:trPr/>
        <w:tc>
          <w:tcPr>
            <w:tcW w:w="4082" w:type="dxa"/>
            <w:tcBorders/>
            <w:vAlign w:val="bottom"/>
          </w:tcPr>
          <w:p>
            <w:pPr>
              <w:pStyle w:val="TableContents"/>
              <w:bidi w:val="0"/>
              <w:spacing w:before="0" w:after="283"/>
              <w:jc w:val="left"/>
              <w:rPr/>
            </w:pPr>
            <w:r>
              <w:rPr/>
              <w:t>Chief Accounting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Date: October 18, 2024</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Exhibit 99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0"/>
        <w:gridCol w:w="121"/>
        <w:gridCol w:w="5024"/>
      </w:tblGrid>
      <w:tr>
        <w:trPr/>
        <w:tc>
          <w:tcPr>
            <w:tcW w:w="50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24" w:type="dxa"/>
            <w:tcBorders/>
            <w:vAlign w:val="center"/>
          </w:tcPr>
          <w:p>
            <w:pPr>
              <w:pStyle w:val="TableContents"/>
              <w:bidi w:val="0"/>
              <w:spacing w:before="0" w:after="283"/>
              <w:jc w:val="left"/>
              <w:rPr>
                <w:sz w:val="4"/>
                <w:szCs w:val="4"/>
              </w:rPr>
            </w:pPr>
            <w:r>
              <w:rPr>
                <w:sz w:val="4"/>
                <w:szCs w:val="4"/>
              </w:rPr>
            </w:r>
          </w:p>
        </w:tc>
      </w:tr>
      <w:tr>
        <w:trPr/>
        <w:tc>
          <w:tcPr>
            <w:tcW w:w="5060" w:type="dxa"/>
            <w:tcBorders/>
          </w:tcPr>
          <w:p>
            <w:pPr>
              <w:pStyle w:val="TableContents"/>
              <w:bidi w:val="0"/>
              <w:spacing w:before="0" w:after="283"/>
              <w:jc w:val="left"/>
              <w:rPr>
                <w:b/>
              </w:rPr>
            </w:pPr>
            <w:r>
              <w:rPr>
                <w:b/>
              </w:rPr>
              <w:t>News Release</w:t>
            </w:r>
          </w:p>
        </w:tc>
        <w:tc>
          <w:tcPr>
            <w:tcW w:w="121" w:type="dxa"/>
            <w:tcBorders/>
            <w:vAlign w:val="bottom"/>
          </w:tcPr>
          <w:p>
            <w:pPr>
              <w:pStyle w:val="TableContents"/>
              <w:bidi w:val="0"/>
              <w:spacing w:before="0" w:after="283"/>
              <w:jc w:val="left"/>
              <w:rPr/>
            </w:pPr>
            <w:r>
              <w:rPr/>
              <w:t>  </w:t>
            </w:r>
          </w:p>
        </w:tc>
        <w:tc>
          <w:tcPr>
            <w:tcW w:w="5024" w:type="dxa"/>
            <w:tcBorders/>
          </w:tcPr>
          <w:p>
            <w:pPr>
              <w:pStyle w:val="TableContents"/>
              <w:bidi w:val="0"/>
              <w:spacing w:before="0" w:after="283"/>
              <w:jc w:val="right"/>
              <w:rPr/>
            </w:pPr>
            <w:r>
              <w:rPr/>
              <w:drawing>
                <wp:inline distT="0" distB="0" distL="0" distR="0">
                  <wp:extent cx="12192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90575"/>
                          </a:xfrm>
                          <a:prstGeom prst="rect">
                            <a:avLst/>
                          </a:prstGeom>
                        </pic:spPr>
                      </pic:pic>
                    </a:graphicData>
                  </a:graphic>
                </wp:inline>
              </w:drawing>
            </w:r>
            <w:r>
              <w:rPr/>
              <w:t xml:space="preserve"> </w:t>
            </w:r>
          </w:p>
        </w:tc>
      </w:tr>
    </w:tbl>
    <w:p>
      <w:pPr>
        <w:pStyle w:val="TextBody"/>
        <w:bidi w:val="0"/>
        <w:spacing w:before="240" w:after="0"/>
        <w:jc w:val="left"/>
        <w:rPr>
          <w:rFonts w:ascii="ARIAL" w:hAnsi="ARIAL"/>
          <w:b/>
          <w:sz w:val="20"/>
        </w:rPr>
      </w:pPr>
      <w:r>
        <w:rPr>
          <w:rFonts w:ascii="ARIAL" w:hAnsi="ARIAL"/>
          <w:b/>
          <w:sz w:val="20"/>
        </w:rPr>
        <w:t xml:space="preserve">SLB Announces Third-Quarter 2024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Revenue of $9.16 billion was steady sequentially and increased 10%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GAAP EPS of $0.83 increased 8% sequentially and 6%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EPS, excluding charges and credits, of $0.89 increased 5% sequentially and 14%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Net income attributable to SLB of $1.19 billion increased 7% sequentially and 6%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Adjusted EBITDA of $2.34 billion increased 2% sequentially and 13%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Cash flow from operations was $2.45 billion and free cash flow was $1.81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Board approved quarterly cash dividend of $0.275 per share </w:t>
            </w:r>
          </w:p>
        </w:tc>
      </w:tr>
    </w:tbl>
    <w:p>
      <w:pPr>
        <w:pStyle w:val="TextBody"/>
        <w:bidi w:val="0"/>
        <w:spacing w:before="240" w:after="0"/>
        <w:jc w:val="left"/>
        <w:rPr>
          <w:rFonts w:ascii="ARIAL" w:hAnsi="ARIAL"/>
          <w:sz w:val="20"/>
        </w:rPr>
      </w:pPr>
      <w:r>
        <w:rPr>
          <w:rFonts w:ascii="ARIAL" w:hAnsi="ARIAL"/>
          <w:b/>
          <w:sz w:val="20"/>
        </w:rPr>
        <w:t>NEW YORK, October</w:t>
      </w:r>
      <w:r>
        <w:rPr>
          <w:rFonts w:ascii="ARIAL" w:hAnsi="ARIAL"/>
          <w:sz w:val="20"/>
        </w:rPr>
        <w:t> </w:t>
      </w:r>
      <w:r>
        <w:rPr>
          <w:rFonts w:ascii="ARIAL" w:hAnsi="ARIAL"/>
          <w:b/>
          <w:sz w:val="20"/>
        </w:rPr>
        <w:t>18, 2024</w:t>
      </w:r>
      <w:r>
        <w:rPr>
          <w:rFonts w:ascii="ARIAL" w:hAnsi="ARIAL"/>
          <w:sz w:val="20"/>
        </w:rPr>
        <w:t xml:space="preserve">SLB (NYSE: SLB) today announced results for the third quarter of 2024. </w:t>
      </w:r>
    </w:p>
    <w:p>
      <w:pPr>
        <w:pStyle w:val="TextBody"/>
        <w:bidi w:val="0"/>
        <w:spacing w:before="360" w:after="0"/>
        <w:jc w:val="left"/>
        <w:rPr>
          <w:rFonts w:ascii="ARIAL" w:hAnsi="ARIAL"/>
          <w:b/>
          <w:sz w:val="20"/>
        </w:rPr>
      </w:pPr>
      <w:r>
        <w:rPr>
          <w:rFonts w:ascii="ARIAL" w:hAnsi="ARIAL"/>
          <w:b/>
          <w:sz w:val="20"/>
        </w:rPr>
        <w:t xml:space="preserve">Third-Quarter Results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69"/>
        <w:gridCol w:w="178"/>
        <w:gridCol w:w="178"/>
        <w:gridCol w:w="712"/>
        <w:gridCol w:w="320"/>
        <w:gridCol w:w="119"/>
        <w:gridCol w:w="154"/>
        <w:gridCol w:w="617"/>
        <w:gridCol w:w="275"/>
        <w:gridCol w:w="119"/>
        <w:gridCol w:w="172"/>
        <w:gridCol w:w="688"/>
        <w:gridCol w:w="275"/>
        <w:gridCol w:w="119"/>
        <w:gridCol w:w="1897"/>
        <w:gridCol w:w="162"/>
        <w:gridCol w:w="2251"/>
      </w:tblGrid>
      <w:tr>
        <w:trPr/>
        <w:tc>
          <w:tcPr>
            <w:tcW w:w="1969"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96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3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4310" w:type="dxa"/>
            <w:gridSpan w:val="3"/>
            <w:tcBorders>
              <w:bottom w:val="single" w:sz="8" w:space="0" w:color="000000"/>
            </w:tcBorders>
            <w:tcMar>
              <w:bottom w:w="28" w:type="dxa"/>
            </w:tcMar>
            <w:vAlign w:val="bottom"/>
          </w:tcPr>
          <w:p>
            <w:pPr>
              <w:pStyle w:val="TableContents"/>
              <w:bidi w:val="0"/>
              <w:jc w:val="right"/>
              <w:rPr/>
            </w:pPr>
            <w:r>
              <w:rPr/>
              <w:t xml:space="preserve">(Stated in millions, except per share amounts) </w:t>
            </w:r>
          </w:p>
          <w:p>
            <w:pPr>
              <w:pStyle w:val="TableContents"/>
              <w:bidi w:val="0"/>
              <w:spacing w:before="0" w:after="0"/>
              <w:jc w:val="center"/>
              <w:rPr>
                <w:rFonts w:ascii="ARIAL" w:hAnsi="ARIAL"/>
                <w:b/>
                <w:sz w:val="16"/>
              </w:rPr>
            </w:pPr>
            <w:r>
              <w:rPr>
                <w:rFonts w:ascii="ARIAL" w:hAnsi="ARIAL"/>
                <w:b/>
                <w:sz w:val="16"/>
              </w:rPr>
              <w:t>Change</w:t>
            </w:r>
          </w:p>
        </w:tc>
      </w:tr>
      <w:tr>
        <w:trPr/>
        <w:tc>
          <w:tcPr>
            <w:tcW w:w="196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pPr>
            <w:r>
              <w:rPr>
                <w:b/>
              </w:rPr>
              <w:t>Sept. 30,</w:t>
            </w:r>
            <w:r>
              <w:rPr/>
              <w:br/>
            </w:r>
            <w:r>
              <w:rPr>
                <w:b/>
              </w:rPr>
              <w:t>2024</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162" w:type="dxa"/>
            <w:tcBorders/>
            <w:vAlign w:val="bottom"/>
          </w:tcPr>
          <w:p>
            <w:pPr>
              <w:pStyle w:val="TableContents"/>
              <w:bidi w:val="0"/>
              <w:spacing w:before="0" w:after="283"/>
              <w:jc w:val="left"/>
              <w:rPr/>
            </w:pPr>
            <w:r>
              <w:rPr/>
              <w:t> </w:t>
            </w:r>
          </w:p>
        </w:tc>
        <w:tc>
          <w:tcPr>
            <w:tcW w:w="2251"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9,159</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9,139</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8,310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 </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10%</w:t>
            </w:r>
          </w:p>
        </w:tc>
      </w:tr>
      <w:tr>
        <w:trPr/>
        <w:tc>
          <w:tcPr>
            <w:tcW w:w="1969" w:type="dxa"/>
            <w:tcBorders/>
          </w:tcPr>
          <w:p>
            <w:pPr>
              <w:pStyle w:val="TableContents"/>
              <w:bidi w:val="0"/>
              <w:spacing w:before="0" w:after="0"/>
              <w:jc w:val="left"/>
              <w:rPr>
                <w:rFonts w:ascii="ARIAL" w:hAnsi="ARIAL"/>
                <w:sz w:val="20"/>
              </w:rPr>
            </w:pPr>
            <w:r>
              <w:rPr>
                <w:rFonts w:ascii="ARIAL" w:hAnsi="ARIAL"/>
                <w:sz w:val="20"/>
              </w:rPr>
              <w:t>Income before taxes - GAAP basis</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1,507</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1,421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1,395</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6%</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8%</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Income before taxes margin - GAAP basis</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16.5</w:t>
            </w:r>
          </w:p>
        </w:tc>
        <w:tc>
          <w:tcPr>
            <w:tcW w:w="320" w:type="dxa"/>
            <w:tcBorders/>
            <w:shd w:fill="CCEEFF" w:val="clear"/>
            <w:vAlign w:val="bottom"/>
          </w:tcPr>
          <w:p>
            <w:pPr>
              <w:pStyle w:val="TableContents"/>
              <w:bidi w:val="0"/>
              <w:spacing w:before="0" w:after="283"/>
              <w:jc w:val="left"/>
              <w:rPr>
                <w:b/>
              </w:rPr>
            </w:pPr>
            <w:r>
              <w:rPr>
                <w:b/>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15.5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16.8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91 bps</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-33 bps</w:t>
            </w:r>
          </w:p>
        </w:tc>
      </w:tr>
      <w:tr>
        <w:trPr/>
        <w:tc>
          <w:tcPr>
            <w:tcW w:w="1969" w:type="dxa"/>
            <w:tcBorders/>
          </w:tcPr>
          <w:p>
            <w:pPr>
              <w:pStyle w:val="TableContents"/>
              <w:bidi w:val="0"/>
              <w:spacing w:before="0" w:after="0"/>
              <w:jc w:val="left"/>
              <w:rPr>
                <w:rFonts w:ascii="ARIAL" w:hAnsi="ARIAL"/>
                <w:sz w:val="20"/>
              </w:rPr>
            </w:pPr>
            <w:r>
              <w:rPr>
                <w:rFonts w:ascii="ARIAL" w:hAnsi="ARIAL"/>
                <w:sz w:val="20"/>
              </w:rPr>
              <w:t>Net income attributable to SLB - GAAP basis</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1,186</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1,112</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7%</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6%</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Diluted EPS - GAAP basis</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0.83</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0.77</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0.78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8%</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6%</w:t>
            </w:r>
          </w:p>
        </w:tc>
      </w:tr>
      <w:tr>
        <w:trPr>
          <w:trHeight w:val="120" w:hRule="atLeast"/>
        </w:trPr>
        <w:tc>
          <w:tcPr>
            <w:tcW w:w="1969" w:type="dxa"/>
            <w:tcBorders/>
            <w:vAlign w:val="center"/>
          </w:tcPr>
          <w:p>
            <w:pPr>
              <w:pStyle w:val="TableContents"/>
              <w:bidi w:val="0"/>
              <w:spacing w:before="0" w:after="283"/>
              <w:jc w:val="left"/>
              <w:rPr>
                <w:sz w:val="4"/>
                <w:szCs w:val="4"/>
              </w:rPr>
            </w:pPr>
            <w:r>
              <w:rPr>
                <w:sz w:val="4"/>
                <w:szCs w:val="4"/>
              </w:rPr>
            </w:r>
          </w:p>
        </w:tc>
        <w:tc>
          <w:tcPr>
            <w:tcW w:w="1388"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c>
          <w:tcPr>
            <w:tcW w:w="2016" w:type="dxa"/>
            <w:gridSpan w:val="2"/>
            <w:tcBorders/>
            <w:vAlign w:val="center"/>
          </w:tcPr>
          <w:p>
            <w:pPr>
              <w:pStyle w:val="TableContents"/>
              <w:bidi w:val="0"/>
              <w:spacing w:before="0" w:after="283"/>
              <w:jc w:val="left"/>
              <w:rPr>
                <w:sz w:val="4"/>
                <w:szCs w:val="4"/>
              </w:rPr>
            </w:pPr>
            <w:r>
              <w:rPr>
                <w:sz w:val="4"/>
                <w:szCs w:val="4"/>
              </w:rPr>
            </w:r>
          </w:p>
        </w:tc>
        <w:tc>
          <w:tcPr>
            <w:tcW w:w="2413" w:type="dxa"/>
            <w:gridSpan w:val="2"/>
            <w:tcBorders/>
            <w:vAlign w:val="center"/>
          </w:tcPr>
          <w:p>
            <w:pPr>
              <w:pStyle w:val="TableContents"/>
              <w:bidi w:val="0"/>
              <w:spacing w:before="0" w:after="283"/>
              <w:jc w:val="left"/>
              <w:rPr>
                <w:sz w:val="4"/>
                <w:szCs w:val="4"/>
              </w:rPr>
            </w:pPr>
            <w:r>
              <w:rPr>
                <w:sz w:val="4"/>
                <w:szCs w:val="4"/>
              </w:rPr>
            </w:r>
          </w:p>
        </w:tc>
      </w:tr>
      <w:tr>
        <w:trPr/>
        <w:tc>
          <w:tcPr>
            <w:tcW w:w="1969" w:type="dxa"/>
            <w:tcBorders/>
          </w:tcPr>
          <w:p>
            <w:pPr>
              <w:pStyle w:val="TableContents"/>
              <w:bidi w:val="0"/>
              <w:spacing w:before="0" w:after="0"/>
              <w:jc w:val="left"/>
              <w:rPr>
                <w:rFonts w:ascii="ARIAL" w:hAnsi="ARIAL"/>
                <w:sz w:val="20"/>
              </w:rPr>
            </w:pPr>
            <w:r>
              <w:rPr>
                <w:rFonts w:ascii="ARIAL" w:hAnsi="ARIAL"/>
                <w:sz w:val="20"/>
              </w:rPr>
              <w:t>Adjusted EBITDA*</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2,343</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2,288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2,081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2%</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13%</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Adjusted EBITDA margin*</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25.6</w:t>
            </w:r>
          </w:p>
        </w:tc>
        <w:tc>
          <w:tcPr>
            <w:tcW w:w="320" w:type="dxa"/>
            <w:tcBorders/>
            <w:shd w:fill="CCEEFF" w:val="clear"/>
            <w:vAlign w:val="bottom"/>
          </w:tcPr>
          <w:p>
            <w:pPr>
              <w:pStyle w:val="TableContents"/>
              <w:bidi w:val="0"/>
              <w:spacing w:before="0" w:after="283"/>
              <w:jc w:val="left"/>
              <w:rPr>
                <w:b/>
              </w:rPr>
            </w:pPr>
            <w:r>
              <w:rPr>
                <w:b/>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55 bps</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54 bps</w:t>
            </w:r>
          </w:p>
        </w:tc>
      </w:tr>
      <w:tr>
        <w:trPr/>
        <w:tc>
          <w:tcPr>
            <w:tcW w:w="1969" w:type="dxa"/>
            <w:tcBorders/>
          </w:tcPr>
          <w:p>
            <w:pPr>
              <w:pStyle w:val="TableContents"/>
              <w:bidi w:val="0"/>
              <w:spacing w:before="0" w:after="0"/>
              <w:jc w:val="left"/>
              <w:rPr>
                <w:rFonts w:ascii="ARIAL" w:hAnsi="ARIAL"/>
                <w:sz w:val="20"/>
              </w:rPr>
            </w:pPr>
            <w:r>
              <w:rPr>
                <w:rFonts w:ascii="ARIAL" w:hAnsi="ARIAL"/>
                <w:sz w:val="20"/>
              </w:rPr>
              <w:t>Pretax segment operating income*</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1,902</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1,854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1,683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3%</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13%</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Pretax segment operating margin*</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20.8</w:t>
            </w:r>
          </w:p>
        </w:tc>
        <w:tc>
          <w:tcPr>
            <w:tcW w:w="320" w:type="dxa"/>
            <w:tcBorders/>
            <w:shd w:fill="CCEEFF" w:val="clear"/>
            <w:vAlign w:val="bottom"/>
          </w:tcPr>
          <w:p>
            <w:pPr>
              <w:pStyle w:val="TableContents"/>
              <w:bidi w:val="0"/>
              <w:spacing w:before="0" w:after="283"/>
              <w:jc w:val="left"/>
              <w:rPr>
                <w:b/>
              </w:rPr>
            </w:pPr>
            <w:r>
              <w:rPr>
                <w:b/>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48 bps</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51 bps</w:t>
            </w:r>
          </w:p>
        </w:tc>
      </w:tr>
      <w:tr>
        <w:trPr/>
        <w:tc>
          <w:tcPr>
            <w:tcW w:w="1969" w:type="dxa"/>
            <w:tcBorders/>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1,271</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1,224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4%</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13%</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Diluted EPS, excluding charges &amp; credits*</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0.89</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0.85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0.78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5%</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14%</w:t>
            </w:r>
          </w:p>
        </w:tc>
      </w:tr>
      <w:tr>
        <w:trPr>
          <w:trHeight w:val="120" w:hRule="atLeast"/>
        </w:trPr>
        <w:tc>
          <w:tcPr>
            <w:tcW w:w="1969" w:type="dxa"/>
            <w:tcBorders/>
            <w:vAlign w:val="center"/>
          </w:tcPr>
          <w:p>
            <w:pPr>
              <w:pStyle w:val="TableContents"/>
              <w:bidi w:val="0"/>
              <w:spacing w:before="0" w:after="283"/>
              <w:jc w:val="left"/>
              <w:rPr>
                <w:sz w:val="4"/>
                <w:szCs w:val="4"/>
              </w:rPr>
            </w:pPr>
            <w:r>
              <w:rPr>
                <w:sz w:val="4"/>
                <w:szCs w:val="4"/>
              </w:rPr>
            </w:r>
          </w:p>
        </w:tc>
        <w:tc>
          <w:tcPr>
            <w:tcW w:w="1388"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c>
          <w:tcPr>
            <w:tcW w:w="2016" w:type="dxa"/>
            <w:gridSpan w:val="2"/>
            <w:tcBorders/>
            <w:vAlign w:val="center"/>
          </w:tcPr>
          <w:p>
            <w:pPr>
              <w:pStyle w:val="TableContents"/>
              <w:bidi w:val="0"/>
              <w:spacing w:before="0" w:after="283"/>
              <w:jc w:val="left"/>
              <w:rPr>
                <w:sz w:val="4"/>
                <w:szCs w:val="4"/>
              </w:rPr>
            </w:pPr>
            <w:r>
              <w:rPr>
                <w:sz w:val="4"/>
                <w:szCs w:val="4"/>
              </w:rPr>
            </w:r>
          </w:p>
        </w:tc>
        <w:tc>
          <w:tcPr>
            <w:tcW w:w="2413" w:type="dxa"/>
            <w:gridSpan w:val="2"/>
            <w:tcBorders/>
            <w:vAlign w:val="center"/>
          </w:tcPr>
          <w:p>
            <w:pPr>
              <w:pStyle w:val="TableContents"/>
              <w:bidi w:val="0"/>
              <w:spacing w:before="0" w:after="283"/>
              <w:jc w:val="left"/>
              <w:rPr>
                <w:sz w:val="4"/>
                <w:szCs w:val="4"/>
              </w:rPr>
            </w:pPr>
            <w:r>
              <w:rPr>
                <w:sz w:val="4"/>
                <w:szCs w:val="4"/>
              </w:rPr>
            </w:r>
          </w:p>
        </w:tc>
      </w:tr>
      <w:tr>
        <w:trPr/>
        <w:tc>
          <w:tcPr>
            <w:tcW w:w="1969" w:type="dxa"/>
            <w:tcBorders/>
          </w:tcPr>
          <w:p>
            <w:pPr>
              <w:pStyle w:val="TableContents"/>
              <w:bidi w:val="0"/>
              <w:spacing w:before="0" w:after="0"/>
              <w:jc w:val="left"/>
              <w:rPr>
                <w:rFonts w:ascii="ARIAL" w:hAnsi="ARIAL"/>
                <w:b/>
                <w:sz w:val="20"/>
              </w:rPr>
            </w:pPr>
            <w:r>
              <w:rPr>
                <w:rFonts w:ascii="ARIAL" w:hAnsi="ARIAL"/>
                <w:b/>
                <w:sz w:val="20"/>
              </w:rPr>
              <w:t>Revenue by Geography</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left"/>
              <w:rPr>
                <w:sz w:val="4"/>
                <w:szCs w:val="4"/>
              </w:rPr>
            </w:pPr>
            <w:r>
              <w:rPr>
                <w:sz w:val="4"/>
                <w:szCs w:val="4"/>
              </w:rPr>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7,425</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7,452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6,614</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 </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12%</w:t>
            </w:r>
          </w:p>
        </w:tc>
      </w:tr>
      <w:tr>
        <w:trPr/>
        <w:tc>
          <w:tcPr>
            <w:tcW w:w="1969" w:type="dxa"/>
            <w:tcBorders/>
          </w:tcPr>
          <w:p>
            <w:pPr>
              <w:pStyle w:val="TableContents"/>
              <w:bidi w:val="0"/>
              <w:spacing w:before="0" w:after="0"/>
              <w:jc w:val="left"/>
              <w:rPr>
                <w:rFonts w:ascii="ARIAL" w:hAnsi="ARIAL"/>
                <w:sz w:val="20"/>
              </w:rPr>
            </w:pPr>
            <w:r>
              <w:rPr>
                <w:rFonts w:ascii="ARIAL" w:hAnsi="ARIAL"/>
                <w:sz w:val="20"/>
              </w:rPr>
              <w:t>North America</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1,687</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1,644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1,643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3%</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3%</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Other</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47</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n/m</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n/m</w:t>
            </w:r>
          </w:p>
        </w:tc>
      </w:tr>
      <w:tr>
        <w:trPr/>
        <w:tc>
          <w:tcPr>
            <w:tcW w:w="1969"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pBdr>
                <w:top w:val="single" w:sz="2" w:space="1" w:color="000000"/>
              </w:pBdr>
              <w:bidi w:val="0"/>
              <w:spacing w:before="0" w:after="0"/>
              <w:jc w:val="left"/>
              <w:rPr/>
            </w:pPr>
            <w:r>
              <w:rPr/>
              <w:t> </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pBdr>
                <w:top w:val="single" w:sz="2" w:space="1" w:color="000000"/>
              </w:pBdr>
              <w:bidi w:val="0"/>
              <w:spacing w:before="0" w:after="0"/>
              <w:jc w:val="left"/>
              <w:rPr/>
            </w:pPr>
            <w:r>
              <w:rPr/>
              <w:t> </w:t>
            </w:r>
          </w:p>
        </w:tc>
      </w:tr>
      <w:tr>
        <w:trPr/>
        <w:tc>
          <w:tcPr>
            <w:tcW w:w="1969"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9,159</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9,139</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8,310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 </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10%</w:t>
            </w:r>
          </w:p>
        </w:tc>
      </w:tr>
      <w:tr>
        <w:trPr/>
        <w:tc>
          <w:tcPr>
            <w:tcW w:w="1969"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pBdr>
                <w:top w:val="double" w:sz="6" w:space="1" w:color="000000"/>
              </w:pBdr>
              <w:bidi w:val="0"/>
              <w:spacing w:before="0" w:after="0"/>
              <w:jc w:val="left"/>
              <w:rPr/>
            </w:pPr>
            <w:r>
              <w:rPr/>
              <w:t> </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pBdr>
                <w:top w:val="double" w:sz="6" w:space="1" w:color="000000"/>
              </w:pBdr>
              <w:bidi w:val="0"/>
              <w:spacing w:before="0" w:after="0"/>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10"/>
        <w:gridCol w:w="198"/>
        <w:gridCol w:w="178"/>
        <w:gridCol w:w="712"/>
        <w:gridCol w:w="323"/>
        <w:gridCol w:w="143"/>
        <w:gridCol w:w="154"/>
        <w:gridCol w:w="624"/>
        <w:gridCol w:w="275"/>
        <w:gridCol w:w="143"/>
        <w:gridCol w:w="172"/>
        <w:gridCol w:w="690"/>
        <w:gridCol w:w="275"/>
        <w:gridCol w:w="143"/>
        <w:gridCol w:w="75"/>
        <w:gridCol w:w="1016"/>
        <w:gridCol w:w="60"/>
        <w:gridCol w:w="143"/>
        <w:gridCol w:w="91"/>
        <w:gridCol w:w="1209"/>
        <w:gridCol w:w="71"/>
      </w:tblGrid>
      <w:tr>
        <w:trPr/>
        <w:tc>
          <w:tcPr>
            <w:tcW w:w="351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5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426" w:type="dxa"/>
            <w:gridSpan w:val="18"/>
            <w:tcBorders/>
            <w:vAlign w:val="bottom"/>
          </w:tcPr>
          <w:p>
            <w:pPr>
              <w:pStyle w:val="TableContents"/>
              <w:bidi w:val="0"/>
              <w:spacing w:before="0" w:after="283"/>
              <w:jc w:val="right"/>
              <w:rPr/>
            </w:pPr>
            <w:r>
              <w:rPr/>
              <w:t>(Stated in millions)</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34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pPr>
            <w:r>
              <w:rPr>
                <w:b/>
              </w:rPr>
              <w:t>Sept. 30,</w:t>
            </w:r>
            <w:r>
              <w:rPr/>
              <w:br/>
            </w:r>
            <w:r>
              <w:rPr>
                <w:b/>
              </w:rPr>
              <w:t>2024</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b/>
                <w:sz w:val="20"/>
              </w:rPr>
            </w:pPr>
            <w:r>
              <w:rPr>
                <w:rFonts w:ascii="ARIAL" w:hAnsi="ARIAL"/>
                <w:b/>
                <w:sz w:val="20"/>
              </w:rPr>
              <w:t>Revenue by Division</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510" w:type="dxa"/>
            <w:tcBorders/>
          </w:tcPr>
          <w:p>
            <w:pPr>
              <w:pStyle w:val="TableContents"/>
              <w:bidi w:val="0"/>
              <w:spacing w:before="0" w:after="0"/>
              <w:jc w:val="left"/>
              <w:rPr>
                <w:rFonts w:ascii="ARIAL" w:hAnsi="ARIAL"/>
                <w:sz w:val="20"/>
              </w:rPr>
            </w:pPr>
            <w:r>
              <w:rPr>
                <w:rFonts w:ascii="ARIAL" w:hAnsi="ARIAL"/>
                <w:sz w:val="20"/>
              </w:rPr>
              <w:t>Digital &amp; Integration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1,088</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1,050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982</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11%</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1,823</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1,819</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1,680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9%</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Well Construction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3,312</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3,411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3,430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-3%</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3,103</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3,025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2,367</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31%</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Other</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(167</w:t>
            </w:r>
          </w:p>
        </w:tc>
        <w:tc>
          <w:tcPr>
            <w:tcW w:w="323" w:type="dxa"/>
            <w:tcBorders/>
            <w:vAlign w:val="bottom"/>
          </w:tcPr>
          <w:p>
            <w:pPr>
              <w:pStyle w:val="TableContents"/>
              <w:bidi w:val="0"/>
              <w:spacing w:before="0" w:after="283"/>
              <w:jc w:val="left"/>
              <w:rPr>
                <w:b/>
              </w:rPr>
            </w:pPr>
            <w:r>
              <w:rPr>
                <w:b/>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(166</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(149</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n/m</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9,159</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9,139</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8,310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10%</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b/>
                <w:sz w:val="20"/>
              </w:rPr>
            </w:pPr>
            <w:r>
              <w:rPr>
                <w:rFonts w:ascii="ARIAL" w:hAnsi="ARIAL"/>
                <w:b/>
                <w:sz w:val="20"/>
              </w:rPr>
              <w:t>Pretax Operating Income by Division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Digital &amp; Integration</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386</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325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314</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19%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23%</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367</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376</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344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7%</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714</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742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759</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-6%</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Production Systems</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519</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473</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319</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63%</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Other</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(84</w:t>
            </w:r>
          </w:p>
        </w:tc>
        <w:tc>
          <w:tcPr>
            <w:tcW w:w="323"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(62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n/m</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1,902</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1,854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1,683</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13%</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b/>
                <w:sz w:val="20"/>
              </w:rPr>
            </w:pPr>
            <w:r>
              <w:rPr>
                <w:rFonts w:ascii="ARIAL" w:hAnsi="ARIAL"/>
                <w:b/>
                <w:sz w:val="20"/>
              </w:rPr>
              <w:t>Pretax Operating Margin by Division</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510" w:type="dxa"/>
            <w:tcBorders/>
          </w:tcPr>
          <w:p>
            <w:pPr>
              <w:pStyle w:val="TableContents"/>
              <w:bidi w:val="0"/>
              <w:spacing w:before="0" w:after="0"/>
              <w:jc w:val="left"/>
              <w:rPr>
                <w:rFonts w:ascii="ARIAL" w:hAnsi="ARIAL"/>
                <w:sz w:val="20"/>
              </w:rPr>
            </w:pPr>
            <w:r>
              <w:rPr>
                <w:rFonts w:ascii="ARIAL" w:hAnsi="ARIAL"/>
                <w:sz w:val="20"/>
              </w:rPr>
              <w:t>Digital &amp; Integration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35.5</w:t>
            </w:r>
          </w:p>
        </w:tc>
        <w:tc>
          <w:tcPr>
            <w:tcW w:w="323" w:type="dxa"/>
            <w:tcBorders/>
            <w:vAlign w:val="bottom"/>
          </w:tcPr>
          <w:p>
            <w:pPr>
              <w:pStyle w:val="TableContents"/>
              <w:bidi w:val="0"/>
              <w:spacing w:before="0" w:after="283"/>
              <w:jc w:val="left"/>
              <w:rPr>
                <w:b/>
              </w:rPr>
            </w:pPr>
            <w:r>
              <w:rPr>
                <w:b/>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31.0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32.0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456 bps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353 bps</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20.1</w:t>
            </w:r>
          </w:p>
        </w:tc>
        <w:tc>
          <w:tcPr>
            <w:tcW w:w="323"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20.6</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20.5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-53 bps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-37 bps</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Well Construction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21.5</w:t>
            </w:r>
          </w:p>
        </w:tc>
        <w:tc>
          <w:tcPr>
            <w:tcW w:w="323" w:type="dxa"/>
            <w:tcBorders/>
            <w:vAlign w:val="bottom"/>
          </w:tcPr>
          <w:p>
            <w:pPr>
              <w:pStyle w:val="TableContents"/>
              <w:bidi w:val="0"/>
              <w:spacing w:before="0" w:after="283"/>
              <w:jc w:val="left"/>
              <w:rPr>
                <w:b/>
              </w:rPr>
            </w:pPr>
            <w:r>
              <w:rPr>
                <w:b/>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21.7</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22.1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-19 bps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-58 bps</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16.7</w:t>
            </w:r>
          </w:p>
        </w:tc>
        <w:tc>
          <w:tcPr>
            <w:tcW w:w="323"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110 bps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325 bps</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Other</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n/m</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n/m</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n/m</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n/m</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20.8</w:t>
            </w:r>
          </w:p>
        </w:tc>
        <w:tc>
          <w:tcPr>
            <w:tcW w:w="323"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48 bps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51 bps</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 acquired the Aker subsea business during the fourth quarter of 2023 in connection with the formation of the OneSubsea joint venture. The acquired business generated revenue of $532 million during the third quarter of 2024. Excluding the impact of this acquisition, SLBs global third-quarter 2024 revenue increased 4% year on year; international third-quarter 2024 revenue increased 4% year on year; and Production Systems third-quarter 2024 revenue increased 9% year 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sections titled Divisions and Supplementary Information for details.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360" w:after="0"/>
        <w:jc w:val="left"/>
        <w:rPr>
          <w:rFonts w:ascii="ARIAL" w:hAnsi="ARIAL"/>
          <w:b/>
          <w:sz w:val="20"/>
        </w:rPr>
      </w:pPr>
      <w:r>
        <w:rPr>
          <w:rFonts w:ascii="ARIAL" w:hAnsi="ARIAL"/>
          <w:b/>
          <w:sz w:val="20"/>
        </w:rPr>
        <w:t xml:space="preserve">SLB Expands Margins and Earnings, Despite Cautious Macro Environment </w:t>
      </w:r>
    </w:p>
    <w:p>
      <w:pPr>
        <w:pStyle w:val="TextBody"/>
        <w:bidi w:val="0"/>
        <w:spacing w:before="120" w:after="0"/>
        <w:jc w:val="left"/>
        <w:rPr>
          <w:rFonts w:ascii="ARIAL" w:hAnsi="ARIAL"/>
          <w:sz w:val="20"/>
        </w:rPr>
      </w:pPr>
      <w:r>
        <w:rPr>
          <w:rFonts w:ascii="ARIAL" w:hAnsi="ARIAL"/>
          <w:sz w:val="20"/>
        </w:rPr>
        <w:t xml:space="preserve">SLB delivered strong third-quarter results, achieving earnings growth and margin expansion in line with our full-year adjusted EBITDA margin goal of 25% or higher, said SLB Chief Executive Officer Olivier Le Peuch. These results were achieved by our ongoing focus on cost optimization, greater adoption of our digital products and solutions, and the contribution of long-cycle projects in deep water and gas. </w:t>
      </w:r>
    </w:p>
    <w:p>
      <w:pPr>
        <w:pStyle w:val="TextBody"/>
        <w:bidi w:val="0"/>
        <w:spacing w:before="240" w:after="0"/>
        <w:jc w:val="left"/>
        <w:rPr>
          <w:rFonts w:ascii="ARIAL" w:hAnsi="ARIAL"/>
          <w:sz w:val="20"/>
        </w:rPr>
      </w:pPr>
      <w:r>
        <w:rPr>
          <w:rFonts w:ascii="ARIAL" w:hAnsi="ARIAL"/>
          <w:sz w:val="20"/>
        </w:rPr>
        <w:t xml:space="preserve">This performance was achieved despite an environment where short-cycle activity growth softened, and some international producers exercised cautious spending triggered by lower oil prices and ample global supply, while land activity in the U.S. remained subdued. Revenue grew in the Middle East &amp; Asia and offshore North America but was offset by a decline in Latin America, while Europe &amp; Africa held steady, Le Peuch said.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Digital Leads Results as Customers Focus on Cloud Computing and Automation </w:t>
      </w:r>
    </w:p>
    <w:p>
      <w:pPr>
        <w:pStyle w:val="TextBody"/>
        <w:bidi w:val="0"/>
        <w:spacing w:before="120" w:after="0"/>
        <w:jc w:val="left"/>
        <w:rPr>
          <w:rFonts w:ascii="ARIAL" w:hAnsi="ARIAL"/>
          <w:sz w:val="20"/>
        </w:rPr>
      </w:pPr>
      <w:r>
        <w:rPr>
          <w:rFonts w:ascii="ARIAL" w:hAnsi="ARIAL"/>
          <w:sz w:val="20"/>
        </w:rPr>
        <w:t xml:space="preserve">As we continue to see the transformative impact of digital technology across the industry, we delivered a 4% sequential increase in Digital &amp; Integration revenue. This was driven by our digital business, which grew 7% sequentially and 25% year on year. Digital &amp; Integration pretax segment operating margin expanded by 456 basis points (bps) sequentially, mostly driven by our digital business. </w:t>
      </w:r>
    </w:p>
    <w:p>
      <w:pPr>
        <w:pStyle w:val="TextBody"/>
        <w:bidi w:val="0"/>
        <w:spacing w:before="240" w:after="0"/>
        <w:jc w:val="left"/>
        <w:rPr>
          <w:rFonts w:ascii="ARIAL" w:hAnsi="ARIAL"/>
          <w:sz w:val="20"/>
        </w:rPr>
      </w:pPr>
      <w:r>
        <w:rPr>
          <w:rFonts w:ascii="ARIAL" w:hAnsi="ARIAL"/>
          <w:sz w:val="20"/>
        </w:rPr>
        <w:t xml:space="preserve">Our customers are increasingly embracing digital technology to shorten planning cycle times, boost automation, and extract efficiency. Our cloud-based platform offerings have emerged as integral tools for unlocking data and AI across the energy value chain, enabling data-driven decision-making and streamlined operations. Our leadership in this area was on full display as we welcomed more than 1,000 customers and partners to the SLB Digital Forum in September to share progress, innovate together, and explore new digital opportunities. </w:t>
      </w:r>
    </w:p>
    <w:p>
      <w:pPr>
        <w:pStyle w:val="TextBody"/>
        <w:bidi w:val="0"/>
        <w:spacing w:before="240" w:after="0"/>
        <w:jc w:val="left"/>
        <w:rPr>
          <w:rFonts w:ascii="ARIAL" w:hAnsi="ARIAL"/>
          <w:sz w:val="20"/>
        </w:rPr>
      </w:pPr>
      <w:r>
        <w:rPr>
          <w:rFonts w:ascii="ARIAL" w:hAnsi="ARIAL"/>
          <w:sz w:val="20"/>
        </w:rPr>
        <w:t xml:space="preserve">At the event, we announced exciting new collaborations and partnerships with NVIDIA, Amazon Web Services, Aramco, and others. Additionally, we launched the Lumi data and AI platform, which integrates advanced AI capabilitiesincluding generative AIwith workflows across the energy value chain. More details can be found in the quarterly highlights of this release. </w:t>
      </w:r>
    </w:p>
    <w:p>
      <w:pPr>
        <w:pStyle w:val="TextBody"/>
        <w:bidi w:val="0"/>
        <w:spacing w:before="240" w:after="0"/>
        <w:jc w:val="left"/>
        <w:rPr>
          <w:rFonts w:ascii="ARIAL" w:hAnsi="ARIAL"/>
          <w:sz w:val="20"/>
        </w:rPr>
      </w:pPr>
      <w:r>
        <w:rPr>
          <w:rFonts w:ascii="ARIAL" w:hAnsi="ARIAL"/>
          <w:sz w:val="20"/>
        </w:rPr>
        <w:t xml:space="preserve">In the Core Divisionscomprising Reservoir Performance, Well Construction, and Production Systemsrevenue was essentially flat sequentially. Production Systems revenue increased 3% sequentially, posting record quarterly revenue with pretax segment operating margin expanding year on year for the ninth consecutive quarter. Reservoir Performance revenue was flat sequentially, while Well Construction revenue declined by 3% due to lower drilling activities, Le Peuch said. </w:t>
      </w:r>
    </w:p>
    <w:p>
      <w:pPr>
        <w:pStyle w:val="TextBody"/>
        <w:bidi w:val="0"/>
        <w:spacing w:before="360" w:after="0"/>
        <w:jc w:val="left"/>
        <w:rPr>
          <w:rFonts w:ascii="ARIAL" w:hAnsi="ARIAL"/>
          <w:b/>
          <w:sz w:val="20"/>
        </w:rPr>
      </w:pPr>
      <w:r>
        <w:rPr>
          <w:rFonts w:ascii="ARIAL" w:hAnsi="ARIAL"/>
          <w:b/>
          <w:sz w:val="20"/>
        </w:rPr>
        <w:t xml:space="preserve">With Strong Cash Flow, SLB Accelerates Returns to Shareholders </w:t>
      </w:r>
    </w:p>
    <w:p>
      <w:pPr>
        <w:pStyle w:val="TextBody"/>
        <w:bidi w:val="0"/>
        <w:spacing w:before="120" w:after="0"/>
        <w:jc w:val="left"/>
        <w:rPr>
          <w:rFonts w:ascii="ARIAL" w:hAnsi="ARIAL"/>
          <w:sz w:val="20"/>
        </w:rPr>
      </w:pPr>
      <w:r>
        <w:rPr>
          <w:rFonts w:ascii="ARIAL" w:hAnsi="ARIAL"/>
          <w:sz w:val="20"/>
        </w:rPr>
        <w:t xml:space="preserve">Overall, in the third quarter, we achieved an adjusted EBITDA margin of 25.6%, a 55-bps sequential increase. Cash flow from operations was $2.45 billion, and free cash flow was $1.81 billion. Additionally, we returned close to $900 million to shareholders through stock repurchases and dividends, bringing total return to shareholders for the first nine months of the year to $2.38 billion. </w:t>
      </w:r>
    </w:p>
    <w:p>
      <w:pPr>
        <w:pStyle w:val="TextBody"/>
        <w:bidi w:val="0"/>
        <w:spacing w:before="240" w:after="0"/>
        <w:jc w:val="left"/>
        <w:rPr>
          <w:rFonts w:ascii="ARIAL" w:hAnsi="ARIAL"/>
          <w:sz w:val="20"/>
        </w:rPr>
      </w:pPr>
      <w:r>
        <w:rPr>
          <w:rFonts w:ascii="ARIAL" w:hAnsi="ARIAL"/>
          <w:sz w:val="20"/>
        </w:rPr>
        <w:t xml:space="preserve">With strong cash flows and visibility into continued strong cash flow generation, we have accelerated our share repurchase program, taking advantage of current share price levels. We now expect to exceed the $3.0 billion return to shareholders commitment we made earlier this year. </w:t>
      </w:r>
    </w:p>
    <w:p>
      <w:pPr>
        <w:pStyle w:val="TextBody"/>
        <w:bidi w:val="0"/>
        <w:spacing w:before="240" w:after="0"/>
        <w:jc w:val="left"/>
        <w:rPr>
          <w:rFonts w:ascii="ARIAL" w:hAnsi="ARIAL"/>
          <w:sz w:val="20"/>
        </w:rPr>
      </w:pPr>
      <w:r>
        <w:rPr>
          <w:rFonts w:ascii="ARIAL" w:hAnsi="ARIAL"/>
          <w:sz w:val="20"/>
        </w:rPr>
        <w:t xml:space="preserve">I would like to thank the SLB team for their unwavering dedication and outstanding execution, consistently delivering for both our customers and shareholders, Le Peuch said.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International, Digital, and Cost Optimization to Remain the Focus </w:t>
      </w:r>
    </w:p>
    <w:p>
      <w:pPr>
        <w:pStyle w:val="TextBody"/>
        <w:bidi w:val="0"/>
        <w:spacing w:before="120" w:after="0"/>
        <w:jc w:val="left"/>
        <w:rPr>
          <w:rFonts w:ascii="ARIAL" w:hAnsi="ARIAL"/>
          <w:sz w:val="20"/>
        </w:rPr>
      </w:pPr>
      <w:r>
        <w:rPr>
          <w:rFonts w:ascii="ARIAL" w:hAnsi="ARIAL"/>
          <w:sz w:val="20"/>
        </w:rPr>
        <w:t xml:space="preserve">Although some customers have adopted a more cautious approach to their near-term capital expenditures and discretionary spending amid lower commodity prices, most projects are progressing as planned. Recent geopolitical events have further highlighted the importance of long-term energy security and reducing potential supply disruptions. </w:t>
      </w:r>
    </w:p>
    <w:p>
      <w:pPr>
        <w:pStyle w:val="TextBody"/>
        <w:bidi w:val="0"/>
        <w:spacing w:before="240" w:after="0"/>
        <w:jc w:val="left"/>
        <w:rPr>
          <w:rFonts w:ascii="ARIAL" w:hAnsi="ARIAL"/>
          <w:sz w:val="20"/>
        </w:rPr>
      </w:pPr>
      <w:r>
        <w:rPr>
          <w:rFonts w:ascii="ARIAL" w:hAnsi="ARIAL"/>
          <w:sz w:val="20"/>
        </w:rPr>
        <w:t xml:space="preserve">SLB is well positioned to navigate the evolving market conditions by leveraging its unique exposure to long-cycle projects in international, deepwater, and gas markets. Additionally, SLBs digital leadership and growing presence in emerging low-carbon marketssuch as carbon capture and storage and geothermalare supporting a more balanced portfolio. </w:t>
      </w:r>
    </w:p>
    <w:p>
      <w:pPr>
        <w:pStyle w:val="TextBody"/>
        <w:bidi w:val="0"/>
        <w:spacing w:before="240" w:after="0"/>
        <w:jc w:val="left"/>
        <w:rPr>
          <w:rFonts w:ascii="ARIAL" w:hAnsi="ARIAL"/>
          <w:sz w:val="20"/>
        </w:rPr>
      </w:pPr>
      <w:r>
        <w:rPr>
          <w:rFonts w:ascii="ARIAL" w:hAnsi="ARIAL"/>
          <w:sz w:val="20"/>
        </w:rPr>
        <w:t xml:space="preserve">Although the rate of upstream spending growth has moderated in the last few months due to the macroenvironment, we continue to expect a sustained level of upstream investment in the years to come. In this context, we anticipate delivering strong cash flows and a full-year adjusted EBITDA margin at or above 25%, supported by our international leadership, robust digital sales, and ongoing cost optimization initiatives. </w:t>
      </w:r>
    </w:p>
    <w:p>
      <w:pPr>
        <w:pStyle w:val="TextBody"/>
        <w:bidi w:val="0"/>
        <w:spacing w:before="240" w:after="0"/>
        <w:jc w:val="left"/>
        <w:rPr>
          <w:rFonts w:ascii="ARIAL" w:hAnsi="ARIAL"/>
          <w:sz w:val="20"/>
        </w:rPr>
      </w:pPr>
      <w:r>
        <w:rPr>
          <w:rFonts w:ascii="ARIAL" w:hAnsi="ARIAL"/>
          <w:sz w:val="20"/>
        </w:rPr>
        <w:t xml:space="preserve">Overall, our business remains well positioned to deliver further margin expansion and increased returns to shareholders, Le Peuch said. </w:t>
      </w:r>
    </w:p>
    <w:p>
      <w:pPr>
        <w:pStyle w:val="TextBody"/>
        <w:bidi w:val="0"/>
        <w:spacing w:before="360" w:after="0"/>
        <w:jc w:val="left"/>
        <w:rPr>
          <w:rFonts w:ascii="ARIAL" w:hAnsi="ARIAL"/>
          <w:b/>
          <w:sz w:val="20"/>
        </w:rPr>
      </w:pPr>
      <w:r>
        <w:rPr>
          <w:rFonts w:ascii="ARIAL" w:hAnsi="ARIAL"/>
          <w:b/>
          <w:sz w:val="20"/>
        </w:rPr>
        <w:t xml:space="preserve">Other Events </w:t>
      </w:r>
    </w:p>
    <w:p>
      <w:pPr>
        <w:pStyle w:val="TextBody"/>
        <w:bidi w:val="0"/>
        <w:spacing w:before="120" w:after="0"/>
        <w:jc w:val="left"/>
        <w:rPr>
          <w:rFonts w:ascii="ARIAL" w:hAnsi="ARIAL"/>
          <w:sz w:val="20"/>
        </w:rPr>
      </w:pPr>
      <w:r>
        <w:rPr>
          <w:rFonts w:ascii="ARIAL" w:hAnsi="ARIAL"/>
          <w:sz w:val="20"/>
        </w:rPr>
        <w:t xml:space="preserve">During the quarter, SLB repurchased 11.3 million shares of its common stock for a total purchase price of $501 million. For the first nine months of the year, SLB repurchased a total of 26.6 million shares of its common stock for a total purchase price of $1.24 billion. </w:t>
      </w:r>
    </w:p>
    <w:p>
      <w:pPr>
        <w:pStyle w:val="TextBody"/>
        <w:bidi w:val="0"/>
        <w:spacing w:before="240" w:after="0"/>
        <w:jc w:val="left"/>
        <w:rPr>
          <w:rFonts w:ascii="ARIAL" w:hAnsi="ARIAL"/>
          <w:sz w:val="20"/>
        </w:rPr>
      </w:pPr>
      <w:r>
        <w:rPr>
          <w:rFonts w:ascii="ARIAL" w:hAnsi="ARIAL"/>
          <w:sz w:val="20"/>
        </w:rPr>
        <w:t xml:space="preserve">On October 17, 2024, SLB entered into a definitive agreement to sell its working interests in the Palliser Block located in Alberta, Canada. The transaction, which is subject to regulatory approval and other customary closing conditions, is expected to close late in the fourth quarter of 2024. </w:t>
      </w:r>
    </w:p>
    <w:p>
      <w:pPr>
        <w:pStyle w:val="TextBody"/>
        <w:bidi w:val="0"/>
        <w:spacing w:before="240" w:after="0"/>
        <w:jc w:val="left"/>
        <w:rPr>
          <w:rFonts w:ascii="ARIAL" w:hAnsi="ARIAL"/>
          <w:sz w:val="20"/>
        </w:rPr>
      </w:pPr>
      <w:r>
        <w:rPr>
          <w:rFonts w:ascii="ARIAL" w:hAnsi="ARIAL"/>
          <w:sz w:val="20"/>
        </w:rPr>
        <w:t xml:space="preserve">On October 17, 2024, SLBs Board of Directors approved a quarterly cash dividend of $0.275 per share of outstanding common stock, payable on January 9, 2025, to stockholders of record on December 4, 2024.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Third-Quarter Revenue by Geographical Area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2"/>
        <w:gridCol w:w="221"/>
        <w:gridCol w:w="178"/>
        <w:gridCol w:w="717"/>
        <w:gridCol w:w="60"/>
        <w:gridCol w:w="221"/>
        <w:gridCol w:w="154"/>
        <w:gridCol w:w="630"/>
        <w:gridCol w:w="60"/>
        <w:gridCol w:w="221"/>
        <w:gridCol w:w="172"/>
        <w:gridCol w:w="695"/>
        <w:gridCol w:w="60"/>
        <w:gridCol w:w="221"/>
        <w:gridCol w:w="138"/>
        <w:gridCol w:w="966"/>
        <w:gridCol w:w="326"/>
        <w:gridCol w:w="166"/>
        <w:gridCol w:w="174"/>
        <w:gridCol w:w="1110"/>
        <w:gridCol w:w="283"/>
      </w:tblGrid>
      <w:tr>
        <w:trPr/>
        <w:tc>
          <w:tcPr>
            <w:tcW w:w="343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4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269" w:type="dxa"/>
            <w:gridSpan w:val="18"/>
            <w:tcBorders/>
            <w:vAlign w:val="bottom"/>
          </w:tcPr>
          <w:p>
            <w:pPr>
              <w:pStyle w:val="TableContents"/>
              <w:bidi w:val="0"/>
              <w:spacing w:before="0" w:after="283"/>
              <w:jc w:val="right"/>
              <w:rPr/>
            </w:pPr>
            <w:r>
              <w:rPr/>
              <w:t>(Stated in mi</w:t>
            </w:r>
            <w:r>
              <w:rPr>
                <w:b/>
              </w:rPr>
              <w:t>l</w:t>
            </w:r>
            <w:r>
              <w:rPr/>
              <w:t>lions)</w:t>
            </w:r>
          </w:p>
        </w:tc>
        <w:tc>
          <w:tcPr>
            <w:tcW w:w="283" w:type="dxa"/>
            <w:tcBorders/>
            <w:vAlign w:val="bottom"/>
          </w:tcPr>
          <w:p>
            <w:pPr>
              <w:pStyle w:val="TableContents"/>
              <w:bidi w:val="0"/>
              <w:spacing w:before="0" w:after="283"/>
              <w:jc w:val="left"/>
              <w:rPr/>
            </w:pPr>
            <w:r>
              <w:rPr/>
              <w:t> </w:t>
            </w:r>
          </w:p>
        </w:tc>
      </w:tr>
      <w:tr>
        <w:trPr/>
        <w:tc>
          <w:tcPr>
            <w:tcW w:w="34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310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8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3" w:type="dxa"/>
            <w:tcBorders/>
            <w:vAlign w:val="bottom"/>
          </w:tcPr>
          <w:p>
            <w:pPr>
              <w:pStyle w:val="TableContents"/>
              <w:bidi w:val="0"/>
              <w:spacing w:before="0" w:after="283"/>
              <w:jc w:val="left"/>
              <w:rPr/>
            </w:pPr>
            <w:r>
              <w:rPr/>
              <w:t> </w:t>
            </w:r>
          </w:p>
        </w:tc>
      </w:tr>
      <w:tr>
        <w:trPr/>
        <w:tc>
          <w:tcPr>
            <w:tcW w:w="34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3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283" w:type="dxa"/>
            <w:tcBorders/>
            <w:vAlign w:val="bottom"/>
          </w:tcPr>
          <w:p>
            <w:pPr>
              <w:pStyle w:val="TableContents"/>
              <w:bidi w:val="0"/>
              <w:spacing w:before="0" w:after="283"/>
              <w:jc w:val="left"/>
              <w:rPr/>
            </w:pPr>
            <w:r>
              <w:rPr/>
              <w:t> </w:t>
            </w:r>
          </w:p>
        </w:tc>
      </w:tr>
      <w:tr>
        <w:trPr/>
        <w:tc>
          <w:tcPr>
            <w:tcW w:w="3432"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7" w:type="dxa"/>
            <w:tcBorders/>
            <w:shd w:fill="CCEEFF" w:val="clear"/>
            <w:vAlign w:val="bottom"/>
          </w:tcPr>
          <w:p>
            <w:pPr>
              <w:pStyle w:val="TableContents"/>
              <w:bidi w:val="0"/>
              <w:spacing w:before="0" w:after="283"/>
              <w:jc w:val="right"/>
              <w:rPr>
                <w:b/>
              </w:rPr>
            </w:pPr>
            <w:r>
              <w:rPr>
                <w:b/>
              </w:rPr>
              <w:t>1,687</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1,644</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1,643</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b/>
              </w:rPr>
            </w:pPr>
            <w:r>
              <w:rPr>
                <w:b/>
              </w:rPr>
              <w:t>3</w:t>
            </w:r>
          </w:p>
        </w:tc>
        <w:tc>
          <w:tcPr>
            <w:tcW w:w="326"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w:t>
            </w:r>
          </w:p>
        </w:tc>
        <w:tc>
          <w:tcPr>
            <w:tcW w:w="283" w:type="dxa"/>
            <w:tcBorders/>
            <w:shd w:fill="CCEEFF" w:val="clear"/>
            <w:vAlign w:val="bottom"/>
          </w:tcPr>
          <w:p>
            <w:pPr>
              <w:pStyle w:val="TableContents"/>
              <w:bidi w:val="0"/>
              <w:spacing w:before="0" w:after="283"/>
              <w:jc w:val="left"/>
              <w:rPr/>
            </w:pPr>
            <w:r>
              <w:rPr/>
              <w:t>% </w:t>
            </w:r>
          </w:p>
        </w:tc>
      </w:tr>
      <w:tr>
        <w:trPr/>
        <w:tc>
          <w:tcPr>
            <w:tcW w:w="3432" w:type="dxa"/>
            <w:tcBorders/>
          </w:tcPr>
          <w:p>
            <w:pPr>
              <w:pStyle w:val="TableContents"/>
              <w:bidi w:val="0"/>
              <w:spacing w:before="0" w:after="0"/>
              <w:jc w:val="left"/>
              <w:rPr>
                <w:rFonts w:ascii="ARIAL" w:hAnsi="ARIAL"/>
                <w:sz w:val="20"/>
              </w:rPr>
            </w:pPr>
            <w:r>
              <w:rPr>
                <w:rFonts w:ascii="ARIAL" w:hAnsi="ARIAL"/>
                <w:sz w:val="20"/>
              </w:rPr>
              <w:t>Latin America</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b/>
              </w:rPr>
            </w:pPr>
            <w:r>
              <w:rPr>
                <w:b/>
              </w:rPr>
              <w:t>1,689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1,742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1,681</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-3</w:t>
            </w:r>
          </w:p>
        </w:tc>
        <w:tc>
          <w:tcPr>
            <w:tcW w:w="326"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3432" w:type="dxa"/>
            <w:tcBorders/>
            <w:shd w:fill="CCEEFF" w:val="clear"/>
          </w:tcPr>
          <w:p>
            <w:pPr>
              <w:pStyle w:val="TableContents"/>
              <w:bidi w:val="0"/>
              <w:spacing w:before="0" w:after="0"/>
              <w:jc w:val="left"/>
              <w:rPr>
                <w:rFonts w:ascii="ARIAL" w:hAnsi="ARIAL"/>
                <w:sz w:val="20"/>
              </w:rPr>
            </w:pPr>
            <w:r>
              <w:rPr>
                <w:rFonts w:ascii="ARIAL" w:hAnsi="ARIAL"/>
                <w:sz w:val="20"/>
              </w:rPr>
              <w:t>Europe &amp; Africa*</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b/>
              </w:rPr>
            </w:pPr>
            <w:r>
              <w:rPr>
                <w:b/>
              </w:rPr>
              <w:t>2,434</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2,442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2,091</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b/>
              </w:rPr>
            </w:pPr>
            <w:r>
              <w:rPr>
                <w:b/>
              </w:rPr>
              <w:t> </w:t>
            </w:r>
          </w:p>
        </w:tc>
        <w:tc>
          <w:tcPr>
            <w:tcW w:w="3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16</w:t>
            </w:r>
          </w:p>
        </w:tc>
        <w:tc>
          <w:tcPr>
            <w:tcW w:w="283" w:type="dxa"/>
            <w:tcBorders/>
            <w:shd w:fill="CCEEFF" w:val="clear"/>
            <w:vAlign w:val="bottom"/>
          </w:tcPr>
          <w:p>
            <w:pPr>
              <w:pStyle w:val="TableContents"/>
              <w:bidi w:val="0"/>
              <w:spacing w:before="0" w:after="283"/>
              <w:jc w:val="left"/>
              <w:rPr/>
            </w:pPr>
            <w:r>
              <w:rPr/>
              <w:t>% </w:t>
            </w:r>
          </w:p>
        </w:tc>
      </w:tr>
      <w:tr>
        <w:trPr/>
        <w:tc>
          <w:tcPr>
            <w:tcW w:w="3432" w:type="dxa"/>
            <w:tcBorders/>
          </w:tcPr>
          <w:p>
            <w:pPr>
              <w:pStyle w:val="TableContents"/>
              <w:bidi w:val="0"/>
              <w:spacing w:before="0" w:after="0"/>
              <w:jc w:val="left"/>
              <w:rPr>
                <w:rFonts w:ascii="ARIAL" w:hAnsi="ARIAL"/>
                <w:sz w:val="20"/>
              </w:rPr>
            </w:pPr>
            <w:r>
              <w:rPr>
                <w:rFonts w:ascii="ARIAL" w:hAnsi="ARIAL"/>
                <w:sz w:val="20"/>
              </w:rPr>
              <w:t>Middle East &amp; Asia</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b/>
              </w:rPr>
            </w:pPr>
            <w:r>
              <w:rPr>
                <w:b/>
              </w:rPr>
              <w:t>3,302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3,268</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2,842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1</w:t>
            </w:r>
          </w:p>
        </w:tc>
        <w:tc>
          <w:tcPr>
            <w:tcW w:w="326"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16</w:t>
            </w:r>
          </w:p>
        </w:tc>
        <w:tc>
          <w:tcPr>
            <w:tcW w:w="283" w:type="dxa"/>
            <w:tcBorders/>
            <w:vAlign w:val="bottom"/>
          </w:tcPr>
          <w:p>
            <w:pPr>
              <w:pStyle w:val="TableContents"/>
              <w:bidi w:val="0"/>
              <w:spacing w:before="0" w:after="283"/>
              <w:jc w:val="left"/>
              <w:rPr/>
            </w:pPr>
            <w:r>
              <w:rPr/>
              <w:t>% </w:t>
            </w:r>
          </w:p>
        </w:tc>
      </w:tr>
      <w:tr>
        <w:trPr/>
        <w:tc>
          <w:tcPr>
            <w:tcW w:w="3432"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b/>
              </w:rPr>
            </w:pPr>
            <w:r>
              <w:rPr>
                <w:b/>
              </w:rPr>
              <w:t>47</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43</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b/>
              </w:rPr>
            </w:pPr>
            <w:r>
              <w:rPr>
                <w:b/>
              </w:rPr>
              <w:t>n/m</w:t>
            </w:r>
          </w:p>
        </w:tc>
        <w:tc>
          <w:tcPr>
            <w:tcW w:w="3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n/m</w:t>
            </w:r>
          </w:p>
        </w:tc>
        <w:tc>
          <w:tcPr>
            <w:tcW w:w="283" w:type="dxa"/>
            <w:tcBorders/>
            <w:shd w:fill="CCEEFF" w:val="clear"/>
            <w:vAlign w:val="bottom"/>
          </w:tcPr>
          <w:p>
            <w:pPr>
              <w:pStyle w:val="TableContents"/>
              <w:bidi w:val="0"/>
              <w:spacing w:before="0" w:after="283"/>
              <w:jc w:val="left"/>
              <w:rPr/>
            </w:pPr>
            <w:r>
              <w:rPr/>
              <w:t> </w:t>
            </w:r>
          </w:p>
        </w:tc>
      </w:tr>
      <w:tr>
        <w:trPr/>
        <w:tc>
          <w:tcPr>
            <w:tcW w:w="343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32" w:type="dxa"/>
            <w:tcBorders/>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7" w:type="dxa"/>
            <w:tcBorders/>
            <w:vAlign w:val="bottom"/>
          </w:tcPr>
          <w:p>
            <w:pPr>
              <w:pStyle w:val="TableContents"/>
              <w:bidi w:val="0"/>
              <w:spacing w:before="0" w:after="283"/>
              <w:jc w:val="right"/>
              <w:rPr>
                <w:b/>
              </w:rPr>
            </w:pPr>
            <w:r>
              <w:rPr>
                <w:b/>
              </w:rPr>
              <w:t>9,159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30" w:type="dxa"/>
            <w:tcBorders/>
            <w:vAlign w:val="bottom"/>
          </w:tcPr>
          <w:p>
            <w:pPr>
              <w:pStyle w:val="TableContents"/>
              <w:bidi w:val="0"/>
              <w:spacing w:before="0" w:after="283"/>
              <w:jc w:val="right"/>
              <w:rPr/>
            </w:pPr>
            <w:r>
              <w:rPr/>
              <w:t>9,139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8,310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 </w:t>
            </w:r>
          </w:p>
        </w:tc>
        <w:tc>
          <w:tcPr>
            <w:tcW w:w="3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10</w:t>
            </w:r>
          </w:p>
        </w:tc>
        <w:tc>
          <w:tcPr>
            <w:tcW w:w="283" w:type="dxa"/>
            <w:tcBorders/>
            <w:vAlign w:val="bottom"/>
          </w:tcPr>
          <w:p>
            <w:pPr>
              <w:pStyle w:val="TableContents"/>
              <w:bidi w:val="0"/>
              <w:spacing w:before="0" w:after="283"/>
              <w:jc w:val="left"/>
              <w:rPr/>
            </w:pPr>
            <w:r>
              <w:rPr/>
              <w:t>% </w:t>
            </w:r>
          </w:p>
        </w:tc>
      </w:tr>
      <w:tr>
        <w:trPr/>
        <w:tc>
          <w:tcPr>
            <w:tcW w:w="343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32"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7" w:type="dxa"/>
            <w:tcBorders/>
            <w:shd w:fill="CCEEFF" w:val="clear"/>
            <w:vAlign w:val="bottom"/>
          </w:tcPr>
          <w:p>
            <w:pPr>
              <w:pStyle w:val="TableContents"/>
              <w:bidi w:val="0"/>
              <w:spacing w:before="0" w:after="283"/>
              <w:jc w:val="right"/>
              <w:rPr>
                <w:b/>
              </w:rPr>
            </w:pPr>
            <w:r>
              <w:rPr>
                <w:b/>
              </w:rPr>
              <w:t>7,425</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7,452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6,614</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b/>
              </w:rPr>
            </w:pPr>
            <w:r>
              <w:rPr>
                <w:b/>
              </w:rPr>
              <w:t> </w:t>
            </w:r>
          </w:p>
        </w:tc>
        <w:tc>
          <w:tcPr>
            <w:tcW w:w="3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12</w:t>
            </w:r>
          </w:p>
        </w:tc>
        <w:tc>
          <w:tcPr>
            <w:tcW w:w="283" w:type="dxa"/>
            <w:tcBorders/>
            <w:shd w:fill="CCEEFF" w:val="clear"/>
            <w:vAlign w:val="bottom"/>
          </w:tcPr>
          <w:p>
            <w:pPr>
              <w:pStyle w:val="TableContents"/>
              <w:bidi w:val="0"/>
              <w:spacing w:before="0" w:after="283"/>
              <w:jc w:val="left"/>
              <w:rPr/>
            </w:pPr>
            <w:r>
              <w:rPr/>
              <w:t>% </w:t>
            </w:r>
          </w:p>
        </w:tc>
      </w:tr>
      <w:tr>
        <w:trPr/>
        <w:tc>
          <w:tcPr>
            <w:tcW w:w="3432" w:type="dxa"/>
            <w:tcBorders/>
          </w:tcPr>
          <w:p>
            <w:pPr>
              <w:pStyle w:val="TableContents"/>
              <w:bidi w:val="0"/>
              <w:spacing w:before="0" w:after="0"/>
              <w:jc w:val="left"/>
              <w:rPr>
                <w:rFonts w:ascii="ARIAL" w:hAnsi="ARIAL"/>
                <w:sz w:val="20"/>
              </w:rPr>
            </w:pPr>
            <w:r>
              <w:rPr>
                <w:rFonts w:ascii="ARIAL" w:hAnsi="ARIAL"/>
                <w:sz w:val="20"/>
              </w:rPr>
              <w:t>North America</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7" w:type="dxa"/>
            <w:tcBorders/>
            <w:vAlign w:val="bottom"/>
          </w:tcPr>
          <w:p>
            <w:pPr>
              <w:pStyle w:val="TableContents"/>
              <w:bidi w:val="0"/>
              <w:spacing w:before="0" w:after="283"/>
              <w:jc w:val="right"/>
              <w:rPr>
                <w:b/>
              </w:rPr>
            </w:pPr>
            <w:r>
              <w:rPr>
                <w:b/>
              </w:rPr>
              <w:t>1,687</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30" w:type="dxa"/>
            <w:tcBorders/>
            <w:vAlign w:val="bottom"/>
          </w:tcPr>
          <w:p>
            <w:pPr>
              <w:pStyle w:val="TableContents"/>
              <w:bidi w:val="0"/>
              <w:spacing w:before="0" w:after="283"/>
              <w:jc w:val="right"/>
              <w:rPr/>
            </w:pPr>
            <w:r>
              <w:rPr/>
              <w:t>1,644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1,643</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3</w:t>
            </w:r>
          </w:p>
        </w:tc>
        <w:tc>
          <w:tcPr>
            <w:tcW w:w="326"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w:t>
            </w:r>
          </w:p>
        </w:tc>
        <w:tc>
          <w:tcPr>
            <w:tcW w:w="283"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 acquired the Aker subsea business during the fourth quarter of 2023 in connection with the formation of the OneSubsea joint venture. The acquired business generated revenue of $532 million during the third quarter of 2024. Excluding the impact of this acquisition, SLBs global third-quarter 2024 revenue increased 4% year on year and international third-quarter 2024 revenue increased 4% year 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Includes Russia and the Caspian region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n/m</w:t>
            </w:r>
          </w:p>
        </w:tc>
        <w:tc>
          <w:tcPr>
            <w:tcW w:w="9996" w:type="dxa"/>
            <w:tcBorders/>
          </w:tcPr>
          <w:p>
            <w:pPr>
              <w:pStyle w:val="TableContents"/>
              <w:bidi w:val="0"/>
              <w:spacing w:before="0" w:after="0"/>
              <w:jc w:val="left"/>
              <w:rPr>
                <w:rFonts w:ascii="ARIAL" w:hAnsi="ARIAL"/>
                <w:sz w:val="20"/>
              </w:rPr>
            </w:pPr>
            <w:r>
              <w:rPr>
                <w:rFonts w:ascii="ARIAL" w:hAnsi="ARIAL"/>
                <w:sz w:val="20"/>
              </w:rPr>
              <w:t xml:space="preserve">= not meaningful </w:t>
            </w:r>
          </w:p>
        </w:tc>
      </w:tr>
    </w:tbl>
    <w:p>
      <w:pPr>
        <w:pStyle w:val="TextBody"/>
        <w:bidi w:val="0"/>
        <w:spacing w:before="360" w:after="0"/>
        <w:jc w:val="left"/>
        <w:rPr>
          <w:rFonts w:ascii="ARIAL" w:hAnsi="ARIAL"/>
          <w:b/>
          <w:sz w:val="20"/>
        </w:rPr>
      </w:pPr>
      <w:r>
        <w:rPr>
          <w:rFonts w:ascii="ARIAL" w:hAnsi="ARIAL"/>
          <w:b/>
          <w:sz w:val="20"/>
        </w:rPr>
        <w:t xml:space="preserve">International </w:t>
      </w:r>
    </w:p>
    <w:p>
      <w:pPr>
        <w:pStyle w:val="TextBody"/>
        <w:bidi w:val="0"/>
        <w:spacing w:before="120" w:after="0"/>
        <w:jc w:val="left"/>
        <w:rPr>
          <w:rFonts w:ascii="ARIAL" w:hAnsi="ARIAL"/>
          <w:sz w:val="20"/>
        </w:rPr>
      </w:pPr>
      <w:r>
        <w:rPr>
          <w:rFonts w:ascii="ARIAL" w:hAnsi="ARIAL"/>
          <w:sz w:val="20"/>
        </w:rPr>
        <w:t xml:space="preserve">Revenue in </w:t>
      </w:r>
      <w:r>
        <w:rPr>
          <w:rFonts w:ascii="ARIAL" w:hAnsi="ARIAL"/>
          <w:b/>
          <w:sz w:val="20"/>
        </w:rPr>
        <w:t>Latin America</w:t>
      </w:r>
      <w:r>
        <w:rPr>
          <w:rFonts w:ascii="ARIAL" w:hAnsi="ARIAL"/>
          <w:sz w:val="20"/>
        </w:rPr>
        <w:t xml:space="preserve"> of $1.69 billion decreased 3% sequentially, reflecting lower production system sales in Brazil and reduced drilling activity in Mexico and Guyana. Year over year, revenue was flat, as strong activity in Argentina and higher production system sales in Brazil were offset by drilling activity declines in Mexico. </w:t>
      </w:r>
    </w:p>
    <w:p>
      <w:pPr>
        <w:pStyle w:val="TextBody"/>
        <w:bidi w:val="0"/>
        <w:spacing w:before="240" w:after="0"/>
        <w:jc w:val="left"/>
        <w:rPr>
          <w:rFonts w:ascii="ARIAL" w:hAnsi="ARIAL"/>
          <w:sz w:val="20"/>
        </w:rPr>
      </w:pPr>
      <w:r>
        <w:rPr>
          <w:rFonts w:ascii="ARIAL" w:hAnsi="ARIAL"/>
          <w:b/>
          <w:sz w:val="20"/>
        </w:rPr>
        <w:t>Europe</w:t>
      </w:r>
      <w:r>
        <w:rPr>
          <w:rFonts w:ascii="ARIAL" w:hAnsi="ARIAL"/>
          <w:sz w:val="20"/>
        </w:rPr>
        <w:t> </w:t>
      </w:r>
      <w:r>
        <w:rPr>
          <w:rFonts w:ascii="ARIAL" w:hAnsi="ARIAL"/>
          <w:b/>
          <w:sz w:val="20"/>
        </w:rPr>
        <w:t>&amp; Africa</w:t>
      </w:r>
      <w:r>
        <w:rPr>
          <w:rFonts w:ascii="ARIAL" w:hAnsi="ARIAL"/>
          <w:sz w:val="20"/>
        </w:rPr>
        <w:t xml:space="preserve"> revenue of $2.44 billion was flat sequentially as higher sales of artificial lift in North Africa were offset by lower sales of subsea production systems in Scandinavia and reduced drilling, intervention, and stimulation activity in sub-Saharan Africa. Year on year, revenue increased 16% driven by the acquired Aker subsea business, primarily in Scandinavia, and increased drilling, intervention, and stimulation activity in North Africa. </w:t>
      </w:r>
    </w:p>
    <w:p>
      <w:pPr>
        <w:pStyle w:val="TextBody"/>
        <w:bidi w:val="0"/>
        <w:spacing w:before="240" w:after="0"/>
        <w:jc w:val="left"/>
        <w:rPr>
          <w:rFonts w:ascii="ARIAL" w:hAnsi="ARIAL"/>
          <w:sz w:val="20"/>
        </w:rPr>
      </w:pPr>
      <w:r>
        <w:rPr>
          <w:rFonts w:ascii="ARIAL" w:hAnsi="ARIAL"/>
          <w:sz w:val="20"/>
        </w:rPr>
        <w:t xml:space="preserve">Revenue in the </w:t>
      </w:r>
      <w:r>
        <w:rPr>
          <w:rFonts w:ascii="ARIAL" w:hAnsi="ARIAL"/>
          <w:b/>
          <w:sz w:val="20"/>
        </w:rPr>
        <w:t>Middle East</w:t>
      </w:r>
      <w:r>
        <w:rPr>
          <w:rFonts w:ascii="ARIAL" w:hAnsi="ARIAL"/>
          <w:sz w:val="20"/>
        </w:rPr>
        <w:t> </w:t>
      </w:r>
      <w:r>
        <w:rPr>
          <w:rFonts w:ascii="ARIAL" w:hAnsi="ARIAL"/>
          <w:b/>
          <w:sz w:val="20"/>
        </w:rPr>
        <w:t>&amp; Asia</w:t>
      </w:r>
      <w:r>
        <w:rPr>
          <w:rFonts w:ascii="ARIAL" w:hAnsi="ARIAL"/>
          <w:sz w:val="20"/>
        </w:rPr>
        <w:t xml:space="preserve"> of $3.30 billion increased 1% sequentially, with strong sales of production systems in Australia, Saudi Arabia, Iraq, Kuwait, and Qatar and increased drilling in East Asia and United Arab Emirates offsetting weaker performance in Egypt and India. Year on year, revenue grew 16% due to higher stimulation, intervention, and evaluation activity as well as increased sales of production systems in Saudi Arabia, UAE, Iraq, Kuwait, Qatar, and Oman. Increased drilling in East Asia and Indonesia and the acquired Aker subsea business in Australia also contributed to the year-on-year growth.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North America </w:t>
      </w:r>
    </w:p>
    <w:p>
      <w:pPr>
        <w:pStyle w:val="TextBody"/>
        <w:bidi w:val="0"/>
        <w:spacing w:before="120" w:after="0"/>
        <w:jc w:val="left"/>
        <w:rPr>
          <w:rFonts w:ascii="ARIAL" w:hAnsi="ARIAL"/>
          <w:sz w:val="20"/>
        </w:rPr>
      </w:pPr>
      <w:r>
        <w:rPr>
          <w:rFonts w:ascii="ARIAL" w:hAnsi="ARIAL"/>
          <w:b/>
          <w:sz w:val="20"/>
        </w:rPr>
        <w:t>North America</w:t>
      </w:r>
      <w:r>
        <w:rPr>
          <w:rFonts w:ascii="ARIAL" w:hAnsi="ARIAL"/>
          <w:sz w:val="20"/>
        </w:rPr>
        <w:t xml:space="preserve"> revenue of $1.69 billion increased 3% sequentially due to strong sales of production systems in the U.S. Gulf of Mexico and higher drilling in Canada land, partially offset by lower drilling revenue in U.S. land. Year on year, revenue increased 3% due to higher sales of subsea production systems and increased evaluation and stimulation activity in the U.S. Gulf of Mexico, partially offset by lower drilling revenue in U.S. land. </w:t>
      </w:r>
    </w:p>
    <w:p>
      <w:pPr>
        <w:pStyle w:val="TextBody"/>
        <w:bidi w:val="0"/>
        <w:spacing w:before="360" w:after="0"/>
        <w:jc w:val="left"/>
        <w:rPr>
          <w:rFonts w:ascii="ARIAL" w:hAnsi="ARIAL"/>
          <w:b/>
          <w:sz w:val="20"/>
        </w:rPr>
      </w:pPr>
      <w:r>
        <w:rPr>
          <w:rFonts w:ascii="ARIAL" w:hAnsi="ARIAL"/>
          <w:b/>
          <w:sz w:val="20"/>
        </w:rPr>
        <w:t xml:space="preserve">Third-Quarter Results by Division </w:t>
      </w:r>
    </w:p>
    <w:p>
      <w:pPr>
        <w:pStyle w:val="TextBody"/>
        <w:bidi w:val="0"/>
        <w:spacing w:before="120" w:after="0"/>
        <w:jc w:val="left"/>
        <w:rPr>
          <w:rFonts w:ascii="ARIAL" w:hAnsi="ARIAL"/>
          <w:b/>
          <w:sz w:val="20"/>
        </w:rPr>
      </w:pPr>
      <w:r>
        <w:rPr>
          <w:rFonts w:ascii="ARIAL" w:hAnsi="ARIAL"/>
          <w:b/>
          <w:sz w:val="20"/>
        </w:rPr>
        <w:t xml:space="preserve">Digital &amp; Integration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0"/>
        <w:gridCol w:w="223"/>
        <w:gridCol w:w="178"/>
        <w:gridCol w:w="713"/>
        <w:gridCol w:w="324"/>
        <w:gridCol w:w="169"/>
        <w:gridCol w:w="140"/>
        <w:gridCol w:w="577"/>
        <w:gridCol w:w="284"/>
        <w:gridCol w:w="169"/>
        <w:gridCol w:w="207"/>
        <w:gridCol w:w="660"/>
        <w:gridCol w:w="284"/>
        <w:gridCol w:w="169"/>
        <w:gridCol w:w="74"/>
        <w:gridCol w:w="1018"/>
        <w:gridCol w:w="60"/>
        <w:gridCol w:w="169"/>
        <w:gridCol w:w="92"/>
        <w:gridCol w:w="1216"/>
        <w:gridCol w:w="69"/>
      </w:tblGrid>
      <w:tr>
        <w:trPr/>
        <w:tc>
          <w:tcPr>
            <w:tcW w:w="341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503" w:type="dxa"/>
            <w:gridSpan w:val="18"/>
            <w:tcBorders/>
            <w:vAlign w:val="bottom"/>
          </w:tcPr>
          <w:p>
            <w:pPr>
              <w:pStyle w:val="TableContents"/>
              <w:bidi w:val="0"/>
              <w:spacing w:before="0" w:after="283"/>
              <w:jc w:val="right"/>
              <w:rPr/>
            </w:pPr>
            <w:r>
              <w:rPr/>
              <w:t>(Stated in millions)</w:t>
            </w:r>
          </w:p>
        </w:tc>
        <w:tc>
          <w:tcPr>
            <w:tcW w:w="69"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4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6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410"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2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6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410" w:type="dxa"/>
            <w:tcBorders/>
          </w:tcPr>
          <w:p>
            <w:pPr>
              <w:pStyle w:val="TableContents"/>
              <w:bidi w:val="0"/>
              <w:spacing w:before="0" w:after="0"/>
              <w:jc w:val="left"/>
              <w:rPr>
                <w:rFonts w:ascii="ARIAL" w:hAnsi="ARIAL"/>
                <w:sz w:val="20"/>
              </w:rPr>
            </w:pPr>
            <w:r>
              <w:rPr>
                <w:rFonts w:ascii="ARIAL" w:hAnsi="ARIAL"/>
                <w:sz w:val="20"/>
              </w:rPr>
              <w:t>International</w:t>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830</w:t>
            </w:r>
          </w:p>
        </w:tc>
        <w:tc>
          <w:tcPr>
            <w:tcW w:w="3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757</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737</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center"/>
              <w:rPr>
                <w:b/>
              </w:rPr>
            </w:pPr>
            <w:r>
              <w:rPr>
                <w:b/>
              </w:rPr>
              <w:t>10%</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13%</w:t>
            </w:r>
          </w:p>
        </w:tc>
        <w:tc>
          <w:tcPr>
            <w:tcW w:w="69" w:type="dxa"/>
            <w:tcBorders/>
            <w:vAlign w:val="bottom"/>
          </w:tcPr>
          <w:p>
            <w:pPr>
              <w:pStyle w:val="TableContents"/>
              <w:bidi w:val="0"/>
              <w:spacing w:before="0" w:after="283"/>
              <w:jc w:val="left"/>
              <w:rPr/>
            </w:pPr>
            <w:r>
              <w:rPr/>
              <w:t> </w:t>
            </w:r>
          </w:p>
        </w:tc>
      </w:tr>
      <w:tr>
        <w:trPr/>
        <w:tc>
          <w:tcPr>
            <w:tcW w:w="3410"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2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258</w:t>
            </w:r>
          </w:p>
        </w:tc>
        <w:tc>
          <w:tcPr>
            <w:tcW w:w="3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291</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242</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center"/>
              <w:rPr>
                <w:b/>
              </w:rPr>
            </w:pPr>
            <w:r>
              <w:rPr>
                <w:b/>
              </w:rPr>
              <w:t>-11%</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6%</w:t>
            </w:r>
          </w:p>
        </w:tc>
        <w:tc>
          <w:tcPr>
            <w:tcW w:w="69" w:type="dxa"/>
            <w:tcBorders/>
            <w:shd w:fill="CCEEFF" w:val="clear"/>
            <w:vAlign w:val="bottom"/>
          </w:tcPr>
          <w:p>
            <w:pPr>
              <w:pStyle w:val="TableContents"/>
              <w:bidi w:val="0"/>
              <w:spacing w:before="0" w:after="283"/>
              <w:jc w:val="left"/>
              <w:rPr/>
            </w:pPr>
            <w:r>
              <w:rPr/>
              <w:t> </w:t>
            </w:r>
          </w:p>
        </w:tc>
      </w:tr>
      <w:tr>
        <w:trPr/>
        <w:tc>
          <w:tcPr>
            <w:tcW w:w="3410" w:type="dxa"/>
            <w:tcBorders/>
          </w:tcPr>
          <w:p>
            <w:pPr>
              <w:pStyle w:val="TableContents"/>
              <w:bidi w:val="0"/>
              <w:spacing w:before="0" w:after="0"/>
              <w:jc w:val="left"/>
              <w:rPr>
                <w:rFonts w:ascii="ARIAL" w:hAnsi="ARIAL"/>
                <w:sz w:val="20"/>
              </w:rPr>
            </w:pPr>
            <w:r>
              <w:rPr>
                <w:rFonts w:ascii="ARIAL" w:hAnsi="ARIAL"/>
                <w:sz w:val="20"/>
              </w:rPr>
              <w:t>Other</w:t>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 </w:t>
            </w:r>
          </w:p>
        </w:tc>
        <w:tc>
          <w:tcPr>
            <w:tcW w:w="3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3</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n/m</w:t>
            </w:r>
          </w:p>
        </w:tc>
        <w:tc>
          <w:tcPr>
            <w:tcW w:w="69"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410" w:type="dxa"/>
            <w:tcBorders/>
            <w:shd w:fill="CCEEFF" w:val="clear"/>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1,088</w:t>
            </w:r>
          </w:p>
        </w:tc>
        <w:tc>
          <w:tcPr>
            <w:tcW w:w="3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1,050</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982</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center"/>
              <w:rPr>
                <w:b/>
              </w:rPr>
            </w:pPr>
            <w:r>
              <w:rPr>
                <w:b/>
              </w:rPr>
              <w:t>4%</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11%</w:t>
            </w:r>
          </w:p>
        </w:tc>
        <w:tc>
          <w:tcPr>
            <w:tcW w:w="69"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410"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386</w:t>
            </w:r>
          </w:p>
        </w:tc>
        <w:tc>
          <w:tcPr>
            <w:tcW w:w="3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325</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314</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center"/>
              <w:rPr>
                <w:b/>
              </w:rPr>
            </w:pPr>
            <w:r>
              <w:rPr>
                <w:b/>
              </w:rPr>
              <w:t>19%</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23%</w:t>
            </w:r>
          </w:p>
        </w:tc>
        <w:tc>
          <w:tcPr>
            <w:tcW w:w="69" w:type="dxa"/>
            <w:tcBorders/>
            <w:vAlign w:val="bottom"/>
          </w:tcPr>
          <w:p>
            <w:pPr>
              <w:pStyle w:val="TableContents"/>
              <w:bidi w:val="0"/>
              <w:spacing w:before="0" w:after="283"/>
              <w:jc w:val="left"/>
              <w:rPr/>
            </w:pPr>
            <w:r>
              <w:rPr/>
              <w:t> </w:t>
            </w:r>
          </w:p>
        </w:tc>
      </w:tr>
      <w:tr>
        <w:trPr/>
        <w:tc>
          <w:tcPr>
            <w:tcW w:w="3410"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22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35.5</w:t>
            </w:r>
          </w:p>
        </w:tc>
        <w:tc>
          <w:tcPr>
            <w:tcW w:w="324" w:type="dxa"/>
            <w:tcBorders/>
            <w:shd w:fill="CCEEFF" w:val="clear"/>
            <w:vAlign w:val="bottom"/>
          </w:tcPr>
          <w:p>
            <w:pPr>
              <w:pStyle w:val="TableContents"/>
              <w:bidi w:val="0"/>
              <w:spacing w:before="0" w:after="283"/>
              <w:jc w:val="left"/>
              <w:rPr>
                <w:b/>
              </w:rPr>
            </w:pPr>
            <w:r>
              <w:rPr>
                <w:b/>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31.0</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32.0</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center"/>
              <w:rPr>
                <w:b/>
              </w:rPr>
            </w:pPr>
            <w:r>
              <w:rPr>
                <w:b/>
              </w:rPr>
              <w:t>456 bps</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353 bps</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Digital &amp; Integration revenue of $1.09 billion increased 4% sequentially due to higher digital revenue while Asset Performance Solutions (APS) revenue was flat. Digital revenue grew 7% sequentially driven by the increased adoption internationally of our cloud, AI, and edge technology platforms. Year on year, revenue increased 11% due to digital growing 25%, while APS revenue declined 3%. </w:t>
      </w:r>
    </w:p>
    <w:p>
      <w:pPr>
        <w:pStyle w:val="TextBody"/>
        <w:bidi w:val="0"/>
        <w:spacing w:before="240" w:after="0"/>
        <w:jc w:val="left"/>
        <w:rPr>
          <w:rFonts w:ascii="ARIAL" w:hAnsi="ARIAL"/>
          <w:sz w:val="20"/>
        </w:rPr>
      </w:pPr>
      <w:r>
        <w:rPr>
          <w:rFonts w:ascii="ARIAL" w:hAnsi="ARIAL"/>
          <w:sz w:val="20"/>
        </w:rPr>
        <w:t xml:space="preserve">Digital &amp; Integration pretax operating margin of 36% expanded 456 bps sequentially, mostly due to improved profitability in digital, following higher uptake of digital products and solutions and cost efficiencies. Year on year, pretax operating margin expanded 353 bps due to increased profitability in digital, partially offset by lower profitability in APS from the effects of higher amortization expense and lower gas prices.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Reservoir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2"/>
        <w:gridCol w:w="184"/>
        <w:gridCol w:w="178"/>
        <w:gridCol w:w="714"/>
        <w:gridCol w:w="324"/>
        <w:gridCol w:w="130"/>
        <w:gridCol w:w="154"/>
        <w:gridCol w:w="628"/>
        <w:gridCol w:w="284"/>
        <w:gridCol w:w="129"/>
        <w:gridCol w:w="172"/>
        <w:gridCol w:w="692"/>
        <w:gridCol w:w="284"/>
        <w:gridCol w:w="130"/>
        <w:gridCol w:w="79"/>
        <w:gridCol w:w="1054"/>
        <w:gridCol w:w="60"/>
        <w:gridCol w:w="130"/>
        <w:gridCol w:w="96"/>
        <w:gridCol w:w="1212"/>
        <w:gridCol w:w="69"/>
      </w:tblGrid>
      <w:tr>
        <w:trPr/>
        <w:tc>
          <w:tcPr>
            <w:tcW w:w="350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450" w:type="dxa"/>
            <w:gridSpan w:val="18"/>
            <w:tcBorders/>
            <w:vAlign w:val="bottom"/>
          </w:tcPr>
          <w:p>
            <w:pPr>
              <w:pStyle w:val="TableContents"/>
              <w:bidi w:val="0"/>
              <w:spacing w:before="0" w:after="283"/>
              <w:jc w:val="right"/>
              <w:rPr/>
            </w:pPr>
            <w:r>
              <w:rPr/>
              <w:t>(Stated in millions)</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4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02" w:type="dxa"/>
            <w:tcBorders/>
          </w:tcPr>
          <w:p>
            <w:pPr>
              <w:pStyle w:val="TableContents"/>
              <w:bidi w:val="0"/>
              <w:spacing w:before="0" w:after="0"/>
              <w:jc w:val="left"/>
              <w:rPr>
                <w:rFonts w:ascii="ARIAL" w:hAnsi="ARIAL"/>
                <w:sz w:val="20"/>
              </w:rPr>
            </w:pPr>
            <w:r>
              <w:rPr>
                <w:rFonts w:ascii="ARIAL" w:hAnsi="ARIAL"/>
                <w:sz w:val="20"/>
              </w:rPr>
              <w:t>International</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1,676</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1,684</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1,554</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8%</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145</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134</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125</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8%</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16%</w:t>
            </w:r>
          </w:p>
        </w:tc>
        <w:tc>
          <w:tcPr>
            <w:tcW w:w="69" w:type="dxa"/>
            <w:tcBorders/>
            <w:shd w:fill="CCEEFF" w:val="clear"/>
            <w:vAlign w:val="bottom"/>
          </w:tcPr>
          <w:p>
            <w:pPr>
              <w:pStyle w:val="TableContents"/>
              <w:bidi w:val="0"/>
              <w:spacing w:before="0" w:after="283"/>
              <w:jc w:val="left"/>
              <w:rPr/>
            </w:pPr>
            <w:r>
              <w:rPr/>
              <w:t> </w:t>
            </w:r>
          </w:p>
        </w:tc>
      </w:tr>
      <w:tr>
        <w:trPr/>
        <w:tc>
          <w:tcPr>
            <w:tcW w:w="3502" w:type="dxa"/>
            <w:tcBorders/>
          </w:tcPr>
          <w:p>
            <w:pPr>
              <w:pStyle w:val="TableContents"/>
              <w:bidi w:val="0"/>
              <w:spacing w:before="0" w:after="0"/>
              <w:jc w:val="left"/>
              <w:rPr>
                <w:rFonts w:ascii="ARIAL" w:hAnsi="ARIAL"/>
                <w:sz w:val="20"/>
              </w:rPr>
            </w:pPr>
            <w:r>
              <w:rPr>
                <w:rFonts w:ascii="ARIAL" w:hAnsi="ARIAL"/>
                <w:sz w:val="20"/>
              </w:rPr>
              <w:t>Other</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2</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1</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n/m</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1,823</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8" w:type="dxa"/>
            <w:tcBorders/>
            <w:shd w:fill="CCEEFF" w:val="clear"/>
            <w:vAlign w:val="bottom"/>
          </w:tcPr>
          <w:p>
            <w:pPr>
              <w:pStyle w:val="TableContents"/>
              <w:bidi w:val="0"/>
              <w:spacing w:before="0" w:after="283"/>
              <w:jc w:val="right"/>
              <w:rPr/>
            </w:pPr>
            <w:r>
              <w:rPr/>
              <w:t>1,819</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1,680</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9%</w:t>
            </w:r>
          </w:p>
        </w:tc>
        <w:tc>
          <w:tcPr>
            <w:tcW w:w="69" w:type="dxa"/>
            <w:tcBorders/>
            <w:shd w:fill="CCEEFF" w:val="clear"/>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02"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367</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376</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344</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7%</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20.1</w:t>
            </w:r>
          </w:p>
        </w:tc>
        <w:tc>
          <w:tcPr>
            <w:tcW w:w="324" w:type="dxa"/>
            <w:tcBorders/>
            <w:shd w:fill="CCEEFF" w:val="clear"/>
            <w:vAlign w:val="bottom"/>
          </w:tcPr>
          <w:p>
            <w:pPr>
              <w:pStyle w:val="TableContents"/>
              <w:bidi w:val="0"/>
              <w:spacing w:before="0" w:after="283"/>
              <w:jc w:val="left"/>
              <w:rPr>
                <w:b/>
              </w:rPr>
            </w:pPr>
            <w:r>
              <w:rPr>
                <w:b/>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20.6</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20.5</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-53 bps</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-37 bps</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Reservoir Performance revenue of $1.82 billion was flat sequentially as higher intervention activity was offset by lower evaluation activity while stimulation revenue was flat. Geographically, revenue grew in offshore North America and Latin America, partially offset by declines in Europe &amp; Africa and Middle East &amp; Asia. Year on year, revenue increased 9% due to increased stimulation and intervention activity, partially offset by lower evaluation revenue. </w:t>
      </w:r>
    </w:p>
    <w:p>
      <w:pPr>
        <w:pStyle w:val="TextBody"/>
        <w:bidi w:val="0"/>
        <w:spacing w:before="240" w:after="0"/>
        <w:jc w:val="left"/>
        <w:rPr>
          <w:rFonts w:ascii="ARIAL" w:hAnsi="ARIAL"/>
          <w:sz w:val="20"/>
        </w:rPr>
      </w:pPr>
      <w:r>
        <w:rPr>
          <w:rFonts w:ascii="ARIAL" w:hAnsi="ARIAL"/>
          <w:sz w:val="20"/>
        </w:rPr>
        <w:t xml:space="preserve">Reservoir Performance pretax operating margin of 20% contracted 53 bps sequentially due to lower profitability in evaluation, partially offset by improved profitability in intervention. Year on year, pretax operating margin contracted 37 bps due to an unfavorable technology mix. </w:t>
      </w:r>
    </w:p>
    <w:p>
      <w:pPr>
        <w:pStyle w:val="TextBody"/>
        <w:bidi w:val="0"/>
        <w:spacing w:before="360" w:after="0"/>
        <w:jc w:val="left"/>
        <w:rPr>
          <w:rFonts w:ascii="ARIAL" w:hAnsi="ARIAL"/>
          <w:b/>
          <w:sz w:val="20"/>
        </w:rPr>
      </w:pPr>
      <w:r>
        <w:rPr>
          <w:rFonts w:ascii="ARIAL" w:hAnsi="ARIAL"/>
          <w:b/>
          <w:sz w:val="20"/>
        </w:rPr>
        <w:t xml:space="preserve">Well Construction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2"/>
        <w:gridCol w:w="184"/>
        <w:gridCol w:w="178"/>
        <w:gridCol w:w="714"/>
        <w:gridCol w:w="324"/>
        <w:gridCol w:w="130"/>
        <w:gridCol w:w="154"/>
        <w:gridCol w:w="628"/>
        <w:gridCol w:w="284"/>
        <w:gridCol w:w="129"/>
        <w:gridCol w:w="172"/>
        <w:gridCol w:w="692"/>
        <w:gridCol w:w="284"/>
        <w:gridCol w:w="130"/>
        <w:gridCol w:w="79"/>
        <w:gridCol w:w="1054"/>
        <w:gridCol w:w="60"/>
        <w:gridCol w:w="130"/>
        <w:gridCol w:w="96"/>
        <w:gridCol w:w="1212"/>
        <w:gridCol w:w="69"/>
      </w:tblGrid>
      <w:tr>
        <w:trPr/>
        <w:tc>
          <w:tcPr>
            <w:tcW w:w="350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450" w:type="dxa"/>
            <w:gridSpan w:val="18"/>
            <w:tcBorders/>
            <w:vAlign w:val="bottom"/>
          </w:tcPr>
          <w:p>
            <w:pPr>
              <w:pStyle w:val="TableContents"/>
              <w:bidi w:val="0"/>
              <w:spacing w:before="0" w:after="20"/>
              <w:jc w:val="right"/>
              <w:rPr>
                <w:rFonts w:ascii="ARIAL" w:hAnsi="ARIAL"/>
                <w:sz w:val="16"/>
              </w:rPr>
            </w:pPr>
            <w:r>
              <w:rPr>
                <w:rFonts w:ascii="ARIAL" w:hAnsi="ARIAL"/>
                <w:sz w:val="16"/>
              </w:rPr>
              <w:t>(Stated in millions)</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4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02" w:type="dxa"/>
            <w:tcBorders/>
          </w:tcPr>
          <w:p>
            <w:pPr>
              <w:pStyle w:val="TableContents"/>
              <w:bidi w:val="0"/>
              <w:spacing w:before="0" w:after="0"/>
              <w:jc w:val="left"/>
              <w:rPr>
                <w:rFonts w:ascii="ARIAL" w:hAnsi="ARIAL"/>
                <w:sz w:val="20"/>
              </w:rPr>
            </w:pPr>
            <w:r>
              <w:rPr>
                <w:rFonts w:ascii="ARIAL" w:hAnsi="ARIAL"/>
                <w:sz w:val="20"/>
              </w:rPr>
              <w:t>International</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2,675</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2,768</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2,707</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-3%</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-1%</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581</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592</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663</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-12%</w:t>
            </w:r>
          </w:p>
        </w:tc>
        <w:tc>
          <w:tcPr>
            <w:tcW w:w="69" w:type="dxa"/>
            <w:tcBorders/>
            <w:shd w:fill="CCEEFF" w:val="clear"/>
            <w:vAlign w:val="bottom"/>
          </w:tcPr>
          <w:p>
            <w:pPr>
              <w:pStyle w:val="TableContents"/>
              <w:bidi w:val="0"/>
              <w:spacing w:before="0" w:after="283"/>
              <w:jc w:val="left"/>
              <w:rPr/>
            </w:pPr>
            <w:r>
              <w:rPr/>
              <w:t> </w:t>
            </w:r>
          </w:p>
        </w:tc>
      </w:tr>
      <w:tr>
        <w:trPr/>
        <w:tc>
          <w:tcPr>
            <w:tcW w:w="3502" w:type="dxa"/>
            <w:tcBorders/>
          </w:tcPr>
          <w:p>
            <w:pPr>
              <w:pStyle w:val="TableContents"/>
              <w:bidi w:val="0"/>
              <w:spacing w:before="0" w:after="0"/>
              <w:jc w:val="left"/>
              <w:rPr>
                <w:rFonts w:ascii="ARIAL" w:hAnsi="ARIAL"/>
                <w:sz w:val="20"/>
              </w:rPr>
            </w:pPr>
            <w:r>
              <w:rPr>
                <w:rFonts w:ascii="ARIAL" w:hAnsi="ARIAL"/>
                <w:sz w:val="20"/>
              </w:rPr>
              <w:t>Other</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56</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51</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60</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n/m</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3,312</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8" w:type="dxa"/>
            <w:tcBorders/>
            <w:shd w:fill="CCEEFF" w:val="clear"/>
            <w:vAlign w:val="bottom"/>
          </w:tcPr>
          <w:p>
            <w:pPr>
              <w:pStyle w:val="TableContents"/>
              <w:bidi w:val="0"/>
              <w:spacing w:before="0" w:after="283"/>
              <w:jc w:val="right"/>
              <w:rPr/>
            </w:pPr>
            <w:r>
              <w:rPr/>
              <w:t>3,411</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3,430</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-3%</w:t>
            </w:r>
          </w:p>
        </w:tc>
        <w:tc>
          <w:tcPr>
            <w:tcW w:w="69" w:type="dxa"/>
            <w:tcBorders/>
            <w:shd w:fill="CCEEFF" w:val="clear"/>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02"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714</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742</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759</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-4%</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-6%</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21.5</w:t>
            </w:r>
          </w:p>
        </w:tc>
        <w:tc>
          <w:tcPr>
            <w:tcW w:w="324" w:type="dxa"/>
            <w:tcBorders/>
            <w:shd w:fill="CCEEFF" w:val="clear"/>
            <w:vAlign w:val="bottom"/>
          </w:tcPr>
          <w:p>
            <w:pPr>
              <w:pStyle w:val="TableContents"/>
              <w:bidi w:val="0"/>
              <w:spacing w:before="0" w:after="283"/>
              <w:jc w:val="left"/>
              <w:rPr>
                <w:b/>
              </w:rPr>
            </w:pPr>
            <w:r>
              <w:rPr>
                <w:b/>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21.7</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22.1</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-19 bps</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-58 bps</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Well Construction revenue of $3.31 billion declined 3% sequentially and year on year on lower revenue in measurements and fluids. This was driven by lower drilling activity in Latin America, U.S. land, and Saudi Arabia.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Well Construction pretax operating margin of 22% declined 19 bps sequentially and 58 bps year on year due to reduced activity both in North America and internationally. </w:t>
      </w:r>
    </w:p>
    <w:p>
      <w:pPr>
        <w:pStyle w:val="TextBody"/>
        <w:bidi w:val="0"/>
        <w:spacing w:before="360" w:after="0"/>
        <w:jc w:val="left"/>
        <w:rPr>
          <w:rFonts w:ascii="ARIAL" w:hAnsi="ARIAL"/>
          <w:b/>
          <w:sz w:val="20"/>
        </w:rPr>
      </w:pPr>
      <w:r>
        <w:rPr>
          <w:rFonts w:ascii="ARIAL" w:hAnsi="ARIAL"/>
          <w:b/>
          <w:sz w:val="20"/>
        </w:rPr>
        <w:t xml:space="preserve">Production Systems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1"/>
        <w:gridCol w:w="185"/>
        <w:gridCol w:w="178"/>
        <w:gridCol w:w="713"/>
        <w:gridCol w:w="324"/>
        <w:gridCol w:w="132"/>
        <w:gridCol w:w="140"/>
        <w:gridCol w:w="577"/>
        <w:gridCol w:w="284"/>
        <w:gridCol w:w="132"/>
        <w:gridCol w:w="172"/>
        <w:gridCol w:w="692"/>
        <w:gridCol w:w="283"/>
        <w:gridCol w:w="132"/>
        <w:gridCol w:w="75"/>
        <w:gridCol w:w="1057"/>
        <w:gridCol w:w="60"/>
        <w:gridCol w:w="132"/>
        <w:gridCol w:w="92"/>
        <w:gridCol w:w="1216"/>
        <w:gridCol w:w="68"/>
      </w:tblGrid>
      <w:tr>
        <w:trPr/>
        <w:tc>
          <w:tcPr>
            <w:tcW w:w="3561"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56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91" w:type="dxa"/>
            <w:gridSpan w:val="18"/>
            <w:tcBorders/>
            <w:vAlign w:val="bottom"/>
          </w:tcPr>
          <w:p>
            <w:pPr>
              <w:pStyle w:val="TableContents"/>
              <w:bidi w:val="0"/>
              <w:spacing w:before="0" w:after="283"/>
              <w:jc w:val="right"/>
              <w:rPr/>
            </w:pPr>
            <w:r>
              <w:rPr/>
              <w:t>(Stated in millions)</w:t>
            </w:r>
          </w:p>
        </w:tc>
        <w:tc>
          <w:tcPr>
            <w:tcW w:w="68" w:type="dxa"/>
            <w:tcBorders/>
            <w:vAlign w:val="bottom"/>
          </w:tcPr>
          <w:p>
            <w:pPr>
              <w:pStyle w:val="TableContents"/>
              <w:bidi w:val="0"/>
              <w:spacing w:before="0" w:after="283"/>
              <w:jc w:val="left"/>
              <w:rPr/>
            </w:pPr>
            <w:r>
              <w:rPr/>
              <w:t> </w:t>
            </w:r>
          </w:p>
        </w:tc>
      </w:tr>
      <w:tr>
        <w:trPr/>
        <w:tc>
          <w:tcPr>
            <w:tcW w:w="356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334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6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8" w:type="dxa"/>
            <w:tcBorders/>
            <w:vAlign w:val="bottom"/>
          </w:tcPr>
          <w:p>
            <w:pPr>
              <w:pStyle w:val="TableContents"/>
              <w:bidi w:val="0"/>
              <w:spacing w:before="0" w:after="283"/>
              <w:jc w:val="left"/>
              <w:rPr/>
            </w:pPr>
            <w:r>
              <w:rPr/>
              <w:t> </w:t>
            </w:r>
          </w:p>
        </w:tc>
      </w:tr>
      <w:tr>
        <w:trPr/>
        <w:tc>
          <w:tcPr>
            <w:tcW w:w="356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8" w:type="dxa"/>
            <w:tcBorders/>
            <w:vAlign w:val="bottom"/>
          </w:tcPr>
          <w:p>
            <w:pPr>
              <w:pStyle w:val="TableContents"/>
              <w:bidi w:val="0"/>
              <w:spacing w:before="0" w:after="283"/>
              <w:jc w:val="left"/>
              <w:rPr/>
            </w:pPr>
            <w:r>
              <w:rPr/>
              <w:t> </w:t>
            </w:r>
          </w:p>
        </w:tc>
      </w:tr>
      <w:tr>
        <w:trPr/>
        <w:tc>
          <w:tcPr>
            <w:tcW w:w="3561"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561" w:type="dxa"/>
            <w:tcBorders/>
          </w:tcPr>
          <w:p>
            <w:pPr>
              <w:pStyle w:val="TableContents"/>
              <w:bidi w:val="0"/>
              <w:spacing w:before="0" w:after="0"/>
              <w:jc w:val="left"/>
              <w:rPr>
                <w:rFonts w:ascii="ARIAL" w:hAnsi="ARIAL"/>
                <w:sz w:val="20"/>
              </w:rPr>
            </w:pPr>
            <w:r>
              <w:rPr>
                <w:rFonts w:ascii="ARIAL" w:hAnsi="ARIAL"/>
                <w:sz w:val="20"/>
              </w:rPr>
              <w:t>International</w:t>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2,373</w:t>
            </w:r>
          </w:p>
        </w:tc>
        <w:tc>
          <w:tcPr>
            <w:tcW w:w="32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2,378</w:t>
            </w:r>
          </w:p>
        </w:tc>
        <w:tc>
          <w:tcPr>
            <w:tcW w:w="2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1,740</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center"/>
              <w:rPr>
                <w:b/>
              </w:rPr>
            </w:pPr>
            <w:r>
              <w:rPr>
                <w:b/>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36%</w:t>
            </w:r>
          </w:p>
        </w:tc>
        <w:tc>
          <w:tcPr>
            <w:tcW w:w="68" w:type="dxa"/>
            <w:tcBorders/>
            <w:vAlign w:val="bottom"/>
          </w:tcPr>
          <w:p>
            <w:pPr>
              <w:pStyle w:val="TableContents"/>
              <w:bidi w:val="0"/>
              <w:spacing w:before="0" w:after="283"/>
              <w:jc w:val="left"/>
              <w:rPr/>
            </w:pPr>
            <w:r>
              <w:rPr/>
              <w:t> </w:t>
            </w:r>
          </w:p>
        </w:tc>
      </w:tr>
      <w:tr>
        <w:trPr/>
        <w:tc>
          <w:tcPr>
            <w:tcW w:w="3561"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723</w:t>
            </w:r>
          </w:p>
        </w:tc>
        <w:tc>
          <w:tcPr>
            <w:tcW w:w="32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640</w:t>
            </w:r>
          </w:p>
        </w:tc>
        <w:tc>
          <w:tcPr>
            <w:tcW w:w="2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626</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center"/>
              <w:rPr>
                <w:b/>
              </w:rPr>
            </w:pPr>
            <w:r>
              <w:rPr>
                <w:b/>
              </w:rPr>
              <w:t>13%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15%</w:t>
            </w:r>
          </w:p>
        </w:tc>
        <w:tc>
          <w:tcPr>
            <w:tcW w:w="68" w:type="dxa"/>
            <w:tcBorders/>
            <w:shd w:fill="CCEEFF" w:val="clear"/>
            <w:vAlign w:val="bottom"/>
          </w:tcPr>
          <w:p>
            <w:pPr>
              <w:pStyle w:val="TableContents"/>
              <w:bidi w:val="0"/>
              <w:spacing w:before="0" w:after="283"/>
              <w:jc w:val="left"/>
              <w:rPr/>
            </w:pPr>
            <w:r>
              <w:rPr/>
              <w:t> </w:t>
            </w:r>
          </w:p>
        </w:tc>
      </w:tr>
      <w:tr>
        <w:trPr/>
        <w:tc>
          <w:tcPr>
            <w:tcW w:w="3561" w:type="dxa"/>
            <w:tcBorders/>
          </w:tcPr>
          <w:p>
            <w:pPr>
              <w:pStyle w:val="TableContents"/>
              <w:bidi w:val="0"/>
              <w:spacing w:before="0" w:after="0"/>
              <w:jc w:val="left"/>
              <w:rPr>
                <w:rFonts w:ascii="ARIAL" w:hAnsi="ARIAL"/>
                <w:sz w:val="20"/>
              </w:rPr>
            </w:pPr>
            <w:r>
              <w:rPr>
                <w:rFonts w:ascii="ARIAL" w:hAnsi="ARIAL"/>
                <w:sz w:val="20"/>
              </w:rPr>
              <w:t>Other</w:t>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7</w:t>
            </w:r>
          </w:p>
        </w:tc>
        <w:tc>
          <w:tcPr>
            <w:tcW w:w="32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7</w:t>
            </w:r>
          </w:p>
        </w:tc>
        <w:tc>
          <w:tcPr>
            <w:tcW w:w="2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n/m</w:t>
            </w:r>
          </w:p>
        </w:tc>
        <w:tc>
          <w:tcPr>
            <w:tcW w:w="68" w:type="dxa"/>
            <w:tcBorders/>
            <w:vAlign w:val="bottom"/>
          </w:tcPr>
          <w:p>
            <w:pPr>
              <w:pStyle w:val="TableContents"/>
              <w:bidi w:val="0"/>
              <w:spacing w:before="0" w:after="283"/>
              <w:jc w:val="left"/>
              <w:rPr/>
            </w:pPr>
            <w:r>
              <w:rPr/>
              <w:t> </w:t>
            </w:r>
          </w:p>
        </w:tc>
      </w:tr>
      <w:tr>
        <w:trPr/>
        <w:tc>
          <w:tcPr>
            <w:tcW w:w="3561"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561"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3,103</w:t>
            </w:r>
          </w:p>
        </w:tc>
        <w:tc>
          <w:tcPr>
            <w:tcW w:w="32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3,025</w:t>
            </w:r>
          </w:p>
        </w:tc>
        <w:tc>
          <w:tcPr>
            <w:tcW w:w="2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2,367</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center"/>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31%</w:t>
            </w:r>
          </w:p>
        </w:tc>
        <w:tc>
          <w:tcPr>
            <w:tcW w:w="68" w:type="dxa"/>
            <w:tcBorders/>
            <w:shd w:fill="CCEEFF" w:val="clear"/>
            <w:vAlign w:val="bottom"/>
          </w:tcPr>
          <w:p>
            <w:pPr>
              <w:pStyle w:val="TableContents"/>
              <w:bidi w:val="0"/>
              <w:spacing w:before="0" w:after="283"/>
              <w:jc w:val="left"/>
              <w:rPr/>
            </w:pPr>
            <w:r>
              <w:rPr/>
              <w:t> </w:t>
            </w:r>
          </w:p>
        </w:tc>
      </w:tr>
      <w:tr>
        <w:trPr/>
        <w:tc>
          <w:tcPr>
            <w:tcW w:w="3561"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561"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519</w:t>
            </w:r>
          </w:p>
        </w:tc>
        <w:tc>
          <w:tcPr>
            <w:tcW w:w="32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473</w:t>
            </w:r>
          </w:p>
        </w:tc>
        <w:tc>
          <w:tcPr>
            <w:tcW w:w="2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319</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center"/>
              <w:rPr>
                <w:b/>
              </w:rPr>
            </w:pPr>
            <w:r>
              <w:rPr>
                <w:b/>
              </w:rPr>
              <w:t>10%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63%</w:t>
            </w:r>
          </w:p>
        </w:tc>
        <w:tc>
          <w:tcPr>
            <w:tcW w:w="68" w:type="dxa"/>
            <w:tcBorders/>
            <w:vAlign w:val="bottom"/>
          </w:tcPr>
          <w:p>
            <w:pPr>
              <w:pStyle w:val="TableContents"/>
              <w:bidi w:val="0"/>
              <w:spacing w:before="0" w:after="283"/>
              <w:jc w:val="left"/>
              <w:rPr/>
            </w:pPr>
            <w:r>
              <w:rPr/>
              <w:t> </w:t>
            </w:r>
          </w:p>
        </w:tc>
      </w:tr>
      <w:tr>
        <w:trPr/>
        <w:tc>
          <w:tcPr>
            <w:tcW w:w="3561"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18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16.7</w:t>
            </w:r>
          </w:p>
        </w:tc>
        <w:tc>
          <w:tcPr>
            <w:tcW w:w="324"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15.6</w:t>
            </w:r>
          </w:p>
        </w:tc>
        <w:tc>
          <w:tcPr>
            <w:tcW w:w="2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13.5</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center"/>
              <w:rPr>
                <w:b/>
              </w:rPr>
            </w:pPr>
            <w:r>
              <w:rPr>
                <w:b/>
              </w:rPr>
              <w:t>110 bps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325 bps</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 acquired the Aker subsea business during the fourth quarter of 2023 in connection with the formation of the OneSubsea joint venture. The acquired business generated revenue of $532 million during the third quarter of 2024. Excluding the impact of this acquisition, Production Systems third-quarter 2024 revenue increased 9% year on year. </w:t>
      </w:r>
    </w:p>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Production Systems revenue of $3.10 billion increased 3% sequentially with growth led by higher sales of surface production systems, completions, and artificial lift, partially offset by reduced sales of subsea and midstream production systems. Year on year, revenue grew 31%, mainly due to the acquisition of the Aker subsea business and strong international sales across the portfolio. </w:t>
      </w:r>
    </w:p>
    <w:p>
      <w:pPr>
        <w:pStyle w:val="TextBody"/>
        <w:bidi w:val="0"/>
        <w:spacing w:before="240" w:after="0"/>
        <w:jc w:val="left"/>
        <w:rPr>
          <w:rFonts w:ascii="ARIAL" w:hAnsi="ARIAL"/>
          <w:sz w:val="20"/>
        </w:rPr>
      </w:pPr>
      <w:r>
        <w:rPr>
          <w:rFonts w:ascii="ARIAL" w:hAnsi="ARIAL"/>
          <w:sz w:val="20"/>
        </w:rPr>
        <w:t xml:space="preserve">Production Systems pretax operating margin of 17% expanded 110 bps sequentially with improved profitability in surface production systems, completions, and artificial lift. Year on year, pretax operating margin expanded 325 bps due to improved profitability in surface production systems, artificial lift, and valves.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Quarterly Highlights </w:t>
      </w:r>
    </w:p>
    <w:p>
      <w:pPr>
        <w:pStyle w:val="TextBody"/>
        <w:bidi w:val="0"/>
        <w:spacing w:before="120" w:after="0"/>
        <w:jc w:val="left"/>
        <w:rPr>
          <w:rFonts w:ascii="ARIAL" w:hAnsi="ARIAL"/>
          <w:b/>
          <w:sz w:val="20"/>
        </w:rPr>
      </w:pPr>
      <w:r>
        <w:rPr>
          <w:rFonts w:ascii="ARIAL" w:hAnsi="ARIAL"/>
          <w:b/>
          <w:sz w:val="20"/>
        </w:rPr>
        <w:t xml:space="preserve">CORE </w:t>
      </w:r>
    </w:p>
    <w:p>
      <w:pPr>
        <w:pStyle w:val="TextBody"/>
        <w:bidi w:val="0"/>
        <w:spacing w:before="120" w:after="0"/>
        <w:jc w:val="left"/>
        <w:rPr>
          <w:rFonts w:ascii="ARIAL" w:hAnsi="ARIAL"/>
          <w:sz w:val="20"/>
        </w:rPr>
      </w:pPr>
      <w:r>
        <w:rPr>
          <w:rFonts w:ascii="ARIAL" w:hAnsi="ARIAL"/>
          <w:sz w:val="20"/>
        </w:rPr>
        <w:t xml:space="preserve">Contract Awards </w:t>
      </w:r>
    </w:p>
    <w:p>
      <w:pPr>
        <w:pStyle w:val="TextBody"/>
        <w:bidi w:val="0"/>
        <w:spacing w:before="240" w:after="0"/>
        <w:jc w:val="left"/>
        <w:rPr>
          <w:rFonts w:ascii="ARIAL" w:hAnsi="ARIAL"/>
          <w:sz w:val="20"/>
        </w:rPr>
      </w:pPr>
      <w:r>
        <w:rPr>
          <w:rFonts w:ascii="ARIAL" w:hAnsi="ARIAL"/>
          <w:sz w:val="20"/>
        </w:rPr>
        <w:t xml:space="preserve">SLB continues to win new contract awards that align with SLBs strengths in the Core, particularly in the international and offshore basins. Notable highlights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UAE, SLB, ADNOC Drilling Company, and Patterson-UTI announced the formation of the Turnwell Industries LLC OPC joint venture (JV). The JV will focus on the acceleration of UAEs unconventional oil and gas program, with an initial 144 wells scheduled for completion by the end of 2025. SLB will provide integrated drilling, stimulation, and completion services, as well as project management, digital capabilities, and subsurface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Kuwait, Kuwait Oil Company (KOC) has awarded SLB a lump sum turnkey (LSTK) drilling contract to drill and deliver wells in south and east Kuwait. SLB will manage the planning, construction, and drilling of 141 wells over a period of three years. This LSTK contract will enable improved efficiency and faster deployment of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Oman, Shell Development Oman LLC has awarded SLB a two-year integrated well construction contract covering up to 23 wells in Block 10 and Block 11 with the potential to extend an additional three years. SLB will provide bits and drilling tools, cementing, drilling fluids, drilling services, and mud logging.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the North Sea, bp awarded SLB OneSubsea and Subsea7 an integrated engineering, procurement, construction, and installation contract for the Murlach development (formerly Skua Field), 240 kilometers east of Aberdeen in the U.K. North Sea. The Murlach project will include the first-ever implementation of SLB OneSubsea standard, configurable vertical monobore tree systems in the U.K. North Sea, which will be deployed by Subsea7 via vessel to reduce rig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Brazil, Petrobras awarded SLB OneSubsea a major contract for two ultradeepwater projects. The contract covers standardized presalt subsea production systems and services to develop the Atapu and Sepia oil fields in the Santos Basin. SLB OneSubsea will supply Petrobras-standard configured presalt vertical trees, subsea distribution units, control systems, and pipeline systems, along with related installation, commissioning, and life-of-field services. These projects will add to Petrobras presalt investments and enable Petrobras to add two new FPSO platforms, each with a daily capacity of 225,000 barrels of oil and 10 million cubic meters of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Also in Brazil, Equinor awarded SLB a contract for the deepwater development of the Raia Project with first oil expected in 2028. SLB will provide directional drilling services, fluids, cementing, and logging and completion tools for six wells. The area contains a recoverable volume of natural gas and oil condensate of more than 1 billion barrels of oil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Also in Brazil, Petrobras awarded SLB a 10-year contract for the delivery of encapsulated submersible pump services for up to 200 systems in Bahia state. This performance-based contract underscores the reliability and excellence of SLB equipment and services.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Offshore Norway, Equinor awarded SLB a multiyear integrated drilling and reservoir evaluation contract spanning a wide range of operations. This includes integrated drilling and wireline services for an exploration drilling campaign on the Norwegian continental shelf; IriSphere look-ahead-while-drilling service for Stage II of the Troll Phase 3 project; wireline services for an exploration drilling campaign in the Barents Sea; and drilling and wireline services in the Irpa subsea development to create a tieback that extends the lifespan of Aasta Hansteen Field. Work for this integrated-domain contract will begin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Namibia, an operator awarded SLB a three-year integrated contract for well construction and reservoir characterization services. This contract includes the utilization of the SLB Ora intelligent wireline formation testing platform. </w:t>
            </w:r>
          </w:p>
        </w:tc>
      </w:tr>
    </w:tbl>
    <w:p>
      <w:pPr>
        <w:pStyle w:val="TextBody"/>
        <w:bidi w:val="0"/>
        <w:spacing w:before="360" w:after="0"/>
        <w:jc w:val="left"/>
        <w:rPr>
          <w:rFonts w:ascii="ARIAL" w:hAnsi="ARIAL"/>
          <w:sz w:val="20"/>
        </w:rPr>
      </w:pPr>
      <w:r>
        <w:rPr>
          <w:rFonts w:ascii="ARIAL" w:hAnsi="ARIAL"/>
          <w:sz w:val="20"/>
        </w:rPr>
        <w:t xml:space="preserve">Technology and Innovation </w:t>
      </w:r>
    </w:p>
    <w:p>
      <w:pPr>
        <w:pStyle w:val="TextBody"/>
        <w:bidi w:val="0"/>
        <w:spacing w:before="120" w:after="0"/>
        <w:jc w:val="left"/>
        <w:rPr>
          <w:rFonts w:ascii="ARIAL" w:hAnsi="ARIAL"/>
          <w:sz w:val="20"/>
        </w:rPr>
      </w:pPr>
      <w:r>
        <w:rPr>
          <w:rFonts w:ascii="ARIAL" w:hAnsi="ARIAL"/>
          <w:sz w:val="20"/>
        </w:rPr>
        <w:t xml:space="preserve">Notable technology introductions and deployment in the quarter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U.S., ExxonMobil and SLB collaborated on the longest well section in the Permian Basin, delivering the first-ever four-mile well in the Second Bone Spring formation. Utilizing SLBs PowerDrive Orbit G2 rotary steerable system with a ruggedized pad design, the single-run lateral was achieved by steering at a complex high angle in harsh downhole conditions. This approach also led to a significant reduction in drilling time, releasing the well in 16.4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Kuwait, SLB and KOC implemented an advanced well intervention workflow, integrating distributed temperature sensing, 3D far-field sonic service, and production logging tools. Deploying ACTive real-time downhole coiled tubing services, SLB provided detailed reservoir insights and enabled the precise deployment of engineered stimulation fluids. This intervention identified a critical thief zone, mapped the surrounding microfractures, and improved water intake patterns, ultimately resulting in an increase of 200 barrels of oil per day from four nearby wells. One previously shut-in well achieved 1,800 barrels of oil per day postintervention. Based on this success, KOC has approved the expansion of this workflow across the Sabriyah Mauddud flank, with four additional wells slated for similar interventions.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Angola, SLB and TotalEnergies deployed the first offshore application of OneSTEP EF efficient, low-risk sandstone stimulation solution in the Canela Field. The candidate well, situated in asandstone reservoir, faced multiple damage mechanisms, including mudcake, lost circulation material, organic deposits, silt, clay, and fines migration. After deploying the solution, the wells flow rate increased by 250% and has become TotalEnergies top producing well in Angola. </w:t>
            </w:r>
          </w:p>
        </w:tc>
      </w:tr>
    </w:tbl>
    <w:p>
      <w:pPr>
        <w:pStyle w:val="TextBody"/>
        <w:bidi w:val="0"/>
        <w:spacing w:before="360" w:after="0"/>
        <w:jc w:val="left"/>
        <w:rPr>
          <w:rFonts w:ascii="ARIAL" w:hAnsi="ARIAL"/>
          <w:sz w:val="20"/>
        </w:rPr>
      </w:pPr>
      <w:r>
        <w:rPr>
          <w:rFonts w:ascii="ARIAL" w:hAnsi="ARIAL"/>
          <w:sz w:val="20"/>
        </w:rPr>
        <w:t xml:space="preserve">Decarbonization </w:t>
      </w:r>
    </w:p>
    <w:p>
      <w:pPr>
        <w:pStyle w:val="TextBody"/>
        <w:bidi w:val="0"/>
        <w:spacing w:before="120" w:after="0"/>
        <w:jc w:val="left"/>
        <w:rPr>
          <w:rFonts w:ascii="ARIAL" w:hAnsi="ARIAL"/>
          <w:sz w:val="20"/>
        </w:rPr>
      </w:pPr>
      <w:r>
        <w:rPr>
          <w:rFonts w:ascii="ARIAL" w:hAnsi="ARIAL"/>
          <w:sz w:val="20"/>
        </w:rPr>
        <w:t>SLB is focused on developing and implementing technologies that can reduce emissions and environmental impact with practical, quantifiably proven solutions. Highlights include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U.S., SLB OneSubsea has signed a memorandum of understanding with C-Power to explore the use of converted energy from ocean waves as a lower-cost, lower-carbon power source for subsea energy applications. The joint industry project, cosponsored by the U.S. Department of Energy, will be conducted by SLB OneSubsea in collaboration with its Integration Alliance partner, Subsea7.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Norway, SLB and Equinor successfully deployed the worlds first offshore electric-powered light-string coiled tubing package. This innovative package was designed together with Equinor to bridge the gap between conventional offshore wireline and coiled tubing capabilities. When compared with the traditional coiled tubing package, the light-string package requires 48% less rig floor footprint, 33% fewer personnel on board, and up to 75% less rig-up and rig-down time. In its first job, the light-string coiled tubing package performed a downhole cleanout operation 75% faster than would have been possible with conventional wireline. </w:t>
            </w:r>
          </w:p>
        </w:tc>
      </w:tr>
    </w:tbl>
    <w:p>
      <w:pPr>
        <w:pStyle w:val="TextBody"/>
        <w:bidi w:val="0"/>
        <w:spacing w:before="360" w:after="0"/>
        <w:jc w:val="left"/>
        <w:rPr>
          <w:rFonts w:ascii="ARIAL" w:hAnsi="ARIAL"/>
          <w:b/>
          <w:sz w:val="20"/>
        </w:rPr>
      </w:pPr>
      <w:r>
        <w:rPr>
          <w:rFonts w:ascii="ARIAL" w:hAnsi="ARIAL"/>
          <w:b/>
          <w:sz w:val="20"/>
        </w:rPr>
        <w:t xml:space="preserve">DIGITAL </w:t>
      </w:r>
    </w:p>
    <w:p>
      <w:pPr>
        <w:pStyle w:val="TextBody"/>
        <w:bidi w:val="0"/>
        <w:spacing w:before="120" w:after="0"/>
        <w:jc w:val="left"/>
        <w:rPr>
          <w:rFonts w:ascii="ARIAL" w:hAnsi="ARIAL"/>
          <w:sz w:val="20"/>
        </w:rPr>
      </w:pPr>
      <w:r>
        <w:rPr>
          <w:rFonts w:ascii="ARIAL" w:hAnsi="ARIAL"/>
          <w:sz w:val="20"/>
        </w:rPr>
        <w:t xml:space="preserve">SLB is deploying digital technology at scale, partnering with customers to migrate their technology and workflows into the cloud, to embrace new AI-enabled capabilities, and to leverage insights to elevate their performance. Notable highlights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SLB launched the Lumi data and AI platform, which integrates advanced AI capabilitiesincluding generative AIwith workflows across the energy value chain. The open, secure, and modular platform unlocks access to high-quality data across subsurface, surface, planning, and operations, increasing cross-domain collaboration and releasing new intelligence and insights to improve the quality and speed of decision-making at the enterprise level.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SLB and NVIDIA announced that they will build on their long-standing collaboration to develop generative AI solutions for the energy industry. Working together, the companies will build and optimize models to the specific needs and requirements of the data-intensive energy industry, including subsurface exploration, production operations, and data management. The collaboration accelerates the development and deployment of industry-specific generative AI models across SLBs global platforms, including its Delfi digital platform and Lumi data and AI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and Amazon Web Services (AWS) announced an extended partnership to expand access to applications from the Delfi digital platform. Energy Data Insights from AWS will also offer compatibility with SLBs new Lumi data and AI platform. SLB and Amazon have also entered into a multiyear strategic framework agreement to explore the deployment of low-carbon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and Palo Alto Networks announced an expanded collaboration to strengthen cybersecurity for the energy sector. The companies will combine SLBs cloud and edge technologies and domain expertise in the energy industry with Palo Alto Networks cross-industry, platform-based cybersecurity solutions. This will not only help SLB remain on the forefront with its own security infrastructure but will also help drive future enhanced solutions to address evolving cyber threats as the industrys adoption of digital solutions and artificial intelligence accelerates.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SLB and Aramco have signed an agreement with the aim of codeveloping, commercializing, and utilizing digital solutions to help mitigate greenhouse gas emissions in industrial sectors. The agreement establishes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 framework for the development of several digital solutions on SLBs digital sustainability platform that will enable industrial companies to accelerate their progress toward net zero by more easily measuring, reporting, and verifying their emissions.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Australia, Woodside Energy has awarded SLB a three-year digital frame agreement, which incorporates global subsurface data management, software provisioning, Delfi on-demand reservoir simulation, and onsite support services. SLB will help Woodside Energy to standardize an enterprise-scale data management solution, while also providing a full suite of software products and compute scalability via the Delfi platform for reservoir simulations. </w:t>
            </w:r>
          </w:p>
        </w:tc>
      </w:tr>
    </w:tbl>
    <w:p>
      <w:pPr>
        <w:pStyle w:val="TextBody"/>
        <w:bidi w:val="0"/>
        <w:spacing w:before="360" w:after="0"/>
        <w:jc w:val="left"/>
        <w:rPr>
          <w:rFonts w:ascii="ARIAL" w:hAnsi="ARIAL"/>
          <w:b/>
          <w:sz w:val="20"/>
        </w:rPr>
      </w:pPr>
      <w:r>
        <w:rPr>
          <w:rFonts w:ascii="ARIAL" w:hAnsi="ARIAL"/>
          <w:b/>
          <w:sz w:val="20"/>
        </w:rPr>
        <w:t xml:space="preserve">NEW ENERGY </w:t>
      </w:r>
    </w:p>
    <w:p>
      <w:pPr>
        <w:pStyle w:val="TextBody"/>
        <w:bidi w:val="0"/>
        <w:spacing w:before="120" w:after="0"/>
        <w:jc w:val="left"/>
        <w:rPr>
          <w:rFonts w:ascii="ARIAL" w:hAnsi="ARIAL"/>
          <w:sz w:val="20"/>
        </w:rPr>
      </w:pPr>
      <w:r>
        <w:rPr>
          <w:rFonts w:ascii="ARIAL" w:hAnsi="ARIAL"/>
          <w:sz w:val="20"/>
        </w:rPr>
        <w:t xml:space="preserve">SLB continues to participate in the global transition to low-carbon energy systems through innovative technology and strategic partnerships,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Nevada, SLB achieved breakthrough results in sustainable lithium production. Using a proprietary integrated solution that combines SLBs subsurface expertise with surface engineering of advanced technologies that include direct lithium extraction (DLE), SLB was able to produce lithium at a rate 500 times faster than conventional methods while using only 10% of the land. The plant reached a verified recovery rate of 96% lithium from brine while using significantly less water, energy, and fewer chemical reagents in comparison with other lithium mining techniques.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U.S., SLB Capturi, the newly formed joint venture between SLB and Aker Carbon Capture, was awarded a contract by CO280 Solutions for front end engineering and design (FEED) of a large-scale carbon capture plant at a pulp and paper mill on the U.S. Gulf Coast. The project, which aims to remove 800,000 metric tons of carbon emissions annually, will also deliver permanent, verifiable, and affordable carbon dioxide removals (CDRs). This follows recent announcements by SLB Capturi and CO280 on their collaboration to develop large-scale CDR projects in the U.S. and Canada pulp and paper industries and their collaboration with Microsoft® to scale the full value chain of carbon removal.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Also in the U.S., SLB Capturi has secured funding from the U.S. Department of Energys Office of Clean Energy Demonstrations for the first phase of two carbon capture projects. These projects, which commenced in August 2024 with a FEED study, involve deploying carbon capture systems at Basin Electrics Dry Fork Station in Wyoming and International Papers Vicksburg Containerboard Mill in Mississippi. The projects are undertaken in partnership with TDA Research for the Wyoming project and with RTI International, International Paper, and Amazon, for the Mississippi project. The combined aim of these projects is to capture 278,000 metric tons of CO2 annually, demonstrating the potential of early-stage carbon capture technologies for achieving significant emissions reductions.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Norway, SLB launched a well integrity assessment solution that simplifies carbon storage site selection and evaluation by quantifying well integrity risks in mature or retired oil and gas fields. SLBs solution incorporates advanced failure mode, effects, and criticality analysis to assess potential leakage pathways, well barriers, failure mechanisms, and resulting consequences; helping customers understand the risks associated with each well, inform remediation strategies, and, ultimately, estimate project viability.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FINANCIAL TABLES </w:t>
      </w:r>
    </w:p>
    <w:p>
      <w:pPr>
        <w:pStyle w:val="TextBody"/>
        <w:bidi w:val="0"/>
        <w:spacing w:before="120" w:after="0"/>
        <w:jc w:val="left"/>
        <w:rPr>
          <w:rFonts w:ascii="ARIAL" w:hAnsi="ARIAL"/>
          <w:b/>
          <w:sz w:val="20"/>
        </w:rPr>
      </w:pPr>
      <w:r>
        <w:rPr>
          <w:rFonts w:ascii="ARIAL" w:hAnsi="ARIAL"/>
          <w:b/>
          <w:sz w:val="20"/>
        </w:rPr>
        <w:t xml:space="preserve">Condensed Consolidated Statement of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2"/>
        <w:gridCol w:w="143"/>
        <w:gridCol w:w="165"/>
        <w:gridCol w:w="666"/>
        <w:gridCol w:w="70"/>
        <w:gridCol w:w="160"/>
        <w:gridCol w:w="165"/>
        <w:gridCol w:w="666"/>
        <w:gridCol w:w="70"/>
        <w:gridCol w:w="160"/>
        <w:gridCol w:w="164"/>
        <w:gridCol w:w="827"/>
        <w:gridCol w:w="70"/>
        <w:gridCol w:w="160"/>
        <w:gridCol w:w="165"/>
        <w:gridCol w:w="835"/>
        <w:gridCol w:w="67"/>
      </w:tblGrid>
      <w:tr>
        <w:trPr/>
        <w:tc>
          <w:tcPr>
            <w:tcW w:w="5652"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6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343" w:type="dxa"/>
            <w:gridSpan w:val="14"/>
            <w:tcBorders/>
            <w:vAlign w:val="bottom"/>
          </w:tcPr>
          <w:p>
            <w:pPr>
              <w:pStyle w:val="TableContents"/>
              <w:bidi w:val="0"/>
              <w:spacing w:before="0" w:after="283"/>
              <w:jc w:val="right"/>
              <w:rPr/>
            </w:pPr>
            <w:r>
              <w:rPr/>
              <w:t>(Stated in millions, except per share amounts)</w:t>
            </w:r>
          </w:p>
        </w:tc>
        <w:tc>
          <w:tcPr>
            <w:tcW w:w="67"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92" w:type="dxa"/>
            <w:gridSpan w:val="6"/>
            <w:tcBorders>
              <w:bottom w:val="single" w:sz="8" w:space="0" w:color="000000"/>
            </w:tcBorders>
            <w:tcMar>
              <w:bottom w:w="28" w:type="dxa"/>
            </w:tcMar>
            <w:vAlign w:val="bottom"/>
          </w:tcPr>
          <w:p>
            <w:pPr>
              <w:pStyle w:val="TableContents"/>
              <w:bidi w:val="0"/>
              <w:spacing w:before="0" w:after="283"/>
              <w:jc w:val="center"/>
              <w:rPr/>
            </w:pPr>
            <w:r>
              <w:rPr/>
              <w:t>Third Quarter</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221" w:type="dxa"/>
            <w:gridSpan w:val="6"/>
            <w:tcBorders>
              <w:bottom w:val="single" w:sz="8" w:space="0" w:color="000000"/>
            </w:tcBorders>
            <w:tcMar>
              <w:bottom w:w="28" w:type="dxa"/>
            </w:tcMar>
            <w:vAlign w:val="bottom"/>
          </w:tcPr>
          <w:p>
            <w:pPr>
              <w:pStyle w:val="TableContents"/>
              <w:bidi w:val="0"/>
              <w:spacing w:before="0" w:after="283"/>
              <w:jc w:val="center"/>
              <w:rPr/>
            </w:pPr>
            <w:r>
              <w:rPr/>
              <w:t>Nine Months</w:t>
            </w:r>
          </w:p>
        </w:tc>
        <w:tc>
          <w:tcPr>
            <w:tcW w:w="67"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Periods Ended September 30,</w:t>
            </w:r>
          </w:p>
        </w:tc>
        <w:tc>
          <w:tcPr>
            <w:tcW w:w="143"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666" w:type="dxa"/>
            <w:tcBorders/>
            <w:shd w:fill="CCEEFF" w:val="clear"/>
            <w:vAlign w:val="bottom"/>
          </w:tcPr>
          <w:p>
            <w:pPr>
              <w:pStyle w:val="TableContents"/>
              <w:bidi w:val="0"/>
              <w:spacing w:before="0" w:after="283"/>
              <w:jc w:val="right"/>
              <w:rPr>
                <w:b/>
              </w:rPr>
            </w:pPr>
            <w:r>
              <w:rPr>
                <w:b/>
              </w:rPr>
              <w:t>9,159</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8,310</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b/>
              </w:rPr>
            </w:pPr>
            <w:r>
              <w:rPr>
                <w:b/>
              </w:rPr>
              <w:t>$</w:t>
            </w:r>
          </w:p>
        </w:tc>
        <w:tc>
          <w:tcPr>
            <w:tcW w:w="827" w:type="dxa"/>
            <w:tcBorders/>
            <w:shd w:fill="CCEEFF" w:val="clear"/>
            <w:vAlign w:val="bottom"/>
          </w:tcPr>
          <w:p>
            <w:pPr>
              <w:pStyle w:val="TableContents"/>
              <w:bidi w:val="0"/>
              <w:spacing w:before="0" w:after="283"/>
              <w:jc w:val="right"/>
              <w:rPr>
                <w:b/>
              </w:rPr>
            </w:pPr>
            <w:r>
              <w:rPr>
                <w:b/>
              </w:rPr>
              <w:t>27,005</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24,145</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Interest &amp; other income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96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73</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265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247</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Expenses</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652" w:type="dxa"/>
            <w:tcBorders/>
          </w:tcPr>
          <w:p>
            <w:pPr>
              <w:pStyle w:val="TableContents"/>
              <w:bidi w:val="0"/>
              <w:spacing w:before="0" w:after="0"/>
              <w:jc w:val="left"/>
              <w:rPr>
                <w:rFonts w:ascii="ARIAL" w:hAnsi="ARIAL"/>
                <w:sz w:val="20"/>
              </w:rPr>
            </w:pPr>
            <w:r>
              <w:rPr>
                <w:rFonts w:ascii="ARIAL" w:hAnsi="ARIAL"/>
                <w:sz w:val="20"/>
              </w:rPr>
              <w:t>Cost of revenue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7,237</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6,592</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21,506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19,378</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Research &amp; engineering</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187</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186</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557</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524</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General &amp; administrative</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90</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81</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305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268</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Merger &amp; integration (1)</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33</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60</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Restructuring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65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176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Interest</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136</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129</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381</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373</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Income before taxes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1,507</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1,395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4,285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3,849</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Tax expense (1)</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289</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259</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824</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722</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Net income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1,218</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1,136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3,461</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3,127</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noncontrolling interests (1)</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32</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13</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95</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36</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Net income attributable to SLB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1,186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1,123</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3,366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3,091</w:t>
            </w:r>
          </w:p>
        </w:tc>
        <w:tc>
          <w:tcPr>
            <w:tcW w:w="67"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Diluted earnings per share of SLB (1)</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666" w:type="dxa"/>
            <w:tcBorders/>
            <w:shd w:fill="CCEEFF" w:val="clear"/>
            <w:vAlign w:val="bottom"/>
          </w:tcPr>
          <w:p>
            <w:pPr>
              <w:pStyle w:val="TableContents"/>
              <w:bidi w:val="0"/>
              <w:spacing w:before="0" w:after="283"/>
              <w:jc w:val="right"/>
              <w:rPr>
                <w:b/>
              </w:rPr>
            </w:pPr>
            <w:r>
              <w:rPr>
                <w:b/>
              </w:rPr>
              <w:t>0.83</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0.78</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b/>
              </w:rPr>
            </w:pPr>
            <w:r>
              <w:rPr>
                <w:b/>
              </w:rPr>
              <w:t>$</w:t>
            </w:r>
          </w:p>
        </w:tc>
        <w:tc>
          <w:tcPr>
            <w:tcW w:w="827" w:type="dxa"/>
            <w:tcBorders/>
            <w:shd w:fill="CCEEFF" w:val="clear"/>
            <w:vAlign w:val="bottom"/>
          </w:tcPr>
          <w:p>
            <w:pPr>
              <w:pStyle w:val="TableContents"/>
              <w:bidi w:val="0"/>
              <w:spacing w:before="0" w:after="283"/>
              <w:jc w:val="right"/>
              <w:rPr>
                <w:b/>
              </w:rPr>
            </w:pPr>
            <w:r>
              <w:rPr>
                <w:b/>
              </w:rPr>
              <w:t>2.34</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2.14</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Average shares outstanding</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1,417</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1,424</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1,425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1,424</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Average shares outstanding assuming dilution</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1,432</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1,442</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1,441</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1,442</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Depreciation &amp; amortization included in expenses (2)</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640</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579</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1,871</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1,703</w:t>
            </w:r>
          </w:p>
        </w:tc>
        <w:tc>
          <w:tcPr>
            <w:tcW w:w="67"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Condensed Consolidated Balance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6"/>
        <w:gridCol w:w="381"/>
        <w:gridCol w:w="140"/>
        <w:gridCol w:w="736"/>
        <w:gridCol w:w="60"/>
        <w:gridCol w:w="381"/>
        <w:gridCol w:w="297"/>
        <w:gridCol w:w="1531"/>
        <w:gridCol w:w="63"/>
      </w:tblGrid>
      <w:tr>
        <w:trPr/>
        <w:tc>
          <w:tcPr>
            <w:tcW w:w="6616"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616"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828" w:type="dxa"/>
            <w:gridSpan w:val="2"/>
            <w:tcBorders/>
            <w:vAlign w:val="bottom"/>
          </w:tcPr>
          <w:p>
            <w:pPr>
              <w:pStyle w:val="TableContents"/>
              <w:bidi w:val="0"/>
              <w:spacing w:before="0" w:after="283"/>
              <w:jc w:val="center"/>
              <w:rPr/>
            </w:pPr>
            <w:r>
              <w:rPr/>
              <w:t>(Stated in millions)</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Assets</w:t>
            </w:r>
          </w:p>
        </w:tc>
        <w:tc>
          <w:tcPr>
            <w:tcW w:w="381"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2023</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Current Assets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53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616" w:type="dxa"/>
            <w:tcBorders/>
          </w:tcPr>
          <w:p>
            <w:pPr>
              <w:pStyle w:val="TableContents"/>
              <w:bidi w:val="0"/>
              <w:spacing w:before="0" w:after="0"/>
              <w:jc w:val="left"/>
              <w:rPr>
                <w:rFonts w:ascii="ARIAL" w:hAnsi="ARIAL"/>
                <w:sz w:val="20"/>
              </w:rPr>
            </w:pPr>
            <w:r>
              <w:rPr>
                <w:rFonts w:ascii="ARIAL" w:hAnsi="ARIAL"/>
                <w:sz w:val="20"/>
              </w:rPr>
              <w:t>Cash and short-term investments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36" w:type="dxa"/>
            <w:tcBorders/>
            <w:vAlign w:val="bottom"/>
          </w:tcPr>
          <w:p>
            <w:pPr>
              <w:pStyle w:val="TableContents"/>
              <w:bidi w:val="0"/>
              <w:spacing w:before="0" w:after="283"/>
              <w:jc w:val="right"/>
              <w:rPr>
                <w:b/>
              </w:rPr>
            </w:pPr>
            <w:r>
              <w:rPr>
                <w:b/>
              </w:rPr>
              <w:t>4,462</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3,989</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Receivables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8,260</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7,812</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Inventories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4,573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4,387</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Other current assets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1,506</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1,530</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18,801</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17,718</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Investment in affiliated companies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1,744</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1,624</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Fixed assets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7,360</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7,240</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Goodwill</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14,559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14,084</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Intangible assets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3,122</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3,239</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Other assets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4,189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4,052</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36" w:type="dxa"/>
            <w:tcBorders/>
            <w:vAlign w:val="bottom"/>
          </w:tcPr>
          <w:p>
            <w:pPr>
              <w:pStyle w:val="TableContents"/>
              <w:bidi w:val="0"/>
              <w:spacing w:before="0" w:after="283"/>
              <w:jc w:val="right"/>
              <w:rPr>
                <w:b/>
              </w:rPr>
            </w:pPr>
            <w:r>
              <w:rPr>
                <w:b/>
              </w:rPr>
              <w:t>49,775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47,957</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Liabilities and Equity</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53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616" w:type="dxa"/>
            <w:tcBorders/>
          </w:tcPr>
          <w:p>
            <w:pPr>
              <w:pStyle w:val="TableContents"/>
              <w:bidi w:val="0"/>
              <w:spacing w:before="0" w:after="0"/>
              <w:jc w:val="left"/>
              <w:rPr>
                <w:rFonts w:ascii="ARIAL" w:hAnsi="ARIAL"/>
                <w:sz w:val="20"/>
              </w:rPr>
            </w:pPr>
            <w:r>
              <w:rPr>
                <w:rFonts w:ascii="ARIAL" w:hAnsi="ARIAL"/>
                <w:sz w:val="20"/>
              </w:rPr>
              <w:t>Current Liabilities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153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Accounts payable and accrued liabilities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36" w:type="dxa"/>
            <w:tcBorders/>
            <w:shd w:fill="CCEEFF" w:val="clear"/>
            <w:vAlign w:val="bottom"/>
          </w:tcPr>
          <w:p>
            <w:pPr>
              <w:pStyle w:val="TableContents"/>
              <w:bidi w:val="0"/>
              <w:spacing w:before="0" w:after="283"/>
              <w:jc w:val="right"/>
              <w:rPr>
                <w:b/>
              </w:rPr>
            </w:pPr>
            <w:r>
              <w:rPr>
                <w:b/>
              </w:rPr>
              <w:t>10,346</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10,904</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Estimated liability for taxes on income</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888</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994</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Short-term borrowings and current portion of long-term debt</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1,059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1,123</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Dividends payable</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406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374</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12,699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13,395</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Long-term debt</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11,864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10,842</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Other liabilities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2,484</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2,361</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27,047</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26,598</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Equity</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22,728</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21,359</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36" w:type="dxa"/>
            <w:tcBorders/>
            <w:vAlign w:val="bottom"/>
          </w:tcPr>
          <w:p>
            <w:pPr>
              <w:pStyle w:val="TableContents"/>
              <w:bidi w:val="0"/>
              <w:spacing w:before="0" w:after="283"/>
              <w:jc w:val="right"/>
              <w:rPr>
                <w:b/>
              </w:rPr>
            </w:pPr>
            <w:r>
              <w:rPr>
                <w:b/>
              </w:rPr>
              <w:t>49,775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47,957</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Liquidity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24"/>
        <w:gridCol w:w="274"/>
        <w:gridCol w:w="140"/>
        <w:gridCol w:w="755"/>
        <w:gridCol w:w="155"/>
        <w:gridCol w:w="228"/>
        <w:gridCol w:w="140"/>
        <w:gridCol w:w="755"/>
        <w:gridCol w:w="155"/>
        <w:gridCol w:w="228"/>
        <w:gridCol w:w="140"/>
        <w:gridCol w:w="755"/>
        <w:gridCol w:w="155"/>
        <w:gridCol w:w="228"/>
        <w:gridCol w:w="140"/>
        <w:gridCol w:w="755"/>
        <w:gridCol w:w="161"/>
      </w:tblGrid>
      <w:tr>
        <w:trPr/>
        <w:tc>
          <w:tcPr>
            <w:tcW w:w="4224"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173" w:type="dxa"/>
            <w:gridSpan w:val="6"/>
            <w:tcBorders/>
            <w:vAlign w:val="bottom"/>
          </w:tcPr>
          <w:p>
            <w:pPr>
              <w:pStyle w:val="TableContents"/>
              <w:bidi w:val="0"/>
              <w:spacing w:before="0" w:after="20"/>
              <w:jc w:val="center"/>
              <w:rPr>
                <w:rFonts w:ascii="ARIAL" w:hAnsi="ARIAL"/>
                <w:sz w:val="16"/>
              </w:rPr>
            </w:pPr>
            <w:r>
              <w:rPr>
                <w:rFonts w:ascii="ARIAL" w:hAnsi="ARIAL"/>
                <w:sz w:val="16"/>
              </w:rPr>
              <w:t>(Stated in millions)</w:t>
            </w:r>
          </w:p>
        </w:tc>
        <w:tc>
          <w:tcPr>
            <w:tcW w:w="161" w:type="dxa"/>
            <w:tcBorders/>
            <w:vAlign w:val="bottom"/>
          </w:tcPr>
          <w:p>
            <w:pPr>
              <w:pStyle w:val="TableContents"/>
              <w:bidi w:val="0"/>
              <w:spacing w:before="0" w:after="283"/>
              <w:jc w:val="left"/>
              <w:rPr/>
            </w:pPr>
            <w:r>
              <w:rPr/>
              <w:t> </w:t>
            </w:r>
          </w:p>
        </w:tc>
      </w:tr>
      <w:tr>
        <w:trPr/>
        <w:tc>
          <w:tcPr>
            <w:tcW w:w="4224"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Components of Liquidity</w:t>
            </w:r>
          </w:p>
        </w:tc>
        <w:tc>
          <w:tcPr>
            <w:tcW w:w="274"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2023</w:t>
            </w:r>
          </w:p>
        </w:tc>
        <w:tc>
          <w:tcPr>
            <w:tcW w:w="161" w:type="dxa"/>
            <w:tcBorders/>
            <w:vAlign w:val="bottom"/>
          </w:tcPr>
          <w:p>
            <w:pPr>
              <w:pStyle w:val="TableContents"/>
              <w:bidi w:val="0"/>
              <w:spacing w:before="0" w:after="283"/>
              <w:jc w:val="left"/>
              <w:rPr/>
            </w:pPr>
            <w:r>
              <w:rPr/>
              <w:t> </w:t>
            </w:r>
          </w:p>
        </w:tc>
      </w:tr>
      <w:tr>
        <w:trPr/>
        <w:tc>
          <w:tcPr>
            <w:tcW w:w="4224" w:type="dxa"/>
            <w:tcBorders/>
            <w:shd w:fill="CCEEFF" w:val="clear"/>
          </w:tcPr>
          <w:p>
            <w:pPr>
              <w:pStyle w:val="TableContents"/>
              <w:bidi w:val="0"/>
              <w:spacing w:before="0" w:after="0"/>
              <w:jc w:val="left"/>
              <w:rPr>
                <w:rFonts w:ascii="ARIAL" w:hAnsi="ARIAL"/>
                <w:sz w:val="20"/>
              </w:rPr>
            </w:pPr>
            <w:r>
              <w:rPr>
                <w:rFonts w:ascii="ARIAL" w:hAnsi="ARIAL"/>
                <w:sz w:val="20"/>
              </w:rPr>
              <w:t>Cash and short-term investments</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5" w:type="dxa"/>
            <w:tcBorders/>
            <w:shd w:fill="CCEEFF" w:val="clear"/>
            <w:vAlign w:val="bottom"/>
          </w:tcPr>
          <w:p>
            <w:pPr>
              <w:pStyle w:val="TableContents"/>
              <w:bidi w:val="0"/>
              <w:spacing w:before="0" w:after="283"/>
              <w:jc w:val="right"/>
              <w:rPr>
                <w:b/>
              </w:rPr>
            </w:pPr>
            <w:r>
              <w:rPr>
                <w:b/>
              </w:rPr>
              <w:t>4,462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4,003</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3,735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3,989</w:t>
            </w:r>
          </w:p>
        </w:tc>
        <w:tc>
          <w:tcPr>
            <w:tcW w:w="161" w:type="dxa"/>
            <w:tcBorders/>
            <w:shd w:fill="CCEEFF" w:val="clear"/>
            <w:vAlign w:val="bottom"/>
          </w:tcPr>
          <w:p>
            <w:pPr>
              <w:pStyle w:val="TableContents"/>
              <w:bidi w:val="0"/>
              <w:spacing w:before="0" w:after="283"/>
              <w:jc w:val="left"/>
              <w:rPr/>
            </w:pPr>
            <w:r>
              <w:rPr/>
              <w:t> </w:t>
            </w:r>
          </w:p>
        </w:tc>
      </w:tr>
      <w:tr>
        <w:trPr/>
        <w:tc>
          <w:tcPr>
            <w:tcW w:w="4224" w:type="dxa"/>
            <w:tcBorders/>
          </w:tcPr>
          <w:p>
            <w:pPr>
              <w:pStyle w:val="TableContents"/>
              <w:bidi w:val="0"/>
              <w:spacing w:before="0" w:after="0"/>
              <w:jc w:val="left"/>
              <w:rPr>
                <w:rFonts w:ascii="ARIAL" w:hAnsi="ARIAL"/>
                <w:sz w:val="20"/>
              </w:rPr>
            </w:pPr>
            <w:r>
              <w:rPr>
                <w:rFonts w:ascii="ARIAL" w:hAnsi="ARIAL"/>
                <w:sz w:val="20"/>
              </w:rPr>
              <w:t>Short-term borrowings and current portion of long-term debt</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(1,059</w:t>
            </w:r>
          </w:p>
        </w:tc>
        <w:tc>
          <w:tcPr>
            <w:tcW w:w="155" w:type="dxa"/>
            <w:tcBorders/>
            <w:vAlign w:val="bottom"/>
          </w:tcPr>
          <w:p>
            <w:pPr>
              <w:pStyle w:val="TableContents"/>
              <w:bidi w:val="0"/>
              <w:spacing w:before="0" w:after="283"/>
              <w:jc w:val="left"/>
              <w:rPr/>
            </w:pPr>
            <w:r>
              <w:rPr>
                <w:b/>
              </w:rPr>
              <w:t>)</w:t>
            </w: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(1,033</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(1,998</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(1,123</w:t>
            </w:r>
          </w:p>
        </w:tc>
        <w:tc>
          <w:tcPr>
            <w:tcW w:w="161" w:type="dxa"/>
            <w:tcBorders/>
            <w:vAlign w:val="bottom"/>
          </w:tcPr>
          <w:p>
            <w:pPr>
              <w:pStyle w:val="TableContents"/>
              <w:bidi w:val="0"/>
              <w:spacing w:before="0" w:after="283"/>
              <w:jc w:val="left"/>
              <w:rPr/>
            </w:pPr>
            <w:r>
              <w:rPr/>
              <w:t>) </w:t>
            </w:r>
          </w:p>
        </w:tc>
      </w:tr>
      <w:tr>
        <w:trPr/>
        <w:tc>
          <w:tcPr>
            <w:tcW w:w="4224" w:type="dxa"/>
            <w:tcBorders/>
            <w:shd w:fill="CCEEFF" w:val="clear"/>
          </w:tcPr>
          <w:p>
            <w:pPr>
              <w:pStyle w:val="TableContents"/>
              <w:bidi w:val="0"/>
              <w:spacing w:before="0" w:after="0"/>
              <w:jc w:val="left"/>
              <w:rPr>
                <w:rFonts w:ascii="ARIAL" w:hAnsi="ARIAL"/>
                <w:sz w:val="20"/>
              </w:rPr>
            </w:pPr>
            <w:r>
              <w:rPr>
                <w:rFonts w:ascii="ARIAL" w:hAnsi="ARIAL"/>
                <w:sz w:val="20"/>
              </w:rPr>
              <w:t>Long-term debt</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(11,864</w:t>
            </w:r>
          </w:p>
        </w:tc>
        <w:tc>
          <w:tcPr>
            <w:tcW w:w="155" w:type="dxa"/>
            <w:tcBorders/>
            <w:shd w:fill="CCEEFF" w:val="clear"/>
            <w:vAlign w:val="bottom"/>
          </w:tcPr>
          <w:p>
            <w:pPr>
              <w:pStyle w:val="TableContents"/>
              <w:bidi w:val="0"/>
              <w:spacing w:before="0" w:after="283"/>
              <w:jc w:val="left"/>
              <w:rPr/>
            </w:pPr>
            <w:r>
              <w:rPr>
                <w:b/>
              </w:rPr>
              <w:t>)</w:t>
            </w: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(12,156</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(11,147</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(10,842</w:t>
            </w:r>
          </w:p>
        </w:tc>
        <w:tc>
          <w:tcPr>
            <w:tcW w:w="161" w:type="dxa"/>
            <w:tcBorders/>
            <w:shd w:fill="CCEEFF" w:val="clear"/>
            <w:vAlign w:val="bottom"/>
          </w:tcPr>
          <w:p>
            <w:pPr>
              <w:pStyle w:val="TableContents"/>
              <w:bidi w:val="0"/>
              <w:spacing w:before="0" w:after="283"/>
              <w:jc w:val="left"/>
              <w:rPr/>
            </w:pPr>
            <w:r>
              <w:rPr/>
              <w:t>) </w:t>
            </w:r>
          </w:p>
        </w:tc>
      </w:tr>
      <w:tr>
        <w:trPr/>
        <w:tc>
          <w:tcPr>
            <w:tcW w:w="42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24" w:type="dxa"/>
            <w:tcBorders/>
          </w:tcPr>
          <w:p>
            <w:pPr>
              <w:pStyle w:val="TableContents"/>
              <w:bidi w:val="0"/>
              <w:spacing w:before="0" w:after="0"/>
              <w:jc w:val="left"/>
              <w:rPr>
                <w:rFonts w:ascii="ARIAL" w:hAnsi="ARIAL"/>
                <w:sz w:val="20"/>
              </w:rPr>
            </w:pPr>
            <w:r>
              <w:rPr>
                <w:rFonts w:ascii="ARIAL" w:hAnsi="ARIAL"/>
                <w:sz w:val="20"/>
              </w:rPr>
              <w:t>Net Debt(1)</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5" w:type="dxa"/>
            <w:tcBorders/>
            <w:vAlign w:val="bottom"/>
          </w:tcPr>
          <w:p>
            <w:pPr>
              <w:pStyle w:val="TableContents"/>
              <w:bidi w:val="0"/>
              <w:spacing w:before="0" w:after="283"/>
              <w:jc w:val="right"/>
              <w:rPr>
                <w:b/>
              </w:rPr>
            </w:pPr>
            <w:r>
              <w:rPr>
                <w:b/>
              </w:rPr>
              <w:t>(8,461</w:t>
            </w:r>
          </w:p>
        </w:tc>
        <w:tc>
          <w:tcPr>
            <w:tcW w:w="155" w:type="dxa"/>
            <w:tcBorders/>
            <w:vAlign w:val="bottom"/>
          </w:tcPr>
          <w:p>
            <w:pPr>
              <w:pStyle w:val="TableContents"/>
              <w:bidi w:val="0"/>
              <w:spacing w:before="0" w:after="283"/>
              <w:jc w:val="left"/>
              <w:rPr/>
            </w:pPr>
            <w:r>
              <w:rPr>
                <w:b/>
              </w:rPr>
              <w:t>)</w:t>
            </w: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(9,186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(9,410</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(7,976</w:t>
            </w:r>
          </w:p>
        </w:tc>
        <w:tc>
          <w:tcPr>
            <w:tcW w:w="161" w:type="dxa"/>
            <w:tcBorders/>
            <w:vAlign w:val="bottom"/>
          </w:tcPr>
          <w:p>
            <w:pPr>
              <w:pStyle w:val="TableContents"/>
              <w:bidi w:val="0"/>
              <w:spacing w:before="0" w:after="283"/>
              <w:jc w:val="left"/>
              <w:rPr/>
            </w:pPr>
            <w:r>
              <w:rPr/>
              <w:t>) </w:t>
            </w:r>
          </w:p>
        </w:tc>
      </w:tr>
      <w:tr>
        <w:trPr/>
        <w:tc>
          <w:tcPr>
            <w:tcW w:w="42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Details of changes in liquidity follow: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82"/>
        <w:gridCol w:w="269"/>
        <w:gridCol w:w="144"/>
        <w:gridCol w:w="698"/>
        <w:gridCol w:w="155"/>
        <w:gridCol w:w="226"/>
        <w:gridCol w:w="152"/>
        <w:gridCol w:w="728"/>
        <w:gridCol w:w="155"/>
        <w:gridCol w:w="226"/>
        <w:gridCol w:w="140"/>
        <w:gridCol w:w="638"/>
        <w:gridCol w:w="159"/>
      </w:tblGrid>
      <w:tr>
        <w:trPr/>
        <w:tc>
          <w:tcPr>
            <w:tcW w:w="4882"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82"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Periods Ended September 30,</w:t>
            </w:r>
          </w:p>
        </w:tc>
        <w:tc>
          <w:tcPr>
            <w:tcW w:w="269" w:type="dxa"/>
            <w:tcBorders/>
            <w:vAlign w:val="bottom"/>
          </w:tcPr>
          <w:p>
            <w:pPr>
              <w:pStyle w:val="TableContents"/>
              <w:bidi w:val="0"/>
              <w:spacing w:before="0" w:after="283"/>
              <w:jc w:val="left"/>
              <w:rPr/>
            </w:pPr>
            <w:r>
              <w:rPr/>
              <w:t>  </w:t>
            </w:r>
          </w:p>
        </w:tc>
        <w:tc>
          <w:tcPr>
            <w:tcW w:w="8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w:t>
              <w:br/>
              <w:t>Months</w:t>
              <w:br/>
              <w:t>2024</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w:t>
              <w:br/>
              <w:t>Quarter</w:t>
              <w:br/>
              <w:t>2024</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t>Nine</w:t>
              <w:br/>
              <w:t>Months</w:t>
              <w:br/>
              <w:t>2023</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Net income</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698" w:type="dxa"/>
            <w:tcBorders/>
            <w:shd w:fill="CCEEFF" w:val="clear"/>
            <w:vAlign w:val="bottom"/>
          </w:tcPr>
          <w:p>
            <w:pPr>
              <w:pStyle w:val="TableContents"/>
              <w:bidi w:val="0"/>
              <w:spacing w:before="0" w:after="283"/>
              <w:jc w:val="right"/>
              <w:rPr>
                <w:b/>
              </w:rPr>
            </w:pPr>
            <w:r>
              <w:rPr>
                <w:b/>
              </w:rPr>
              <w:t>3,461</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728" w:type="dxa"/>
            <w:tcBorders/>
            <w:shd w:fill="CCEEFF" w:val="clear"/>
            <w:vAlign w:val="bottom"/>
          </w:tcPr>
          <w:p>
            <w:pPr>
              <w:pStyle w:val="TableContents"/>
              <w:bidi w:val="0"/>
              <w:spacing w:before="0" w:after="283"/>
              <w:jc w:val="right"/>
              <w:rPr>
                <w:b/>
              </w:rPr>
            </w:pPr>
            <w:r>
              <w:rPr>
                <w:b/>
              </w:rPr>
              <w:t>1,218</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3,127</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Charges and credits, net of tax (2)</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231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92</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(28</w:t>
            </w:r>
          </w:p>
        </w:tc>
        <w:tc>
          <w:tcPr>
            <w:tcW w:w="159" w:type="dxa"/>
            <w:tcBorders/>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shd w:fill="CCEEFF" w:val="clear"/>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3,692</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1,310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3,099</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Depreciation and amortization (3)</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1,871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640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1,703</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Stock-based compensation expense</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244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71</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218</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Change in working capital</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(1,731</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313</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(1,353</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Other</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136</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(52</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b/>
                <w:sz w:val="20"/>
              </w:rPr>
            </w:pPr>
            <w:r>
              <w:rPr>
                <w:rFonts w:ascii="ARIAL" w:hAnsi="ARIAL"/>
                <w:b/>
                <w:sz w:val="20"/>
              </w:rPr>
              <w:t xml:space="preserve">Cash flow from operations </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4,212</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2,449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3,615</w:t>
            </w:r>
          </w:p>
        </w:tc>
        <w:tc>
          <w:tcPr>
            <w:tcW w:w="159" w:type="dxa"/>
            <w:tcBorders/>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Capital expenditures</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(1,322</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(460</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(1,345</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APS investments</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(390</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(134</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(391</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Exploration data capitalized</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(141</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(50</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(121</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b/>
                <w:sz w:val="20"/>
              </w:rPr>
              <w:t>Free cash flow</w:t>
            </w:r>
            <w:r>
              <w:rPr>
                <w:rFonts w:ascii="ARIAL" w:hAnsi="ARIAL"/>
                <w:sz w:val="20"/>
              </w:rPr>
              <w:t xml:space="preserve"> (4)</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2,359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1,805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1,758</w:t>
            </w:r>
          </w:p>
        </w:tc>
        <w:tc>
          <w:tcPr>
            <w:tcW w:w="159" w:type="dxa"/>
            <w:tcBorders/>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Dividends paid</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(1,144</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(393</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(961</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Stock repurchase program</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(1,236</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(501</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(594</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from employee stock plans</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244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124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276</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Business acquisitions and investments, net of cash acquired</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(552</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(47</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(280</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Purchases of Blue Chip Swap securities</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(136</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(60</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(169</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Proceeds from sale of Blue Chip Swap securities</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92</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41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91</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from sale of Liberty shares</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137</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Taxes paid on net settled stock-based compensation awards</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(86</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(8</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(162</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Other</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(12</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(194</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b/>
                <w:sz w:val="20"/>
              </w:rPr>
            </w:pPr>
            <w:r>
              <w:rPr>
                <w:rFonts w:ascii="ARIAL" w:hAnsi="ARIAL"/>
                <w:b/>
                <w:sz w:val="20"/>
              </w:rPr>
              <w:t>(Increase) decrease in net debt before impact of changes in foreign exchange rates</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(432</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949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(98</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Impact of changes in foreign exchange rates on net debt</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(53</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(224</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20</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b/>
                <w:sz w:val="20"/>
              </w:rPr>
            </w:pPr>
            <w:r>
              <w:rPr>
                <w:rFonts w:ascii="ARIAL" w:hAnsi="ARIAL"/>
                <w:b/>
                <w:sz w:val="20"/>
              </w:rPr>
              <w:t>(Increase) decrease in Net Debt</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(485</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725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(78</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Net Debt, beginning of period</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(7,976</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(9,186</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(9,332</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b/>
                <w:sz w:val="20"/>
              </w:rPr>
            </w:pPr>
            <w:r>
              <w:rPr>
                <w:rFonts w:ascii="ARIAL" w:hAnsi="ARIAL"/>
                <w:b/>
                <w:sz w:val="20"/>
              </w:rPr>
              <w:t>Net Debt, end of period</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698" w:type="dxa"/>
            <w:tcBorders/>
            <w:vAlign w:val="bottom"/>
          </w:tcPr>
          <w:p>
            <w:pPr>
              <w:pStyle w:val="TableContents"/>
              <w:bidi w:val="0"/>
              <w:spacing w:before="0" w:after="283"/>
              <w:jc w:val="right"/>
              <w:rPr>
                <w:b/>
              </w:rPr>
            </w:pPr>
            <w:r>
              <w:rPr>
                <w:b/>
              </w:rPr>
              <w:t>(8,461</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728" w:type="dxa"/>
            <w:tcBorders/>
            <w:vAlign w:val="bottom"/>
          </w:tcPr>
          <w:p>
            <w:pPr>
              <w:pStyle w:val="TableContents"/>
              <w:bidi w:val="0"/>
              <w:spacing w:before="0" w:after="283"/>
              <w:jc w:val="right"/>
              <w:rPr>
                <w:b/>
              </w:rPr>
            </w:pPr>
            <w:r>
              <w:rPr>
                <w:b/>
              </w:rPr>
              <w:t>(8,461</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(9,410</w:t>
            </w:r>
          </w:p>
        </w:tc>
        <w:tc>
          <w:tcPr>
            <w:tcW w:w="159" w:type="dxa"/>
            <w:tcBorders/>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Charges &amp; Credits </w:t>
      </w:r>
    </w:p>
    <w:p>
      <w:pPr>
        <w:pStyle w:val="TextBody"/>
        <w:bidi w:val="0"/>
        <w:spacing w:before="120" w:after="0"/>
        <w:jc w:val="left"/>
        <w:rPr>
          <w:rFonts w:ascii="ARIAL" w:hAnsi="ARIAL"/>
          <w:sz w:val="20"/>
        </w:rPr>
      </w:pPr>
      <w:r>
        <w:rPr>
          <w:rFonts w:ascii="ARIAL" w:hAnsi="ARIAL"/>
          <w:sz w:val="20"/>
        </w:rPr>
        <w:t xml:space="preserve">In addition to financial results determined in accordance with U.S. generally accepted accounting principles (GAAP), this third-quarter 2024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4"/>
        <w:gridCol w:w="182"/>
        <w:gridCol w:w="140"/>
        <w:gridCol w:w="575"/>
        <w:gridCol w:w="60"/>
        <w:gridCol w:w="182"/>
        <w:gridCol w:w="216"/>
        <w:gridCol w:w="599"/>
        <w:gridCol w:w="92"/>
        <w:gridCol w:w="240"/>
        <w:gridCol w:w="319"/>
        <w:gridCol w:w="600"/>
        <w:gridCol w:w="92"/>
        <w:gridCol w:w="240"/>
        <w:gridCol w:w="216"/>
        <w:gridCol w:w="884"/>
        <w:gridCol w:w="92"/>
        <w:gridCol w:w="240"/>
        <w:gridCol w:w="216"/>
        <w:gridCol w:w="688"/>
        <w:gridCol w:w="68"/>
      </w:tblGrid>
      <w:tr>
        <w:trPr/>
        <w:tc>
          <w:tcPr>
            <w:tcW w:w="4264"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26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4734" w:type="dxa"/>
            <w:gridSpan w:val="14"/>
            <w:tcBorders/>
            <w:vAlign w:val="bottom"/>
          </w:tcPr>
          <w:p>
            <w:pPr>
              <w:pStyle w:val="TableContents"/>
              <w:bidi w:val="0"/>
              <w:spacing w:before="0" w:after="283"/>
              <w:jc w:val="right"/>
              <w:rPr/>
            </w:pPr>
            <w:r>
              <w:rPr/>
              <w:t>(Stated in millions, except per share amounts)</w:t>
            </w:r>
          </w:p>
        </w:tc>
        <w:tc>
          <w:tcPr>
            <w:tcW w:w="68"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69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Third Quarter 2024</w:t>
            </w:r>
          </w:p>
        </w:tc>
        <w:tc>
          <w:tcPr>
            <w:tcW w:w="68"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8"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ARIAL" w:hAnsi="ARIAL"/>
                <w:sz w:val="20"/>
              </w:rPr>
            </w:pPr>
            <w:r>
              <w:rPr>
                <w:rFonts w:ascii="ARIAL" w:hAnsi="ARIAL"/>
                <w:sz w:val="20"/>
              </w:rPr>
              <w:t>SLB net income (GAAP basis)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1,507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599" w:type="dxa"/>
            <w:tcBorders/>
            <w:shd w:fill="CCEEFF" w:val="clear"/>
            <w:vAlign w:val="bottom"/>
          </w:tcPr>
          <w:p>
            <w:pPr>
              <w:pStyle w:val="TableContents"/>
              <w:bidi w:val="0"/>
              <w:spacing w:before="0" w:after="283"/>
              <w:jc w:val="right"/>
              <w:rPr/>
            </w:pPr>
            <w:r>
              <w:rPr/>
              <w:t>289</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600" w:type="dxa"/>
            <w:tcBorders/>
            <w:shd w:fill="CCEEFF" w:val="clear"/>
            <w:vAlign w:val="bottom"/>
          </w:tcPr>
          <w:p>
            <w:pPr>
              <w:pStyle w:val="TableContents"/>
              <w:bidi w:val="0"/>
              <w:spacing w:before="0" w:after="283"/>
              <w:jc w:val="right"/>
              <w:rPr/>
            </w:pPr>
            <w:r>
              <w:rPr/>
              <w:t>32</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1,186</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0.83</w:t>
            </w:r>
          </w:p>
        </w:tc>
        <w:tc>
          <w:tcPr>
            <w:tcW w:w="68"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ARIAL" w:hAnsi="ARIAL"/>
                <w:sz w:val="20"/>
              </w:rPr>
            </w:pPr>
            <w:r>
              <w:rPr>
                <w:rFonts w:ascii="ARIAL" w:hAnsi="ARIAL"/>
                <w:sz w:val="20"/>
              </w:rPr>
              <w:t>Restructuring (1)</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10</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55</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0.04</w:t>
            </w:r>
          </w:p>
        </w:tc>
        <w:tc>
          <w:tcPr>
            <w:tcW w:w="68"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ARIAL" w:hAnsi="ARIAL"/>
                <w:sz w:val="20"/>
              </w:rPr>
            </w:pPr>
            <w:r>
              <w:rPr>
                <w:rFonts w:ascii="ARIAL" w:hAnsi="ARIAL"/>
                <w:sz w:val="20"/>
              </w:rPr>
              <w:t>Merger &amp; integration (2)</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10</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right"/>
              <w:rPr/>
            </w:pPr>
            <w:r>
              <w:rPr/>
              <w:t>7</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30</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0.02</w:t>
            </w:r>
          </w:p>
        </w:tc>
        <w:tc>
          <w:tcPr>
            <w:tcW w:w="68" w:type="dxa"/>
            <w:tcBorders/>
            <w:shd w:fill="CCEEFF" w:val="clear"/>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599"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single" w:sz="2" w:space="1" w:color="000000"/>
              </w:pBdr>
              <w:bidi w:val="0"/>
              <w:spacing w:before="0" w:after="0"/>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ARIAL" w:hAnsi="ARIAL"/>
                <w:sz w:val="20"/>
              </w:rPr>
            </w:pPr>
            <w:r>
              <w:rPr>
                <w:rFonts w:ascii="ARIAL" w:hAnsi="ARIAL"/>
                <w:sz w:val="20"/>
              </w:rPr>
              <w:t>SLB net income, excluding charges &amp; credits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1,619</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599" w:type="dxa"/>
            <w:tcBorders/>
            <w:vAlign w:val="bottom"/>
          </w:tcPr>
          <w:p>
            <w:pPr>
              <w:pStyle w:val="TableContents"/>
              <w:bidi w:val="0"/>
              <w:spacing w:before="0" w:after="283"/>
              <w:jc w:val="right"/>
              <w:rPr/>
            </w:pPr>
            <w:r>
              <w:rPr/>
              <w:t>309</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600" w:type="dxa"/>
            <w:tcBorders/>
            <w:vAlign w:val="bottom"/>
          </w:tcPr>
          <w:p>
            <w:pPr>
              <w:pStyle w:val="TableContents"/>
              <w:bidi w:val="0"/>
              <w:spacing w:before="0" w:after="283"/>
              <w:jc w:val="right"/>
              <w:rPr/>
            </w:pPr>
            <w:r>
              <w:rPr/>
              <w:t>39</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1,271</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0.89</w:t>
            </w:r>
          </w:p>
        </w:tc>
        <w:tc>
          <w:tcPr>
            <w:tcW w:w="68"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599" w:type="dxa"/>
            <w:tcBorders/>
            <w:vAlign w:val="bottom"/>
          </w:tcPr>
          <w:p>
            <w:pPr>
              <w:pStyle w:val="TableContents"/>
              <w:pBdr>
                <w:top w:val="double" w:sz="6"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double" w:sz="6" w:space="1" w:color="000000"/>
              </w:pBdr>
              <w:bidi w:val="0"/>
              <w:spacing w:before="0" w:after="0"/>
              <w:jc w:val="left"/>
              <w:rPr/>
            </w:pPr>
            <w:r>
              <w:rPr/>
              <w:t> </w:t>
            </w:r>
          </w:p>
        </w:tc>
        <w:tc>
          <w:tcPr>
            <w:tcW w:w="600" w:type="dxa"/>
            <w:tcBorders/>
            <w:vAlign w:val="bottom"/>
          </w:tcPr>
          <w:p>
            <w:pPr>
              <w:pStyle w:val="TableContents"/>
              <w:pBdr>
                <w:top w:val="double" w:sz="6"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4"/>
        <w:gridCol w:w="207"/>
        <w:gridCol w:w="140"/>
        <w:gridCol w:w="588"/>
        <w:gridCol w:w="60"/>
        <w:gridCol w:w="207"/>
        <w:gridCol w:w="140"/>
        <w:gridCol w:w="381"/>
        <w:gridCol w:w="60"/>
        <w:gridCol w:w="207"/>
        <w:gridCol w:w="325"/>
        <w:gridCol w:w="614"/>
        <w:gridCol w:w="60"/>
        <w:gridCol w:w="207"/>
        <w:gridCol w:w="140"/>
        <w:gridCol w:w="588"/>
        <w:gridCol w:w="60"/>
        <w:gridCol w:w="207"/>
        <w:gridCol w:w="175"/>
        <w:gridCol w:w="580"/>
        <w:gridCol w:w="65"/>
      </w:tblGrid>
      <w:tr>
        <w:trPr/>
        <w:tc>
          <w:tcPr>
            <w:tcW w:w="5194"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9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73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Second Quarter 2024</w:t>
            </w:r>
          </w:p>
        </w:tc>
        <w:tc>
          <w:tcPr>
            <w:tcW w:w="65" w:type="dxa"/>
            <w:tcBorders/>
            <w:vAlign w:val="bottom"/>
          </w:tcPr>
          <w:p>
            <w:pPr>
              <w:pStyle w:val="TableContents"/>
              <w:bidi w:val="0"/>
              <w:spacing w:before="0" w:after="283"/>
              <w:jc w:val="left"/>
              <w:rPr/>
            </w:pPr>
            <w:r>
              <w:rPr/>
              <w:t> </w:t>
            </w:r>
          </w:p>
        </w:tc>
      </w:tr>
      <w:tr>
        <w:trPr/>
        <w:tc>
          <w:tcPr>
            <w:tcW w:w="519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5" w:type="dxa"/>
            <w:tcBorders/>
            <w:vAlign w:val="bottom"/>
          </w:tcPr>
          <w:p>
            <w:pPr>
              <w:pStyle w:val="TableContents"/>
              <w:bidi w:val="0"/>
              <w:spacing w:before="0" w:after="283"/>
              <w:jc w:val="left"/>
              <w:rPr/>
            </w:pPr>
            <w:r>
              <w:rPr/>
              <w:t> </w:t>
            </w:r>
          </w:p>
        </w:tc>
      </w:tr>
      <w:tr>
        <w:trPr/>
        <w:tc>
          <w:tcPr>
            <w:tcW w:w="5194" w:type="dxa"/>
            <w:tcBorders/>
            <w:shd w:fill="CCEEFF" w:val="clear"/>
          </w:tcPr>
          <w:p>
            <w:pPr>
              <w:pStyle w:val="TableContents"/>
              <w:bidi w:val="0"/>
              <w:spacing w:before="0" w:after="0"/>
              <w:jc w:val="left"/>
              <w:rPr>
                <w:rFonts w:ascii="ARIAL" w:hAnsi="ARIAL"/>
                <w:sz w:val="20"/>
              </w:rPr>
            </w:pPr>
            <w:r>
              <w:rPr>
                <w:rFonts w:ascii="ARIAL" w:hAnsi="ARIAL"/>
                <w:sz w:val="20"/>
              </w:rPr>
              <w:t>SLB net income (GAAP basis)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1,421</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276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1,112</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0.77</w:t>
            </w:r>
          </w:p>
        </w:tc>
        <w:tc>
          <w:tcPr>
            <w:tcW w:w="65" w:type="dxa"/>
            <w:tcBorders/>
            <w:shd w:fill="CCEEFF" w:val="clear"/>
            <w:vAlign w:val="bottom"/>
          </w:tcPr>
          <w:p>
            <w:pPr>
              <w:pStyle w:val="TableContents"/>
              <w:bidi w:val="0"/>
              <w:spacing w:before="0" w:after="283"/>
              <w:jc w:val="left"/>
              <w:rPr/>
            </w:pPr>
            <w:r>
              <w:rPr/>
              <w:t> </w:t>
            </w:r>
          </w:p>
        </w:tc>
      </w:tr>
      <w:tr>
        <w:trPr/>
        <w:tc>
          <w:tcPr>
            <w:tcW w:w="5194" w:type="dxa"/>
            <w:tcBorders/>
          </w:tcPr>
          <w:p>
            <w:pPr>
              <w:pStyle w:val="TableContents"/>
              <w:bidi w:val="0"/>
              <w:spacing w:before="0" w:after="0"/>
              <w:jc w:val="left"/>
              <w:rPr>
                <w:rFonts w:ascii="ARIAL" w:hAnsi="ARIAL"/>
                <w:sz w:val="20"/>
              </w:rPr>
            </w:pPr>
            <w:r>
              <w:rPr>
                <w:rFonts w:ascii="ARIAL" w:hAnsi="ARIAL"/>
                <w:sz w:val="20"/>
              </w:rPr>
              <w:t>Restructuring (1)</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0.07</w:t>
            </w:r>
          </w:p>
        </w:tc>
        <w:tc>
          <w:tcPr>
            <w:tcW w:w="65" w:type="dxa"/>
            <w:tcBorders/>
            <w:vAlign w:val="bottom"/>
          </w:tcPr>
          <w:p>
            <w:pPr>
              <w:pStyle w:val="TableContents"/>
              <w:bidi w:val="0"/>
              <w:spacing w:before="0" w:after="283"/>
              <w:jc w:val="left"/>
              <w:rPr/>
            </w:pPr>
            <w:r>
              <w:rPr/>
              <w:t> </w:t>
            </w:r>
          </w:p>
        </w:tc>
      </w:tr>
      <w:tr>
        <w:trPr/>
        <w:tc>
          <w:tcPr>
            <w:tcW w:w="5194" w:type="dxa"/>
            <w:tcBorders/>
            <w:shd w:fill="CCEEFF" w:val="clear"/>
          </w:tcPr>
          <w:p>
            <w:pPr>
              <w:pStyle w:val="TableContents"/>
              <w:bidi w:val="0"/>
              <w:spacing w:before="0" w:after="0"/>
              <w:jc w:val="left"/>
              <w:rPr>
                <w:rFonts w:ascii="ARIAL" w:hAnsi="ARIAL"/>
                <w:sz w:val="20"/>
              </w:rPr>
            </w:pPr>
            <w:r>
              <w:rPr>
                <w:rFonts w:ascii="ARIAL" w:hAnsi="ARIAL"/>
                <w:sz w:val="20"/>
              </w:rPr>
              <w:t>Merger &amp; integration (2)</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0.01</w:t>
            </w:r>
          </w:p>
        </w:tc>
        <w:tc>
          <w:tcPr>
            <w:tcW w:w="65" w:type="dxa"/>
            <w:tcBorders/>
            <w:shd w:fill="CCEEFF" w:val="clear"/>
            <w:vAlign w:val="bottom"/>
          </w:tcPr>
          <w:p>
            <w:pPr>
              <w:pStyle w:val="TableContents"/>
              <w:bidi w:val="0"/>
              <w:spacing w:before="0" w:after="283"/>
              <w:jc w:val="left"/>
              <w:rPr/>
            </w:pPr>
            <w:r>
              <w:rPr/>
              <w:t> </w:t>
            </w:r>
          </w:p>
        </w:tc>
      </w:tr>
      <w:tr>
        <w:trPr/>
        <w:tc>
          <w:tcPr>
            <w:tcW w:w="5194"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6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94" w:type="dxa"/>
            <w:tcBorders/>
          </w:tcPr>
          <w:p>
            <w:pPr>
              <w:pStyle w:val="TableContents"/>
              <w:bidi w:val="0"/>
              <w:spacing w:before="0" w:after="0"/>
              <w:jc w:val="left"/>
              <w:rPr>
                <w:rFonts w:ascii="ARIAL" w:hAnsi="ARIAL"/>
                <w:sz w:val="20"/>
              </w:rPr>
            </w:pPr>
            <w:r>
              <w:rPr>
                <w:rFonts w:ascii="ARIAL" w:hAnsi="ARIAL"/>
                <w:sz w:val="20"/>
              </w:rPr>
              <w:t>SLB net income, excluding charges &amp; credits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1,563</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1,224</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0.85</w:t>
            </w:r>
          </w:p>
        </w:tc>
        <w:tc>
          <w:tcPr>
            <w:tcW w:w="65" w:type="dxa"/>
            <w:tcBorders/>
            <w:vAlign w:val="bottom"/>
          </w:tcPr>
          <w:p>
            <w:pPr>
              <w:pStyle w:val="TableContents"/>
              <w:bidi w:val="0"/>
              <w:spacing w:before="0" w:after="283"/>
              <w:jc w:val="left"/>
              <w:rPr/>
            </w:pPr>
            <w:r>
              <w:rPr/>
              <w:t> </w:t>
            </w:r>
          </w:p>
        </w:tc>
      </w:tr>
      <w:tr>
        <w:trPr/>
        <w:tc>
          <w:tcPr>
            <w:tcW w:w="5194"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3"/>
        <w:gridCol w:w="207"/>
        <w:gridCol w:w="140"/>
        <w:gridCol w:w="588"/>
        <w:gridCol w:w="60"/>
        <w:gridCol w:w="207"/>
        <w:gridCol w:w="140"/>
        <w:gridCol w:w="381"/>
        <w:gridCol w:w="60"/>
        <w:gridCol w:w="207"/>
        <w:gridCol w:w="262"/>
        <w:gridCol w:w="728"/>
        <w:gridCol w:w="60"/>
        <w:gridCol w:w="207"/>
        <w:gridCol w:w="140"/>
        <w:gridCol w:w="588"/>
        <w:gridCol w:w="60"/>
        <w:gridCol w:w="207"/>
        <w:gridCol w:w="175"/>
        <w:gridCol w:w="580"/>
        <w:gridCol w:w="65"/>
      </w:tblGrid>
      <w:tr>
        <w:trPr/>
        <w:tc>
          <w:tcPr>
            <w:tcW w:w="5143"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4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79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2024</w:t>
            </w:r>
          </w:p>
        </w:tc>
        <w:tc>
          <w:tcPr>
            <w:tcW w:w="65" w:type="dxa"/>
            <w:tcBorders/>
            <w:vAlign w:val="bottom"/>
          </w:tcPr>
          <w:p>
            <w:pPr>
              <w:pStyle w:val="TableContents"/>
              <w:bidi w:val="0"/>
              <w:spacing w:before="0" w:after="283"/>
              <w:jc w:val="left"/>
              <w:rPr/>
            </w:pPr>
            <w:r>
              <w:rPr/>
              <w:t> </w:t>
            </w:r>
          </w:p>
        </w:tc>
      </w:tr>
      <w:tr>
        <w:trPr/>
        <w:tc>
          <w:tcPr>
            <w:tcW w:w="514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5"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ARIAL" w:hAnsi="ARIAL"/>
                <w:sz w:val="20"/>
              </w:rPr>
            </w:pPr>
            <w:r>
              <w:rPr>
                <w:rFonts w:ascii="ARIAL" w:hAnsi="ARIAL"/>
                <w:sz w:val="20"/>
              </w:rPr>
              <w:t>SLB net income (GAAP basis)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4,285</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824</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3,366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2.34</w:t>
            </w:r>
          </w:p>
        </w:tc>
        <w:tc>
          <w:tcPr>
            <w:tcW w:w="65" w:type="dxa"/>
            <w:tcBorders/>
            <w:shd w:fill="CCEEFF" w:val="clear"/>
            <w:vAlign w:val="bottom"/>
          </w:tcPr>
          <w:p>
            <w:pPr>
              <w:pStyle w:val="TableContents"/>
              <w:bidi w:val="0"/>
              <w:spacing w:before="0" w:after="283"/>
              <w:jc w:val="left"/>
              <w:rPr/>
            </w:pPr>
            <w:r>
              <w:rPr/>
              <w:t> </w:t>
            </w:r>
          </w:p>
        </w:tc>
      </w:tr>
      <w:tr>
        <w:trPr/>
        <w:tc>
          <w:tcPr>
            <w:tcW w:w="5143" w:type="dxa"/>
            <w:tcBorders/>
          </w:tcPr>
          <w:p>
            <w:pPr>
              <w:pStyle w:val="TableContents"/>
              <w:bidi w:val="0"/>
              <w:spacing w:before="0" w:after="0"/>
              <w:jc w:val="left"/>
              <w:rPr>
                <w:rFonts w:ascii="ARIAL" w:hAnsi="ARIAL"/>
                <w:sz w:val="20"/>
              </w:rPr>
            </w:pPr>
            <w:r>
              <w:rPr>
                <w:rFonts w:ascii="ARIAL" w:hAnsi="ARIAL"/>
                <w:sz w:val="20"/>
              </w:rPr>
              <w:t>Restructuring (1)</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0.10</w:t>
            </w:r>
          </w:p>
        </w:tc>
        <w:tc>
          <w:tcPr>
            <w:tcW w:w="65"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ARIAL" w:hAnsi="ARIAL"/>
                <w:sz w:val="20"/>
              </w:rPr>
            </w:pPr>
            <w:r>
              <w:rPr>
                <w:rFonts w:ascii="ARIAL" w:hAnsi="ARIAL"/>
                <w:sz w:val="20"/>
              </w:rPr>
              <w:t>Merger &amp; integration (3)</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103</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0.04</w:t>
            </w:r>
          </w:p>
        </w:tc>
        <w:tc>
          <w:tcPr>
            <w:tcW w:w="65" w:type="dxa"/>
            <w:tcBorders/>
            <w:shd w:fill="CCEEFF" w:val="clear"/>
            <w:vAlign w:val="bottom"/>
          </w:tcPr>
          <w:p>
            <w:pPr>
              <w:pStyle w:val="TableContents"/>
              <w:bidi w:val="0"/>
              <w:spacing w:before="0" w:after="283"/>
              <w:jc w:val="left"/>
              <w:rPr/>
            </w:pPr>
            <w:r>
              <w:rPr/>
              <w:t> </w:t>
            </w:r>
          </w:p>
        </w:tc>
      </w:tr>
      <w:tr>
        <w:trPr/>
        <w:tc>
          <w:tcPr>
            <w:tcW w:w="5143"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43" w:type="dxa"/>
            <w:tcBorders/>
          </w:tcPr>
          <w:p>
            <w:pPr>
              <w:pStyle w:val="TableContents"/>
              <w:bidi w:val="0"/>
              <w:spacing w:before="0" w:after="0"/>
              <w:jc w:val="left"/>
              <w:rPr>
                <w:rFonts w:ascii="ARIAL" w:hAnsi="ARIAL"/>
                <w:sz w:val="20"/>
              </w:rPr>
            </w:pPr>
            <w:r>
              <w:rPr>
                <w:rFonts w:ascii="ARIAL" w:hAnsi="ARIAL"/>
                <w:sz w:val="20"/>
              </w:rPr>
              <w:t>SLB net income, excluding charges &amp; credits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4,564</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872</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3,577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2.48</w:t>
            </w:r>
          </w:p>
        </w:tc>
        <w:tc>
          <w:tcPr>
            <w:tcW w:w="65" w:type="dxa"/>
            <w:tcBorders/>
            <w:vAlign w:val="bottom"/>
          </w:tcPr>
          <w:p>
            <w:pPr>
              <w:pStyle w:val="TableContents"/>
              <w:bidi w:val="0"/>
              <w:spacing w:before="0" w:after="283"/>
              <w:jc w:val="left"/>
              <w:rPr/>
            </w:pPr>
            <w:r>
              <w:rPr/>
              <w:t> </w:t>
            </w:r>
          </w:p>
        </w:tc>
      </w:tr>
      <w:tr>
        <w:trPr/>
        <w:tc>
          <w:tcPr>
            <w:tcW w:w="5143"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8"/>
        <w:gridCol w:w="206"/>
        <w:gridCol w:w="140"/>
        <w:gridCol w:w="588"/>
        <w:gridCol w:w="155"/>
        <w:gridCol w:w="154"/>
        <w:gridCol w:w="140"/>
        <w:gridCol w:w="380"/>
        <w:gridCol w:w="155"/>
        <w:gridCol w:w="154"/>
        <w:gridCol w:w="325"/>
        <w:gridCol w:w="613"/>
        <w:gridCol w:w="60"/>
        <w:gridCol w:w="206"/>
        <w:gridCol w:w="139"/>
        <w:gridCol w:w="588"/>
        <w:gridCol w:w="155"/>
        <w:gridCol w:w="154"/>
        <w:gridCol w:w="154"/>
        <w:gridCol w:w="597"/>
        <w:gridCol w:w="164"/>
      </w:tblGrid>
      <w:tr>
        <w:trPr/>
        <w:tc>
          <w:tcPr>
            <w:tcW w:w="4978"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7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485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2023</w:t>
            </w:r>
          </w:p>
        </w:tc>
        <w:tc>
          <w:tcPr>
            <w:tcW w:w="164" w:type="dxa"/>
            <w:tcBorders/>
            <w:vAlign w:val="bottom"/>
          </w:tcPr>
          <w:p>
            <w:pPr>
              <w:pStyle w:val="TableContents"/>
              <w:bidi w:val="0"/>
              <w:spacing w:before="0" w:after="283"/>
              <w:jc w:val="left"/>
              <w:rPr/>
            </w:pPr>
            <w:r>
              <w:rPr/>
              <w:t> </w:t>
            </w:r>
          </w:p>
        </w:tc>
      </w:tr>
      <w:tr>
        <w:trPr/>
        <w:tc>
          <w:tcPr>
            <w:tcW w:w="497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164" w:type="dxa"/>
            <w:tcBorders/>
            <w:vAlign w:val="bottom"/>
          </w:tcPr>
          <w:p>
            <w:pPr>
              <w:pStyle w:val="TableContents"/>
              <w:bidi w:val="0"/>
              <w:spacing w:before="0" w:after="283"/>
              <w:jc w:val="left"/>
              <w:rPr/>
            </w:pPr>
            <w:r>
              <w:rPr/>
              <w:t> </w:t>
            </w:r>
          </w:p>
        </w:tc>
      </w:tr>
      <w:tr>
        <w:trPr/>
        <w:tc>
          <w:tcPr>
            <w:tcW w:w="4978" w:type="dxa"/>
            <w:tcBorders/>
            <w:shd w:fill="CCEEFF" w:val="clear"/>
          </w:tcPr>
          <w:p>
            <w:pPr>
              <w:pStyle w:val="TableContents"/>
              <w:bidi w:val="0"/>
              <w:spacing w:before="0" w:after="0"/>
              <w:jc w:val="left"/>
              <w:rPr>
                <w:rFonts w:ascii="ARIAL" w:hAnsi="ARIAL"/>
                <w:sz w:val="20"/>
              </w:rPr>
            </w:pPr>
            <w:r>
              <w:rPr>
                <w:rFonts w:ascii="ARIAL" w:hAnsi="ARIAL"/>
                <w:sz w:val="20"/>
              </w:rPr>
              <w:t>SLB net income (GAAP basis)</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3,849</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3,091</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2.14</w:t>
            </w:r>
          </w:p>
        </w:tc>
        <w:tc>
          <w:tcPr>
            <w:tcW w:w="164" w:type="dxa"/>
            <w:tcBorders/>
            <w:shd w:fill="CCEEFF" w:val="clear"/>
            <w:vAlign w:val="bottom"/>
          </w:tcPr>
          <w:p>
            <w:pPr>
              <w:pStyle w:val="TableContents"/>
              <w:bidi w:val="0"/>
              <w:spacing w:before="0" w:after="283"/>
              <w:jc w:val="left"/>
              <w:rPr/>
            </w:pPr>
            <w:r>
              <w:rPr/>
              <w:t> </w:t>
            </w:r>
          </w:p>
        </w:tc>
      </w:tr>
      <w:tr>
        <w:trPr/>
        <w:tc>
          <w:tcPr>
            <w:tcW w:w="4978" w:type="dxa"/>
            <w:tcBorders/>
          </w:tcPr>
          <w:p>
            <w:pPr>
              <w:pStyle w:val="TableContents"/>
              <w:bidi w:val="0"/>
              <w:spacing w:before="0" w:after="0"/>
              <w:jc w:val="left"/>
              <w:rPr>
                <w:rFonts w:ascii="ARIAL" w:hAnsi="ARIAL"/>
                <w:sz w:val="20"/>
              </w:rPr>
            </w:pPr>
            <w:r>
              <w:rPr>
                <w:rFonts w:ascii="ARIAL" w:hAnsi="ARIAL"/>
                <w:sz w:val="20"/>
              </w:rPr>
              <w:t>Gain on sale of Liberty shares (4)</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(0.02</w:t>
            </w:r>
          </w:p>
        </w:tc>
        <w:tc>
          <w:tcPr>
            <w:tcW w:w="164" w:type="dxa"/>
            <w:tcBorders/>
            <w:vAlign w:val="bottom"/>
          </w:tcPr>
          <w:p>
            <w:pPr>
              <w:pStyle w:val="TableContents"/>
              <w:bidi w:val="0"/>
              <w:spacing w:before="0" w:after="283"/>
              <w:jc w:val="left"/>
              <w:rPr/>
            </w:pPr>
            <w:r>
              <w:rPr/>
              <w:t>) </w:t>
            </w:r>
          </w:p>
        </w:tc>
      </w:tr>
      <w:tr>
        <w:trPr/>
        <w:tc>
          <w:tcPr>
            <w:tcW w:w="497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6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5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978" w:type="dxa"/>
            <w:tcBorders/>
            <w:shd w:fill="CCEEFF" w:val="clear"/>
          </w:tcPr>
          <w:p>
            <w:pPr>
              <w:pStyle w:val="TableContents"/>
              <w:bidi w:val="0"/>
              <w:spacing w:before="0" w:after="0"/>
              <w:jc w:val="left"/>
              <w:rPr>
                <w:rFonts w:ascii="ARIAL" w:hAnsi="ARIAL"/>
                <w:sz w:val="20"/>
              </w:rPr>
            </w:pPr>
            <w:r>
              <w:rPr>
                <w:rFonts w:ascii="ARIAL" w:hAnsi="ARIAL"/>
                <w:sz w:val="20"/>
              </w:rPr>
              <w:t>SLB net income, excluding charges &amp; credits</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3,813</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714</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3,063</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2.12</w:t>
            </w:r>
          </w:p>
        </w:tc>
        <w:tc>
          <w:tcPr>
            <w:tcW w:w="164" w:type="dxa"/>
            <w:tcBorders/>
            <w:shd w:fill="CCEEFF" w:val="clear"/>
            <w:vAlign w:val="bottom"/>
          </w:tcPr>
          <w:p>
            <w:pPr>
              <w:pStyle w:val="TableContents"/>
              <w:bidi w:val="0"/>
              <w:spacing w:before="0" w:after="283"/>
              <w:jc w:val="left"/>
              <w:rPr/>
            </w:pPr>
            <w:r>
              <w:rPr/>
              <w:t> </w:t>
            </w:r>
          </w:p>
        </w:tc>
      </w:tr>
      <w:tr>
        <w:trPr/>
        <w:tc>
          <w:tcPr>
            <w:tcW w:w="497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6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Restructuring</w:t>
            </w:r>
            <w:r>
              <w:rPr>
                <w:rFonts w:ascii="ARIAL" w:hAnsi="ARIAL"/>
                <w:sz w:val="20"/>
              </w:rPr>
              <w:t xml:space="preserve"> in the </w:t>
            </w:r>
            <w:r>
              <w:rPr>
                <w:rFonts w:ascii="ARIAL" w:hAnsi="ARIAL"/>
                <w:i/>
                <w:sz w:val="20"/>
              </w:rPr>
              <w:t>Condensed Consolidated Statement of Income</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20"/>
              </w:rPr>
            </w:pPr>
            <w:r>
              <w:rPr>
                <w:rFonts w:ascii="ARIAL" w:hAnsi="ARIAL"/>
                <w:sz w:val="20"/>
              </w:rPr>
              <w:t xml:space="preserve">During the third quarter of 2024, $14 million of these charges were classified in </w:t>
            </w:r>
            <w:r>
              <w:rPr>
                <w:rFonts w:ascii="ARIAL" w:hAnsi="ARIAL"/>
                <w:i/>
                <w:sz w:val="20"/>
              </w:rPr>
              <w:t>Cost of revenue</w:t>
            </w:r>
            <w:r>
              <w:rPr>
                <w:rFonts w:ascii="ARIAL" w:hAnsi="ARIAL"/>
                <w:sz w:val="20"/>
              </w:rPr>
              <w:t xml:space="preserve"> in the </w:t>
            </w:r>
            <w:r>
              <w:rPr>
                <w:rFonts w:ascii="ARIAL" w:hAnsi="ARIAL"/>
                <w:i/>
                <w:sz w:val="20"/>
              </w:rPr>
              <w:t>Condensed Consolidation Statement of Income</w:t>
            </w:r>
            <w:r>
              <w:rPr>
                <w:rFonts w:ascii="ARIAL" w:hAnsi="ARIAL"/>
                <w:sz w:val="20"/>
              </w:rPr>
              <w:t xml:space="preserve"> with the remaining $33 million classified in </w:t>
            </w:r>
            <w:r>
              <w:rPr>
                <w:rFonts w:ascii="ARIAL" w:hAnsi="ARIAL"/>
                <w:i/>
                <w:sz w:val="20"/>
              </w:rPr>
              <w:t>Merger</w:t>
            </w:r>
            <w:r>
              <w:rPr>
                <w:rFonts w:ascii="ARIAL" w:hAnsi="ARIAL"/>
                <w:sz w:val="20"/>
              </w:rPr>
              <w:t> </w:t>
            </w:r>
            <w:r>
              <w:rPr>
                <w:rFonts w:ascii="ARIAL" w:hAnsi="ARIAL"/>
                <w:i/>
                <w:sz w:val="20"/>
              </w:rPr>
              <w:t xml:space="preserve">&amp; integration. </w:t>
            </w:r>
            <w:r>
              <w:rPr>
                <w:rFonts w:ascii="ARIAL" w:hAnsi="ARIAL"/>
                <w:sz w:val="20"/>
              </w:rPr>
              <w:t xml:space="preserve">During the second quarter of 2024, $15 million of these charges were classified in </w:t>
            </w:r>
            <w:r>
              <w:rPr>
                <w:rFonts w:ascii="ARIAL" w:hAnsi="ARIAL"/>
                <w:i/>
                <w:sz w:val="20"/>
              </w:rPr>
              <w:t>Cost of revenue</w:t>
            </w:r>
            <w:r>
              <w:rPr>
                <w:rFonts w:ascii="ARIAL" w:hAnsi="ARIAL"/>
                <w:sz w:val="20"/>
              </w:rPr>
              <w:t xml:space="preserve"> with the remaining $16 million classified in </w:t>
            </w:r>
            <w:r>
              <w:rPr>
                <w:rFonts w:ascii="ARIAL" w:hAnsi="ARIAL"/>
                <w:i/>
                <w:sz w:val="20"/>
              </w:rPr>
              <w:t>Merger</w:t>
            </w:r>
            <w:r>
              <w:rPr>
                <w:rFonts w:ascii="ARIAL" w:hAnsi="ARIAL"/>
                <w:sz w:val="20"/>
              </w:rPr>
              <w:t> </w:t>
            </w:r>
            <w:r>
              <w:rPr>
                <w:rFonts w:ascii="ARIAL" w:hAnsi="ARIAL"/>
                <w:i/>
                <w:sz w:val="20"/>
              </w:rPr>
              <w:t>&amp; integration</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During the nine months of 2024, $43 million of these charges were classified in </w:t>
            </w:r>
            <w:r>
              <w:rPr>
                <w:rFonts w:ascii="ARIAL" w:hAnsi="ARIAL"/>
                <w:i/>
                <w:sz w:val="20"/>
              </w:rPr>
              <w:t>Cost of Revenue</w:t>
            </w:r>
            <w:r>
              <w:rPr>
                <w:rFonts w:ascii="ARIAL" w:hAnsi="ARIAL"/>
                <w:sz w:val="20"/>
              </w:rPr>
              <w:t xml:space="preserve"> in the </w:t>
            </w:r>
            <w:r>
              <w:rPr>
                <w:rFonts w:ascii="ARIAL" w:hAnsi="ARIAL"/>
                <w:i/>
                <w:sz w:val="20"/>
              </w:rPr>
              <w:t>Condensed Consolidation Statement of Income</w:t>
            </w:r>
            <w:r>
              <w:rPr>
                <w:rFonts w:ascii="ARIAL" w:hAnsi="ARIAL"/>
                <w:sz w:val="20"/>
              </w:rPr>
              <w:t xml:space="preserve"> with the remaining $60 million classified in </w:t>
            </w:r>
            <w:r>
              <w:rPr>
                <w:rFonts w:ascii="ARIAL" w:hAnsi="ARIAL"/>
                <w:i/>
                <w:sz w:val="20"/>
              </w:rPr>
              <w:t>Merger</w:t>
            </w:r>
            <w:r>
              <w:rPr>
                <w:rFonts w:ascii="ARIAL" w:hAnsi="ARIAL"/>
                <w:sz w:val="20"/>
              </w:rPr>
              <w:t> </w:t>
            </w:r>
            <w:r>
              <w:rPr>
                <w:rFonts w:ascii="ARIAL" w:hAnsi="ARIAL"/>
                <w:i/>
                <w:sz w:val="20"/>
              </w:rPr>
              <w:t>&amp; integration</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Interest</w:t>
            </w:r>
            <w:r>
              <w:rPr>
                <w:rFonts w:ascii="ARIAL" w:hAnsi="ARIAL"/>
                <w:sz w:val="20"/>
              </w:rPr>
              <w:t> </w:t>
            </w:r>
            <w:r>
              <w:rPr>
                <w:rFonts w:ascii="ARIAL" w:hAnsi="ARIAL"/>
                <w:i/>
                <w:sz w:val="20"/>
              </w:rPr>
              <w:t>&amp; other income</w:t>
            </w:r>
            <w:r>
              <w:rPr>
                <w:rFonts w:ascii="ARIAL" w:hAnsi="ARIAL"/>
                <w:sz w:val="20"/>
              </w:rPr>
              <w:t xml:space="preserve"> in the </w:t>
            </w:r>
            <w:r>
              <w:rPr>
                <w:rFonts w:ascii="ARIAL" w:hAnsi="ARIAL"/>
                <w:i/>
                <w:sz w:val="20"/>
              </w:rPr>
              <w:t>Condensed Consolidated Statement of Income</w:t>
            </w:r>
            <w:r>
              <w:rPr>
                <w:rFonts w:ascii="ARIAL" w:hAnsi="ARIAL"/>
                <w:sz w:val="20"/>
              </w:rPr>
              <w:t xml:space="preserve">. </w:t>
            </w:r>
          </w:p>
        </w:tc>
      </w:tr>
    </w:tbl>
    <w:p>
      <w:pPr>
        <w:pStyle w:val="TextBody"/>
        <w:bidi w:val="0"/>
        <w:spacing w:before="240" w:after="0"/>
        <w:jc w:val="left"/>
        <w:rPr>
          <w:rFonts w:ascii="ARIAL" w:hAnsi="ARIAL"/>
          <w:sz w:val="20"/>
        </w:rPr>
      </w:pPr>
      <w:r>
        <w:rPr>
          <w:rFonts w:ascii="ARIAL" w:hAnsi="ARIAL"/>
          <w:sz w:val="20"/>
        </w:rPr>
        <w:t xml:space="preserve">There were no charges or credits during the third quarter of 2023.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Divisions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89"/>
        <w:gridCol w:w="139"/>
        <w:gridCol w:w="181"/>
        <w:gridCol w:w="742"/>
        <w:gridCol w:w="155"/>
        <w:gridCol w:w="86"/>
        <w:gridCol w:w="154"/>
        <w:gridCol w:w="646"/>
        <w:gridCol w:w="155"/>
        <w:gridCol w:w="86"/>
        <w:gridCol w:w="172"/>
        <w:gridCol w:w="710"/>
        <w:gridCol w:w="155"/>
        <w:gridCol w:w="86"/>
        <w:gridCol w:w="145"/>
        <w:gridCol w:w="580"/>
        <w:gridCol w:w="155"/>
        <w:gridCol w:w="86"/>
        <w:gridCol w:w="171"/>
        <w:gridCol w:w="711"/>
        <w:gridCol w:w="166"/>
        <w:gridCol w:w="89"/>
        <w:gridCol w:w="149"/>
        <w:gridCol w:w="634"/>
        <w:gridCol w:w="163"/>
      </w:tblGrid>
      <w:tr>
        <w:trPr/>
        <w:tc>
          <w:tcPr>
            <w:tcW w:w="368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2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20" w:type="dxa"/>
            <w:gridSpan w:val="6"/>
            <w:tcBorders/>
            <w:vAlign w:val="bottom"/>
          </w:tcPr>
          <w:p>
            <w:pPr>
              <w:pStyle w:val="TableContents"/>
              <w:bidi w:val="0"/>
              <w:spacing w:before="0" w:after="283"/>
              <w:jc w:val="center"/>
              <w:rPr/>
            </w:pPr>
            <w:r>
              <w:rPr/>
              <w:t>(Stated in millions)</w:t>
            </w:r>
          </w:p>
        </w:tc>
        <w:tc>
          <w:tcPr>
            <w:tcW w:w="163"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214"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3"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9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 30, 2024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48" w:type="dxa"/>
            <w:gridSpan w:val="6"/>
            <w:tcBorders>
              <w:bottom w:val="single" w:sz="8" w:space="0" w:color="000000"/>
            </w:tcBorders>
            <w:tcMar>
              <w:bottom w:w="28" w:type="dxa"/>
            </w:tcMar>
            <w:vAlign w:val="bottom"/>
          </w:tcPr>
          <w:p>
            <w:pPr>
              <w:pStyle w:val="TableContents"/>
              <w:bidi w:val="0"/>
              <w:spacing w:before="0" w:after="283"/>
              <w:jc w:val="center"/>
              <w:rPr/>
            </w:pPr>
            <w:r>
              <w:rPr/>
              <w:t>Jun. 30, 2024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bottom"/>
          </w:tcPr>
          <w:p>
            <w:pPr>
              <w:pStyle w:val="TableContents"/>
              <w:bidi w:val="0"/>
              <w:spacing w:before="0" w:after="283"/>
              <w:jc w:val="center"/>
              <w:rPr/>
            </w:pPr>
            <w:r>
              <w:rPr/>
              <w:t>Sept. 30, 2023</w:t>
            </w:r>
          </w:p>
        </w:tc>
        <w:tc>
          <w:tcPr>
            <w:tcW w:w="163"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Digital &amp; Integration</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42" w:type="dxa"/>
            <w:tcBorders/>
            <w:shd w:fill="CCEEFF" w:val="clear"/>
            <w:vAlign w:val="bottom"/>
          </w:tcPr>
          <w:p>
            <w:pPr>
              <w:pStyle w:val="TableContents"/>
              <w:bidi w:val="0"/>
              <w:spacing w:before="0" w:after="283"/>
              <w:jc w:val="right"/>
              <w:rPr>
                <w:b/>
              </w:rPr>
            </w:pPr>
            <w:r>
              <w:rPr>
                <w:b/>
              </w:rPr>
              <w:t>1,088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46" w:type="dxa"/>
            <w:tcBorders/>
            <w:shd w:fill="CCEEFF" w:val="clear"/>
            <w:vAlign w:val="bottom"/>
          </w:tcPr>
          <w:p>
            <w:pPr>
              <w:pStyle w:val="TableContents"/>
              <w:bidi w:val="0"/>
              <w:spacing w:before="0" w:after="283"/>
              <w:jc w:val="right"/>
              <w:rPr>
                <w:b/>
              </w:rPr>
            </w:pPr>
            <w:r>
              <w:rPr>
                <w:b/>
              </w:rPr>
              <w:t>386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1,050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325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982</w:t>
            </w:r>
          </w:p>
        </w:tc>
        <w:tc>
          <w:tcPr>
            <w:tcW w:w="1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314</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b/>
              </w:rPr>
            </w:pPr>
            <w:r>
              <w:rPr>
                <w:b/>
              </w:rPr>
              <w:t>1,823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367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1,819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376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1,680</w:t>
            </w:r>
          </w:p>
        </w:tc>
        <w:tc>
          <w:tcPr>
            <w:tcW w:w="1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344</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b/>
              </w:rPr>
            </w:pPr>
            <w:r>
              <w:rPr>
                <w:b/>
              </w:rPr>
              <w:t>3,312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b/>
              </w:rPr>
            </w:pPr>
            <w:r>
              <w:rPr>
                <w:b/>
              </w:rPr>
              <w:t>714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3,411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742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3,430</w:t>
            </w:r>
          </w:p>
        </w:tc>
        <w:tc>
          <w:tcPr>
            <w:tcW w:w="1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759</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Production Systems</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b/>
              </w:rPr>
            </w:pPr>
            <w:r>
              <w:rPr>
                <w:b/>
              </w:rPr>
              <w:t>3,103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519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3,025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473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2,367</w:t>
            </w:r>
          </w:p>
        </w:tc>
        <w:tc>
          <w:tcPr>
            <w:tcW w:w="1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319</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b/>
              </w:rPr>
            </w:pPr>
            <w:r>
              <w:rPr>
                <w:b/>
              </w:rPr>
              <w:t>(167</w:t>
            </w:r>
          </w:p>
        </w:tc>
        <w:tc>
          <w:tcPr>
            <w:tcW w:w="155"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b/>
              </w:rPr>
            </w:pPr>
            <w:r>
              <w:rPr>
                <w:b/>
              </w:rPr>
              <w:t>(84</w:t>
            </w:r>
          </w:p>
        </w:tc>
        <w:tc>
          <w:tcPr>
            <w:tcW w:w="155"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(149</w:t>
            </w:r>
          </w:p>
        </w:tc>
        <w:tc>
          <w:tcPr>
            <w:tcW w:w="1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(53</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Pretax segment operating income</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1,902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1,854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1,683</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Corporate &amp; other</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b/>
              </w:rPr>
            </w:pPr>
            <w:r>
              <w:rPr>
                <w:b/>
              </w:rPr>
              <w:t>(187</w:t>
            </w:r>
          </w:p>
        </w:tc>
        <w:tc>
          <w:tcPr>
            <w:tcW w:w="155"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(182</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Interest income(1)</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36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20</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Interest expense(1)</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b/>
              </w:rPr>
            </w:pPr>
            <w:r>
              <w:rPr>
                <w:b/>
              </w:rPr>
              <w:t>(132</w:t>
            </w:r>
          </w:p>
        </w:tc>
        <w:tc>
          <w:tcPr>
            <w:tcW w:w="155"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(126</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Charges &amp; credits(2)</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(112</w:t>
            </w:r>
          </w:p>
        </w:tc>
        <w:tc>
          <w:tcPr>
            <w:tcW w:w="155" w:type="dxa"/>
            <w:tcBorders/>
            <w:vAlign w:val="bottom"/>
          </w:tcPr>
          <w:p>
            <w:pPr>
              <w:pStyle w:val="TableContents"/>
              <w:bidi w:val="0"/>
              <w:spacing w:before="0" w:after="283"/>
              <w:jc w:val="left"/>
              <w:rPr>
                <w:b/>
              </w:rPr>
            </w:pPr>
            <w:r>
              <w:rPr>
                <w:b/>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42" w:type="dxa"/>
            <w:tcBorders/>
            <w:shd w:fill="CCEEFF" w:val="clear"/>
            <w:vAlign w:val="bottom"/>
          </w:tcPr>
          <w:p>
            <w:pPr>
              <w:pStyle w:val="TableContents"/>
              <w:bidi w:val="0"/>
              <w:spacing w:before="0" w:after="283"/>
              <w:jc w:val="right"/>
              <w:rPr>
                <w:b/>
              </w:rPr>
            </w:pPr>
            <w:r>
              <w:rPr>
                <w:b/>
              </w:rPr>
              <w:t>9,159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46" w:type="dxa"/>
            <w:tcBorders/>
            <w:shd w:fill="CCEEFF" w:val="clear"/>
            <w:vAlign w:val="bottom"/>
          </w:tcPr>
          <w:p>
            <w:pPr>
              <w:pStyle w:val="TableContents"/>
              <w:bidi w:val="0"/>
              <w:spacing w:before="0" w:after="283"/>
              <w:jc w:val="right"/>
              <w:rPr>
                <w:b/>
              </w:rPr>
            </w:pPr>
            <w:r>
              <w:rPr>
                <w:b/>
              </w:rPr>
              <w:t>1,507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9,139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1,421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8,310</w:t>
            </w:r>
          </w:p>
        </w:tc>
        <w:tc>
          <w:tcPr>
            <w:tcW w:w="1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1,395</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03"/>
        <w:gridCol w:w="145"/>
        <w:gridCol w:w="154"/>
        <w:gridCol w:w="772"/>
        <w:gridCol w:w="155"/>
        <w:gridCol w:w="103"/>
        <w:gridCol w:w="154"/>
        <w:gridCol w:w="616"/>
        <w:gridCol w:w="155"/>
        <w:gridCol w:w="103"/>
        <w:gridCol w:w="146"/>
        <w:gridCol w:w="745"/>
        <w:gridCol w:w="155"/>
        <w:gridCol w:w="103"/>
        <w:gridCol w:w="145"/>
        <w:gridCol w:w="590"/>
        <w:gridCol w:w="161"/>
      </w:tblGrid>
      <w:tr>
        <w:trPr/>
        <w:tc>
          <w:tcPr>
            <w:tcW w:w="580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84" w:type="dxa"/>
            <w:gridSpan w:val="6"/>
            <w:tcBorders/>
            <w:vAlign w:val="bottom"/>
          </w:tcPr>
          <w:p>
            <w:pPr>
              <w:pStyle w:val="TableContents"/>
              <w:bidi w:val="0"/>
              <w:spacing w:before="0" w:after="283"/>
              <w:jc w:val="center"/>
              <w:rPr/>
            </w:pPr>
            <w:r>
              <w:rPr/>
              <w:t>(Stated in millions)</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09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9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 30, 2024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84" w:type="dxa"/>
            <w:gridSpan w:val="6"/>
            <w:tcBorders>
              <w:bottom w:val="single" w:sz="8" w:space="0" w:color="000000"/>
            </w:tcBorders>
            <w:tcMar>
              <w:bottom w:w="28" w:type="dxa"/>
            </w:tcMar>
            <w:vAlign w:val="bottom"/>
          </w:tcPr>
          <w:p>
            <w:pPr>
              <w:pStyle w:val="TableContents"/>
              <w:bidi w:val="0"/>
              <w:spacing w:before="0" w:after="283"/>
              <w:jc w:val="center"/>
              <w:rPr/>
            </w:pPr>
            <w:r>
              <w:rPr/>
              <w:t>Sept. 30, 2023</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Digital &amp; Integration</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772" w:type="dxa"/>
            <w:tcBorders/>
            <w:shd w:fill="CCEEFF" w:val="clear"/>
            <w:vAlign w:val="bottom"/>
          </w:tcPr>
          <w:p>
            <w:pPr>
              <w:pStyle w:val="TableContents"/>
              <w:bidi w:val="0"/>
              <w:spacing w:before="0" w:after="283"/>
              <w:jc w:val="right"/>
              <w:rPr>
                <w:b/>
              </w:rPr>
            </w:pPr>
            <w:r>
              <w:rPr>
                <w:b/>
              </w:rPr>
              <w:t>3,091</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16" w:type="dxa"/>
            <w:tcBorders/>
            <w:shd w:fill="CCEEFF" w:val="clear"/>
            <w:vAlign w:val="bottom"/>
          </w:tcPr>
          <w:p>
            <w:pPr>
              <w:pStyle w:val="TableContents"/>
              <w:bidi w:val="0"/>
              <w:spacing w:before="0" w:after="283"/>
              <w:jc w:val="right"/>
              <w:rPr>
                <w:b/>
              </w:rPr>
            </w:pPr>
            <w:r>
              <w:rPr>
                <w:b/>
              </w:rPr>
              <w:t>965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2,822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901</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5,369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1,082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4,826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892</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10,090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2,145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10,052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2,162</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Production Systems</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8,946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1,392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6,888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802</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(491</w:t>
            </w:r>
          </w:p>
        </w:tc>
        <w:tc>
          <w:tcPr>
            <w:tcW w:w="155" w:type="dxa"/>
            <w:tcBorders/>
            <w:shd w:fill="CCEEFF" w:val="clear"/>
            <w:vAlign w:val="bottom"/>
          </w:tcPr>
          <w:p>
            <w:pPr>
              <w:pStyle w:val="TableContents"/>
              <w:bidi w:val="0"/>
              <w:spacing w:before="0" w:after="283"/>
              <w:jc w:val="left"/>
              <w:rPr/>
            </w:pPr>
            <w:r>
              <w:rPr>
                <w:b/>
              </w:rPr>
              <w:t>)</w:t>
            </w: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(180</w:t>
            </w:r>
          </w:p>
        </w:tc>
        <w:tc>
          <w:tcPr>
            <w:tcW w:w="155" w:type="dxa"/>
            <w:tcBorders/>
            <w:shd w:fill="CCEEFF" w:val="clear"/>
            <w:vAlign w:val="bottom"/>
          </w:tcPr>
          <w:p>
            <w:pPr>
              <w:pStyle w:val="TableContents"/>
              <w:bidi w:val="0"/>
              <w:spacing w:before="0" w:after="283"/>
              <w:jc w:val="left"/>
              <w:rPr/>
            </w:pPr>
            <w:r>
              <w:rPr>
                <w:b/>
              </w:rPr>
              <w:t>)</w:t>
            </w: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(443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(102</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Pretax segment operating income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5,404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4,655</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Corporate &amp; other</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(568</w:t>
            </w:r>
          </w:p>
        </w:tc>
        <w:tc>
          <w:tcPr>
            <w:tcW w:w="155" w:type="dxa"/>
            <w:tcBorders/>
            <w:shd w:fill="CCEEFF" w:val="clear"/>
            <w:vAlign w:val="bottom"/>
          </w:tcPr>
          <w:p>
            <w:pPr>
              <w:pStyle w:val="TableContents"/>
              <w:bidi w:val="0"/>
              <w:spacing w:before="0" w:after="283"/>
              <w:jc w:val="left"/>
              <w:rPr/>
            </w:pPr>
            <w:r>
              <w:rPr>
                <w:b/>
              </w:rPr>
              <w:t>)</w:t>
            </w: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(536</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Interest income(1)</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98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57</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Interest expense(1)</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(370</w:t>
            </w:r>
          </w:p>
        </w:tc>
        <w:tc>
          <w:tcPr>
            <w:tcW w:w="155" w:type="dxa"/>
            <w:tcBorders/>
            <w:shd w:fill="CCEEFF" w:val="clear"/>
            <w:vAlign w:val="bottom"/>
          </w:tcPr>
          <w:p>
            <w:pPr>
              <w:pStyle w:val="TableContents"/>
              <w:bidi w:val="0"/>
              <w:spacing w:before="0" w:after="283"/>
              <w:jc w:val="left"/>
              <w:rPr/>
            </w:pPr>
            <w:r>
              <w:rPr>
                <w:b/>
              </w:rPr>
              <w:t>)</w:t>
            </w: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(363</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Charges &amp; credits(2)</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(279</w:t>
            </w:r>
          </w:p>
        </w:tc>
        <w:tc>
          <w:tcPr>
            <w:tcW w:w="155" w:type="dxa"/>
            <w:tcBorders/>
            <w:vAlign w:val="bottom"/>
          </w:tcPr>
          <w:p>
            <w:pPr>
              <w:pStyle w:val="TableContents"/>
              <w:bidi w:val="0"/>
              <w:spacing w:before="0" w:after="283"/>
              <w:jc w:val="left"/>
              <w:rPr/>
            </w:pPr>
            <w:r>
              <w:rPr>
                <w:b/>
              </w:rPr>
              <w:t>)</w:t>
            </w: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36</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tcPr>
          <w:p>
            <w:pPr>
              <w:pStyle w:val="TableContents"/>
              <w:bidi w:val="0"/>
              <w:spacing w:before="0" w:after="283"/>
              <w:jc w:val="left"/>
              <w:rPr>
                <w:b/>
              </w:rPr>
            </w:pPr>
            <w:r>
              <w:rPr>
                <w:b/>
              </w:rPr>
              <w:t>$</w:t>
            </w:r>
          </w:p>
        </w:tc>
        <w:tc>
          <w:tcPr>
            <w:tcW w:w="772" w:type="dxa"/>
            <w:tcBorders/>
            <w:shd w:fill="CCEEFF" w:val="clear"/>
          </w:tcPr>
          <w:p>
            <w:pPr>
              <w:pStyle w:val="TableContents"/>
              <w:bidi w:val="0"/>
              <w:spacing w:before="0" w:after="283"/>
              <w:jc w:val="right"/>
              <w:rPr>
                <w:b/>
              </w:rPr>
            </w:pPr>
            <w:r>
              <w:rPr>
                <w:b/>
              </w:rPr>
              <w:t>27,005</w:t>
            </w:r>
          </w:p>
        </w:tc>
        <w:tc>
          <w:tcPr>
            <w:tcW w:w="155" w:type="dxa"/>
            <w:tcBorders/>
            <w:shd w:fill="CCEEFF" w:val="clear"/>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16" w:type="dxa"/>
            <w:tcBorders/>
            <w:shd w:fill="CCEEFF" w:val="clear"/>
            <w:vAlign w:val="bottom"/>
          </w:tcPr>
          <w:p>
            <w:pPr>
              <w:pStyle w:val="TableContents"/>
              <w:bidi w:val="0"/>
              <w:spacing w:before="0" w:after="283"/>
              <w:jc w:val="right"/>
              <w:rPr>
                <w:b/>
              </w:rPr>
            </w:pPr>
            <w:r>
              <w:rPr>
                <w:b/>
              </w:rPr>
              <w:t>4,285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24,145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3,849</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ARIAL" w:hAnsi="ARIAL"/>
                <w:sz w:val="20"/>
              </w:rPr>
            </w:pPr>
            <w:r>
              <w:rPr>
                <w:rFonts w:ascii="ARIAL" w:hAnsi="ARIAL"/>
                <w:sz w:val="20"/>
              </w:rPr>
              <w:t xml:space="preserve">Excludes amounts which are included in the segments results.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Supplementary Information </w:t>
      </w:r>
    </w:p>
    <w:p>
      <w:pPr>
        <w:pStyle w:val="TextBody"/>
        <w:bidi w:val="0"/>
        <w:spacing w:before="120" w:after="0"/>
        <w:jc w:val="left"/>
        <w:rPr>
          <w:rFonts w:ascii="ARIAL" w:hAnsi="ARIAL"/>
          <w:b/>
          <w:sz w:val="20"/>
        </w:rPr>
      </w:pPr>
      <w:r>
        <w:rPr>
          <w:rFonts w:ascii="ARIAL" w:hAnsi="ARIAL"/>
          <w:b/>
          <w:sz w:val="20"/>
        </w:rPr>
        <w:t xml:space="preserve">Frequently Asked Questions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is the capital investment guidance for the full-year 2024? </w:t>
            </w:r>
          </w:p>
        </w:tc>
      </w:tr>
    </w:tbl>
    <w:p>
      <w:pPr>
        <w:pStyle w:val="TextBody"/>
        <w:bidi w:val="0"/>
        <w:spacing w:before="120" w:after="0"/>
        <w:jc w:val="left"/>
        <w:rPr>
          <w:rFonts w:ascii="ARIAL" w:hAnsi="ARIAL"/>
          <w:sz w:val="20"/>
        </w:rPr>
      </w:pPr>
      <w:r>
        <w:rPr>
          <w:rFonts w:ascii="ARIAL" w:hAnsi="ARIAL"/>
          <w:sz w:val="20"/>
        </w:rPr>
        <w:t xml:space="preserve">Capital investment (consisting of capex, exploration data costs, and APS investments) for the full-year 2024 is still expected to be approximately $2.60 billion, which is the same level as full-year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What were cash flow from operations and free cash flow for the third quarter of 2024? </w:t>
            </w:r>
          </w:p>
        </w:tc>
      </w:tr>
    </w:tbl>
    <w:p>
      <w:pPr>
        <w:pStyle w:val="TextBody"/>
        <w:bidi w:val="0"/>
        <w:spacing w:before="120" w:after="0"/>
        <w:jc w:val="left"/>
        <w:rPr>
          <w:rFonts w:ascii="ARIAL" w:hAnsi="ARIAL"/>
          <w:sz w:val="20"/>
        </w:rPr>
      </w:pPr>
      <w:r>
        <w:rPr>
          <w:rFonts w:ascii="ARIAL" w:hAnsi="ARIAL"/>
          <w:sz w:val="20"/>
        </w:rPr>
        <w:t xml:space="preserve">Cash flow from operations for the third quarter of 2024 was $2.45 billion and free cash flow was $1.81 billion.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ARIAL" w:hAnsi="ARIAL"/>
                <w:b/>
                <w:sz w:val="20"/>
              </w:rPr>
            </w:pPr>
            <w:r>
              <w:rPr>
                <w:rFonts w:ascii="ARIAL" w:hAnsi="ARIAL"/>
                <w:b/>
                <w:sz w:val="20"/>
              </w:rPr>
              <w:t xml:space="preserve">What was included in Interest &amp; other income for the third quarter of 2024? </w:t>
            </w:r>
          </w:p>
        </w:tc>
      </w:tr>
    </w:tbl>
    <w:p>
      <w:pPr>
        <w:pStyle w:val="TextBody"/>
        <w:bidi w:val="0"/>
        <w:spacing w:before="120" w:after="0"/>
        <w:jc w:val="left"/>
        <w:rPr>
          <w:rFonts w:ascii="ARIAL" w:hAnsi="ARIAL"/>
          <w:sz w:val="20"/>
        </w:rPr>
      </w:pPr>
      <w:r>
        <w:rPr>
          <w:rFonts w:ascii="ARIAL" w:hAnsi="ARIAL"/>
          <w:sz w:val="20"/>
        </w:rPr>
        <w:t xml:space="preserve">Interest &amp; other income for the third quarter of 2024 was $96 million. This consisted of interest income of $52 million and earnings of equity method investments of $44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did interest income and interest expense change during the third quarter of 2024? </w:t>
            </w:r>
          </w:p>
        </w:tc>
      </w:tr>
    </w:tbl>
    <w:p>
      <w:pPr>
        <w:pStyle w:val="TextBody"/>
        <w:bidi w:val="0"/>
        <w:spacing w:before="120" w:after="0"/>
        <w:jc w:val="left"/>
        <w:rPr>
          <w:rFonts w:ascii="ARIAL" w:hAnsi="ARIAL"/>
          <w:sz w:val="20"/>
        </w:rPr>
      </w:pPr>
      <w:r>
        <w:rPr>
          <w:rFonts w:ascii="ARIAL" w:hAnsi="ARIAL"/>
          <w:sz w:val="20"/>
        </w:rPr>
        <w:t xml:space="preserve">Interest income of $52 million for the third quarter of 2024 increased $14 million sequentially. Interest expense of $136 million increased $4 million sequentially.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is the difference between SLBs consolidated income before taxes and pretax segment operating income? </w:t>
            </w:r>
          </w:p>
        </w:tc>
      </w:tr>
    </w:tbl>
    <w:p>
      <w:pPr>
        <w:pStyle w:val="TextBody"/>
        <w:bidi w:val="0"/>
        <w:spacing w:before="120" w:after="0"/>
        <w:jc w:val="left"/>
        <w:rPr>
          <w:rFonts w:ascii="ARIAL" w:hAnsi="ARIAL"/>
          <w:sz w:val="20"/>
        </w:rPr>
      </w:pPr>
      <w:r>
        <w:rPr>
          <w:rFonts w:ascii="ARIAL" w:hAnsi="ARIAL"/>
          <w:sz w:val="20"/>
        </w:rPr>
        <w:t xml:space="preserve">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was the effective tax rate (ETR) for the third quarter of 2024? </w:t>
            </w:r>
          </w:p>
        </w:tc>
      </w:tr>
    </w:tbl>
    <w:p>
      <w:pPr>
        <w:pStyle w:val="TextBody"/>
        <w:bidi w:val="0"/>
        <w:spacing w:before="120" w:after="0"/>
        <w:jc w:val="left"/>
        <w:rPr>
          <w:rFonts w:ascii="ARIAL" w:hAnsi="ARIAL"/>
          <w:sz w:val="20"/>
        </w:rPr>
      </w:pPr>
      <w:r>
        <w:rPr>
          <w:rFonts w:ascii="ARIAL" w:hAnsi="ARIAL"/>
          <w:sz w:val="20"/>
        </w:rPr>
        <w:t xml:space="preserve">The ETR for the third quarter of 2024, calculated in accordance with GAAP, was 19.2% as compared to 19.4% for the second quarter of 2024. Excluding charges and credits, the ETR for both the third quarter of 2024 and for the second quarter of 2024 was 19.1%.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many shares of common stock were outstanding as of September 30, 2024, and how did this change from the end of the previous quarter? </w:t>
            </w:r>
          </w:p>
        </w:tc>
      </w:tr>
    </w:tbl>
    <w:p>
      <w:pPr>
        <w:pStyle w:val="TextBody"/>
        <w:bidi w:val="0"/>
        <w:spacing w:before="120" w:after="0"/>
        <w:jc w:val="left"/>
        <w:rPr>
          <w:rFonts w:ascii="ARIAL" w:hAnsi="ARIAL"/>
          <w:sz w:val="20"/>
        </w:rPr>
      </w:pPr>
      <w:r>
        <w:rPr>
          <w:rFonts w:ascii="ARIAL" w:hAnsi="ARIAL"/>
          <w:sz w:val="20"/>
        </w:rPr>
        <w:t xml:space="preserve">There were 1.412 billion shares of common stock outstanding as of September 30, 2024, and 1.420 billion shares outstanding as of June 30,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68"/>
        <w:gridCol w:w="669"/>
        <w:gridCol w:w="167"/>
        <w:gridCol w:w="1578"/>
        <w:gridCol w:w="157"/>
      </w:tblGrid>
      <w:tr>
        <w:trPr/>
        <w:tc>
          <w:tcPr>
            <w:tcW w:w="4368" w:type="dxa"/>
            <w:tcBorders/>
            <w:vAlign w:val="center"/>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68"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left"/>
              <w:rPr/>
            </w:pPr>
            <w:r>
              <w:rPr/>
              <w:t>  </w:t>
            </w:r>
          </w:p>
        </w:tc>
        <w:tc>
          <w:tcPr>
            <w:tcW w:w="1745" w:type="dxa"/>
            <w:gridSpan w:val="2"/>
            <w:tcBorders/>
            <w:vAlign w:val="bottom"/>
          </w:tcPr>
          <w:p>
            <w:pPr>
              <w:pStyle w:val="TableContents"/>
              <w:bidi w:val="0"/>
              <w:spacing w:before="0" w:after="283"/>
              <w:jc w:val="center"/>
              <w:rPr/>
            </w:pPr>
            <w:r>
              <w:rPr/>
              <w:t>(Stated in millions)</w:t>
            </w:r>
          </w:p>
        </w:tc>
        <w:tc>
          <w:tcPr>
            <w:tcW w:w="157" w:type="dxa"/>
            <w:tcBorders/>
            <w:vAlign w:val="bottom"/>
          </w:tcPr>
          <w:p>
            <w:pPr>
              <w:pStyle w:val="TableContents"/>
              <w:bidi w:val="0"/>
              <w:spacing w:before="0" w:after="283"/>
              <w:jc w:val="left"/>
              <w:rPr/>
            </w:pPr>
            <w:r>
              <w:rPr/>
              <w:t> </w:t>
            </w:r>
          </w:p>
        </w:tc>
      </w:tr>
      <w:tr>
        <w:trPr/>
        <w:tc>
          <w:tcPr>
            <w:tcW w:w="4368" w:type="dxa"/>
            <w:tcBorders/>
            <w:shd w:fill="CCEEFF" w:val="clear"/>
          </w:tcPr>
          <w:p>
            <w:pPr>
              <w:pStyle w:val="TableContents"/>
              <w:bidi w:val="0"/>
              <w:spacing w:before="0" w:after="0"/>
              <w:jc w:val="left"/>
              <w:rPr>
                <w:rFonts w:ascii="ARIAL" w:hAnsi="ARIAL"/>
                <w:sz w:val="20"/>
              </w:rPr>
            </w:pPr>
            <w:r>
              <w:rPr>
                <w:rFonts w:ascii="ARIAL" w:hAnsi="ARIAL"/>
                <w:sz w:val="20"/>
              </w:rPr>
              <w:t>Shares outstanding at June 30, 2024</w:t>
            </w:r>
          </w:p>
        </w:tc>
        <w:tc>
          <w:tcPr>
            <w:tcW w:w="66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1,420</w:t>
            </w:r>
          </w:p>
        </w:tc>
        <w:tc>
          <w:tcPr>
            <w:tcW w:w="157" w:type="dxa"/>
            <w:tcBorders/>
            <w:shd w:fill="CCEEFF" w:val="clear"/>
            <w:vAlign w:val="bottom"/>
          </w:tcPr>
          <w:p>
            <w:pPr>
              <w:pStyle w:val="TableContents"/>
              <w:bidi w:val="0"/>
              <w:spacing w:before="0" w:after="283"/>
              <w:jc w:val="left"/>
              <w:rPr/>
            </w:pPr>
            <w:r>
              <w:rPr/>
              <w:t> </w:t>
            </w:r>
          </w:p>
        </w:tc>
      </w:tr>
      <w:tr>
        <w:trPr/>
        <w:tc>
          <w:tcPr>
            <w:tcW w:w="4368" w:type="dxa"/>
            <w:tcBorders/>
          </w:tcPr>
          <w:p>
            <w:pPr>
              <w:pStyle w:val="TableContents"/>
              <w:bidi w:val="0"/>
              <w:spacing w:before="0" w:after="0"/>
              <w:jc w:val="left"/>
              <w:rPr>
                <w:rFonts w:ascii="ARIAL" w:hAnsi="ARIAL"/>
                <w:sz w:val="20"/>
              </w:rPr>
            </w:pPr>
            <w:r>
              <w:rPr>
                <w:rFonts w:ascii="ARIAL" w:hAnsi="ARIAL"/>
                <w:sz w:val="20"/>
              </w:rPr>
              <w:t>Shares issued under employee stock purchase plan</w:t>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3</w:t>
            </w:r>
          </w:p>
        </w:tc>
        <w:tc>
          <w:tcPr>
            <w:tcW w:w="157" w:type="dxa"/>
            <w:tcBorders/>
            <w:vAlign w:val="bottom"/>
          </w:tcPr>
          <w:p>
            <w:pPr>
              <w:pStyle w:val="TableContents"/>
              <w:bidi w:val="0"/>
              <w:spacing w:before="0" w:after="283"/>
              <w:jc w:val="left"/>
              <w:rPr/>
            </w:pPr>
            <w:r>
              <w:rPr/>
              <w:t> </w:t>
            </w:r>
          </w:p>
        </w:tc>
      </w:tr>
      <w:tr>
        <w:trPr/>
        <w:tc>
          <w:tcPr>
            <w:tcW w:w="4368" w:type="dxa"/>
            <w:tcBorders/>
            <w:shd w:fill="CCEEFF" w:val="clear"/>
          </w:tcPr>
          <w:p>
            <w:pPr>
              <w:pStyle w:val="TableContents"/>
              <w:bidi w:val="0"/>
              <w:spacing w:before="0" w:after="0"/>
              <w:jc w:val="left"/>
              <w:rPr>
                <w:rFonts w:ascii="ARIAL" w:hAnsi="ARIAL"/>
                <w:sz w:val="20"/>
              </w:rPr>
            </w:pPr>
            <w:r>
              <w:rPr>
                <w:rFonts w:ascii="ARIAL" w:hAnsi="ARIAL"/>
                <w:sz w:val="20"/>
              </w:rPr>
              <w:t>Shares issued to optionees, less shares exchanged</w:t>
            </w:r>
          </w:p>
        </w:tc>
        <w:tc>
          <w:tcPr>
            <w:tcW w:w="66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4368" w:type="dxa"/>
            <w:tcBorders/>
          </w:tcPr>
          <w:p>
            <w:pPr>
              <w:pStyle w:val="TableContents"/>
              <w:bidi w:val="0"/>
              <w:spacing w:before="0" w:after="0"/>
              <w:jc w:val="left"/>
              <w:rPr>
                <w:rFonts w:ascii="ARIAL" w:hAnsi="ARIAL"/>
                <w:sz w:val="20"/>
              </w:rPr>
            </w:pPr>
            <w:r>
              <w:rPr>
                <w:rFonts w:ascii="ARIAL" w:hAnsi="ARIAL"/>
                <w:sz w:val="20"/>
              </w:rPr>
              <w:t>Vesting of restricted stock</w:t>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4368" w:type="dxa"/>
            <w:tcBorders/>
            <w:shd w:fill="CCEEFF" w:val="clear"/>
          </w:tcPr>
          <w:p>
            <w:pPr>
              <w:pStyle w:val="TableContents"/>
              <w:bidi w:val="0"/>
              <w:spacing w:before="0" w:after="0"/>
              <w:jc w:val="left"/>
              <w:rPr>
                <w:rFonts w:ascii="ARIAL" w:hAnsi="ARIAL"/>
                <w:sz w:val="20"/>
              </w:rPr>
            </w:pPr>
            <w:r>
              <w:rPr>
                <w:rFonts w:ascii="ARIAL" w:hAnsi="ARIAL"/>
                <w:sz w:val="20"/>
              </w:rPr>
              <w:t>Stock repurchase program</w:t>
            </w:r>
          </w:p>
        </w:tc>
        <w:tc>
          <w:tcPr>
            <w:tcW w:w="66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(11</w:t>
            </w:r>
          </w:p>
        </w:tc>
        <w:tc>
          <w:tcPr>
            <w:tcW w:w="157" w:type="dxa"/>
            <w:tcBorders/>
            <w:shd w:fill="CCEEFF" w:val="clear"/>
            <w:vAlign w:val="bottom"/>
          </w:tcPr>
          <w:p>
            <w:pPr>
              <w:pStyle w:val="TableContents"/>
              <w:bidi w:val="0"/>
              <w:spacing w:before="0" w:after="283"/>
              <w:jc w:val="left"/>
              <w:rPr/>
            </w:pPr>
            <w:r>
              <w:rPr/>
              <w:t>) </w:t>
            </w:r>
          </w:p>
        </w:tc>
      </w:tr>
      <w:tr>
        <w:trPr/>
        <w:tc>
          <w:tcPr>
            <w:tcW w:w="4368"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57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368" w:type="dxa"/>
            <w:tcBorders/>
          </w:tcPr>
          <w:p>
            <w:pPr>
              <w:pStyle w:val="TableContents"/>
              <w:bidi w:val="0"/>
              <w:spacing w:before="0" w:after="0"/>
              <w:jc w:val="left"/>
              <w:rPr>
                <w:rFonts w:ascii="ARIAL" w:hAnsi="ARIAL"/>
                <w:sz w:val="20"/>
              </w:rPr>
            </w:pPr>
            <w:r>
              <w:rPr>
                <w:rFonts w:ascii="ARIAL" w:hAnsi="ARIAL"/>
                <w:sz w:val="20"/>
              </w:rPr>
              <w:t>Shares outstanding at September 30, 2024</w:t>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1,412</w:t>
            </w:r>
          </w:p>
        </w:tc>
        <w:tc>
          <w:tcPr>
            <w:tcW w:w="157" w:type="dxa"/>
            <w:tcBorders/>
            <w:vAlign w:val="bottom"/>
          </w:tcPr>
          <w:p>
            <w:pPr>
              <w:pStyle w:val="TableContents"/>
              <w:bidi w:val="0"/>
              <w:spacing w:before="0" w:after="283"/>
              <w:jc w:val="left"/>
              <w:rPr/>
            </w:pPr>
            <w:r>
              <w:rPr/>
              <w:t> </w:t>
            </w:r>
          </w:p>
        </w:tc>
      </w:tr>
      <w:tr>
        <w:trPr/>
        <w:tc>
          <w:tcPr>
            <w:tcW w:w="4368"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57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was the weighted average number of shares outstanding during the third quarter of 2024 and second quarter of 2024? How does this reconcile to the average number of shares outstanding, assuming dilution, used in the calculation of diluted earnings per share? </w:t>
            </w:r>
          </w:p>
        </w:tc>
      </w:tr>
    </w:tbl>
    <w:p>
      <w:pPr>
        <w:pStyle w:val="TextBody"/>
        <w:bidi w:val="0"/>
        <w:spacing w:before="120" w:after="0"/>
        <w:jc w:val="left"/>
        <w:rPr>
          <w:rFonts w:ascii="ARIAL" w:hAnsi="ARIAL"/>
          <w:sz w:val="20"/>
        </w:rPr>
      </w:pPr>
      <w:r>
        <w:rPr>
          <w:rFonts w:ascii="ARIAL" w:hAnsi="ARIAL"/>
          <w:sz w:val="20"/>
        </w:rPr>
        <w:t xml:space="preserve">The weighted average number of shares outstanding was 1.417 billion during the third quarter of 2024 and 1.428 billion during the second quarter of 2024. The following is a reconciliation of the weighted average shares outstanding to the average number of shares outstanding, assuming dilution, used in the calculation of diluted earnings per share.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3666"/>
        <w:gridCol w:w="454"/>
        <w:gridCol w:w="145"/>
        <w:gridCol w:w="1366"/>
        <w:gridCol w:w="73"/>
        <w:gridCol w:w="477"/>
        <w:gridCol w:w="145"/>
        <w:gridCol w:w="1366"/>
        <w:gridCol w:w="63"/>
      </w:tblGrid>
      <w:tr>
        <w:trPr/>
        <w:tc>
          <w:tcPr>
            <w:tcW w:w="3666"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3572" w:type="dxa"/>
            <w:gridSpan w:val="6"/>
            <w:tcBorders/>
            <w:vAlign w:val="bottom"/>
          </w:tcPr>
          <w:p>
            <w:pPr>
              <w:pStyle w:val="TableContents"/>
              <w:bidi w:val="0"/>
              <w:spacing w:before="0" w:after="283"/>
              <w:jc w:val="right"/>
              <w:rPr/>
            </w:pPr>
            <w:r>
              <w:rPr/>
              <w:t>(Stated in millions)</w:t>
            </w:r>
          </w:p>
        </w:tc>
        <w:tc>
          <w:tcPr>
            <w:tcW w:w="63"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br/>
              <w:t>2024</w:t>
            </w:r>
          </w:p>
        </w:tc>
        <w:tc>
          <w:tcPr>
            <w:tcW w:w="73"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511"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2024</w:t>
            </w:r>
          </w:p>
        </w:tc>
        <w:tc>
          <w:tcPr>
            <w:tcW w:w="6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ARIAL" w:hAnsi="ARIAL"/>
                <w:sz w:val="20"/>
              </w:rPr>
            </w:pPr>
            <w:r>
              <w:rPr>
                <w:rFonts w:ascii="ARIAL" w:hAnsi="ARIAL"/>
                <w:sz w:val="20"/>
              </w:rPr>
              <w:t>Weighted average shares outstanding</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b/>
              </w:rPr>
            </w:pPr>
            <w:r>
              <w:rPr>
                <w:b/>
              </w:rPr>
              <w:t>1,417</w:t>
            </w:r>
          </w:p>
        </w:tc>
        <w:tc>
          <w:tcPr>
            <w:tcW w:w="73"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1,428</w:t>
            </w:r>
          </w:p>
        </w:tc>
        <w:tc>
          <w:tcPr>
            <w:tcW w:w="63"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ARIAL" w:hAnsi="ARIAL"/>
                <w:sz w:val="20"/>
              </w:rPr>
            </w:pPr>
            <w:r>
              <w:rPr>
                <w:rFonts w:ascii="ARIAL" w:hAnsi="ARIAL"/>
                <w:sz w:val="20"/>
              </w:rPr>
              <w:t>Unvested restricted stock</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14</w:t>
            </w:r>
          </w:p>
        </w:tc>
        <w:tc>
          <w:tcPr>
            <w:tcW w:w="73"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ARIAL" w:hAnsi="ARIAL"/>
                <w:sz w:val="20"/>
              </w:rPr>
            </w:pPr>
            <w:r>
              <w:rPr>
                <w:rFonts w:ascii="ARIAL" w:hAnsi="ARIAL"/>
                <w:sz w:val="20"/>
              </w:rPr>
              <w:t>Assumed exercise of stock options</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b/>
              </w:rPr>
            </w:pPr>
            <w:r>
              <w:rPr>
                <w:b/>
              </w:rPr>
              <w:t>1</w:t>
            </w:r>
          </w:p>
        </w:tc>
        <w:tc>
          <w:tcPr>
            <w:tcW w:w="73"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ARIAL" w:hAnsi="ARIAL"/>
                <w:sz w:val="20"/>
              </w:rPr>
            </w:pPr>
            <w:r>
              <w:rPr>
                <w:rFonts w:ascii="ARIAL" w:hAnsi="ARIAL"/>
                <w:sz w:val="20"/>
              </w:rPr>
              <w:t>Average shares outstanding, assuming dilution</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1,432</w:t>
            </w:r>
          </w:p>
        </w:tc>
        <w:tc>
          <w:tcPr>
            <w:tcW w:w="73"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1,443</w:t>
            </w:r>
          </w:p>
        </w:tc>
        <w:tc>
          <w:tcPr>
            <w:tcW w:w="63"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What was SLBs adjusted EBITDA in the third quarter of 2024, the second quarter of 2024, the third quarter of 2023, the first nine months of 2024, and the first nine months of 2023? What was SLBs adjusted EBITDA margin for those periods? </w:t>
            </w:r>
          </w:p>
        </w:tc>
      </w:tr>
    </w:tbl>
    <w:p>
      <w:pPr>
        <w:pStyle w:val="TextBody"/>
        <w:bidi w:val="0"/>
        <w:spacing w:before="120" w:after="0"/>
        <w:jc w:val="left"/>
        <w:rPr>
          <w:rFonts w:ascii="ARIAL" w:hAnsi="ARIAL"/>
          <w:sz w:val="20"/>
        </w:rPr>
      </w:pPr>
      <w:r>
        <w:rPr>
          <w:rFonts w:ascii="ARIAL" w:hAnsi="ARIAL"/>
          <w:sz w:val="20"/>
        </w:rPr>
        <w:t xml:space="preserve">SLBs adjusted EBITDA was $2.343 billion in the third quarter of 2024, $2.288 billion in the second quarter of 2024, and $2.081 billion in the third quarter of 2023. SLBs adjusted EBITDA margin was 25.6% in the third quarter of 2024 and 25.0% in both the second quarter of 2024 and the third quarter of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06"/>
        <w:gridCol w:w="337"/>
        <w:gridCol w:w="301"/>
        <w:gridCol w:w="1204"/>
        <w:gridCol w:w="320"/>
        <w:gridCol w:w="257"/>
        <w:gridCol w:w="301"/>
        <w:gridCol w:w="1204"/>
        <w:gridCol w:w="275"/>
        <w:gridCol w:w="257"/>
        <w:gridCol w:w="264"/>
        <w:gridCol w:w="1065"/>
        <w:gridCol w:w="281"/>
      </w:tblGrid>
      <w:tr>
        <w:trPr/>
        <w:tc>
          <w:tcPr>
            <w:tcW w:w="2506"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5448" w:type="dxa"/>
            <w:gridSpan w:val="10"/>
            <w:tcBorders/>
            <w:vAlign w:val="bottom"/>
          </w:tcPr>
          <w:p>
            <w:pPr>
              <w:pStyle w:val="TableContents"/>
              <w:bidi w:val="0"/>
              <w:spacing w:before="0" w:after="283"/>
              <w:jc w:val="right"/>
              <w:rPr/>
            </w:pPr>
            <w:r>
              <w:rPr/>
              <w:t>(Stated in millions)</w:t>
            </w:r>
          </w:p>
        </w:tc>
        <w:tc>
          <w:tcPr>
            <w:tcW w:w="281" w:type="dxa"/>
            <w:tcBorders/>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br/>
              <w:t>2024</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2024</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pPr>
            <w:r>
              <w:rPr/>
              <w:t>Third Quarter</w:t>
              <w:br/>
              <w:t>2023</w:t>
            </w:r>
          </w:p>
        </w:tc>
        <w:tc>
          <w:tcPr>
            <w:tcW w:w="281"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1,186</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1,112</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1,123</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Net income attributable to noncontrolling interests</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32</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33</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13</w:t>
            </w:r>
          </w:p>
        </w:tc>
        <w:tc>
          <w:tcPr>
            <w:tcW w:w="281"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Tax expense</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289</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276</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259</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Income before taxes</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1,507</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1,421</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1,395</w:t>
            </w:r>
          </w:p>
        </w:tc>
        <w:tc>
          <w:tcPr>
            <w:tcW w:w="281"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Charges &amp; credits</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112</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142</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Depreciation and amortization</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640</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631</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579</w:t>
            </w:r>
          </w:p>
        </w:tc>
        <w:tc>
          <w:tcPr>
            <w:tcW w:w="281"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Interest expense</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136</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132</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129</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Interest income</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(52</w:t>
            </w:r>
          </w:p>
        </w:tc>
        <w:tc>
          <w:tcPr>
            <w:tcW w:w="320" w:type="dxa"/>
            <w:tcBorders/>
            <w:vAlign w:val="bottom"/>
          </w:tcPr>
          <w:p>
            <w:pPr>
              <w:pStyle w:val="TableContents"/>
              <w:bidi w:val="0"/>
              <w:spacing w:before="0" w:after="283"/>
              <w:jc w:val="left"/>
              <w:rPr>
                <w:b/>
              </w:rPr>
            </w:pPr>
            <w:r>
              <w:rPr>
                <w:b/>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(38</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(22</w:t>
            </w:r>
          </w:p>
        </w:tc>
        <w:tc>
          <w:tcPr>
            <w:tcW w:w="281" w:type="dxa"/>
            <w:tcBorders/>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Adjusted EBITDA</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2,343</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2,288</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2,081</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Revenue</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9,159</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9,139</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8,310</w:t>
            </w:r>
          </w:p>
        </w:tc>
        <w:tc>
          <w:tcPr>
            <w:tcW w:w="281" w:type="dxa"/>
            <w:tcBorders/>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06"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25.6</w:t>
            </w:r>
          </w:p>
        </w:tc>
        <w:tc>
          <w:tcPr>
            <w:tcW w:w="320" w:type="dxa"/>
            <w:tcBorders/>
            <w:shd w:fill="CCEEFF" w:val="clear"/>
            <w:vAlign w:val="bottom"/>
          </w:tcPr>
          <w:p>
            <w:pPr>
              <w:pStyle w:val="TableContents"/>
              <w:bidi w:val="0"/>
              <w:spacing w:before="0" w:after="283"/>
              <w:jc w:val="left"/>
              <w:rPr>
                <w:b/>
              </w:rPr>
            </w:pPr>
            <w:r>
              <w:rPr>
                <w:b/>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25.0</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SLBs adjusted EBITDA was $6.687 billion for the nine months ended September 30, 2024, and $5.830 billion for the nine months ended September 30, 2023. SLBs adjusted EBITDA margin was 24.8% for the nine months ended September 30, 2024, and 24.1% for the nine months ended September 30, 2023.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3504"/>
        <w:gridCol w:w="320"/>
        <w:gridCol w:w="228"/>
        <w:gridCol w:w="1142"/>
        <w:gridCol w:w="323"/>
        <w:gridCol w:w="231"/>
        <w:gridCol w:w="215"/>
        <w:gridCol w:w="1051"/>
        <w:gridCol w:w="282"/>
        <w:gridCol w:w="231"/>
        <w:gridCol w:w="63"/>
        <w:gridCol w:w="692"/>
        <w:gridCol w:w="290"/>
      </w:tblGrid>
      <w:tr>
        <w:trPr/>
        <w:tc>
          <w:tcPr>
            <w:tcW w:w="3504"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458" w:type="dxa"/>
            <w:gridSpan w:val="10"/>
            <w:tcBorders/>
            <w:vAlign w:val="bottom"/>
          </w:tcPr>
          <w:p>
            <w:pPr>
              <w:pStyle w:val="TableContents"/>
              <w:bidi w:val="0"/>
              <w:spacing w:before="0" w:after="283"/>
              <w:jc w:val="right"/>
              <w:rPr/>
            </w:pPr>
            <w:r>
              <w:rPr/>
              <w:t>(Stated in millions)</w:t>
            </w:r>
          </w:p>
        </w:tc>
        <w:tc>
          <w:tcPr>
            <w:tcW w:w="290"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2024</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pPr>
            <w:r>
              <w:rPr/>
              <w:t>Nine Months</w:t>
              <w:br/>
              <w:t>2023</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pPr>
            <w:r>
              <w:rPr/>
              <w:t>Change</w:t>
            </w:r>
          </w:p>
        </w:tc>
        <w:tc>
          <w:tcPr>
            <w:tcW w:w="290"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142" w:type="dxa"/>
            <w:tcBorders/>
            <w:shd w:fill="CCEEFF" w:val="clear"/>
            <w:vAlign w:val="bottom"/>
          </w:tcPr>
          <w:p>
            <w:pPr>
              <w:pStyle w:val="TableContents"/>
              <w:bidi w:val="0"/>
              <w:spacing w:before="0" w:after="283"/>
              <w:jc w:val="right"/>
              <w:rPr>
                <w:b/>
              </w:rPr>
            </w:pPr>
            <w:r>
              <w:rPr>
                <w:b/>
              </w:rPr>
              <w:t>3,366</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3,091</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ARIAL" w:hAnsi="ARIAL"/>
                <w:sz w:val="20"/>
              </w:rPr>
            </w:pPr>
            <w:r>
              <w:rPr>
                <w:rFonts w:ascii="ARIAL" w:hAnsi="ARIAL"/>
                <w:sz w:val="20"/>
              </w:rPr>
              <w:t>Net income attributable to noncontrolling interests</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95</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36</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shd w:fill="CCEEFF" w:val="clear"/>
          </w:tcPr>
          <w:p>
            <w:pPr>
              <w:pStyle w:val="TableContents"/>
              <w:bidi w:val="0"/>
              <w:spacing w:before="0" w:after="0"/>
              <w:jc w:val="left"/>
              <w:rPr>
                <w:rFonts w:ascii="ARIAL" w:hAnsi="ARIAL"/>
                <w:sz w:val="20"/>
              </w:rPr>
            </w:pPr>
            <w:r>
              <w:rPr>
                <w:rFonts w:ascii="ARIAL" w:hAnsi="ARIAL"/>
                <w:sz w:val="20"/>
              </w:rPr>
              <w:t>Tax expense</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824</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722</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ARIAL" w:hAnsi="ARIAL"/>
                <w:sz w:val="20"/>
              </w:rPr>
            </w:pPr>
            <w:r>
              <w:rPr>
                <w:rFonts w:ascii="ARIAL" w:hAnsi="ARIAL"/>
                <w:sz w:val="20"/>
              </w:rPr>
              <w:t>Income before taxes</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142" w:type="dxa"/>
            <w:tcBorders/>
            <w:vAlign w:val="bottom"/>
          </w:tcPr>
          <w:p>
            <w:pPr>
              <w:pStyle w:val="TableContents"/>
              <w:bidi w:val="0"/>
              <w:spacing w:before="0" w:after="283"/>
              <w:jc w:val="right"/>
              <w:rPr>
                <w:b/>
              </w:rPr>
            </w:pPr>
            <w:r>
              <w:rPr>
                <w:b/>
              </w:rPr>
              <w:t>4,285</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3,849</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shd w:fill="CCEEFF" w:val="clear"/>
          </w:tcPr>
          <w:p>
            <w:pPr>
              <w:pStyle w:val="TableContents"/>
              <w:bidi w:val="0"/>
              <w:spacing w:before="0" w:after="0"/>
              <w:jc w:val="left"/>
              <w:rPr>
                <w:rFonts w:ascii="ARIAL" w:hAnsi="ARIAL"/>
                <w:sz w:val="20"/>
              </w:rPr>
            </w:pPr>
            <w:r>
              <w:rPr>
                <w:rFonts w:ascii="ARIAL" w:hAnsi="ARIAL"/>
                <w:sz w:val="20"/>
              </w:rPr>
              <w:t>Charges &amp; credits</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279</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(36</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ARIAL" w:hAnsi="ARIAL"/>
                <w:sz w:val="20"/>
              </w:rPr>
            </w:pPr>
            <w:r>
              <w:rPr>
                <w:rFonts w:ascii="ARIAL" w:hAnsi="ARIAL"/>
                <w:sz w:val="20"/>
              </w:rPr>
              <w:t>Depreciation and amortization</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1,871</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1,703</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shd w:fill="CCEEFF" w:val="clear"/>
          </w:tcPr>
          <w:p>
            <w:pPr>
              <w:pStyle w:val="TableContents"/>
              <w:bidi w:val="0"/>
              <w:spacing w:before="0" w:after="0"/>
              <w:jc w:val="left"/>
              <w:rPr>
                <w:rFonts w:ascii="ARIAL" w:hAnsi="ARIAL"/>
                <w:sz w:val="20"/>
              </w:rPr>
            </w:pPr>
            <w:r>
              <w:rPr>
                <w:rFonts w:ascii="ARIAL" w:hAnsi="ARIAL"/>
                <w:sz w:val="20"/>
              </w:rPr>
              <w:t>Interest expense</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381</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373</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ARIAL" w:hAnsi="ARIAL"/>
                <w:sz w:val="20"/>
              </w:rPr>
            </w:pPr>
            <w:r>
              <w:rPr>
                <w:rFonts w:ascii="ARIAL" w:hAnsi="ARIAL"/>
                <w:sz w:val="20"/>
              </w:rPr>
              <w:t>Interest income</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(129</w:t>
            </w:r>
          </w:p>
        </w:tc>
        <w:tc>
          <w:tcPr>
            <w:tcW w:w="323" w:type="dxa"/>
            <w:tcBorders/>
            <w:vAlign w:val="bottom"/>
          </w:tcPr>
          <w:p>
            <w:pPr>
              <w:pStyle w:val="TableContents"/>
              <w:bidi w:val="0"/>
              <w:spacing w:before="0" w:after="283"/>
              <w:jc w:val="left"/>
              <w:rPr>
                <w:b/>
              </w:rPr>
            </w:pPr>
            <w:r>
              <w:rPr>
                <w:b/>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(59</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504"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142" w:type="dxa"/>
            <w:tcBorders/>
            <w:shd w:fill="CCEEFF" w:val="clear"/>
            <w:vAlign w:val="bottom"/>
          </w:tcPr>
          <w:p>
            <w:pPr>
              <w:pStyle w:val="TableContents"/>
              <w:bidi w:val="0"/>
              <w:spacing w:before="0" w:after="283"/>
              <w:jc w:val="right"/>
              <w:rPr>
                <w:b/>
              </w:rPr>
            </w:pPr>
            <w:r>
              <w:rPr>
                <w:b/>
              </w:rPr>
              <w:t>6,687</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5,830</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15</w:t>
            </w:r>
          </w:p>
        </w:tc>
        <w:tc>
          <w:tcPr>
            <w:tcW w:w="290"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504" w:type="dxa"/>
            <w:tcBorders/>
            <w:vAlign w:val="bottom"/>
          </w:tcPr>
          <w:p>
            <w:pPr>
              <w:pStyle w:val="TableContents"/>
              <w:bidi w:val="0"/>
              <w:spacing w:before="0" w:after="0"/>
              <w:jc w:val="left"/>
              <w:rPr>
                <w:rFonts w:ascii="ARIAL" w:hAnsi="ARIAL"/>
                <w:sz w:val="20"/>
              </w:rPr>
            </w:pPr>
            <w:r>
              <w:rPr>
                <w:rFonts w:ascii="ARIAL" w:hAnsi="ARIAL"/>
                <w:sz w:val="20"/>
              </w:rPr>
              <w:t>Revenue</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142" w:type="dxa"/>
            <w:tcBorders/>
            <w:vAlign w:val="bottom"/>
          </w:tcPr>
          <w:p>
            <w:pPr>
              <w:pStyle w:val="TableContents"/>
              <w:bidi w:val="0"/>
              <w:spacing w:before="0" w:after="283"/>
              <w:jc w:val="right"/>
              <w:rPr>
                <w:b/>
              </w:rPr>
            </w:pPr>
            <w:r>
              <w:rPr>
                <w:b/>
              </w:rPr>
              <w:t>27,005</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24,145</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12</w:t>
            </w:r>
          </w:p>
        </w:tc>
        <w:tc>
          <w:tcPr>
            <w:tcW w:w="290"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504"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24.8</w:t>
            </w:r>
          </w:p>
        </w:tc>
        <w:tc>
          <w:tcPr>
            <w:tcW w:w="323" w:type="dxa"/>
            <w:tcBorders/>
            <w:shd w:fill="CCEEFF" w:val="clear"/>
            <w:vAlign w:val="bottom"/>
          </w:tcPr>
          <w:p>
            <w:pPr>
              <w:pStyle w:val="TableContents"/>
              <w:bidi w:val="0"/>
              <w:spacing w:before="0" w:after="283"/>
              <w:jc w:val="left"/>
              <w:rPr>
                <w:b/>
              </w:rPr>
            </w:pPr>
            <w:r>
              <w:rPr>
                <w:b/>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24.1</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62 bps</w:t>
            </w:r>
          </w:p>
        </w:tc>
        <w:tc>
          <w:tcPr>
            <w:tcW w:w="290"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were the components of depreciation and amortization expense for the third quarter of 2024, the second quarter of 2024, and the third quarter of 2023, the first nine months of 2024, and the first nine months of 2023? </w:t>
            </w:r>
          </w:p>
        </w:tc>
      </w:tr>
    </w:tbl>
    <w:p>
      <w:pPr>
        <w:pStyle w:val="TextBody"/>
        <w:bidi w:val="0"/>
        <w:spacing w:before="120" w:after="0"/>
        <w:jc w:val="left"/>
        <w:rPr>
          <w:rFonts w:ascii="ARIAL" w:hAnsi="ARIAL"/>
          <w:sz w:val="20"/>
        </w:rPr>
      </w:pPr>
      <w:r>
        <w:rPr>
          <w:rFonts w:ascii="ARIAL" w:hAnsi="ARIAL"/>
          <w:sz w:val="20"/>
        </w:rPr>
        <w:t xml:space="preserve">The components of depreciation and amortization expense for the third quarter of 2024, the second quarter of 2024, and the third quarter of 2023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06"/>
        <w:gridCol w:w="399"/>
        <w:gridCol w:w="405"/>
        <w:gridCol w:w="1125"/>
        <w:gridCol w:w="60"/>
        <w:gridCol w:w="399"/>
        <w:gridCol w:w="405"/>
        <w:gridCol w:w="1125"/>
        <w:gridCol w:w="60"/>
        <w:gridCol w:w="399"/>
        <w:gridCol w:w="356"/>
        <w:gridCol w:w="969"/>
        <w:gridCol w:w="64"/>
      </w:tblGrid>
      <w:tr>
        <w:trPr/>
        <w:tc>
          <w:tcPr>
            <w:tcW w:w="2806"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5303" w:type="dxa"/>
            <w:gridSpan w:val="10"/>
            <w:tcBorders/>
            <w:vAlign w:val="bottom"/>
          </w:tcPr>
          <w:p>
            <w:pPr>
              <w:pStyle w:val="TableContents"/>
              <w:bidi w:val="0"/>
              <w:spacing w:before="0" w:after="283"/>
              <w:jc w:val="right"/>
              <w:rPr/>
            </w:pPr>
            <w:r>
              <w:rPr/>
              <w:t>(Stated in millions)</w:t>
            </w:r>
          </w:p>
        </w:tc>
        <w:tc>
          <w:tcPr>
            <w:tcW w:w="64"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br/>
              <w:t>2024</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2024</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Third Quarter</w:t>
              <w:br/>
              <w:t>2023</w:t>
            </w:r>
          </w:p>
        </w:tc>
        <w:tc>
          <w:tcPr>
            <w:tcW w:w="64" w:type="dxa"/>
            <w:tcBorders/>
            <w:vAlign w:val="bottom"/>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ARIAL" w:hAnsi="ARIAL"/>
                <w:sz w:val="20"/>
              </w:rPr>
            </w:pPr>
            <w:r>
              <w:rPr>
                <w:rFonts w:ascii="ARIAL" w:hAnsi="ARIAL"/>
                <w:sz w:val="20"/>
              </w:rPr>
              <w:t>Depreciation of fixed assets</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b/>
              </w:rPr>
            </w:pPr>
            <w:r>
              <w:rPr>
                <w:b/>
              </w:rPr>
              <w:t>$</w:t>
            </w:r>
          </w:p>
        </w:tc>
        <w:tc>
          <w:tcPr>
            <w:tcW w:w="1125" w:type="dxa"/>
            <w:tcBorders/>
            <w:shd w:fill="CCEEFF" w:val="clear"/>
            <w:vAlign w:val="bottom"/>
          </w:tcPr>
          <w:p>
            <w:pPr>
              <w:pStyle w:val="TableContents"/>
              <w:bidi w:val="0"/>
              <w:spacing w:before="0" w:after="283"/>
              <w:jc w:val="right"/>
              <w:rPr>
                <w:b/>
              </w:rPr>
            </w:pPr>
            <w:r>
              <w:rPr>
                <w:b/>
              </w:rPr>
              <w:t>394</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384</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365</w:t>
            </w:r>
          </w:p>
        </w:tc>
        <w:tc>
          <w:tcPr>
            <w:tcW w:w="64" w:type="dxa"/>
            <w:tcBorders/>
            <w:shd w:fill="CCEEFF" w:val="clear"/>
            <w:vAlign w:val="bottom"/>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ARIAL" w:hAnsi="ARIAL"/>
                <w:sz w:val="20"/>
              </w:rPr>
            </w:pPr>
            <w:r>
              <w:rPr>
                <w:rFonts w:ascii="ARIAL" w:hAnsi="ARIAL"/>
                <w:sz w:val="20"/>
              </w:rPr>
              <w:t>Amortization of intangible assets</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b/>
              </w:rPr>
            </w:pPr>
            <w:r>
              <w:rPr>
                <w:b/>
              </w:rPr>
              <w:t>87</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ARIAL" w:hAnsi="ARIAL"/>
                <w:sz w:val="20"/>
              </w:rPr>
            </w:pPr>
            <w:r>
              <w:rPr>
                <w:rFonts w:ascii="ARIAL" w:hAnsi="ARIAL"/>
                <w:sz w:val="20"/>
              </w:rPr>
              <w:t>Amortization of APS investments</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124</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118</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107</w:t>
            </w:r>
          </w:p>
        </w:tc>
        <w:tc>
          <w:tcPr>
            <w:tcW w:w="64" w:type="dxa"/>
            <w:tcBorders/>
            <w:shd w:fill="CCEEFF" w:val="clear"/>
            <w:vAlign w:val="bottom"/>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ARIAL" w:hAnsi="ARIAL"/>
                <w:sz w:val="20"/>
              </w:rPr>
            </w:pPr>
            <w:r>
              <w:rPr>
                <w:rFonts w:ascii="ARIAL" w:hAnsi="ARIAL"/>
                <w:sz w:val="20"/>
              </w:rPr>
              <w:t>Amortization of exploration data costs capitalized</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b/>
              </w:rPr>
            </w:pPr>
            <w:r>
              <w:rPr>
                <w:b/>
              </w:rPr>
              <w:t>35</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b/>
              </w:rPr>
            </w:pPr>
            <w:r>
              <w:rPr>
                <w:b/>
              </w:rPr>
              <w:t>$</w:t>
            </w:r>
          </w:p>
        </w:tc>
        <w:tc>
          <w:tcPr>
            <w:tcW w:w="1125" w:type="dxa"/>
            <w:tcBorders/>
            <w:shd w:fill="CCEEFF" w:val="clear"/>
            <w:vAlign w:val="bottom"/>
          </w:tcPr>
          <w:p>
            <w:pPr>
              <w:pStyle w:val="TableContents"/>
              <w:bidi w:val="0"/>
              <w:spacing w:before="0" w:after="283"/>
              <w:jc w:val="right"/>
              <w:rPr>
                <w:b/>
              </w:rPr>
            </w:pPr>
            <w:r>
              <w:rPr>
                <w:b/>
              </w:rPr>
              <w:t>640</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631</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579</w:t>
            </w:r>
          </w:p>
        </w:tc>
        <w:tc>
          <w:tcPr>
            <w:tcW w:w="64" w:type="dxa"/>
            <w:tcBorders/>
            <w:shd w:fill="CCEEFF" w:val="clear"/>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components of depreciation and amortization expense for the nine months ended September 30, 2024, and the nine months ended September 30, 2023, were as follows: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4179"/>
        <w:gridCol w:w="407"/>
        <w:gridCol w:w="267"/>
        <w:gridCol w:w="1076"/>
        <w:gridCol w:w="65"/>
        <w:gridCol w:w="416"/>
        <w:gridCol w:w="255"/>
        <w:gridCol w:w="1025"/>
        <w:gridCol w:w="65"/>
      </w:tblGrid>
      <w:tr>
        <w:trPr/>
        <w:tc>
          <w:tcPr>
            <w:tcW w:w="4179"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79"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3104" w:type="dxa"/>
            <w:gridSpan w:val="6"/>
            <w:tcBorders/>
            <w:vAlign w:val="bottom"/>
          </w:tcPr>
          <w:p>
            <w:pPr>
              <w:pStyle w:val="TableContents"/>
              <w:bidi w:val="0"/>
              <w:spacing w:before="0" w:after="283"/>
              <w:jc w:val="right"/>
              <w:rPr/>
            </w:pPr>
            <w:r>
              <w:rPr/>
              <w:t>(Stated in millions)</w:t>
            </w:r>
          </w:p>
        </w:tc>
        <w:tc>
          <w:tcPr>
            <w:tcW w:w="65" w:type="dxa"/>
            <w:tcBorders/>
            <w:vAlign w:val="bottom"/>
          </w:tcPr>
          <w:p>
            <w:pPr>
              <w:pStyle w:val="TableContents"/>
              <w:bidi w:val="0"/>
              <w:spacing w:before="0" w:after="283"/>
              <w:jc w:val="left"/>
              <w:rPr/>
            </w:pPr>
            <w:r>
              <w:rPr/>
              <w:t> </w:t>
            </w:r>
          </w:p>
        </w:tc>
      </w:tr>
      <w:tr>
        <w:trPr/>
        <w:tc>
          <w:tcPr>
            <w:tcW w:w="4179"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2024</w:t>
            </w:r>
          </w:p>
        </w:tc>
        <w:tc>
          <w:tcPr>
            <w:tcW w:w="6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Nine Months</w:t>
              <w:br/>
              <w:t>2023</w:t>
            </w:r>
          </w:p>
        </w:tc>
        <w:tc>
          <w:tcPr>
            <w:tcW w:w="65" w:type="dxa"/>
            <w:tcBorders/>
            <w:vAlign w:val="bottom"/>
          </w:tcPr>
          <w:p>
            <w:pPr>
              <w:pStyle w:val="TableContents"/>
              <w:bidi w:val="0"/>
              <w:spacing w:before="0" w:after="283"/>
              <w:jc w:val="left"/>
              <w:rPr/>
            </w:pPr>
            <w:r>
              <w:rPr/>
              <w:t> </w:t>
            </w:r>
          </w:p>
        </w:tc>
      </w:tr>
      <w:tr>
        <w:trPr/>
        <w:tc>
          <w:tcPr>
            <w:tcW w:w="4179" w:type="dxa"/>
            <w:tcBorders/>
            <w:shd w:fill="CCEEFF" w:val="clear"/>
          </w:tcPr>
          <w:p>
            <w:pPr>
              <w:pStyle w:val="TableContents"/>
              <w:bidi w:val="0"/>
              <w:spacing w:before="0" w:after="0"/>
              <w:jc w:val="left"/>
              <w:rPr>
                <w:rFonts w:ascii="ARIAL" w:hAnsi="ARIAL"/>
                <w:sz w:val="20"/>
              </w:rPr>
            </w:pPr>
            <w:r>
              <w:rPr>
                <w:rFonts w:ascii="ARIAL" w:hAnsi="ARIAL"/>
                <w:sz w:val="20"/>
              </w:rPr>
              <w:t>Depreciation of fixed assets</w:t>
            </w:r>
          </w:p>
        </w:tc>
        <w:tc>
          <w:tcPr>
            <w:tcW w:w="40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1076" w:type="dxa"/>
            <w:tcBorders/>
            <w:shd w:fill="CCEEFF" w:val="clear"/>
            <w:vAlign w:val="bottom"/>
          </w:tcPr>
          <w:p>
            <w:pPr>
              <w:pStyle w:val="TableContents"/>
              <w:bidi w:val="0"/>
              <w:spacing w:before="0" w:after="283"/>
              <w:jc w:val="right"/>
              <w:rPr>
                <w:b/>
              </w:rPr>
            </w:pPr>
            <w:r>
              <w:rPr>
                <w:b/>
              </w:rPr>
              <w:t>1,155</w:t>
            </w:r>
          </w:p>
        </w:tc>
        <w:tc>
          <w:tcPr>
            <w:tcW w:w="6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1,065</w:t>
            </w:r>
          </w:p>
        </w:tc>
        <w:tc>
          <w:tcPr>
            <w:tcW w:w="65" w:type="dxa"/>
            <w:tcBorders/>
            <w:shd w:fill="CCEEFF" w:val="clear"/>
            <w:vAlign w:val="bottom"/>
          </w:tcPr>
          <w:p>
            <w:pPr>
              <w:pStyle w:val="TableContents"/>
              <w:bidi w:val="0"/>
              <w:spacing w:before="0" w:after="283"/>
              <w:jc w:val="left"/>
              <w:rPr/>
            </w:pPr>
            <w:r>
              <w:rPr/>
              <w:t> </w:t>
            </w:r>
          </w:p>
        </w:tc>
      </w:tr>
      <w:tr>
        <w:trPr/>
        <w:tc>
          <w:tcPr>
            <w:tcW w:w="4179" w:type="dxa"/>
            <w:tcBorders/>
          </w:tcPr>
          <w:p>
            <w:pPr>
              <w:pStyle w:val="TableContents"/>
              <w:bidi w:val="0"/>
              <w:spacing w:before="0" w:after="0"/>
              <w:jc w:val="left"/>
              <w:rPr>
                <w:rFonts w:ascii="ARIAL" w:hAnsi="ARIAL"/>
                <w:sz w:val="20"/>
              </w:rPr>
            </w:pPr>
            <w:r>
              <w:rPr>
                <w:rFonts w:ascii="ARIAL" w:hAnsi="ARIAL"/>
                <w:sz w:val="20"/>
              </w:rPr>
              <w:t>Amortization of intangible assets</w:t>
            </w:r>
          </w:p>
        </w:tc>
        <w:tc>
          <w:tcPr>
            <w:tcW w:w="40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b/>
              </w:rPr>
            </w:pPr>
            <w:r>
              <w:rPr>
                <w:b/>
              </w:rPr>
              <w:t>250</w:t>
            </w:r>
          </w:p>
        </w:tc>
        <w:tc>
          <w:tcPr>
            <w:tcW w:w="6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231</w:t>
            </w:r>
          </w:p>
        </w:tc>
        <w:tc>
          <w:tcPr>
            <w:tcW w:w="65" w:type="dxa"/>
            <w:tcBorders/>
            <w:vAlign w:val="bottom"/>
          </w:tcPr>
          <w:p>
            <w:pPr>
              <w:pStyle w:val="TableContents"/>
              <w:bidi w:val="0"/>
              <w:spacing w:before="0" w:after="283"/>
              <w:jc w:val="left"/>
              <w:rPr/>
            </w:pPr>
            <w:r>
              <w:rPr/>
              <w:t> </w:t>
            </w:r>
          </w:p>
        </w:tc>
      </w:tr>
      <w:tr>
        <w:trPr/>
        <w:tc>
          <w:tcPr>
            <w:tcW w:w="4179" w:type="dxa"/>
            <w:tcBorders/>
            <w:shd w:fill="CCEEFF" w:val="clear"/>
          </w:tcPr>
          <w:p>
            <w:pPr>
              <w:pStyle w:val="TableContents"/>
              <w:bidi w:val="0"/>
              <w:spacing w:before="0" w:after="0"/>
              <w:jc w:val="left"/>
              <w:rPr>
                <w:rFonts w:ascii="ARIAL" w:hAnsi="ARIAL"/>
                <w:sz w:val="20"/>
              </w:rPr>
            </w:pPr>
            <w:r>
              <w:rPr>
                <w:rFonts w:ascii="ARIAL" w:hAnsi="ARIAL"/>
                <w:sz w:val="20"/>
              </w:rPr>
              <w:t>Amortization of APS investments</w:t>
            </w:r>
          </w:p>
        </w:tc>
        <w:tc>
          <w:tcPr>
            <w:tcW w:w="40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b/>
              </w:rPr>
            </w:pPr>
            <w:r>
              <w:rPr>
                <w:b/>
              </w:rPr>
              <w:t>355</w:t>
            </w:r>
          </w:p>
        </w:tc>
        <w:tc>
          <w:tcPr>
            <w:tcW w:w="6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299</w:t>
            </w:r>
          </w:p>
        </w:tc>
        <w:tc>
          <w:tcPr>
            <w:tcW w:w="65" w:type="dxa"/>
            <w:tcBorders/>
            <w:shd w:fill="CCEEFF" w:val="clear"/>
            <w:vAlign w:val="bottom"/>
          </w:tcPr>
          <w:p>
            <w:pPr>
              <w:pStyle w:val="TableContents"/>
              <w:bidi w:val="0"/>
              <w:spacing w:before="0" w:after="283"/>
              <w:jc w:val="left"/>
              <w:rPr/>
            </w:pPr>
            <w:r>
              <w:rPr/>
              <w:t> </w:t>
            </w:r>
          </w:p>
        </w:tc>
      </w:tr>
      <w:tr>
        <w:trPr/>
        <w:tc>
          <w:tcPr>
            <w:tcW w:w="4179" w:type="dxa"/>
            <w:tcBorders/>
          </w:tcPr>
          <w:p>
            <w:pPr>
              <w:pStyle w:val="TableContents"/>
              <w:bidi w:val="0"/>
              <w:spacing w:before="0" w:after="0"/>
              <w:jc w:val="left"/>
              <w:rPr>
                <w:rFonts w:ascii="ARIAL" w:hAnsi="ARIAL"/>
                <w:sz w:val="20"/>
              </w:rPr>
            </w:pPr>
            <w:r>
              <w:rPr>
                <w:rFonts w:ascii="ARIAL" w:hAnsi="ARIAL"/>
                <w:sz w:val="20"/>
              </w:rPr>
              <w:t>Amortization of exploration data costs capitalized</w:t>
            </w:r>
          </w:p>
        </w:tc>
        <w:tc>
          <w:tcPr>
            <w:tcW w:w="40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b/>
              </w:rPr>
            </w:pPr>
            <w:r>
              <w:rPr>
                <w:b/>
              </w:rPr>
              <w:t>111</w:t>
            </w:r>
          </w:p>
        </w:tc>
        <w:tc>
          <w:tcPr>
            <w:tcW w:w="6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108</w:t>
            </w:r>
          </w:p>
        </w:tc>
        <w:tc>
          <w:tcPr>
            <w:tcW w:w="65" w:type="dxa"/>
            <w:tcBorders/>
            <w:vAlign w:val="bottom"/>
          </w:tcPr>
          <w:p>
            <w:pPr>
              <w:pStyle w:val="TableContents"/>
              <w:bidi w:val="0"/>
              <w:spacing w:before="0" w:after="283"/>
              <w:jc w:val="left"/>
              <w:rPr/>
            </w:pPr>
            <w:r>
              <w:rPr/>
              <w:t> </w:t>
            </w:r>
          </w:p>
        </w:tc>
      </w:tr>
      <w:tr>
        <w:trPr/>
        <w:tc>
          <w:tcPr>
            <w:tcW w:w="4179"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79" w:type="dxa"/>
            <w:tcBorders/>
            <w:shd w:fill="CCEEFF" w:val="clear"/>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1076" w:type="dxa"/>
            <w:tcBorders/>
            <w:shd w:fill="CCEEFF" w:val="clear"/>
            <w:vAlign w:val="bottom"/>
          </w:tcPr>
          <w:p>
            <w:pPr>
              <w:pStyle w:val="TableContents"/>
              <w:bidi w:val="0"/>
              <w:spacing w:before="0" w:after="283"/>
              <w:jc w:val="right"/>
              <w:rPr>
                <w:b/>
              </w:rPr>
            </w:pPr>
            <w:r>
              <w:rPr>
                <w:b/>
              </w:rPr>
              <w:t>1,871</w:t>
            </w:r>
          </w:p>
        </w:tc>
        <w:tc>
          <w:tcPr>
            <w:tcW w:w="6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1,703</w:t>
            </w:r>
          </w:p>
        </w:tc>
        <w:tc>
          <w:tcPr>
            <w:tcW w:w="65" w:type="dxa"/>
            <w:tcBorders/>
            <w:shd w:fill="CCEEFF" w:val="clear"/>
            <w:vAlign w:val="bottom"/>
          </w:tcPr>
          <w:p>
            <w:pPr>
              <w:pStyle w:val="TableContents"/>
              <w:bidi w:val="0"/>
              <w:spacing w:before="0" w:after="283"/>
              <w:jc w:val="left"/>
              <w:rPr/>
            </w:pPr>
            <w:r>
              <w:rPr/>
              <w:t> </w:t>
            </w:r>
          </w:p>
        </w:tc>
      </w:tr>
      <w:tr>
        <w:trPr/>
        <w:tc>
          <w:tcPr>
            <w:tcW w:w="4179"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02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Divisions comprise SLBs Core business and what were their revenue and pretax operating income for the third quarter of 2024, the second quarter of 2024, and the third quarter of 2023? </w:t>
            </w:r>
          </w:p>
        </w:tc>
      </w:tr>
    </w:tbl>
    <w:p>
      <w:pPr>
        <w:pStyle w:val="TextBody"/>
        <w:bidi w:val="0"/>
        <w:spacing w:before="120" w:after="0"/>
        <w:jc w:val="left"/>
        <w:rPr>
          <w:rFonts w:ascii="ARIAL" w:hAnsi="ARIAL"/>
          <w:sz w:val="20"/>
        </w:rPr>
      </w:pPr>
      <w:r>
        <w:rPr>
          <w:rFonts w:ascii="ARIAL" w:hAnsi="ARIAL"/>
          <w:sz w:val="20"/>
        </w:rPr>
        <w:t xml:space="preserve">SLBs Core business comprises the Reservoir Performance, Well Construction, and Production Systems Divisions. SLBs Core business revenue and pretax operating income for the third quarter of 2024, second quarter of 2024, and the third quarter of 2023 are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2"/>
        <w:gridCol w:w="219"/>
        <w:gridCol w:w="178"/>
        <w:gridCol w:w="714"/>
        <w:gridCol w:w="324"/>
        <w:gridCol w:w="165"/>
        <w:gridCol w:w="154"/>
        <w:gridCol w:w="628"/>
        <w:gridCol w:w="284"/>
        <w:gridCol w:w="165"/>
        <w:gridCol w:w="171"/>
        <w:gridCol w:w="692"/>
        <w:gridCol w:w="284"/>
        <w:gridCol w:w="165"/>
        <w:gridCol w:w="87"/>
        <w:gridCol w:w="1008"/>
        <w:gridCol w:w="60"/>
        <w:gridCol w:w="165"/>
        <w:gridCol w:w="108"/>
        <w:gridCol w:w="1202"/>
        <w:gridCol w:w="70"/>
      </w:tblGrid>
      <w:tr>
        <w:trPr/>
        <w:tc>
          <w:tcPr>
            <w:tcW w:w="3362"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3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554" w:type="dxa"/>
            <w:gridSpan w:val="18"/>
            <w:tcBorders/>
            <w:vAlign w:val="bottom"/>
          </w:tcPr>
          <w:p>
            <w:pPr>
              <w:pStyle w:val="TableContents"/>
              <w:bidi w:val="0"/>
              <w:spacing w:before="0" w:after="283"/>
              <w:jc w:val="right"/>
              <w:rPr/>
            </w:pPr>
            <w:r>
              <w:rPr/>
              <w:t>(Stated in millions)</w:t>
            </w:r>
          </w:p>
        </w:tc>
        <w:tc>
          <w:tcPr>
            <w:tcW w:w="70" w:type="dxa"/>
            <w:tcBorders/>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47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6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70" w:type="dxa"/>
            <w:tcBorders/>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70" w:type="dxa"/>
            <w:tcBorders/>
            <w:vAlign w:val="bottom"/>
          </w:tcPr>
          <w:p>
            <w:pPr>
              <w:pStyle w:val="TableContents"/>
              <w:bidi w:val="0"/>
              <w:spacing w:before="0" w:after="283"/>
              <w:jc w:val="left"/>
              <w:rPr/>
            </w:pPr>
            <w:r>
              <w:rPr/>
              <w:t> </w:t>
            </w:r>
          </w:p>
        </w:tc>
      </w:tr>
      <w:tr>
        <w:trPr/>
        <w:tc>
          <w:tcPr>
            <w:tcW w:w="3362" w:type="dxa"/>
            <w:tcBorders/>
            <w:shd w:fill="CCEEFF" w:val="clear"/>
          </w:tcPr>
          <w:p>
            <w:pPr>
              <w:pStyle w:val="TableContents"/>
              <w:bidi w:val="0"/>
              <w:spacing w:before="0" w:after="0"/>
              <w:jc w:val="left"/>
              <w:rPr>
                <w:rFonts w:ascii="ARIAL" w:hAnsi="ARIAL"/>
                <w:b/>
                <w:sz w:val="20"/>
              </w:rPr>
            </w:pPr>
            <w:r>
              <w:rPr>
                <w:rFonts w:ascii="ARIAL" w:hAnsi="ARIAL"/>
                <w:b/>
                <w:sz w:val="20"/>
              </w:rPr>
              <w:t>Revenue</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Reservoir Performance</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1,823</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1,819</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1,680</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3,312</w:t>
            </w:r>
          </w:p>
        </w:tc>
        <w:tc>
          <w:tcPr>
            <w:tcW w:w="32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3,411</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3,430</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Production Systems</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3,103</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3,025</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2,367</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8,238</w:t>
            </w:r>
          </w:p>
        </w:tc>
        <w:tc>
          <w:tcPr>
            <w:tcW w:w="32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8" w:type="dxa"/>
            <w:tcBorders/>
            <w:shd w:fill="CCEEFF" w:val="clear"/>
            <w:vAlign w:val="bottom"/>
          </w:tcPr>
          <w:p>
            <w:pPr>
              <w:pStyle w:val="TableContents"/>
              <w:bidi w:val="0"/>
              <w:spacing w:before="0" w:after="283"/>
              <w:jc w:val="right"/>
              <w:rPr/>
            </w:pPr>
            <w:r>
              <w:rPr/>
              <w:t>8,255</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7,477</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center"/>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10%</w:t>
            </w:r>
          </w:p>
        </w:tc>
        <w:tc>
          <w:tcPr>
            <w:tcW w:w="70" w:type="dxa"/>
            <w:tcBorders/>
            <w:shd w:fill="CCEEFF" w:val="clear"/>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tcPr>
          <w:p>
            <w:pPr>
              <w:pStyle w:val="TableContents"/>
              <w:bidi w:val="0"/>
              <w:spacing w:before="0" w:after="0"/>
              <w:jc w:val="left"/>
              <w:rPr>
                <w:rFonts w:ascii="ARIAL" w:hAnsi="ARIAL"/>
                <w:b/>
                <w:sz w:val="20"/>
              </w:rPr>
            </w:pPr>
            <w:r>
              <w:rPr>
                <w:rFonts w:ascii="ARIAL" w:hAnsi="ARIAL"/>
                <w:b/>
                <w:sz w:val="20"/>
              </w:rPr>
              <w:t>Pretax Operating Income</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367</w:t>
            </w:r>
          </w:p>
        </w:tc>
        <w:tc>
          <w:tcPr>
            <w:tcW w:w="32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8" w:type="dxa"/>
            <w:tcBorders/>
            <w:shd w:fill="CCEEFF" w:val="clear"/>
            <w:vAlign w:val="bottom"/>
          </w:tcPr>
          <w:p>
            <w:pPr>
              <w:pStyle w:val="TableContents"/>
              <w:bidi w:val="0"/>
              <w:spacing w:before="0" w:after="283"/>
              <w:jc w:val="right"/>
              <w:rPr/>
            </w:pPr>
            <w:r>
              <w:rPr/>
              <w:t>376</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344</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Well Construction</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714</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742</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759</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519</w:t>
            </w:r>
          </w:p>
        </w:tc>
        <w:tc>
          <w:tcPr>
            <w:tcW w:w="32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473</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319</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1,600</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1,591</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1,422</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center"/>
              <w:rPr>
                <w:b/>
              </w:rPr>
            </w:pPr>
            <w:r>
              <w:rPr>
                <w:b/>
              </w:rPr>
              <w:t>1%</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center"/>
              <w:rPr/>
            </w:pPr>
            <w:r>
              <w:rPr/>
              <w:t>12%</w:t>
            </w:r>
          </w:p>
        </w:tc>
        <w:tc>
          <w:tcPr>
            <w:tcW w:w="70" w:type="dxa"/>
            <w:tcBorders/>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shd w:fill="CCEEFF" w:val="clear"/>
          </w:tcPr>
          <w:p>
            <w:pPr>
              <w:pStyle w:val="TableContents"/>
              <w:bidi w:val="0"/>
              <w:spacing w:before="0" w:after="0"/>
              <w:jc w:val="left"/>
              <w:rPr>
                <w:rFonts w:ascii="ARIAL" w:hAnsi="ARIAL"/>
                <w:b/>
                <w:sz w:val="20"/>
              </w:rPr>
            </w:pPr>
            <w:r>
              <w:rPr>
                <w:rFonts w:ascii="ARIAL" w:hAnsi="ARIAL"/>
                <w:b/>
                <w:sz w:val="20"/>
              </w:rPr>
              <w:t>Pretax Operating Margin</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Reservoir Performance</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20.1</w:t>
            </w:r>
          </w:p>
        </w:tc>
        <w:tc>
          <w:tcPr>
            <w:tcW w:w="324" w:type="dxa"/>
            <w:tcBorders/>
            <w:vAlign w:val="bottom"/>
          </w:tcPr>
          <w:p>
            <w:pPr>
              <w:pStyle w:val="TableContents"/>
              <w:bidi w:val="0"/>
              <w:spacing w:before="0" w:after="283"/>
              <w:jc w:val="left"/>
              <w:rPr/>
            </w:pPr>
            <w:r>
              <w:rPr>
                <w:b/>
              </w:rPr>
              <w:t>%</w:t>
            </w: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20.6</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20.5</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21.5</w:t>
            </w:r>
          </w:p>
        </w:tc>
        <w:tc>
          <w:tcPr>
            <w:tcW w:w="324" w:type="dxa"/>
            <w:tcBorders/>
            <w:shd w:fill="CCEEFF" w:val="clear"/>
            <w:vAlign w:val="bottom"/>
          </w:tcPr>
          <w:p>
            <w:pPr>
              <w:pStyle w:val="TableContents"/>
              <w:bidi w:val="0"/>
              <w:spacing w:before="0" w:after="283"/>
              <w:jc w:val="left"/>
              <w:rPr/>
            </w:pPr>
            <w:r>
              <w:rPr>
                <w:b/>
              </w:rPr>
              <w:t>%</w:t>
            </w: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21.7</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22.1</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Production Systems</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16.7</w:t>
            </w:r>
          </w:p>
        </w:tc>
        <w:tc>
          <w:tcPr>
            <w:tcW w:w="324" w:type="dxa"/>
            <w:tcBorders/>
            <w:vAlign w:val="bottom"/>
          </w:tcPr>
          <w:p>
            <w:pPr>
              <w:pStyle w:val="TableContents"/>
              <w:bidi w:val="0"/>
              <w:spacing w:before="0" w:after="283"/>
              <w:jc w:val="left"/>
              <w:rPr/>
            </w:pPr>
            <w:r>
              <w:rPr>
                <w:b/>
              </w:rPr>
              <w:t>%</w:t>
            </w: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15.6</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13.5</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19.4</w:t>
            </w:r>
          </w:p>
        </w:tc>
        <w:tc>
          <w:tcPr>
            <w:tcW w:w="324" w:type="dxa"/>
            <w:tcBorders/>
            <w:shd w:fill="CCEEFF" w:val="clear"/>
            <w:vAlign w:val="bottom"/>
          </w:tcPr>
          <w:p>
            <w:pPr>
              <w:pStyle w:val="TableContents"/>
              <w:bidi w:val="0"/>
              <w:spacing w:before="0" w:after="283"/>
              <w:jc w:val="left"/>
              <w:rPr>
                <w:b/>
              </w:rPr>
            </w:pPr>
            <w:r>
              <w:rPr>
                <w:b/>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19.3</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19.0</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center"/>
              <w:rPr>
                <w:b/>
              </w:rPr>
            </w:pPr>
            <w:r>
              <w:rPr>
                <w:b/>
              </w:rPr>
              <w:t>16 bps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40 bps</w:t>
            </w:r>
          </w:p>
        </w:tc>
        <w:tc>
          <w:tcPr>
            <w:tcW w:w="70" w:type="dxa"/>
            <w:tcBorders/>
            <w:shd w:fill="CCEEFF" w:val="clear"/>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About SLB </w:t>
      </w:r>
    </w:p>
    <w:p>
      <w:pPr>
        <w:pStyle w:val="TextBody"/>
        <w:bidi w:val="0"/>
        <w:spacing w:before="120" w:after="0"/>
        <w:jc w:val="left"/>
        <w:rPr>
          <w:rFonts w:ascii="ARIAL" w:hAnsi="ARIAL"/>
          <w:sz w:val="20"/>
        </w:rPr>
      </w:pPr>
      <w:r>
        <w:rPr>
          <w:rFonts w:ascii="ARIAL" w:hAnsi="ARIAL"/>
          <w:sz w:val="20"/>
        </w:rPr>
        <w:t xml:space="preserve">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 </w:t>
      </w:r>
    </w:p>
    <w:p>
      <w:pPr>
        <w:pStyle w:val="TextBody"/>
        <w:bidi w:val="0"/>
        <w:spacing w:before="360" w:after="0"/>
        <w:jc w:val="left"/>
        <w:rPr>
          <w:rFonts w:ascii="ARIAL" w:hAnsi="ARIAL"/>
          <w:b/>
          <w:sz w:val="20"/>
        </w:rPr>
      </w:pPr>
      <w:r>
        <w:rPr>
          <w:rFonts w:ascii="ARIAL" w:hAnsi="ARIAL"/>
          <w:b/>
          <w:sz w:val="20"/>
        </w:rPr>
        <w:t xml:space="preserve">Conference Call Information </w:t>
      </w:r>
    </w:p>
    <w:p>
      <w:pPr>
        <w:pStyle w:val="TextBody"/>
        <w:bidi w:val="0"/>
        <w:spacing w:before="120" w:after="0"/>
        <w:jc w:val="left"/>
        <w:rPr>
          <w:rFonts w:ascii="ARIAL" w:hAnsi="ARIAL"/>
          <w:sz w:val="20"/>
        </w:rPr>
      </w:pPr>
      <w:r>
        <w:rPr>
          <w:rFonts w:ascii="ARIAL" w:hAnsi="ARIAL"/>
          <w:sz w:val="20"/>
        </w:rPr>
        <w:t xml:space="preserve">SLB will hold a conference call to discuss the earnings press release and business outlook on Friday, October 18, 2024.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November 18, 2024, by dialing +1 (866) 207-1041 within North America, or +1 (402) 970-0847 outside North America, and providing the access code 8893594. The conference call will be webcast simultaneously at www.slb.com/irwebcast on a listen-only basis. A replay of the webcast will also be available at the same website until November 18,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2"/>
        <w:gridCol w:w="4872"/>
      </w:tblGrid>
      <w:tr>
        <w:trPr/>
        <w:tc>
          <w:tcPr>
            <w:tcW w:w="521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72" w:type="dxa"/>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b/>
              </w:rPr>
            </w:pPr>
            <w:r>
              <w:rPr>
                <w:b/>
              </w:rPr>
              <w:t>Investors</w:t>
            </w:r>
          </w:p>
        </w:tc>
        <w:tc>
          <w:tcPr>
            <w:tcW w:w="122" w:type="dxa"/>
            <w:tcBorders/>
            <w:vAlign w:val="bottom"/>
          </w:tcPr>
          <w:p>
            <w:pPr>
              <w:pStyle w:val="TableContents"/>
              <w:bidi w:val="0"/>
              <w:spacing w:before="0" w:after="283"/>
              <w:jc w:val="left"/>
              <w:rPr/>
            </w:pPr>
            <w:r>
              <w:rPr/>
              <w:t>  </w:t>
            </w:r>
          </w:p>
        </w:tc>
        <w:tc>
          <w:tcPr>
            <w:tcW w:w="4872" w:type="dxa"/>
            <w:tcBorders/>
            <w:vAlign w:val="bottom"/>
          </w:tcPr>
          <w:p>
            <w:pPr>
              <w:pStyle w:val="TableContents"/>
              <w:bidi w:val="0"/>
              <w:spacing w:before="0" w:after="283"/>
              <w:jc w:val="left"/>
              <w:rPr>
                <w:b/>
              </w:rPr>
            </w:pPr>
            <w:r>
              <w:rPr>
                <w:b/>
              </w:rPr>
              <w:t>Media</w:t>
            </w:r>
          </w:p>
        </w:tc>
      </w:tr>
      <w:tr>
        <w:trPr/>
        <w:tc>
          <w:tcPr>
            <w:tcW w:w="5211" w:type="dxa"/>
            <w:tcBorders/>
          </w:tcPr>
          <w:p>
            <w:pPr>
              <w:pStyle w:val="TableContents"/>
              <w:bidi w:val="0"/>
              <w:spacing w:before="0" w:after="0"/>
              <w:jc w:val="left"/>
              <w:rPr>
                <w:rFonts w:ascii="ARIAL" w:hAnsi="ARIAL"/>
                <w:sz w:val="20"/>
              </w:rPr>
            </w:pPr>
            <w:r>
              <w:rPr>
                <w:rFonts w:ascii="ARIAL" w:hAnsi="ARIAL"/>
                <w:sz w:val="20"/>
              </w:rPr>
              <w:t>James R. McDonald  SVP, Investor Relations &amp; Industry Affairs, SLB</w:t>
            </w:r>
          </w:p>
          <w:p>
            <w:pPr>
              <w:pStyle w:val="TableContents"/>
              <w:bidi w:val="0"/>
              <w:spacing w:before="0" w:after="0"/>
              <w:jc w:val="left"/>
              <w:rPr>
                <w:rFonts w:ascii="ARIAL" w:hAnsi="ARIAL"/>
                <w:sz w:val="20"/>
              </w:rPr>
            </w:pPr>
            <w:r>
              <w:rPr>
                <w:rFonts w:ascii="ARIAL" w:hAnsi="ARIAL"/>
                <w:sz w:val="20"/>
              </w:rPr>
              <w:t>Joy V. Domingo  Director of Investor Relations, SLB</w:t>
            </w:r>
          </w:p>
          <w:p>
            <w:pPr>
              <w:pStyle w:val="TableContents"/>
              <w:bidi w:val="0"/>
              <w:spacing w:before="0" w:after="20"/>
              <w:jc w:val="left"/>
              <w:rPr>
                <w:rFonts w:ascii="ARIAL" w:hAnsi="ARIAL"/>
                <w:sz w:val="20"/>
              </w:rPr>
            </w:pPr>
            <w:r>
              <w:rPr>
                <w:rFonts w:ascii="ARIAL" w:hAnsi="ARIAL"/>
                <w:sz w:val="20"/>
              </w:rPr>
              <w:t xml:space="preserve">Tel: +1 (713) 375-3535 </w:t>
              <w:br/>
              <w:t>Email: investor-relations@slb.com</w:t>
            </w:r>
          </w:p>
        </w:tc>
        <w:tc>
          <w:tcPr>
            <w:tcW w:w="122" w:type="dxa"/>
            <w:tcBorders/>
            <w:vAlign w:val="bottom"/>
          </w:tcPr>
          <w:p>
            <w:pPr>
              <w:pStyle w:val="TableContents"/>
              <w:bidi w:val="0"/>
              <w:spacing w:before="0" w:after="283"/>
              <w:jc w:val="left"/>
              <w:rPr/>
            </w:pPr>
            <w:r>
              <w:rPr/>
              <w:t>  </w:t>
            </w:r>
          </w:p>
        </w:tc>
        <w:tc>
          <w:tcPr>
            <w:tcW w:w="4872" w:type="dxa"/>
            <w:tcBorders/>
          </w:tcPr>
          <w:p>
            <w:pPr>
              <w:pStyle w:val="TableContents"/>
              <w:bidi w:val="0"/>
              <w:spacing w:before="0" w:after="0"/>
              <w:jc w:val="left"/>
              <w:rPr>
                <w:rFonts w:ascii="ARIAL" w:hAnsi="ARIAL"/>
                <w:sz w:val="20"/>
              </w:rPr>
            </w:pPr>
            <w:r>
              <w:rPr>
                <w:rFonts w:ascii="ARIAL" w:hAnsi="ARIAL"/>
                <w:sz w:val="20"/>
              </w:rPr>
              <w:t>Josh Byerly  SVP of Communications, SLB</w:t>
            </w:r>
          </w:p>
          <w:p>
            <w:pPr>
              <w:pStyle w:val="TableContents"/>
              <w:bidi w:val="0"/>
              <w:spacing w:before="0" w:after="0"/>
              <w:jc w:val="left"/>
              <w:rPr>
                <w:rFonts w:ascii="ARIAL" w:hAnsi="ARIAL"/>
                <w:sz w:val="20"/>
              </w:rPr>
            </w:pPr>
            <w:r>
              <w:rPr>
                <w:rFonts w:ascii="ARIAL" w:hAnsi="ARIAL"/>
                <w:sz w:val="20"/>
              </w:rPr>
              <w:t>Moira Duff  Director of External Communications, SLB</w:t>
            </w:r>
          </w:p>
          <w:p>
            <w:pPr>
              <w:pStyle w:val="TableContents"/>
              <w:bidi w:val="0"/>
              <w:spacing w:before="0" w:after="0"/>
              <w:jc w:val="left"/>
              <w:rPr>
                <w:rFonts w:ascii="ARIAL" w:hAnsi="ARIAL"/>
                <w:sz w:val="20"/>
              </w:rPr>
            </w:pPr>
            <w:r>
              <w:rPr>
                <w:rFonts w:ascii="ARIAL" w:hAnsi="ARIAL"/>
                <w:sz w:val="20"/>
              </w:rPr>
              <w:t>Tel: +1 (713) 375-3407</w:t>
            </w:r>
          </w:p>
          <w:p>
            <w:pPr>
              <w:pStyle w:val="TableContents"/>
              <w:bidi w:val="0"/>
              <w:spacing w:before="0" w:after="20"/>
              <w:jc w:val="left"/>
              <w:rPr>
                <w:rFonts w:ascii="ARIAL" w:hAnsi="ARIAL"/>
                <w:sz w:val="20"/>
              </w:rPr>
            </w:pPr>
            <w:r>
              <w:rPr>
                <w:rFonts w:ascii="ARIAL" w:hAnsi="ARIAL"/>
                <w:sz w:val="20"/>
              </w:rPr>
              <w:t>Email: media@slb.com</w:t>
            </w:r>
          </w:p>
        </w:tc>
      </w:tr>
    </w:tbl>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third-quarter 2024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 </w:t>
      </w:r>
    </w:p>
    <w:p>
      <w:pPr>
        <w:pStyle w:val="TextBody"/>
        <w:bidi w:val="0"/>
        <w:spacing w:before="240" w:after="0"/>
        <w:jc w:val="left"/>
        <w:rPr>
          <w:rFonts w:ascii="ARIAL" w:hAnsi="ARIAL"/>
          <w:sz w:val="20"/>
        </w:rPr>
      </w:pPr>
      <w:r>
        <w:rPr>
          <w:rFonts w:ascii="ARIAL" w:hAnsi="ARIAL"/>
          <w:sz w:val="20"/>
        </w:rPr>
        <w:t xml:space="preserve">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 </w:t>
      </w:r>
    </w:p>
    <w:p>
      <w:pPr>
        <w:pStyle w:val="TextBody"/>
        <w:bidi w:val="0"/>
        <w:spacing w:before="360" w:after="0"/>
        <w:jc w:val="left"/>
        <w:rPr>
          <w:rFonts w:ascii="ARIAL" w:hAnsi="ARIAL"/>
          <w:b/>
          <w:sz w:val="20"/>
        </w:rPr>
      </w:pPr>
      <w:r>
        <w:rPr>
          <w:rFonts w:ascii="ARIAL" w:hAnsi="ARIAL"/>
          <w:b/>
          <w:sz w:val="20"/>
        </w:rPr>
        <w:t xml:space="preserve">Additional Information about the Transaction with ChampionX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240" w:after="0"/>
        <w:jc w:val="center"/>
        <w:rPr>
          <w:rFonts w:ascii="ARIAL" w:hAnsi="ARIAL"/>
          <w:sz w:val="20"/>
        </w:rPr>
      </w:pPr>
      <w:r>
        <w:rPr>
          <w:rFonts w:ascii="ARIAL" w:hAnsi="ARIAL"/>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9939</Words>
  <Characters>51988</Characters>
  <CharactersWithSpaces>64816</CharactersWithSpaces>
  <Paragraphs>5771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