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38"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2025</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ind w:left="4520" w:right="2420" w:hanging="4499"/>
        <w:spacing w:after="0" w:line="368" w:lineRule="auto"/>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11430</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Schlumberger N.V. (Schlumberger Limited)</w:t>
      </w:r>
    </w:p>
    <w:p>
      <w:pPr>
        <w:spacing w:after="0" w:line="43" w:lineRule="exact"/>
        <w:rPr>
          <w:sz w:val="24"/>
          <w:szCs w:val="24"/>
          <w:color w:val="auto"/>
        </w:rPr>
      </w:pPr>
    </w:p>
    <w:tbl>
      <w:tblPr>
        <w:tblLayout w:type="fixed"/>
        <w:tblInd w:w="1340" w:type="dxa"/>
        <w:tblCellMar>
          <w:top w:w="0" w:type="dxa"/>
          <w:left w:w="0" w:type="dxa"/>
          <w:bottom w:w="0" w:type="dxa"/>
          <w:right w:w="0" w:type="dxa"/>
        </w:tblCellMar>
      </w:tblPr>
      <w:tr>
        <w:trPr>
          <w:trHeight w:val="190"/>
        </w:trPr>
        <w:tc>
          <w:tcPr>
            <w:tcW w:w="6280" w:type="dxa"/>
            <w:vAlign w:val="bottom"/>
            <w:gridSpan w:val="3"/>
          </w:tcPr>
          <w:p>
            <w:pPr>
              <w:ind w:left="2620"/>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6"/>
                <w:szCs w:val="16"/>
                <w:color w:val="auto"/>
              </w:rPr>
            </w:pPr>
          </w:p>
        </w:tc>
      </w:tr>
      <w:tr>
        <w:trPr>
          <w:trHeight w:val="102"/>
        </w:trPr>
        <w:tc>
          <w:tcPr>
            <w:tcW w:w="31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5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9"/>
              </w:rPr>
              <w:t>Curaçao</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40"/>
              <w:spacing w:after="0" w:line="135" w:lineRule="exact"/>
              <w:rPr>
                <w:sz w:val="20"/>
                <w:szCs w:val="20"/>
                <w:color w:val="auto"/>
              </w:rPr>
            </w:pPr>
            <w:r>
              <w:rPr>
                <w:rFonts w:ascii="Arial" w:cs="Arial" w:eastAsia="Arial" w:hAnsi="Arial"/>
                <w:sz w:val="13"/>
                <w:szCs w:val="13"/>
                <w:color w:val="auto"/>
                <w:w w:val="95"/>
              </w:rPr>
              <w:t>(State or other jurisdiction of</w:t>
            </w:r>
          </w:p>
        </w:tc>
        <w:tc>
          <w:tcPr>
            <w:tcW w:w="1360" w:type="dxa"/>
            <w:vAlign w:val="bottom"/>
          </w:tcPr>
          <w:p>
            <w:pPr>
              <w:jc w:val="center"/>
              <w:ind w:left="311"/>
              <w:spacing w:after="0" w:line="135" w:lineRule="exact"/>
              <w:rPr>
                <w:sz w:val="20"/>
                <w:szCs w:val="20"/>
                <w:color w:val="auto"/>
              </w:rPr>
            </w:pPr>
            <w:r>
              <w:rPr>
                <w:rFonts w:ascii="Arial" w:cs="Arial" w:eastAsia="Arial" w:hAnsi="Arial"/>
                <w:sz w:val="13"/>
                <w:szCs w:val="13"/>
                <w:color w:val="auto"/>
                <w:w w:val="96"/>
              </w:rPr>
              <w:t>(IRS Employer</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6"/>
              </w:rPr>
              <w:t>Identification No.)</w:t>
            </w:r>
          </w:p>
        </w:tc>
      </w:tr>
      <w:tr>
        <w:trPr>
          <w:trHeight w:val="261"/>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2"/>
                <w:szCs w:val="22"/>
                <w:color w:val="auto"/>
              </w:rPr>
            </w:pPr>
          </w:p>
        </w:tc>
      </w:tr>
      <w:tr>
        <w:trPr>
          <w:trHeight w:val="196"/>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75007</w:t>
            </w:r>
          </w:p>
        </w:tc>
      </w:tr>
      <w:tr>
        <w:trPr>
          <w:trHeight w:val="24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1"/>
                <w:szCs w:val="21"/>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77056</w:t>
            </w:r>
          </w:p>
        </w:tc>
      </w:tr>
      <w:tr>
        <w:trPr>
          <w:trHeight w:val="249"/>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62 Buckingham Gate</w:t>
            </w:r>
          </w:p>
        </w:tc>
        <w:tc>
          <w:tcPr>
            <w:tcW w:w="1360" w:type="dxa"/>
            <w:vAlign w:val="bottom"/>
          </w:tcPr>
          <w:p>
            <w:pPr>
              <w:spacing w:after="0"/>
              <w:rPr>
                <w:sz w:val="21"/>
                <w:szCs w:val="21"/>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London, United Kingdom</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SW1E 6AJ</w:t>
            </w:r>
          </w:p>
        </w:tc>
      </w:tr>
      <w:tr>
        <w:trPr>
          <w:trHeight w:val="290"/>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4"/>
                <w:szCs w:val="24"/>
                <w:color w:val="auto"/>
              </w:rPr>
            </w:pPr>
          </w:p>
        </w:tc>
      </w:tr>
      <w:tr>
        <w:trPr>
          <w:trHeight w:val="153"/>
        </w:trPr>
        <w:tc>
          <w:tcPr>
            <w:tcW w:w="6280" w:type="dxa"/>
            <w:vAlign w:val="bottom"/>
            <w:gridSpan w:val="3"/>
          </w:tcPr>
          <w:p>
            <w:pPr>
              <w:jc w:val="center"/>
              <w:ind w:right="3420"/>
              <w:spacing w:after="0" w:line="153" w:lineRule="exact"/>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11"/>
              <w:spacing w:after="0" w:line="153" w:lineRule="exact"/>
              <w:rPr>
                <w:sz w:val="20"/>
                <w:szCs w:val="20"/>
                <w:color w:val="auto"/>
              </w:rPr>
            </w:pPr>
            <w:r>
              <w:rPr>
                <w:rFonts w:ascii="Arial" w:cs="Arial" w:eastAsia="Arial" w:hAnsi="Arial"/>
                <w:sz w:val="14"/>
                <w:szCs w:val="14"/>
                <w:b w:val="1"/>
                <w:bCs w:val="1"/>
                <w:color w:val="auto"/>
              </w:rPr>
              <w:t>2514 JG</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7"/>
              </w:rPr>
              <w:t>(Zip Codes)</w:t>
            </w:r>
          </w:p>
        </w:tc>
      </w:tr>
    </w:tbl>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Title of each class</w:t>
            </w:r>
          </w:p>
        </w:tc>
        <w:tc>
          <w:tcPr>
            <w:tcW w:w="1400" w:type="dxa"/>
            <w:vAlign w:val="bottom"/>
          </w:tcPr>
          <w:p>
            <w:pPr>
              <w:spacing w:after="0"/>
              <w:rPr>
                <w:sz w:val="14"/>
                <w:szCs w:val="14"/>
                <w:color w:val="auto"/>
              </w:rPr>
            </w:pPr>
          </w:p>
        </w:tc>
        <w:tc>
          <w:tcPr>
            <w:tcW w:w="26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per share</w:t>
            </w: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gridSpan w:val="2"/>
          </w:tcPr>
          <w:p>
            <w:pPr>
              <w:jc w:val="right"/>
              <w:spacing w:after="0"/>
              <w:rPr>
                <w:sz w:val="20"/>
                <w:szCs w:val="20"/>
                <w:color w:val="auto"/>
              </w:rPr>
            </w:pPr>
            <w:r>
              <w:rPr>
                <w:rFonts w:ascii="Arial" w:cs="Arial" w:eastAsia="Arial" w:hAnsi="Arial"/>
                <w:sz w:val="14"/>
                <w:szCs w:val="14"/>
                <w:color w:val="auto"/>
                <w:w w:val="98"/>
              </w:rPr>
              <w:t>common stock, par value $0.01</w:t>
            </w:r>
          </w:p>
        </w:tc>
        <w:tc>
          <w:tcPr>
            <w:tcW w:w="14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color w:val="auto"/>
                <w:w w:val="98"/>
              </w:rPr>
              <w:t>SLB</w:t>
            </w:r>
          </w:p>
        </w:tc>
        <w:tc>
          <w:tcPr>
            <w:tcW w:w="60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0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5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98"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7"/>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62"/>
        </w:trPr>
        <w:tc>
          <w:tcPr>
            <w:tcW w:w="7440" w:type="dxa"/>
            <w:vAlign w:val="bottom"/>
            <w:gridSpan w:val="3"/>
          </w:tcPr>
          <w:p>
            <w:pPr>
              <w:ind w:left="3740"/>
              <w:spacing w:after="0"/>
              <w:rPr>
                <w:sz w:val="20"/>
                <w:szCs w:val="20"/>
                <w:color w:val="auto"/>
              </w:rPr>
            </w:pPr>
            <w:r>
              <w:rPr>
                <w:rFonts w:ascii="Arial" w:cs="Arial" w:eastAsia="Arial" w:hAnsi="Arial"/>
                <w:sz w:val="15"/>
                <w:szCs w:val="15"/>
                <w:b w:val="1"/>
                <w:bCs w:val="1"/>
                <w:color w:val="auto"/>
              </w:rPr>
              <w:t>Class</w:t>
            </w:r>
          </w:p>
        </w:tc>
        <w:tc>
          <w:tcPr>
            <w:tcW w:w="1020" w:type="dxa"/>
            <w:vAlign w:val="bottom"/>
          </w:tcPr>
          <w:p>
            <w:pPr>
              <w:spacing w:after="0"/>
              <w:rPr>
                <w:sz w:val="22"/>
                <w:szCs w:val="22"/>
                <w:color w:val="auto"/>
              </w:rPr>
            </w:pPr>
          </w:p>
        </w:tc>
        <w:tc>
          <w:tcPr>
            <w:tcW w:w="278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rPr>
              <w:t>Outstanding at March 31, 2025</w:t>
            </w:r>
          </w:p>
        </w:tc>
      </w:tr>
      <w:tr>
        <w:trPr>
          <w:trHeight w:val="237"/>
        </w:trPr>
        <w:tc>
          <w:tcPr>
            <w:tcW w:w="7440" w:type="dxa"/>
            <w:vAlign w:val="bottom"/>
            <w:gridSpan w:val="3"/>
          </w:tcPr>
          <w:p>
            <w:pPr>
              <w:ind w:left="20"/>
              <w:spacing w:after="0"/>
              <w:rPr>
                <w:sz w:val="20"/>
                <w:szCs w:val="20"/>
                <w:color w:val="auto"/>
              </w:rPr>
            </w:pPr>
            <w:r>
              <w:rPr>
                <w:rFonts w:ascii="Arial" w:cs="Arial" w:eastAsia="Arial" w:hAnsi="Arial"/>
                <w:sz w:val="15"/>
                <w:szCs w:val="15"/>
                <w:color w:val="auto"/>
              </w:rPr>
              <w:t>COMMON STOCK, $0.01 PAR VALUE PER SHARE</w:t>
            </w:r>
          </w:p>
        </w:tc>
        <w:tc>
          <w:tcPr>
            <w:tcW w:w="1020" w:type="dxa"/>
            <w:vAlign w:val="bottom"/>
          </w:tcPr>
          <w:p>
            <w:pPr>
              <w:spacing w:after="0"/>
              <w:rPr>
                <w:sz w:val="20"/>
                <w:szCs w:val="20"/>
                <w:color w:val="auto"/>
              </w:rPr>
            </w:pPr>
          </w:p>
        </w:tc>
        <w:tc>
          <w:tcPr>
            <w:tcW w:w="2200" w:type="dxa"/>
            <w:vAlign w:val="bottom"/>
            <w:tcBorders>
              <w:top w:val="single" w:sz="8" w:color="auto"/>
            </w:tcBorders>
          </w:tcPr>
          <w:p>
            <w:pPr>
              <w:jc w:val="right"/>
              <w:ind w:right="544"/>
              <w:spacing w:after="0"/>
              <w:rPr>
                <w:sz w:val="20"/>
                <w:szCs w:val="20"/>
                <w:color w:val="auto"/>
              </w:rPr>
            </w:pPr>
            <w:r>
              <w:rPr>
                <w:rFonts w:ascii="Arial" w:cs="Arial" w:eastAsia="Arial" w:hAnsi="Arial"/>
                <w:sz w:val="15"/>
                <w:szCs w:val="15"/>
                <w:color w:val="auto"/>
              </w:rPr>
              <w:t>1,360,161,654</w:t>
            </w:r>
          </w:p>
        </w:tc>
        <w:tc>
          <w:tcPr>
            <w:tcW w:w="580" w:type="dxa"/>
            <w:vAlign w:val="bottom"/>
          </w:tcPr>
          <w:p>
            <w:pPr>
              <w:spacing w:after="0"/>
              <w:rPr>
                <w:sz w:val="20"/>
                <w:szCs w:val="20"/>
                <w:color w:val="auto"/>
              </w:rPr>
            </w:pPr>
          </w:p>
        </w:tc>
      </w:tr>
      <w:tr>
        <w:trPr>
          <w:trHeight w:val="1363"/>
        </w:trPr>
        <w:tc>
          <w:tcPr>
            <w:tcW w:w="3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First Quarter 2025 Form 10-Q</w:t>
      </w: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9580" w:type="dxa"/>
            <w:vAlign w:val="bottom"/>
            <w:gridSpan w:val="11"/>
            <w:vMerge w:val="restart"/>
          </w:tcPr>
          <w:p>
            <w:pPr>
              <w:spacing w:after="0"/>
              <w:rPr>
                <w:sz w:val="20"/>
                <w:szCs w:val="20"/>
                <w:color w:val="auto"/>
              </w:rPr>
            </w:pPr>
            <w:r>
              <w:rPr>
                <w:rFonts w:ascii="Arial" w:cs="Arial" w:eastAsia="Arial" w:hAnsi="Arial"/>
                <w:sz w:val="16"/>
                <w:szCs w:val="16"/>
                <w:b w:val="1"/>
                <w:bCs w:val="1"/>
                <w:color w:val="auto"/>
              </w:rPr>
              <w:t>Financial Information</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2"/>
        </w:trPr>
        <w:tc>
          <w:tcPr>
            <w:tcW w:w="1060" w:type="dxa"/>
            <w:vAlign w:val="bottom"/>
            <w:vMerge w:val="continue"/>
          </w:tcPr>
          <w:p>
            <w:pPr>
              <w:spacing w:after="0"/>
              <w:rPr>
                <w:sz w:val="17"/>
                <w:szCs w:val="17"/>
                <w:color w:val="auto"/>
              </w:rPr>
            </w:pPr>
          </w:p>
        </w:tc>
        <w:tc>
          <w:tcPr>
            <w:tcW w:w="9580" w:type="dxa"/>
            <w:vAlign w:val="bottom"/>
            <w:gridSpan w:val="11"/>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80" w:type="dxa"/>
            <w:vAlign w:val="bottom"/>
            <w:gridSpan w:val="11"/>
          </w:tcPr>
          <w:p>
            <w:pPr>
              <w:spacing w:after="0"/>
              <w:rPr>
                <w:sz w:val="20"/>
                <w:szCs w:val="20"/>
                <w:color w:val="auto"/>
              </w:rPr>
            </w:pPr>
            <w:r>
              <w:rPr>
                <w:rFonts w:ascii="Arial" w:cs="Arial" w:eastAsia="Arial" w:hAnsi="Arial"/>
                <w:sz w:val="16"/>
                <w:szCs w:val="16"/>
                <w:color w:val="0000FF"/>
              </w:rPr>
              <w:t>Financial Statements</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80" w:type="dxa"/>
            <w:vAlign w:val="bottom"/>
            <w:gridSpan w:val="1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580" w:type="dxa"/>
            <w:vAlign w:val="bottom"/>
            <w:gridSpan w:val="11"/>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9580" w:type="dxa"/>
            <w:vAlign w:val="bottom"/>
            <w:gridSpan w:val="11"/>
          </w:tcPr>
          <w:p>
            <w:pPr>
              <w:spacing w:after="0"/>
              <w:rPr>
                <w:sz w:val="20"/>
                <w:szCs w:val="20"/>
                <w:color w:val="auto"/>
              </w:rPr>
            </w:pPr>
            <w:r>
              <w:rPr>
                <w:rFonts w:ascii="Arial" w:cs="Arial" w:eastAsia="Arial" w:hAnsi="Arial"/>
                <w:sz w:val="16"/>
                <w:szCs w:val="16"/>
                <w:color w:val="0000FF"/>
              </w:rPr>
              <w:t>Controls and Procedures</w:t>
            </w: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9580" w:type="dxa"/>
            <w:vAlign w:val="bottom"/>
            <w:gridSpan w:val="11"/>
          </w:tcPr>
          <w:p>
            <w:pPr>
              <w:spacing w:after="0"/>
              <w:rPr>
                <w:sz w:val="20"/>
                <w:szCs w:val="20"/>
                <w:color w:val="auto"/>
              </w:rPr>
            </w:pPr>
            <w:r>
              <w:rPr>
                <w:rFonts w:ascii="Arial" w:cs="Arial" w:eastAsia="Arial" w:hAnsi="Arial"/>
                <w:sz w:val="16"/>
                <w:szCs w:val="16"/>
                <w:b w:val="1"/>
                <w:bCs w:val="1"/>
                <w:color w:val="auto"/>
              </w:rPr>
              <w:t>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80" w:type="dxa"/>
            <w:vAlign w:val="bottom"/>
            <w:gridSpan w:val="11"/>
          </w:tcPr>
          <w:p>
            <w:pPr>
              <w:spacing w:after="0"/>
              <w:rPr>
                <w:sz w:val="20"/>
                <w:szCs w:val="20"/>
                <w:color w:val="auto"/>
              </w:rPr>
            </w:pPr>
            <w:r>
              <w:rPr>
                <w:rFonts w:ascii="Arial" w:cs="Arial" w:eastAsia="Arial" w:hAnsi="Arial"/>
                <w:sz w:val="16"/>
                <w:szCs w:val="16"/>
                <w:color w:val="0000FF"/>
              </w:rPr>
              <w:t>Legal Proceedings</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1A.</w:t>
            </w:r>
          </w:p>
        </w:tc>
        <w:tc>
          <w:tcPr>
            <w:tcW w:w="9580" w:type="dxa"/>
            <w:vAlign w:val="bottom"/>
            <w:gridSpan w:val="11"/>
          </w:tcPr>
          <w:p>
            <w:pPr>
              <w:spacing w:after="0"/>
              <w:rPr>
                <w:sz w:val="20"/>
                <w:szCs w:val="20"/>
                <w:color w:val="auto"/>
              </w:rPr>
            </w:pPr>
            <w:r>
              <w:rPr>
                <w:rFonts w:ascii="Arial" w:cs="Arial" w:eastAsia="Arial" w:hAnsi="Arial"/>
                <w:sz w:val="16"/>
                <w:szCs w:val="16"/>
                <w:color w:val="0000FF"/>
              </w:rPr>
              <w:t>Risk Factors</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80" w:type="dxa"/>
            <w:vAlign w:val="bottom"/>
            <w:gridSpan w:val="1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580" w:type="dxa"/>
            <w:vAlign w:val="bottom"/>
            <w:gridSpan w:val="11"/>
          </w:tcPr>
          <w:p>
            <w:pPr>
              <w:spacing w:after="0"/>
              <w:rPr>
                <w:sz w:val="20"/>
                <w:szCs w:val="20"/>
                <w:color w:val="auto"/>
              </w:rPr>
            </w:pPr>
            <w:r>
              <w:rPr>
                <w:rFonts w:ascii="Arial" w:cs="Arial" w:eastAsia="Arial" w:hAnsi="Arial"/>
                <w:sz w:val="16"/>
                <w:szCs w:val="16"/>
                <w:color w:val="0000FF"/>
              </w:rPr>
              <w:t>Defaults Upon Senior Securities</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9580" w:type="dxa"/>
            <w:vAlign w:val="bottom"/>
            <w:gridSpan w:val="11"/>
          </w:tcPr>
          <w:p>
            <w:pPr>
              <w:spacing w:after="0"/>
              <w:rPr>
                <w:sz w:val="20"/>
                <w:szCs w:val="20"/>
                <w:color w:val="auto"/>
              </w:rPr>
            </w:pPr>
            <w:r>
              <w:rPr>
                <w:rFonts w:ascii="Arial" w:cs="Arial" w:eastAsia="Arial" w:hAnsi="Arial"/>
                <w:sz w:val="16"/>
                <w:szCs w:val="16"/>
                <w:color w:val="0000FF"/>
              </w:rPr>
              <w:t>Mine Safety Disclosures</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8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5.</w:t>
            </w:r>
          </w:p>
        </w:tc>
        <w:tc>
          <w:tcPr>
            <w:tcW w:w="9580" w:type="dxa"/>
            <w:vAlign w:val="bottom"/>
            <w:gridSpan w:val="11"/>
          </w:tcPr>
          <w:p>
            <w:pPr>
              <w:spacing w:after="0"/>
              <w:rPr>
                <w:sz w:val="20"/>
                <w:szCs w:val="20"/>
                <w:color w:val="auto"/>
              </w:rPr>
            </w:pPr>
            <w:r>
              <w:rPr>
                <w:rFonts w:ascii="Arial" w:cs="Arial" w:eastAsia="Arial" w:hAnsi="Arial"/>
                <w:sz w:val="16"/>
                <w:szCs w:val="16"/>
                <w:color w:val="0000FF"/>
              </w:rPr>
              <w:t>Other Information</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34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Item 6.</w:t>
            </w:r>
          </w:p>
        </w:tc>
        <w:tc>
          <w:tcPr>
            <w:tcW w:w="9580" w:type="dxa"/>
            <w:vAlign w:val="bottom"/>
            <w:gridSpan w:val="11"/>
          </w:tcPr>
          <w:p>
            <w:pPr>
              <w:spacing w:after="0"/>
              <w:rPr>
                <w:sz w:val="20"/>
                <w:szCs w:val="20"/>
                <w:color w:val="auto"/>
              </w:rPr>
            </w:pPr>
            <w:r>
              <w:rPr>
                <w:rFonts w:ascii="Arial" w:cs="Arial" w:eastAsia="Arial" w:hAnsi="Arial"/>
                <w:sz w:val="16"/>
                <w:szCs w:val="16"/>
                <w:color w:val="0000FF"/>
              </w:rPr>
              <w:t>Exhibits</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202"/>
        </w:trPr>
        <w:tc>
          <w:tcPr>
            <w:tcW w:w="106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580" w:type="dxa"/>
            <w:vAlign w:val="bottom"/>
            <w:gridSpan w:val="6"/>
          </w:tcPr>
          <w:p>
            <w:pPr>
              <w:ind w:left="54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359"/>
        </w:trPr>
        <w:tc>
          <w:tcPr>
            <w:tcW w:w="7660" w:type="dxa"/>
            <w:vAlign w:val="bottom"/>
          </w:tcPr>
          <w:p>
            <w:pPr>
              <w:spacing w:after="0"/>
              <w:rPr>
                <w:sz w:val="24"/>
                <w:szCs w:val="24"/>
                <w:color w:val="auto"/>
              </w:rPr>
            </w:pPr>
          </w:p>
        </w:tc>
        <w:tc>
          <w:tcPr>
            <w:tcW w:w="3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7660" w:type="dxa"/>
            <w:vAlign w:val="bottom"/>
          </w:tcPr>
          <w:p>
            <w:pPr>
              <w:spacing w:after="0"/>
              <w:rPr>
                <w:sz w:val="15"/>
                <w:szCs w:val="15"/>
                <w:color w:val="auto"/>
              </w:rPr>
            </w:pPr>
          </w:p>
        </w:tc>
        <w:tc>
          <w:tcPr>
            <w:tcW w:w="1080" w:type="dxa"/>
            <w:vAlign w:val="bottom"/>
          </w:tcPr>
          <w:p>
            <w:pPr>
              <w:jc w:val="right"/>
              <w:ind w:right="20"/>
              <w:spacing w:after="0" w:line="183" w:lineRule="exact"/>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5"/>
                <w:szCs w:val="15"/>
                <w:color w:val="auto"/>
              </w:rPr>
            </w:pPr>
          </w:p>
        </w:tc>
        <w:tc>
          <w:tcPr>
            <w:tcW w:w="140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i w:val="1"/>
                <w:iCs w:val="1"/>
                <w:color w:val="auto"/>
              </w:rPr>
              <w:t>Revenue</w:t>
            </w:r>
          </w:p>
        </w:tc>
        <w:tc>
          <w:tcPr>
            <w:tcW w:w="10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Services</w:t>
            </w:r>
          </w:p>
        </w:tc>
        <w:tc>
          <w:tcPr>
            <w:tcW w:w="1080" w:type="dxa"/>
            <w:vAlign w:val="bottom"/>
          </w:tcPr>
          <w:p>
            <w:pPr>
              <w:jc w:val="right"/>
              <w:ind w:right="900"/>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5,366</w:t>
            </w:r>
          </w:p>
        </w:tc>
        <w:tc>
          <w:tcPr>
            <w:tcW w:w="140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5,676</w:t>
            </w:r>
          </w:p>
        </w:tc>
        <w:tc>
          <w:tcPr>
            <w:tcW w:w="100" w:type="dxa"/>
            <w:vAlign w:val="bottom"/>
          </w:tcPr>
          <w:p>
            <w:pPr>
              <w:spacing w:after="0"/>
              <w:rPr>
                <w:sz w:val="16"/>
                <w:szCs w:val="16"/>
                <w:color w:val="auto"/>
              </w:rPr>
            </w:pPr>
          </w:p>
        </w:tc>
      </w:tr>
      <w:tr>
        <w:trPr>
          <w:trHeight w:val="189"/>
        </w:trPr>
        <w:tc>
          <w:tcPr>
            <w:tcW w:w="7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Product sales</w:t>
            </w: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3,124</w:t>
            </w:r>
          </w:p>
        </w:tc>
        <w:tc>
          <w:tcPr>
            <w:tcW w:w="2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Total Revenue</w:t>
            </w:r>
          </w:p>
        </w:tc>
        <w:tc>
          <w:tcPr>
            <w:tcW w:w="108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8,490</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8,707</w:t>
            </w:r>
          </w:p>
        </w:tc>
        <w:tc>
          <w:tcPr>
            <w:tcW w:w="100" w:type="dxa"/>
            <w:vAlign w:val="bottom"/>
          </w:tcPr>
          <w:p>
            <w:pPr>
              <w:spacing w:after="0"/>
              <w:rPr>
                <w:sz w:val="15"/>
                <w:szCs w:val="15"/>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&amp; other income</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Expenses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Cost of services</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4,256</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4,415</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Cost of sales</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2,628</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Research &amp; engineering</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172</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General &amp; administrative</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Restructuring</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158</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Merger &amp; integration</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r>
      <w:tr>
        <w:trPr>
          <w:trHeight w:val="189"/>
        </w:trPr>
        <w:tc>
          <w:tcPr>
            <w:tcW w:w="7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Interest</w:t>
            </w: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147</w:t>
            </w:r>
          </w:p>
        </w:tc>
        <w:tc>
          <w:tcPr>
            <w:tcW w:w="2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66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Income before taxes</w:t>
            </w:r>
          </w:p>
        </w:tc>
        <w:tc>
          <w:tcPr>
            <w:tcW w:w="108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1,063</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1,357</w:t>
            </w:r>
          </w:p>
        </w:tc>
        <w:tc>
          <w:tcPr>
            <w:tcW w:w="100" w:type="dxa"/>
            <w:vAlign w:val="bottom"/>
          </w:tcPr>
          <w:p>
            <w:pPr>
              <w:spacing w:after="0"/>
              <w:rPr>
                <w:sz w:val="15"/>
                <w:szCs w:val="15"/>
                <w:color w:val="auto"/>
              </w:rPr>
            </w:pPr>
          </w:p>
        </w:tc>
      </w:tr>
      <w:tr>
        <w:trPr>
          <w:trHeight w:val="189"/>
        </w:trPr>
        <w:tc>
          <w:tcPr>
            <w:tcW w:w="7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Tax expense</w:t>
            </w: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Net income</w:t>
            </w:r>
          </w:p>
        </w:tc>
        <w:tc>
          <w:tcPr>
            <w:tcW w:w="108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829</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1,098</w:t>
            </w:r>
          </w:p>
        </w:tc>
        <w:tc>
          <w:tcPr>
            <w:tcW w:w="100" w:type="dxa"/>
            <w:vAlign w:val="bottom"/>
          </w:tcPr>
          <w:p>
            <w:pPr>
              <w:spacing w:after="0"/>
              <w:rPr>
                <w:sz w:val="15"/>
                <w:szCs w:val="15"/>
                <w:color w:val="auto"/>
              </w:rPr>
            </w:pPr>
          </w:p>
        </w:tc>
      </w:tr>
      <w:tr>
        <w:trPr>
          <w:trHeight w:val="189"/>
        </w:trPr>
        <w:tc>
          <w:tcPr>
            <w:tcW w:w="7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Net income attributable to noncontrolling interests</w:t>
            </w: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w:t>
            </w:r>
          </w:p>
        </w:tc>
        <w:tc>
          <w:tcPr>
            <w:tcW w:w="2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ind w:left="20"/>
              <w:spacing w:after="0" w:line="169" w:lineRule="exact"/>
              <w:rPr>
                <w:sz w:val="20"/>
                <w:szCs w:val="20"/>
                <w:color w:val="auto"/>
              </w:rPr>
            </w:pPr>
            <w:r>
              <w:rPr>
                <w:rFonts w:ascii="Arial" w:cs="Arial" w:eastAsia="Arial" w:hAnsi="Arial"/>
                <w:sz w:val="16"/>
                <w:szCs w:val="16"/>
                <w:i w:val="1"/>
                <w:iCs w:val="1"/>
                <w:color w:val="auto"/>
              </w:rPr>
              <w:t>Net income attributable to SLB</w:t>
            </w:r>
          </w:p>
        </w:tc>
        <w:tc>
          <w:tcPr>
            <w:tcW w:w="1080" w:type="dxa"/>
            <w:vAlign w:val="bottom"/>
          </w:tcPr>
          <w:p>
            <w:pPr>
              <w:jc w:val="right"/>
              <w:ind w:right="900"/>
              <w:spacing w:after="0" w:line="169" w:lineRule="exact"/>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797</w:t>
            </w:r>
          </w:p>
        </w:tc>
        <w:tc>
          <w:tcPr>
            <w:tcW w:w="1400" w:type="dxa"/>
            <w:vAlign w:val="bottom"/>
            <w:gridSpan w:val="2"/>
          </w:tcPr>
          <w:p>
            <w:pPr>
              <w:jc w:val="right"/>
              <w:ind w:right="1020"/>
              <w:spacing w:after="0" w:line="169"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1,068</w:t>
            </w:r>
          </w:p>
        </w:tc>
        <w:tc>
          <w:tcPr>
            <w:tcW w:w="10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6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Basic income per share of SLB</w:t>
            </w:r>
          </w:p>
        </w:tc>
        <w:tc>
          <w:tcPr>
            <w:tcW w:w="1080" w:type="dxa"/>
            <w:vAlign w:val="bottom"/>
          </w:tcPr>
          <w:p>
            <w:pPr>
              <w:jc w:val="right"/>
              <w:ind w:right="900"/>
              <w:spacing w:after="0" w:line="169" w:lineRule="exact"/>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0.58</w:t>
            </w:r>
          </w:p>
        </w:tc>
        <w:tc>
          <w:tcPr>
            <w:tcW w:w="1400" w:type="dxa"/>
            <w:vAlign w:val="bottom"/>
            <w:gridSpan w:val="2"/>
          </w:tcPr>
          <w:p>
            <w:pPr>
              <w:jc w:val="right"/>
              <w:ind w:right="1020"/>
              <w:spacing w:after="0" w:line="169"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0.75</w:t>
            </w:r>
          </w:p>
        </w:tc>
        <w:tc>
          <w:tcPr>
            <w:tcW w:w="100" w:type="dxa"/>
            <w:vAlign w:val="bottom"/>
          </w:tcPr>
          <w:p>
            <w:pPr>
              <w:spacing w:after="0"/>
              <w:rPr>
                <w:sz w:val="16"/>
                <w:szCs w:val="16"/>
                <w:color w:val="auto"/>
              </w:rPr>
            </w:pPr>
          </w:p>
        </w:tc>
      </w:tr>
      <w:tr>
        <w:trPr>
          <w:trHeight w:val="20"/>
        </w:trPr>
        <w:tc>
          <w:tcPr>
            <w:tcW w:w="7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6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6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Diluted income per share of SLB</w:t>
            </w:r>
          </w:p>
        </w:tc>
        <w:tc>
          <w:tcPr>
            <w:tcW w:w="1080" w:type="dxa"/>
            <w:vAlign w:val="bottom"/>
          </w:tcPr>
          <w:p>
            <w:pPr>
              <w:jc w:val="right"/>
              <w:ind w:right="900"/>
              <w:spacing w:after="0" w:line="169" w:lineRule="exact"/>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0.58</w:t>
            </w:r>
          </w:p>
        </w:tc>
        <w:tc>
          <w:tcPr>
            <w:tcW w:w="1400" w:type="dxa"/>
            <w:vAlign w:val="bottom"/>
            <w:gridSpan w:val="2"/>
          </w:tcPr>
          <w:p>
            <w:pPr>
              <w:jc w:val="right"/>
              <w:ind w:right="1020"/>
              <w:spacing w:after="0" w:line="169"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0.74</w:t>
            </w:r>
          </w:p>
        </w:tc>
        <w:tc>
          <w:tcPr>
            <w:tcW w:w="100" w:type="dxa"/>
            <w:vAlign w:val="bottom"/>
          </w:tcPr>
          <w:p>
            <w:pPr>
              <w:spacing w:after="0"/>
              <w:rPr>
                <w:sz w:val="16"/>
                <w:szCs w:val="16"/>
                <w:color w:val="auto"/>
              </w:rPr>
            </w:pPr>
          </w:p>
        </w:tc>
      </w:tr>
      <w:tr>
        <w:trPr>
          <w:trHeight w:val="20"/>
        </w:trPr>
        <w:tc>
          <w:tcPr>
            <w:tcW w:w="7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Average shares outstanding:</w:t>
            </w: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Basic</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1,366</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Assuming dilution</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1,380</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-2751455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-2751455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-1542415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-1294130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-1045210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7660" w:type="dxa"/>
            <w:vAlign w:val="bottom"/>
          </w:tcPr>
          <w:p>
            <w:pPr>
              <w:spacing w:after="0"/>
              <w:rPr>
                <w:sz w:val="24"/>
                <w:szCs w:val="24"/>
                <w:color w:val="auto"/>
              </w:rPr>
            </w:pPr>
          </w:p>
        </w:tc>
        <w:tc>
          <w:tcPr>
            <w:tcW w:w="358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66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40"/>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i w:val="1"/>
                <w:iCs w:val="1"/>
                <w:color w:val="auto"/>
              </w:rPr>
              <w:t>Net income</w:t>
            </w:r>
          </w:p>
        </w:tc>
        <w:tc>
          <w:tcPr>
            <w:tcW w:w="1140" w:type="dxa"/>
            <w:vAlign w:val="bottom"/>
            <w:shd w:val="clear" w:color="auto" w:fill="CFF0FC"/>
          </w:tcPr>
          <w:p>
            <w:pPr>
              <w:jc w:val="right"/>
              <w:ind w:right="959"/>
              <w:spacing w:after="0" w:line="183" w:lineRule="exact"/>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829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1,098</w:t>
            </w: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Currency translation adjustments</w:t>
            </w: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Unrealized net change arising during the period</w:t>
            </w: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172</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Cash flow hedges</w:t>
            </w: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Net loss on cash flow hedges</w:t>
            </w:r>
          </w:p>
        </w:tc>
        <w:tc>
          <w:tcPr>
            <w:tcW w:w="11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(65 )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(17 )</w:t>
            </w: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Reclassification to net income of net realized loss (gain)</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Amortization to net income of net actuarial gain</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Amortization to net income of net prior service credit</w:t>
            </w:r>
          </w:p>
        </w:tc>
        <w:tc>
          <w:tcPr>
            <w:tcW w:w="11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(6 )</w:t>
            </w: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Income taxes on pension and other postretirement benefit plans</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w:t>
            </w:r>
          </w:p>
        </w:tc>
        <w:tc>
          <w:tcPr>
            <w:tcW w:w="11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i w:val="1"/>
                <w:iCs w:val="1"/>
                <w:color w:val="auto"/>
              </w:rPr>
              <w:t>Comprehensive income</w:t>
            </w:r>
          </w:p>
        </w:tc>
        <w:tc>
          <w:tcPr>
            <w:tcW w:w="114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955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1,103</w:t>
            </w:r>
          </w:p>
        </w:tc>
        <w:tc>
          <w:tcPr>
            <w:tcW w:w="100" w:type="dxa"/>
            <w:vAlign w:val="bottom"/>
          </w:tcPr>
          <w:p>
            <w:pPr>
              <w:spacing w:after="0"/>
              <w:rPr>
                <w:sz w:val="15"/>
                <w:szCs w:val="15"/>
                <w:color w:val="auto"/>
              </w:rPr>
            </w:pPr>
          </w:p>
        </w:tc>
      </w:tr>
      <w:tr>
        <w:trPr>
          <w:trHeight w:val="189"/>
        </w:trPr>
        <w:tc>
          <w:tcPr>
            <w:tcW w:w="7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Comprehensive income attributable to noncontrolling interests</w:t>
            </w:r>
          </w:p>
        </w:tc>
        <w:tc>
          <w:tcPr>
            <w:tcW w:w="11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ind w:left="20"/>
              <w:spacing w:after="0" w:line="169" w:lineRule="exact"/>
              <w:rPr>
                <w:sz w:val="20"/>
                <w:szCs w:val="20"/>
                <w:color w:val="auto"/>
              </w:rPr>
            </w:pPr>
            <w:r>
              <w:rPr>
                <w:rFonts w:ascii="Arial" w:cs="Arial" w:eastAsia="Arial" w:hAnsi="Arial"/>
                <w:sz w:val="16"/>
                <w:szCs w:val="16"/>
                <w:i w:val="1"/>
                <w:iCs w:val="1"/>
                <w:color w:val="auto"/>
              </w:rPr>
              <w:t>Comprehensive income attributable to SLB</w:t>
            </w:r>
          </w:p>
        </w:tc>
        <w:tc>
          <w:tcPr>
            <w:tcW w:w="1140" w:type="dxa"/>
            <w:vAlign w:val="bottom"/>
            <w:tcBorders>
              <w:bottom w:val="single" w:sz="8" w:color="auto"/>
            </w:tcBorders>
          </w:tcPr>
          <w:p>
            <w:pPr>
              <w:jc w:val="right"/>
              <w:ind w:right="959"/>
              <w:spacing w:after="0" w:line="169" w:lineRule="exact"/>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923</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1,073</w:t>
            </w:r>
          </w:p>
        </w:tc>
        <w:tc>
          <w:tcPr>
            <w:tcW w:w="10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-402590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5"/>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Mar. 31,</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r>
      <w:tr>
        <w:trPr>
          <w:trHeight w:val="203"/>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7"/>
                <w:szCs w:val="17"/>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i w:val="1"/>
                <w:iCs w:val="1"/>
                <w:color w:val="auto"/>
              </w:rPr>
              <w:t>ASSETS</w:t>
            </w: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2,936</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961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Receivables less allowance for doubtful accounts (2025 - $339; 2024 - $325)</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8,604</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8,011</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4,650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6"/>
                <w:szCs w:val="16"/>
                <w:color w:val="auto"/>
              </w:rPr>
            </w:pPr>
          </w:p>
        </w:tc>
      </w:tr>
      <w:tr>
        <w:trPr>
          <w:trHeight w:val="189"/>
        </w:trPr>
        <w:tc>
          <w:tcPr>
            <w:tcW w:w="7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1,444</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18,595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18,570</w:t>
            </w:r>
          </w:p>
        </w:tc>
        <w:tc>
          <w:tcPr>
            <w:tcW w:w="100" w:type="dxa"/>
            <w:vAlign w:val="bottom"/>
          </w:tcPr>
          <w:p>
            <w:pPr>
              <w:spacing w:after="0"/>
              <w:rPr>
                <w:sz w:val="15"/>
                <w:szCs w:val="15"/>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Investments in Affiliated Companies</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1,641</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Fixed Assets less accumulated depreciation</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7,399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Goodwill</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14,637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14,593</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Intangible Assets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2,963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3,012</w:t>
            </w:r>
          </w:p>
        </w:tc>
        <w:tc>
          <w:tcPr>
            <w:tcW w:w="100" w:type="dxa"/>
            <w:vAlign w:val="bottom"/>
          </w:tcPr>
          <w:p>
            <w:pPr>
              <w:spacing w:after="0"/>
              <w:rPr>
                <w:sz w:val="16"/>
                <w:szCs w:val="16"/>
                <w:color w:val="auto"/>
              </w:rPr>
            </w:pP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3,767</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49,002</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48,935</w:t>
            </w:r>
          </w:p>
        </w:tc>
        <w:tc>
          <w:tcPr>
            <w:tcW w:w="10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i w:val="1"/>
                <w:iCs w:val="1"/>
                <w:color w:val="auto"/>
              </w:rPr>
              <w:t>LIABILITIES AND EQUITY</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10,221</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10,375</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Estimated liability for taxes on income</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936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Short-term borrowings and current portion of long-term debt</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3,475</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Dividends payable</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6"/>
                <w:szCs w:val="16"/>
                <w:color w:val="auto"/>
              </w:rPr>
            </w:pPr>
          </w:p>
        </w:tc>
      </w:tr>
      <w:tr>
        <w:trPr>
          <w:trHeight w:val="183"/>
        </w:trPr>
        <w:tc>
          <w:tcPr>
            <w:tcW w:w="7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15,036</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12,811</w:t>
            </w: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Long-term Debt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10,527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11,023</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Deferred Taxes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6"/>
                <w:szCs w:val="16"/>
                <w:color w:val="auto"/>
              </w:rPr>
            </w:pP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2,147</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28,254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26,585</w:t>
            </w:r>
          </w:p>
        </w:tc>
        <w:tc>
          <w:tcPr>
            <w:tcW w:w="100" w:type="dxa"/>
            <w:vAlign w:val="bottom"/>
          </w:tcPr>
          <w:p>
            <w:pPr>
              <w:spacing w:after="0"/>
              <w:rPr>
                <w:sz w:val="15"/>
                <w:szCs w:val="15"/>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i w:val="1"/>
                <w:iCs w:val="1"/>
                <w:color w:val="auto"/>
              </w:rPr>
              <w:t>Equity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10,827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11,458</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Treasury stock</w:t>
            </w:r>
          </w:p>
        </w:tc>
        <w:tc>
          <w:tcPr>
            <w:tcW w:w="22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(3,292 )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(1,773 )</w:t>
            </w: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16,804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16,395</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(4,824 )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(4,950 )</w:t>
            </w:r>
          </w:p>
        </w:tc>
      </w:tr>
      <w:tr>
        <w:trPr>
          <w:trHeight w:val="183"/>
        </w:trPr>
        <w:tc>
          <w:tcPr>
            <w:tcW w:w="7660" w:type="dxa"/>
            <w:vAlign w:val="bottom"/>
            <w:tcBorders>
              <w:top w:val="single" w:sz="8" w:color="CFF0FC"/>
            </w:tcBorders>
          </w:tcPr>
          <w:p>
            <w:pPr>
              <w:ind w:left="160"/>
              <w:spacing w:after="0" w:line="183" w:lineRule="exact"/>
              <w:rPr>
                <w:sz w:val="20"/>
                <w:szCs w:val="20"/>
                <w:color w:val="auto"/>
              </w:rPr>
            </w:pPr>
            <w:r>
              <w:rPr>
                <w:rFonts w:ascii="Arial" w:cs="Arial" w:eastAsia="Arial" w:hAnsi="Arial"/>
                <w:sz w:val="16"/>
                <w:szCs w:val="16"/>
                <w:color w:val="auto"/>
              </w:rPr>
              <w:t>SLB stockholders’ equity</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19,515</w:t>
            </w: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21,130</w:t>
            </w:r>
          </w:p>
        </w:tc>
        <w:tc>
          <w:tcPr>
            <w:tcW w:w="100" w:type="dxa"/>
            <w:vAlign w:val="bottom"/>
            <w:tcBorders>
              <w:top w:val="single" w:sz="8" w:color="CFF0FC"/>
            </w:tcBorders>
          </w:tcPr>
          <w:p>
            <w:pPr>
              <w:spacing w:after="0"/>
              <w:rPr>
                <w:sz w:val="15"/>
                <w:szCs w:val="15"/>
                <w:color w:val="auto"/>
              </w:rPr>
            </w:pPr>
          </w:p>
        </w:tc>
      </w:tr>
      <w:tr>
        <w:trPr>
          <w:trHeight w:val="189"/>
        </w:trPr>
        <w:tc>
          <w:tcPr>
            <w:tcW w:w="7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1,233</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20,748</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22,350</w:t>
            </w:r>
          </w:p>
        </w:tc>
        <w:tc>
          <w:tcPr>
            <w:tcW w:w="100" w:type="dxa"/>
            <w:vAlign w:val="bottom"/>
          </w:tcPr>
          <w:p>
            <w:pPr>
              <w:spacing w:after="0"/>
              <w:rPr>
                <w:sz w:val="15"/>
                <w:szCs w:val="15"/>
                <w:color w:val="auto"/>
              </w:rPr>
            </w:pPr>
          </w:p>
        </w:tc>
      </w:tr>
      <w:tr>
        <w:trPr>
          <w:trHeight w:val="223"/>
        </w:trPr>
        <w:tc>
          <w:tcPr>
            <w:tcW w:w="7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49,002</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48,935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-4225290</wp:posOffset>
            </wp:positionV>
            <wp:extent cx="6858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-3479800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-2750820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-1268095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-530860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-281940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7660" w:type="dxa"/>
            <w:vAlign w:val="bottom"/>
          </w:tcPr>
          <w:p>
            <w:pPr>
              <w:spacing w:after="0"/>
              <w:rPr>
                <w:sz w:val="24"/>
                <w:szCs w:val="24"/>
                <w:color w:val="auto"/>
              </w:rPr>
            </w:pPr>
          </w:p>
        </w:tc>
        <w:tc>
          <w:tcPr>
            <w:tcW w:w="358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66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829</w:t>
            </w:r>
          </w:p>
        </w:tc>
        <w:tc>
          <w:tcPr>
            <w:tcW w:w="2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380"/>
              <w:spacing w:after="0" w:line="18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taxes</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(37 )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(30 )</w:t>
            </w:r>
          </w:p>
        </w:tc>
      </w:tr>
      <w:tr>
        <w:trPr>
          <w:trHeight w:val="189"/>
        </w:trPr>
        <w:tc>
          <w:tcPr>
            <w:tcW w:w="76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Earnings of equity method investments, less dividends received</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(10 )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(16 )</w:t>
            </w:r>
          </w:p>
        </w:tc>
      </w:tr>
      <w:tr>
        <w:trPr>
          <w:trHeight w:val="189"/>
        </w:trPr>
        <w:tc>
          <w:tcPr>
            <w:tcW w:w="7660" w:type="dxa"/>
            <w:vAlign w:val="bottom"/>
          </w:tcPr>
          <w:p>
            <w:pPr>
              <w:ind w:left="160"/>
              <w:spacing w:after="0" w:line="189"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Increase in receivables</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(472 )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(429 )</w:t>
            </w:r>
          </w:p>
        </w:tc>
      </w:tr>
      <w:tr>
        <w:trPr>
          <w:trHeight w:val="189"/>
        </w:trPr>
        <w:tc>
          <w:tcPr>
            <w:tcW w:w="7660" w:type="dxa"/>
            <w:vAlign w:val="bottom"/>
          </w:tcPr>
          <w:p>
            <w:pPr>
              <w:ind w:left="380"/>
              <w:spacing w:after="0"/>
              <w:rPr>
                <w:sz w:val="20"/>
                <w:szCs w:val="20"/>
                <w:color w:val="auto"/>
              </w:rPr>
            </w:pPr>
            <w:r>
              <w:rPr>
                <w:rFonts w:ascii="Arial" w:cs="Arial" w:eastAsia="Arial" w:hAnsi="Arial"/>
                <w:sz w:val="16"/>
                <w:szCs w:val="16"/>
                <w:color w:val="auto"/>
              </w:rPr>
              <w:t>Increase in inventories</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(214 )</w:t>
            </w: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(172 )</w:t>
            </w:r>
          </w:p>
        </w:tc>
      </w:tr>
      <w:tr>
        <w:trPr>
          <w:trHeight w:val="18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Decrease in other current assets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80</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(11 )</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Decrease in accounts payable and accrued liabilities</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(275 )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(874 )</w:t>
            </w:r>
          </w:p>
        </w:tc>
      </w:tr>
      <w:tr>
        <w:trPr>
          <w:trHeight w:val="189"/>
        </w:trPr>
        <w:tc>
          <w:tcPr>
            <w:tcW w:w="7660" w:type="dxa"/>
            <w:vAlign w:val="bottom"/>
          </w:tcPr>
          <w:p>
            <w:pPr>
              <w:ind w:left="380"/>
              <w:spacing w:after="0"/>
              <w:rPr>
                <w:sz w:val="20"/>
                <w:szCs w:val="20"/>
                <w:color w:val="auto"/>
              </w:rPr>
            </w:pPr>
            <w:r>
              <w:rPr>
                <w:rFonts w:ascii="Arial" w:cs="Arial" w:eastAsia="Arial" w:hAnsi="Arial"/>
                <w:sz w:val="16"/>
                <w:szCs w:val="16"/>
                <w:color w:val="auto"/>
              </w:rPr>
              <w:t>Decrease in estimated liability for taxes on income</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(56 )</w:t>
            </w: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(46 )</w:t>
            </w:r>
          </w:p>
        </w:tc>
      </w:tr>
      <w:tr>
        <w:trPr>
          <w:trHeight w:val="18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Increase in other liabilities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3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6"/>
                <w:szCs w:val="16"/>
                <w:color w:val="auto"/>
              </w:rPr>
            </w:pPr>
          </w:p>
        </w:tc>
      </w:tr>
      <w:tr>
        <w:trPr>
          <w:trHeight w:val="18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660</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color w:val="auto"/>
              </w:rPr>
              <w:t>Cash flows from investing activities:</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 expenditures</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(398 )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(399 )</w:t>
            </w:r>
          </w:p>
        </w:tc>
      </w:tr>
      <w:tr>
        <w:trPr>
          <w:trHeight w:val="189"/>
        </w:trPr>
        <w:tc>
          <w:tcPr>
            <w:tcW w:w="7660" w:type="dxa"/>
            <w:vAlign w:val="bottom"/>
          </w:tcPr>
          <w:p>
            <w:pPr>
              <w:ind w:left="240"/>
              <w:spacing w:after="0"/>
              <w:rPr>
                <w:sz w:val="20"/>
                <w:szCs w:val="20"/>
                <w:color w:val="auto"/>
              </w:rPr>
            </w:pPr>
            <w:r>
              <w:rPr>
                <w:rFonts w:ascii="Arial" w:cs="Arial" w:eastAsia="Arial" w:hAnsi="Arial"/>
                <w:sz w:val="16"/>
                <w:szCs w:val="16"/>
                <w:color w:val="auto"/>
              </w:rPr>
              <w:t>APS investments</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(108 )</w:t>
            </w: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(121 )</w:t>
            </w: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Exploration data costs capitalized</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(51 )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(29 )</w:t>
            </w:r>
          </w:p>
        </w:tc>
      </w:tr>
      <w:tr>
        <w:trPr>
          <w:trHeight w:val="189"/>
        </w:trPr>
        <w:tc>
          <w:tcPr>
            <w:tcW w:w="7660" w:type="dxa"/>
            <w:vAlign w:val="bottom"/>
          </w:tcPr>
          <w:p>
            <w:pPr>
              <w:ind w:left="240"/>
              <w:spacing w:after="0"/>
              <w:rPr>
                <w:sz w:val="20"/>
                <w:szCs w:val="20"/>
                <w:color w:val="auto"/>
              </w:rPr>
            </w:pPr>
            <w:r>
              <w:rPr>
                <w:rFonts w:ascii="Arial" w:cs="Arial" w:eastAsia="Arial" w:hAnsi="Arial"/>
                <w:sz w:val="16"/>
                <w:szCs w:val="16"/>
                <w:color w:val="auto"/>
              </w:rPr>
              <w:t>Business acquisitions and investments, net of cash acquired</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(37 )</w:t>
            </w: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(27 )</w:t>
            </w: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Sales of short-term investments, net</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40"/>
              <w:spacing w:after="0"/>
              <w:rPr>
                <w:sz w:val="20"/>
                <w:szCs w:val="20"/>
                <w:color w:val="auto"/>
              </w:rPr>
            </w:pPr>
            <w:r>
              <w:rPr>
                <w:rFonts w:ascii="Arial" w:cs="Arial" w:eastAsia="Arial" w:hAnsi="Arial"/>
                <w:sz w:val="16"/>
                <w:szCs w:val="16"/>
                <w:color w:val="auto"/>
              </w:rPr>
              <w:t>Purchase of Blue Chip Swap securities</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(75 )</w:t>
            </w: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(52 )</w:t>
            </w: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sale of Blue Chip securities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4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(3 )</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6"/>
                <w:szCs w:val="16"/>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(432 )</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(151 )</w:t>
            </w:r>
          </w:p>
        </w:tc>
      </w:tr>
      <w:tr>
        <w:trPr>
          <w:trHeight w:val="183"/>
        </w:trPr>
        <w:tc>
          <w:tcPr>
            <w:tcW w:w="766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Cash flows from financing activities:</w:t>
            </w:r>
          </w:p>
        </w:tc>
        <w:tc>
          <w:tcPr>
            <w:tcW w:w="10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Dividends paid</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(386 )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(357 )</w:t>
            </w:r>
          </w:p>
        </w:tc>
      </w:tr>
      <w:tr>
        <w:trPr>
          <w:trHeight w:val="189"/>
        </w:trPr>
        <w:tc>
          <w:tcPr>
            <w:tcW w:w="7660" w:type="dxa"/>
            <w:vAlign w:val="bottom"/>
          </w:tcPr>
          <w:p>
            <w:pPr>
              <w:ind w:left="240"/>
              <w:spacing w:after="0"/>
              <w:rPr>
                <w:sz w:val="20"/>
                <w:szCs w:val="20"/>
                <w:color w:val="auto"/>
              </w:rPr>
            </w:pPr>
            <w:r>
              <w:rPr>
                <w:rFonts w:ascii="Arial" w:cs="Arial" w:eastAsia="Arial" w:hAnsi="Arial"/>
                <w:sz w:val="16"/>
                <w:szCs w:val="16"/>
                <w:color w:val="auto"/>
              </w:rPr>
              <w:t>Proceeds from employee stock purchase plan</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40"/>
              <w:spacing w:after="0"/>
              <w:rPr>
                <w:sz w:val="20"/>
                <w:szCs w:val="20"/>
                <w:color w:val="auto"/>
              </w:rPr>
            </w:pPr>
            <w:r>
              <w:rPr>
                <w:rFonts w:ascii="Arial" w:cs="Arial" w:eastAsia="Arial" w:hAnsi="Arial"/>
                <w:sz w:val="16"/>
                <w:szCs w:val="16"/>
                <w:color w:val="auto"/>
              </w:rPr>
              <w:t>Taxes paid on net settled stock-based compensation awards</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(53 )</w:t>
            </w: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(78 )</w:t>
            </w: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 repurchase program</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(2,300 )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(270 )</w:t>
            </w:r>
          </w:p>
        </w:tc>
      </w:tr>
      <w:tr>
        <w:trPr>
          <w:trHeight w:val="189"/>
        </w:trPr>
        <w:tc>
          <w:tcPr>
            <w:tcW w:w="7660" w:type="dxa"/>
            <w:vAlign w:val="bottom"/>
          </w:tcPr>
          <w:p>
            <w:pPr>
              <w:ind w:left="240"/>
              <w:spacing w:after="0"/>
              <w:rPr>
                <w:sz w:val="20"/>
                <w:szCs w:val="20"/>
                <w:color w:val="auto"/>
              </w:rPr>
            </w:pPr>
            <w:r>
              <w:rPr>
                <w:rFonts w:ascii="Arial" w:cs="Arial" w:eastAsia="Arial" w:hAnsi="Arial"/>
                <w:sz w:val="16"/>
                <w:szCs w:val="16"/>
                <w:color w:val="auto"/>
              </w:rPr>
              <w:t>Proceeds from issuance of long-term debt</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1,805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Repayment of long-term debt</w:t>
            </w: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240"/>
              <w:spacing w:after="0"/>
              <w:rPr>
                <w:sz w:val="20"/>
                <w:szCs w:val="20"/>
                <w:color w:val="auto"/>
              </w:rPr>
            </w:pPr>
            <w:r>
              <w:rPr>
                <w:rFonts w:ascii="Arial" w:cs="Arial" w:eastAsia="Arial" w:hAnsi="Arial"/>
                <w:sz w:val="16"/>
                <w:szCs w:val="16"/>
                <w:color w:val="auto"/>
              </w:rPr>
              <w:t>Net decrease in short-term borrowings</w:t>
            </w:r>
          </w:p>
        </w:tc>
        <w:tc>
          <w:tcPr>
            <w:tcW w:w="10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(27 )</w:t>
            </w: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r>
      <w:tr>
        <w:trPr>
          <w:trHeight w:val="189"/>
        </w:trPr>
        <w:tc>
          <w:tcPr>
            <w:tcW w:w="76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(30 )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(13 )</w:t>
            </w:r>
          </w:p>
        </w:tc>
      </w:tr>
      <w:tr>
        <w:trPr>
          <w:trHeight w:val="20"/>
        </w:trPr>
        <w:tc>
          <w:tcPr>
            <w:tcW w:w="76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color w:val="auto"/>
              </w:rPr>
              <w:t>NET CASH USED IN FINANCING ACTIVITIES</w:t>
            </w:r>
          </w:p>
        </w:tc>
        <w:tc>
          <w:tcPr>
            <w:tcW w:w="1060" w:type="dxa"/>
            <w:vAlign w:val="bottom"/>
          </w:tcPr>
          <w:p>
            <w:pPr>
              <w:spacing w:after="0"/>
              <w:rPr>
                <w:sz w:val="15"/>
                <w:szCs w:val="15"/>
                <w:color w:val="auto"/>
              </w:rPr>
            </w:pPr>
          </w:p>
        </w:tc>
        <w:tc>
          <w:tcPr>
            <w:tcW w:w="8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(878 )</w:t>
            </w:r>
          </w:p>
        </w:tc>
        <w:tc>
          <w:tcPr>
            <w:tcW w:w="240" w:type="dxa"/>
            <w:vAlign w:val="bottom"/>
          </w:tcPr>
          <w:p>
            <w:pPr>
              <w:spacing w:after="0"/>
              <w:rPr>
                <w:sz w:val="15"/>
                <w:szCs w:val="15"/>
                <w:color w:val="auto"/>
              </w:rPr>
            </w:pPr>
          </w:p>
        </w:tc>
        <w:tc>
          <w:tcPr>
            <w:tcW w:w="14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(267 )</w:t>
            </w:r>
          </w:p>
        </w:tc>
      </w:tr>
      <w:tr>
        <w:trPr>
          <w:trHeight w:val="20"/>
        </w:trPr>
        <w:tc>
          <w:tcPr>
            <w:tcW w:w="7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decrease in cash before translation effect</w:t>
            </w:r>
          </w:p>
        </w:tc>
        <w:tc>
          <w:tcPr>
            <w:tcW w:w="10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(650 )</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(91 )</w:t>
            </w: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Translation effect on cash</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beginning of period</w:t>
            </w:r>
          </w:p>
        </w:tc>
        <w:tc>
          <w:tcPr>
            <w:tcW w:w="10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3,544</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ind w:left="20"/>
              <w:spacing w:after="0" w:line="169" w:lineRule="exact"/>
              <w:rPr>
                <w:sz w:val="20"/>
                <w:szCs w:val="20"/>
                <w:color w:val="auto"/>
              </w:rPr>
            </w:pPr>
            <w:r>
              <w:rPr>
                <w:rFonts w:ascii="Arial" w:cs="Arial" w:eastAsia="Arial" w:hAnsi="Arial"/>
                <w:sz w:val="16"/>
                <w:szCs w:val="16"/>
                <w:color w:val="auto"/>
              </w:rPr>
              <w:t>Cash, end of period</w:t>
            </w:r>
          </w:p>
        </w:tc>
        <w:tc>
          <w:tcPr>
            <w:tcW w:w="1060" w:type="dxa"/>
            <w:vAlign w:val="bottom"/>
            <w:tcBorders>
              <w:bottom w:val="single" w:sz="8" w:color="auto"/>
            </w:tcBorders>
          </w:tcPr>
          <w:p>
            <w:pPr>
              <w:jc w:val="right"/>
              <w:ind w:right="879"/>
              <w:spacing w:after="0" w:line="169" w:lineRule="exact"/>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2,936</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2,788</w:t>
            </w:r>
          </w:p>
        </w:tc>
        <w:tc>
          <w:tcPr>
            <w:tcW w:w="10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-3076575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-1859280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-650875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Asset Performance Solutions ("APS") investments.</w:t>
      </w:r>
    </w:p>
    <w:p>
      <w:pPr>
        <w:spacing w:after="0" w:line="70" w:lineRule="exact"/>
        <w:rPr>
          <w:rFonts w:ascii="Arial" w:cs="Arial" w:eastAsia="Arial" w:hAnsi="Arial"/>
          <w:sz w:val="19"/>
          <w:szCs w:val="19"/>
          <w:color w:val="auto"/>
          <w:vertAlign w:val="superscript"/>
        </w:rPr>
      </w:pPr>
    </w:p>
    <w:p>
      <w:pPr>
        <w:ind w:left="380" w:hanging="372"/>
        <w:spacing w:after="0" w:line="234" w:lineRule="auto"/>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11"/>
          </w:tcPr>
          <w:p>
            <w:pPr>
              <w:jc w:val="right"/>
              <w:ind w:right="48"/>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January 1, 2025 – March 31, 2025</w:t>
            </w:r>
          </w:p>
        </w:tc>
        <w:tc>
          <w:tcPr>
            <w:tcW w:w="16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w w:val="99"/>
              </w:rPr>
              <w:t>Issued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860" w:type="dxa"/>
            <w:vAlign w:val="bottom"/>
            <w:gridSpan w:val="3"/>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January 1, 2025</w:t>
            </w:r>
          </w:p>
        </w:tc>
        <w:tc>
          <w:tcPr>
            <w:tcW w:w="1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11,458</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(1,773 )</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16,395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(4,950 )</w:t>
            </w:r>
          </w:p>
        </w:tc>
        <w:tc>
          <w:tcPr>
            <w:tcW w:w="2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1,220</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22,350</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(60 )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(217 )</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164</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(1,840 )</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(1,840 )</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Advance payment for accelerated share repurchases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(460 )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(460 )</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91</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Dividends declared ($0.285 per share)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(388 )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(388 )</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(19 )</w:t>
            </w: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55"/>
        </w:trPr>
        <w:tc>
          <w:tcPr>
            <w:tcW w:w="386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Balance, March 31, 2025</w:t>
            </w:r>
          </w:p>
        </w:tc>
        <w:tc>
          <w:tcPr>
            <w:tcW w:w="16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10,827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(3,292 )</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16,804</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(4,824 )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1,233</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20,748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6"/>
            <w:vMerge w:val="restart"/>
          </w:tcPr>
          <w:p>
            <w:pPr>
              <w:ind w:left="4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3"/>
                <w:szCs w:val="13"/>
                <w:color w:val="auto"/>
              </w:rPr>
            </w:pPr>
          </w:p>
        </w:tc>
        <w:tc>
          <w:tcPr>
            <w:tcW w:w="1400" w:type="dxa"/>
            <w:vAlign w:val="bottom"/>
            <w:gridSpan w:val="3"/>
          </w:tcPr>
          <w:p>
            <w:pPr>
              <w:jc w:val="center"/>
              <w:ind w:right="300"/>
              <w:spacing w:after="0" w:line="158"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January 1, 2024 – March 31, 2024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Issued</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In Treasury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48"/>
              <w:spacing w:after="0" w:line="155" w:lineRule="exact"/>
              <w:rPr>
                <w:sz w:val="20"/>
                <w:szCs w:val="20"/>
                <w:color w:val="auto"/>
              </w:rPr>
            </w:pPr>
            <w:r>
              <w:rPr>
                <w:rFonts w:ascii="Arial" w:cs="Arial" w:eastAsia="Arial" w:hAnsi="Arial"/>
                <w:sz w:val="14"/>
                <w:szCs w:val="14"/>
                <w:color w:val="auto"/>
              </w:rPr>
              <w:t>Loss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3860" w:type="dxa"/>
            <w:vAlign w:val="bottom"/>
            <w:gridSpan w:val="3"/>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January 1, 2024</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11,624</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(678 )</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13,497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(4,254 )</w:t>
            </w:r>
          </w:p>
        </w:tc>
        <w:tc>
          <w:tcPr>
            <w:tcW w:w="8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1,170</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21,359</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1,068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(338 )</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(270 )</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(270 )</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Dividends declared ($0.275 per share)</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(393 )</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(393 )</w:t>
            </w:r>
          </w:p>
        </w:tc>
        <w:tc>
          <w:tcPr>
            <w:tcW w:w="0" w:type="dxa"/>
            <w:vAlign w:val="bottom"/>
          </w:tcPr>
          <w:p>
            <w:pPr>
              <w:spacing w:after="0"/>
              <w:rPr>
                <w:sz w:val="1"/>
                <w:szCs w:val="1"/>
                <w:color w:val="auto"/>
              </w:rPr>
            </w:pPr>
          </w:p>
        </w:tc>
      </w:tr>
      <w:tr>
        <w:trPr>
          <w:trHeight w:val="16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5"/>
        </w:trPr>
        <w:tc>
          <w:tcPr>
            <w:tcW w:w="3860" w:type="dxa"/>
            <w:vAlign w:val="bottom"/>
            <w:tcBorders>
              <w:bottom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March 31, 2024</w:t>
            </w: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11,344</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(531 )</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14,172</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(4,249 )</w:t>
            </w: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1,187</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gridSpan w:val="2"/>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rPr>
              <w:t>21,923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-2159635</wp:posOffset>
            </wp:positionV>
            <wp:extent cx="946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-2159635</wp:posOffset>
            </wp:positionV>
            <wp:extent cx="946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-2159635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-2159635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-2159635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r>
      <w:tr>
        <w:trPr>
          <w:trHeight w:val="203"/>
        </w:trPr>
        <w:tc>
          <w:tcPr>
            <w:tcW w:w="6520" w:type="dxa"/>
            <w:vAlign w:val="bottom"/>
          </w:tcPr>
          <w:p>
            <w:pPr>
              <w:spacing w:after="0"/>
              <w:rPr>
                <w:sz w:val="17"/>
                <w:szCs w:val="17"/>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 Treasury</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7"/>
                <w:szCs w:val="17"/>
                <w:color w:val="auto"/>
              </w:rPr>
            </w:pPr>
          </w:p>
        </w:tc>
      </w:tr>
      <w:tr>
        <w:trPr>
          <w:trHeight w:val="183"/>
        </w:trPr>
        <w:tc>
          <w:tcPr>
            <w:tcW w:w="74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January 1, 2025</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1,439</w:t>
            </w:r>
          </w:p>
        </w:tc>
        <w:tc>
          <w:tcPr>
            <w:tcW w:w="182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(38 )</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1,401</w:t>
            </w:r>
          </w:p>
        </w:tc>
        <w:tc>
          <w:tcPr>
            <w:tcW w:w="120" w:type="dxa"/>
            <w:vAlign w:val="bottom"/>
            <w:shd w:val="clear" w:color="auto" w:fill="CFF0FC"/>
          </w:tcPr>
          <w:p>
            <w:pPr>
              <w:spacing w:after="0"/>
              <w:rPr>
                <w:sz w:val="15"/>
                <w:szCs w:val="15"/>
                <w:color w:val="auto"/>
              </w:rPr>
            </w:pPr>
          </w:p>
        </w:tc>
      </w:tr>
      <w:tr>
        <w:trPr>
          <w:trHeight w:val="18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Vesting of restricted stock</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r>
      <w:tr>
        <w:trPr>
          <w:trHeight w:val="189"/>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Shares issued under employee stock purchase plan</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Stock repurchase program</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(48 )</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(48 )</w:t>
            </w:r>
          </w:p>
        </w:tc>
      </w:tr>
      <w:tr>
        <w:trPr>
          <w:trHeight w:val="20"/>
        </w:trPr>
        <w:tc>
          <w:tcPr>
            <w:tcW w:w="6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52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Balance, March 31, 2025</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99"/>
              </w:rPr>
              <w:t>1,439</w:t>
            </w: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color w:val="auto"/>
              </w:rPr>
              <w:t>(79 )</w:t>
            </w:r>
          </w:p>
        </w:tc>
        <w:tc>
          <w:tcPr>
            <w:tcW w:w="14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1,360</w:t>
            </w:r>
          </w:p>
        </w:tc>
        <w:tc>
          <w:tcPr>
            <w:tcW w:w="120" w:type="dxa"/>
            <w:vAlign w:val="bottom"/>
            <w:shd w:val="clear" w:color="auto" w:fill="CFF0FC"/>
          </w:tcPr>
          <w:p>
            <w:pPr>
              <w:spacing w:after="0"/>
              <w:rPr>
                <w:sz w:val="17"/>
                <w:szCs w:val="17"/>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2025 are not necessarily indicative of the results that may be expected for the full year ending December 31, 2025. The December 31, 2024 balance sheet information has been derived from the SLB 2024 audited financial statements. For further information, refer to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and notes thereto included in the SLB Annual Report on Form 10-K for the year ended December 31, 2024, filed with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Exchange Commission on January 22, 2025.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ChampionX Transaction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2, 2024, SLB announced a definitive agreement to purchase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 Under the terms of the agreement, ChampionX shareholders will receive 0.735 shares of SLB common stock in exchange for each ChampionX share. At the closing of the transaction ChampionX shareholders will own approximately 9% of SLB's outstanding shares of common stock. ChampionX reported revenue of approximately $3.6 billion in 2024. The transaction, which is subject to regulatory approvals and other customary closing conditions, received the approval of the ChampionX stockholders at a special meeting held on June 18, 2024. It is anticipated that the transaction will close in the second quarter or early third quarter of 2025.</w:t>
      </w:r>
    </w:p>
    <w:p>
      <w:pPr>
        <w:spacing w:after="0" w:line="181" w:lineRule="exact"/>
        <w:rPr>
          <w:sz w:val="20"/>
          <w:szCs w:val="20"/>
          <w:color w:val="auto"/>
        </w:rPr>
      </w:pPr>
    </w:p>
    <w:p>
      <w:pPr>
        <w:ind w:right="9380" w:firstLine="8"/>
        <w:spacing w:after="0" w:line="387"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2025</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second quarter of 2024, SLB started a program to realign and optimize its support and service delivery structure in certain parts of its organization. As a result, SLB recorded severance charges of $158 million during the first quarter of 2025. These costs are classified in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SLB may record additional charges related to workforce reductions in 2025 as it aligns its resources with activity levels.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first quarter of 2025, in connection with the pending ChampionX transaction and the October 2023 acquisition of the Aker Solutions subsea business, SLB recorded $48 million of charges related to merger and integration-related costs.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5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183"/>
        </w:trPr>
        <w:tc>
          <w:tcPr>
            <w:tcW w:w="574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Workforce reductions</w:t>
            </w:r>
          </w:p>
        </w:tc>
        <w:tc>
          <w:tcPr>
            <w:tcW w:w="500" w:type="dxa"/>
            <w:vAlign w:val="bottom"/>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158</w:t>
            </w:r>
          </w:p>
        </w:tc>
        <w:tc>
          <w:tcPr>
            <w:tcW w:w="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w:t>
            </w:r>
          </w:p>
        </w:tc>
        <w:tc>
          <w:tcPr>
            <w:tcW w:w="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120" w:type="dxa"/>
            <w:vAlign w:val="bottom"/>
            <w:shd w:val="clear" w:color="auto" w:fill="CFF0FC"/>
          </w:tcPr>
          <w:p>
            <w:pPr>
              <w:spacing w:after="0"/>
              <w:rPr>
                <w:sz w:val="15"/>
                <w:szCs w:val="15"/>
                <w:color w:val="auto"/>
              </w:rPr>
            </w:pPr>
          </w:p>
        </w:tc>
      </w:tr>
      <w:tr>
        <w:trPr>
          <w:trHeight w:val="189"/>
        </w:trPr>
        <w:tc>
          <w:tcPr>
            <w:tcW w:w="574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Merger and integration-related</w:t>
            </w:r>
          </w:p>
        </w:tc>
        <w:tc>
          <w:tcPr>
            <w:tcW w:w="5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FF0FC"/>
            </w:tcBorders>
          </w:tcPr>
          <w:p>
            <w:pPr>
              <w:spacing w:after="0"/>
              <w:rPr>
                <w:sz w:val="16"/>
                <w:szCs w:val="16"/>
                <w:color w:val="auto"/>
              </w:rPr>
            </w:pPr>
          </w:p>
        </w:tc>
      </w:tr>
      <w:tr>
        <w:trPr>
          <w:trHeight w:val="223"/>
        </w:trPr>
        <w:tc>
          <w:tcPr>
            <w:tcW w:w="57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191</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-153670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connection with SLB's October 2023 acquisition of the Aker Solutions subsea business, SLB recorded $25 million of pretax charges during the first quarter of 2024 consisting of: $14 million relating to the amortization of purchase accounting adjustments associated with the write-up of acquired inventories to its estimated fair value and $11 million of other merger and integration-related costs. $14 million of these costs are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with the remaining $11 million classified in</w:t>
      </w:r>
      <w:r>
        <w:rPr>
          <w:rFonts w:ascii="Arial" w:cs="Arial" w:eastAsia="Arial" w:hAnsi="Arial"/>
          <w:sz w:val="16"/>
          <w:szCs w:val="16"/>
          <w:i w:val="1"/>
          <w:iCs w:val="1"/>
          <w:color w:val="auto"/>
        </w:rPr>
        <w:t xml:space="preserve"> Merger &amp; integration</w:t>
      </w:r>
      <w:r>
        <w:rPr>
          <w:rFonts w:ascii="Arial" w:cs="Arial" w:eastAsia="Arial" w:hAnsi="Arial"/>
          <w:sz w:val="16"/>
          <w:szCs w:val="16"/>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3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3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183"/>
        </w:trPr>
        <w:tc>
          <w:tcPr>
            <w:tcW w:w="394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Merger and integration-related</w:t>
            </w:r>
          </w:p>
        </w:tc>
        <w:tc>
          <w:tcPr>
            <w:tcW w:w="2340" w:type="dxa"/>
            <w:vAlign w:val="bottom"/>
            <w:gridSpan w:val="2"/>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c>
          <w:tcPr>
            <w:tcW w:w="3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5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5"/>
                <w:szCs w:val="15"/>
                <w:color w:val="auto"/>
              </w:rPr>
            </w:pPr>
          </w:p>
        </w:tc>
      </w:tr>
      <w:tr>
        <w:trPr>
          <w:trHeight w:val="849"/>
        </w:trPr>
        <w:tc>
          <w:tcPr>
            <w:tcW w:w="39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1"/>
        </w:trPr>
        <w:tc>
          <w:tcPr>
            <w:tcW w:w="39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7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4"/>
                <w:szCs w:val="14"/>
                <w:color w:val="auto"/>
              </w:rPr>
            </w:pPr>
          </w:p>
        </w:tc>
        <w:tc>
          <w:tcPr>
            <w:tcW w:w="1160" w:type="dxa"/>
            <w:vAlign w:val="bottom"/>
          </w:tcPr>
          <w:p>
            <w:pPr>
              <w:jc w:val="right"/>
              <w:ind w:right="199"/>
              <w:spacing w:after="0" w:line="168"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0"/>
              <w:spacing w:after="0" w:line="168"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4"/>
                <w:szCs w:val="14"/>
                <w:color w:val="auto"/>
              </w:rPr>
            </w:pPr>
          </w:p>
        </w:tc>
        <w:tc>
          <w:tcPr>
            <w:tcW w:w="1160" w:type="dxa"/>
            <w:vAlign w:val="bottom"/>
          </w:tcPr>
          <w:p>
            <w:pPr>
              <w:jc w:val="right"/>
              <w:ind w:right="219"/>
              <w:spacing w:after="0" w:line="16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0"/>
              <w:spacing w:after="0"/>
              <w:rPr>
                <w:sz w:val="20"/>
                <w:szCs w:val="20"/>
                <w:color w:val="auto"/>
              </w:rPr>
            </w:pPr>
            <w:r>
              <w:rPr>
                <w:rFonts w:ascii="Arial" w:cs="Arial" w:eastAsia="Arial" w:hAnsi="Arial"/>
                <w:sz w:val="16"/>
                <w:szCs w:val="16"/>
                <w:color w:val="auto"/>
              </w:rPr>
              <w:t>Attributable</w:t>
            </w:r>
          </w:p>
        </w:tc>
        <w:tc>
          <w:tcPr>
            <w:tcW w:w="220" w:type="dxa"/>
            <w:vAlign w:val="bottom"/>
          </w:tcPr>
          <w:p>
            <w:pPr>
              <w:spacing w:after="0"/>
              <w:rPr>
                <w:sz w:val="16"/>
                <w:szCs w:val="16"/>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rPr>
              <w:t>Earnings per</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rPr>
              <w:t>to SLB</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0"/>
              <w:spacing w:after="0"/>
              <w:rPr>
                <w:sz w:val="20"/>
                <w:szCs w:val="20"/>
                <w:color w:val="auto"/>
              </w:rPr>
            </w:pPr>
            <w:r>
              <w:rPr>
                <w:rFonts w:ascii="Arial" w:cs="Arial" w:eastAsia="Arial" w:hAnsi="Arial"/>
                <w:sz w:val="16"/>
                <w:szCs w:val="16"/>
                <w:color w:val="auto"/>
                <w:w w:val="99"/>
              </w:rPr>
              <w:t>to SLB</w:t>
            </w:r>
          </w:p>
        </w:tc>
        <w:tc>
          <w:tcPr>
            <w:tcW w:w="2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Share</w:t>
            </w:r>
          </w:p>
        </w:tc>
      </w:tr>
      <w:tr>
        <w:trPr>
          <w:trHeight w:val="163"/>
        </w:trPr>
        <w:tc>
          <w:tcPr>
            <w:tcW w:w="20" w:type="dxa"/>
            <w:vAlign w:val="bottom"/>
            <w:shd w:val="clear" w:color="auto" w:fill="CFF0FC"/>
          </w:tcPr>
          <w:p>
            <w:pPr>
              <w:spacing w:after="0"/>
              <w:rPr>
                <w:sz w:val="14"/>
                <w:szCs w:val="14"/>
                <w:color w:val="auto"/>
              </w:rPr>
            </w:pPr>
          </w:p>
        </w:tc>
        <w:tc>
          <w:tcPr>
            <w:tcW w:w="3300" w:type="dxa"/>
            <w:vAlign w:val="bottom"/>
            <w:gridSpan w:val="2"/>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First Quarter</w:t>
            </w:r>
          </w:p>
        </w:tc>
        <w:tc>
          <w:tcPr>
            <w:tcW w:w="1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98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rPr>
              <w:t>Basic</w:t>
            </w:r>
          </w:p>
        </w:tc>
        <w:tc>
          <w:tcPr>
            <w:tcW w:w="23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797</w:t>
            </w:r>
          </w:p>
        </w:tc>
        <w:tc>
          <w:tcPr>
            <w:tcW w:w="138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1,366</w:t>
            </w:r>
          </w:p>
        </w:tc>
        <w:tc>
          <w:tcPr>
            <w:tcW w:w="440" w:type="dxa"/>
            <w:vAlign w:val="bottom"/>
            <w:tcBorders>
              <w:top w:val="single" w:sz="8" w:color="CFF0FC"/>
            </w:tcBorders>
            <w:gridSpan w:val="2"/>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0.58</w:t>
            </w:r>
          </w:p>
        </w:tc>
        <w:tc>
          <w:tcPr>
            <w:tcW w:w="32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1,068</w:t>
            </w:r>
          </w:p>
        </w:tc>
        <w:tc>
          <w:tcPr>
            <w:tcW w:w="138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color w:val="auto"/>
              </w:rPr>
              <w:t>1,431</w:t>
            </w:r>
          </w:p>
        </w:tc>
        <w:tc>
          <w:tcPr>
            <w:tcW w:w="440" w:type="dxa"/>
            <w:vAlign w:val="bottom"/>
            <w:tcBorders>
              <w:top w:val="single" w:sz="8" w:color="CFF0FC"/>
            </w:tcBorders>
            <w:gridSpan w:val="2"/>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0.75</w:t>
            </w:r>
          </w:p>
        </w:tc>
        <w:tc>
          <w:tcPr>
            <w:tcW w:w="100" w:type="dxa"/>
            <w:vAlign w:val="bottom"/>
            <w:tcBorders>
              <w:top w:val="single" w:sz="8" w:color="CFF0FC"/>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20" w:type="dxa"/>
            <w:vAlign w:val="bottom"/>
            <w:gridSpan w:val="3"/>
            <w:shd w:val="clear" w:color="auto" w:fill="CFF0FC"/>
          </w:tcPr>
          <w:p>
            <w:pPr>
              <w:ind w:left="20"/>
              <w:spacing w:after="0" w:line="170" w:lineRule="exact"/>
              <w:rPr>
                <w:sz w:val="20"/>
                <w:szCs w:val="20"/>
                <w:color w:val="auto"/>
              </w:rPr>
            </w:pPr>
            <w:r>
              <w:rPr>
                <w:rFonts w:ascii="Arial" w:cs="Arial" w:eastAsia="Arial" w:hAnsi="Arial"/>
                <w:sz w:val="16"/>
                <w:szCs w:val="16"/>
                <w:color w:val="auto"/>
              </w:rPr>
              <w:t>Assumed exercise of stock options</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3320" w:type="dxa"/>
            <w:vAlign w:val="bottom"/>
            <w:gridSpan w:val="3"/>
          </w:tcPr>
          <w:p>
            <w:pPr>
              <w:ind w:left="20"/>
              <w:spacing w:after="0"/>
              <w:rPr>
                <w:sz w:val="20"/>
                <w:szCs w:val="20"/>
                <w:color w:val="auto"/>
              </w:rPr>
            </w:pPr>
            <w:r>
              <w:rPr>
                <w:rFonts w:ascii="Arial" w:cs="Arial" w:eastAsia="Arial" w:hAnsi="Arial"/>
                <w:sz w:val="16"/>
                <w:szCs w:val="16"/>
                <w:color w:val="auto"/>
              </w:rPr>
              <w:t>Unvested restricted stock</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320" w:type="dxa"/>
            <w:vAlign w:val="bottom"/>
            <w:tcBorders>
              <w:bottom w:val="single" w:sz="8" w:color="CFF0FC"/>
            </w:tcBorders>
            <w:gridSpan w:val="3"/>
            <w:shd w:val="clear" w:color="auto" w:fill="CFF0FC"/>
          </w:tcPr>
          <w:p>
            <w:pPr>
              <w:ind w:left="20"/>
              <w:spacing w:after="0" w:line="169" w:lineRule="exact"/>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797</w:t>
            </w:r>
          </w:p>
        </w:tc>
        <w:tc>
          <w:tcPr>
            <w:tcW w:w="2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1,380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0.58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1,068</w:t>
            </w:r>
          </w:p>
        </w:tc>
        <w:tc>
          <w:tcPr>
            <w:tcW w:w="2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1,447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0.74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35"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pacing w:after="0" w:line="197"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Three Months Ended 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2025</w:t>
            </w:r>
          </w:p>
        </w:tc>
        <w:tc>
          <w:tcPr>
            <w:tcW w:w="4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8840" w:type="dxa"/>
            <w:vAlign w:val="bottom"/>
            <w:gridSpan w:val="2"/>
            <w:shd w:val="clear" w:color="auto" w:fill="CFF0FC"/>
          </w:tcPr>
          <w:p>
            <w:pPr>
              <w:jc w:val="right"/>
              <w:ind w:right="7019"/>
              <w:spacing w:after="0" w:line="183" w:lineRule="exact"/>
              <w:rPr>
                <w:sz w:val="20"/>
                <w:szCs w:val="20"/>
                <w:color w:val="auto"/>
              </w:rPr>
            </w:pPr>
            <w:r>
              <w:rPr>
                <w:rFonts w:ascii="Arial" w:cs="Arial" w:eastAsia="Arial" w:hAnsi="Arial"/>
                <w:sz w:val="16"/>
                <w:szCs w:val="16"/>
                <w:color w:val="auto"/>
              </w:rPr>
              <w:t>Employee stock options</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17</w:t>
            </w:r>
          </w:p>
        </w:tc>
        <w:tc>
          <w:tcPr>
            <w:tcW w:w="18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5"/>
                <w:szCs w:val="15"/>
                <w:color w:val="auto"/>
              </w:rPr>
            </w:pPr>
          </w:p>
        </w:tc>
      </w:tr>
    </w:tbl>
    <w:p>
      <w:pPr>
        <w:spacing w:after="0" w:line="32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19"/>
              <w:spacing w:after="0"/>
              <w:rPr>
                <w:sz w:val="20"/>
                <w:szCs w:val="20"/>
                <w:color w:val="auto"/>
              </w:rPr>
            </w:pPr>
            <w:r>
              <w:rPr>
                <w:rFonts w:ascii="Arial" w:cs="Arial" w:eastAsia="Arial" w:hAnsi="Arial"/>
                <w:sz w:val="16"/>
                <w:szCs w:val="16"/>
                <w:b w:val="1"/>
                <w:bCs w:val="1"/>
                <w:color w:val="auto"/>
              </w:rPr>
              <w:t>Mar, 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6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Raw materials &amp; field materials</w:t>
            </w:r>
          </w:p>
        </w:tc>
        <w:tc>
          <w:tcPr>
            <w:tcW w:w="3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2,566</w:t>
            </w:r>
          </w:p>
        </w:tc>
        <w:tc>
          <w:tcPr>
            <w:tcW w:w="52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Work in progress</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835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1,249</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00" w:type="dxa"/>
            <w:vAlign w:val="bottom"/>
          </w:tcPr>
          <w:p>
            <w:pPr>
              <w:jc w:val="right"/>
              <w:ind w:right="119"/>
              <w:spacing w:after="0" w:line="183" w:lineRule="exact"/>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4,650</w:t>
            </w:r>
          </w:p>
        </w:tc>
        <w:tc>
          <w:tcPr>
            <w:tcW w:w="52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4,375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Fixed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6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60" w:type="dxa"/>
            <w:vAlign w:val="bottom"/>
            <w:gridSpan w:val="3"/>
          </w:tcPr>
          <w:p>
            <w:pPr>
              <w:spacing w:after="0"/>
              <w:rPr>
                <w:sz w:val="20"/>
                <w:szCs w:val="20"/>
                <w:color w:val="auto"/>
              </w:rPr>
            </w:pPr>
            <w:r>
              <w:rPr>
                <w:rFonts w:ascii="Arial" w:cs="Arial" w:eastAsia="Arial" w:hAnsi="Arial"/>
                <w:sz w:val="16"/>
                <w:szCs w:val="16"/>
                <w:color w:val="auto"/>
              </w:rPr>
              <w:t>Fixed assets consist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19"/>
              <w:spacing w:after="0"/>
              <w:rPr>
                <w:sz w:val="20"/>
                <w:szCs w:val="20"/>
                <w:color w:val="auto"/>
              </w:rPr>
            </w:pPr>
            <w:r>
              <w:rPr>
                <w:rFonts w:ascii="Arial" w:cs="Arial" w:eastAsia="Arial" w:hAnsi="Arial"/>
                <w:sz w:val="16"/>
                <w:szCs w:val="16"/>
                <w:b w:val="1"/>
                <w:bCs w:val="1"/>
                <w:color w:val="auto"/>
              </w:rPr>
              <w:t>Mar. 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6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Property, plant &amp; equipment</w:t>
            </w:r>
          </w:p>
        </w:tc>
        <w:tc>
          <w:tcPr>
            <w:tcW w:w="3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30,039</w:t>
            </w:r>
          </w:p>
        </w:tc>
        <w:tc>
          <w:tcPr>
            <w:tcW w:w="52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29,573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22,640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6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7,399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7,359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-1713865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relating to fixed assets was $397 million and $377 million in the first quarter of 2025 and 2024, respectively.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9" w:name="page10"/>
    <w:bookmarkEnd w:id="9"/>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4"/>
          </w:tcPr>
          <w:p>
            <w:pPr>
              <w:ind w:left="18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Mar. 31, 2025</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Dec. 31, 2024</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39"/>
              <w:spacing w:after="0" w:line="168" w:lineRule="exact"/>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39"/>
              <w:spacing w:after="0" w:line="168" w:lineRule="exact"/>
              <w:rPr>
                <w:sz w:val="20"/>
                <w:szCs w:val="20"/>
                <w:color w:val="auto"/>
              </w:rPr>
            </w:pPr>
            <w:r>
              <w:rPr>
                <w:rFonts w:ascii="Arial" w:cs="Arial" w:eastAsia="Arial" w:hAnsi="Arial"/>
                <w:sz w:val="16"/>
                <w:szCs w:val="16"/>
                <w:b w:val="1"/>
                <w:bCs w:val="1"/>
                <w:color w:val="auto"/>
              </w:rPr>
              <w:t>Net Book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79"/>
              <w:spacing w:after="0" w:line="168" w:lineRule="exact"/>
              <w:rPr>
                <w:sz w:val="20"/>
                <w:szCs w:val="20"/>
                <w:color w:val="auto"/>
              </w:rPr>
            </w:pPr>
            <w:r>
              <w:rPr>
                <w:rFonts w:ascii="Arial" w:cs="Arial" w:eastAsia="Arial" w:hAnsi="Arial"/>
                <w:sz w:val="16"/>
                <w:szCs w:val="16"/>
                <w:color w:val="auto"/>
              </w:rPr>
              <w:t>Gross</w:t>
            </w:r>
          </w:p>
        </w:tc>
        <w:tc>
          <w:tcPr>
            <w:tcW w:w="220" w:type="dxa"/>
            <w:vAlign w:val="bottom"/>
          </w:tcPr>
          <w:p>
            <w:pPr>
              <w:spacing w:after="0"/>
              <w:rPr>
                <w:sz w:val="14"/>
                <w:szCs w:val="14"/>
                <w:color w:val="auto"/>
              </w:rPr>
            </w:pPr>
          </w:p>
        </w:tc>
        <w:tc>
          <w:tcPr>
            <w:tcW w:w="1140" w:type="dxa"/>
            <w:vAlign w:val="bottom"/>
            <w:gridSpan w:val="2"/>
          </w:tcPr>
          <w:p>
            <w:pPr>
              <w:jc w:val="center"/>
              <w:spacing w:after="0" w:line="168" w:lineRule="exact"/>
              <w:rPr>
                <w:sz w:val="20"/>
                <w:szCs w:val="20"/>
                <w:color w:val="auto"/>
              </w:rPr>
            </w:pPr>
            <w:r>
              <w:rPr>
                <w:rFonts w:ascii="Arial" w:cs="Arial" w:eastAsia="Arial" w:hAnsi="Arial"/>
                <w:sz w:val="16"/>
                <w:szCs w:val="16"/>
                <w:color w:val="auto"/>
              </w:rPr>
              <w:t>Accumulated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59"/>
              <w:spacing w:after="0" w:line="168" w:lineRule="exact"/>
              <w:rPr>
                <w:sz w:val="20"/>
                <w:szCs w:val="20"/>
                <w:color w:val="auto"/>
              </w:rPr>
            </w:pPr>
            <w:r>
              <w:rPr>
                <w:rFonts w:ascii="Arial" w:cs="Arial" w:eastAsia="Arial" w:hAnsi="Arial"/>
                <w:sz w:val="16"/>
                <w:szCs w:val="16"/>
                <w:color w:val="auto"/>
              </w:rPr>
              <w:t>Net Book</w:t>
            </w:r>
          </w:p>
        </w:tc>
        <w:tc>
          <w:tcPr>
            <w:tcW w:w="120" w:type="dxa"/>
            <w:vAlign w:val="bottom"/>
          </w:tcPr>
          <w:p>
            <w:pPr>
              <w:spacing w:after="0"/>
              <w:rPr>
                <w:sz w:val="14"/>
                <w:szCs w:val="14"/>
                <w:color w:val="auto"/>
              </w:rPr>
            </w:pPr>
          </w:p>
        </w:tc>
      </w:tr>
      <w:tr>
        <w:trPr>
          <w:trHeight w:val="203"/>
        </w:trPr>
        <w:tc>
          <w:tcPr>
            <w:tcW w:w="3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Book Value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Book Value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r>
      <w:tr>
        <w:trPr>
          <w:trHeight w:val="183"/>
        </w:trPr>
        <w:tc>
          <w:tcPr>
            <w:tcW w:w="30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1,887</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822</w:t>
            </w:r>
          </w:p>
        </w:tc>
        <w:tc>
          <w:tcPr>
            <w:tcW w:w="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1,065</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1,887</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799</w:t>
            </w:r>
          </w:p>
        </w:tc>
        <w:tc>
          <w:tcPr>
            <w:tcW w:w="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1,088</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Technology/technical know-how</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1,614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897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717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Tradenames</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308</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6"/>
                <w:szCs w:val="16"/>
                <w:color w:val="auto"/>
              </w:rPr>
            </w:pPr>
          </w:p>
        </w:tc>
      </w:tr>
      <w:tr>
        <w:trPr>
          <w:trHeight w:val="223"/>
        </w:trPr>
        <w:tc>
          <w:tcPr>
            <w:tcW w:w="3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5,908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2,945</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2,963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5,874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2,862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3,012</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charged to income was $82 million during the first quarter of 2025 and $81 million during the first quarter of 2024.</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 carrying value of intangible assets at March 31, 2025, amortization expense for the subsequent five years is estimated to be: remaining three quarters 2025—$242 million; 2026—$315 million; 2027—$311 million; 2028—$301 million; 2029—$288 million; and 2030—$283 million.</w:t>
      </w:r>
    </w:p>
    <w:p>
      <w:pPr>
        <w:spacing w:after="0" w:line="15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5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Mar. 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Arial" w:cs="Arial" w:eastAsia="Arial" w:hAnsi="Arial"/>
                <w:sz w:val="16"/>
                <w:szCs w:val="16"/>
                <w:color w:val="auto"/>
              </w:rPr>
              <w:t>Dec. 31,</w:t>
            </w:r>
          </w:p>
        </w:tc>
      </w:tr>
      <w:tr>
        <w:trPr>
          <w:trHeight w:val="203"/>
        </w:trPr>
        <w:tc>
          <w:tcPr>
            <w:tcW w:w="50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182"/>
        </w:trPr>
        <w:tc>
          <w:tcPr>
            <w:tcW w:w="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3.90%</w:t>
            </w:r>
          </w:p>
        </w:tc>
        <w:tc>
          <w:tcPr>
            <w:tcW w:w="7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Senior Notes due 2028</w:t>
            </w:r>
          </w:p>
        </w:tc>
        <w:tc>
          <w:tcPr>
            <w:tcW w:w="3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1,480</w:t>
            </w:r>
          </w:p>
        </w:tc>
        <w:tc>
          <w:tcPr>
            <w:tcW w:w="52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1,478</w:t>
            </w:r>
          </w:p>
        </w:tc>
        <w:tc>
          <w:tcPr>
            <w:tcW w:w="100" w:type="dxa"/>
            <w:vAlign w:val="bottom"/>
            <w:shd w:val="clear" w:color="auto" w:fill="CFF0FC"/>
          </w:tcPr>
          <w:p>
            <w:pPr>
              <w:spacing w:after="0"/>
              <w:rPr>
                <w:sz w:val="15"/>
                <w:szCs w:val="15"/>
                <w:color w:val="auto"/>
              </w:rPr>
            </w:pPr>
          </w:p>
        </w:tc>
      </w:tr>
      <w:tr>
        <w:trPr>
          <w:trHeight w:val="189"/>
        </w:trPr>
        <w:tc>
          <w:tcPr>
            <w:tcW w:w="500" w:type="dxa"/>
            <w:vAlign w:val="bottom"/>
          </w:tcPr>
          <w:p>
            <w:pPr>
              <w:ind w:left="20"/>
              <w:spacing w:after="0"/>
              <w:rPr>
                <w:sz w:val="20"/>
                <w:szCs w:val="20"/>
                <w:color w:val="auto"/>
              </w:rPr>
            </w:pPr>
            <w:r>
              <w:rPr>
                <w:rFonts w:ascii="Arial" w:cs="Arial" w:eastAsia="Arial" w:hAnsi="Arial"/>
                <w:sz w:val="16"/>
                <w:szCs w:val="16"/>
                <w:color w:val="auto"/>
              </w:rPr>
              <w:t>2.65%</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2030</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1,246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6"/>
                <w:szCs w:val="16"/>
                <w:color w:val="auto"/>
              </w:rPr>
            </w:pPr>
          </w:p>
        </w:tc>
      </w:tr>
      <w:tr>
        <w:trPr>
          <w:trHeight w:val="189"/>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1.375% Guaranteed Notes due 2026</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1,076</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FF0FC"/>
          </w:tcPr>
          <w:p>
            <w:pPr>
              <w:spacing w:after="0"/>
              <w:rPr>
                <w:sz w:val="16"/>
                <w:szCs w:val="16"/>
                <w:color w:val="auto"/>
              </w:rPr>
            </w:pPr>
          </w:p>
        </w:tc>
      </w:tr>
      <w:tr>
        <w:trPr>
          <w:trHeight w:val="189"/>
        </w:trPr>
        <w:tc>
          <w:tcPr>
            <w:tcW w:w="500" w:type="dxa"/>
            <w:vAlign w:val="bottom"/>
          </w:tcPr>
          <w:p>
            <w:pPr>
              <w:ind w:left="20"/>
              <w:spacing w:after="0"/>
              <w:rPr>
                <w:sz w:val="20"/>
                <w:szCs w:val="20"/>
                <w:color w:val="auto"/>
              </w:rPr>
            </w:pPr>
            <w:r>
              <w:rPr>
                <w:rFonts w:ascii="Arial" w:cs="Arial" w:eastAsia="Arial" w:hAnsi="Arial"/>
                <w:sz w:val="16"/>
                <w:szCs w:val="16"/>
                <w:color w:val="auto"/>
              </w:rPr>
              <w:t>2.00%</w:t>
            </w:r>
          </w:p>
        </w:tc>
        <w:tc>
          <w:tcPr>
            <w:tcW w:w="7160" w:type="dxa"/>
            <w:vAlign w:val="bottom"/>
          </w:tcPr>
          <w:p>
            <w:pPr>
              <w:ind w:left="20"/>
              <w:spacing w:after="0"/>
              <w:rPr>
                <w:sz w:val="20"/>
                <w:szCs w:val="20"/>
                <w:color w:val="auto"/>
              </w:rPr>
            </w:pPr>
            <w:r>
              <w:rPr>
                <w:rFonts w:ascii="Arial" w:cs="Arial" w:eastAsia="Arial" w:hAnsi="Arial"/>
                <w:sz w:val="16"/>
                <w:szCs w:val="16"/>
                <w:color w:val="auto"/>
              </w:rPr>
              <w:t>Guaranteed Notes due 2032</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1,070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6"/>
                <w:szCs w:val="16"/>
                <w:color w:val="auto"/>
              </w:rPr>
            </w:pPr>
          </w:p>
        </w:tc>
      </w:tr>
      <w:tr>
        <w:trPr>
          <w:trHeight w:val="189"/>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0.25%</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2027</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969</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FF0FC"/>
          </w:tcPr>
          <w:p>
            <w:pPr>
              <w:spacing w:after="0"/>
              <w:rPr>
                <w:sz w:val="16"/>
                <w:szCs w:val="16"/>
                <w:color w:val="auto"/>
              </w:rPr>
            </w:pPr>
          </w:p>
        </w:tc>
      </w:tr>
      <w:tr>
        <w:trPr>
          <w:trHeight w:val="189"/>
        </w:trPr>
        <w:tc>
          <w:tcPr>
            <w:tcW w:w="500" w:type="dxa"/>
            <w:vAlign w:val="bottom"/>
          </w:tcPr>
          <w:p>
            <w:pPr>
              <w:ind w:left="20"/>
              <w:spacing w:after="0"/>
              <w:rPr>
                <w:sz w:val="20"/>
                <w:szCs w:val="20"/>
                <w:color w:val="auto"/>
              </w:rPr>
            </w:pPr>
            <w:r>
              <w:rPr>
                <w:rFonts w:ascii="Arial" w:cs="Arial" w:eastAsia="Arial" w:hAnsi="Arial"/>
                <w:sz w:val="16"/>
                <w:szCs w:val="16"/>
                <w:color w:val="auto"/>
              </w:rPr>
              <w:t>0.50%</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2031</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967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6"/>
                <w:szCs w:val="16"/>
                <w:color w:val="auto"/>
              </w:rPr>
            </w:pPr>
          </w:p>
        </w:tc>
      </w:tr>
      <w:tr>
        <w:trPr>
          <w:trHeight w:val="189"/>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4.30%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848</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FF0FC"/>
          </w:tcPr>
          <w:p>
            <w:pPr>
              <w:spacing w:after="0"/>
              <w:rPr>
                <w:sz w:val="16"/>
                <w:szCs w:val="16"/>
                <w:color w:val="auto"/>
              </w:rPr>
            </w:pPr>
          </w:p>
        </w:tc>
      </w:tr>
      <w:tr>
        <w:trPr>
          <w:trHeight w:val="189"/>
        </w:trPr>
        <w:tc>
          <w:tcPr>
            <w:tcW w:w="500" w:type="dxa"/>
            <w:vAlign w:val="bottom"/>
          </w:tcPr>
          <w:p>
            <w:pPr>
              <w:ind w:left="20"/>
              <w:spacing w:after="0"/>
              <w:rPr>
                <w:sz w:val="20"/>
                <w:szCs w:val="20"/>
                <w:color w:val="auto"/>
              </w:rPr>
            </w:pPr>
            <w:r>
              <w:rPr>
                <w:rFonts w:ascii="Arial" w:cs="Arial" w:eastAsia="Arial" w:hAnsi="Arial"/>
                <w:sz w:val="16"/>
                <w:szCs w:val="16"/>
                <w:color w:val="auto"/>
              </w:rPr>
              <w:t>4.50%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2028</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6"/>
                <w:szCs w:val="16"/>
                <w:color w:val="auto"/>
              </w:rPr>
            </w:pPr>
          </w:p>
        </w:tc>
      </w:tr>
      <w:tr>
        <w:trPr>
          <w:trHeight w:val="189"/>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2027</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496</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FF0FC"/>
          </w:tcPr>
          <w:p>
            <w:pPr>
              <w:spacing w:after="0"/>
              <w:rPr>
                <w:sz w:val="16"/>
                <w:szCs w:val="16"/>
                <w:color w:val="auto"/>
              </w:rPr>
            </w:pPr>
          </w:p>
        </w:tc>
      </w:tr>
      <w:tr>
        <w:trPr>
          <w:trHeight w:val="189"/>
        </w:trPr>
        <w:tc>
          <w:tcPr>
            <w:tcW w:w="500" w:type="dxa"/>
            <w:vAlign w:val="bottom"/>
          </w:tcPr>
          <w:p>
            <w:pPr>
              <w:ind w:left="20"/>
              <w:spacing w:after="0"/>
              <w:rPr>
                <w:sz w:val="20"/>
                <w:szCs w:val="20"/>
                <w:color w:val="auto"/>
              </w:rPr>
            </w:pPr>
            <w:r>
              <w:rPr>
                <w:rFonts w:ascii="Arial" w:cs="Arial" w:eastAsia="Arial" w:hAnsi="Arial"/>
                <w:sz w:val="16"/>
                <w:szCs w:val="16"/>
                <w:color w:val="auto"/>
              </w:rPr>
              <w:t>4.85%</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2033</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6"/>
                <w:szCs w:val="16"/>
                <w:color w:val="auto"/>
              </w:rPr>
            </w:pPr>
          </w:p>
        </w:tc>
      </w:tr>
      <w:tr>
        <w:trPr>
          <w:trHeight w:val="189"/>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493</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FF0FC"/>
          </w:tcPr>
          <w:p>
            <w:pPr>
              <w:spacing w:after="0"/>
              <w:rPr>
                <w:sz w:val="16"/>
                <w:szCs w:val="16"/>
                <w:color w:val="auto"/>
              </w:rPr>
            </w:pPr>
          </w:p>
        </w:tc>
      </w:tr>
      <w:tr>
        <w:trPr>
          <w:trHeight w:val="189"/>
        </w:trPr>
        <w:tc>
          <w:tcPr>
            <w:tcW w:w="500" w:type="dxa"/>
            <w:vAlign w:val="bottom"/>
          </w:tcPr>
          <w:p>
            <w:pPr>
              <w:ind w:left="20"/>
              <w:spacing w:after="0"/>
              <w:rPr>
                <w:sz w:val="20"/>
                <w:szCs w:val="20"/>
                <w:color w:val="auto"/>
              </w:rPr>
            </w:pPr>
            <w:r>
              <w:rPr>
                <w:rFonts w:ascii="Arial" w:cs="Arial" w:eastAsia="Arial" w:hAnsi="Arial"/>
                <w:sz w:val="16"/>
                <w:szCs w:val="16"/>
                <w:color w:val="auto"/>
              </w:rPr>
              <w:t>5.00%</w:t>
            </w:r>
          </w:p>
        </w:tc>
        <w:tc>
          <w:tcPr>
            <w:tcW w:w="7160" w:type="dxa"/>
            <w:vAlign w:val="bottom"/>
          </w:tcPr>
          <w:p>
            <w:pPr>
              <w:ind w:left="20"/>
              <w:spacing w:after="0"/>
              <w:rPr>
                <w:sz w:val="20"/>
                <w:szCs w:val="20"/>
                <w:color w:val="auto"/>
              </w:rPr>
            </w:pPr>
            <w:r>
              <w:rPr>
                <w:rFonts w:ascii="Arial" w:cs="Arial" w:eastAsia="Arial" w:hAnsi="Arial"/>
                <w:sz w:val="16"/>
                <w:szCs w:val="16"/>
                <w:color w:val="auto"/>
              </w:rPr>
              <w:t>Senior Notes due 2034</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486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6"/>
                <w:szCs w:val="16"/>
                <w:color w:val="auto"/>
              </w:rPr>
            </w:pPr>
          </w:p>
        </w:tc>
      </w:tr>
      <w:tr>
        <w:trPr>
          <w:trHeight w:val="189"/>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7.00%</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2038</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FF0FC"/>
          </w:tcPr>
          <w:p>
            <w:pPr>
              <w:spacing w:after="0"/>
              <w:rPr>
                <w:sz w:val="16"/>
                <w:szCs w:val="16"/>
                <w:color w:val="auto"/>
              </w:rPr>
            </w:pPr>
          </w:p>
        </w:tc>
      </w:tr>
      <w:tr>
        <w:trPr>
          <w:trHeight w:val="189"/>
        </w:trPr>
        <w:tc>
          <w:tcPr>
            <w:tcW w:w="500" w:type="dxa"/>
            <w:vAlign w:val="bottom"/>
          </w:tcPr>
          <w:p>
            <w:pPr>
              <w:ind w:left="20"/>
              <w:spacing w:after="0"/>
              <w:rPr>
                <w:sz w:val="20"/>
                <w:szCs w:val="20"/>
                <w:color w:val="auto"/>
              </w:rPr>
            </w:pPr>
            <w:r>
              <w:rPr>
                <w:rFonts w:ascii="Arial" w:cs="Arial" w:eastAsia="Arial" w:hAnsi="Arial"/>
                <w:sz w:val="16"/>
                <w:szCs w:val="16"/>
                <w:color w:val="auto"/>
              </w:rPr>
              <w:t>5.95%</w:t>
            </w:r>
          </w:p>
        </w:tc>
        <w:tc>
          <w:tcPr>
            <w:tcW w:w="7160" w:type="dxa"/>
            <w:vAlign w:val="bottom"/>
          </w:tcPr>
          <w:p>
            <w:pPr>
              <w:ind w:left="20"/>
              <w:spacing w:after="0"/>
              <w:rPr>
                <w:sz w:val="20"/>
                <w:szCs w:val="20"/>
                <w:color w:val="auto"/>
              </w:rPr>
            </w:pPr>
            <w:r>
              <w:rPr>
                <w:rFonts w:ascii="Arial" w:cs="Arial" w:eastAsia="Arial" w:hAnsi="Arial"/>
                <w:sz w:val="16"/>
                <w:szCs w:val="16"/>
                <w:color w:val="auto"/>
              </w:rPr>
              <w:t>Notes due 2041</w:t>
            </w: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6"/>
                <w:szCs w:val="16"/>
                <w:color w:val="auto"/>
              </w:rPr>
            </w:pPr>
          </w:p>
        </w:tc>
      </w:tr>
      <w:tr>
        <w:trPr>
          <w:trHeight w:val="189"/>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5.13%</w:t>
            </w:r>
          </w:p>
        </w:tc>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2043</w:t>
            </w: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6"/>
                <w:szCs w:val="16"/>
                <w:color w:val="auto"/>
              </w:rPr>
            </w:pPr>
          </w:p>
        </w:tc>
      </w:tr>
      <w:tr>
        <w:trPr>
          <w:trHeight w:val="189"/>
        </w:trPr>
        <w:tc>
          <w:tcPr>
            <w:tcW w:w="5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1.00%</w:t>
            </w:r>
          </w:p>
        </w:tc>
        <w:tc>
          <w:tcPr>
            <w:tcW w:w="71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Guaranteed Notes due 2026</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FF0FC"/>
            </w:tcBorders>
          </w:tcPr>
          <w:p>
            <w:pPr>
              <w:spacing w:after="0"/>
              <w:rPr>
                <w:sz w:val="16"/>
                <w:szCs w:val="16"/>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7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10,527</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11,023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March 31, 2025 and December 31, 2024, was $10.0 billion and $10.4 billion, respectively.</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March 31, 2025, SLB had committed credit facility agreements with commercial banks aggregating $5.0 billion, of which $2.0 billion matures in February 2028 and $3.0 billion matures in December 2029. These committed facilities support commercial paper programs in the United States and Europe. There were no borrowings under these facilities at March 31, 2025 and December 31, 2024,</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Commercial paper borrowings are classified as long-term debt to the extent they are backed up by available and unused committed credit facilities maturing in more than one year and to the extent it is SLB’s intent to maintain these obligations for longer than one year. Borrowings under the commercial paper programs at March 31, 2025, were $1.8 billion, all of which were classified in </w:t>
      </w:r>
      <w:r>
        <w:rPr>
          <w:rFonts w:ascii="Arial" w:cs="Arial" w:eastAsia="Arial" w:hAnsi="Arial"/>
          <w:sz w:val="16"/>
          <w:szCs w:val="16"/>
          <w:i w:val="1"/>
          <w:iCs w:val="1"/>
          <w:color w:val="auto"/>
        </w:rPr>
        <w:t>Short-term borrowings and current portion of long-term debt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Balance Sheet</w:t>
      </w:r>
      <w:r>
        <w:rPr>
          <w:rFonts w:ascii="Arial" w:cs="Arial" w:eastAsia="Arial" w:hAnsi="Arial"/>
          <w:sz w:val="16"/>
          <w:szCs w:val="16"/>
          <w:color w:val="auto"/>
        </w:rPr>
        <w:t>. There were no borrowings under the commercial paper programs at December 31, 2024.</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0" w:name="page11"/>
    <w:bookmarkEnd w:id="10"/>
    <w:p>
      <w:pPr>
        <w:ind w:left="280" w:hanging="272"/>
        <w:spacing w:after="0"/>
        <w:tabs>
          <w:tab w:leader="none" w:pos="2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March 31, 2025, were as follows:</w:t>
      </w:r>
    </w:p>
    <w:p>
      <w:pPr>
        <w:spacing w:after="0" w:line="113" w:lineRule="exact"/>
        <w:rPr>
          <w:sz w:val="20"/>
          <w:szCs w:val="20"/>
          <w:color w:val="auto"/>
        </w:rPr>
      </w:pPr>
    </w:p>
    <w:p>
      <w:pPr>
        <w:jc w:val="both"/>
        <w:ind w:left="1020" w:hanging="503"/>
        <w:spacing w:after="0" w:line="251"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SLB entered into cross-currency interest rate swaps in order to hedge changes in the fair value of its €0.5 billion 0.25% Notes due 2027 and €0.5 billion 0.50% Notes due 2031 that were issued by a US-dollar functional currency subsidiary. These cross-currency interest rate swaps effectively convert the Euro-denominated notes to US-dollar denominated debt with fixed annual interest rates of 2.51% and 2.76%, respectively.</w:t>
      </w:r>
    </w:p>
    <w:p>
      <w:pPr>
        <w:spacing w:after="0" w:line="1" w:lineRule="exact"/>
        <w:rPr>
          <w:rFonts w:ascii="Times New Roman" w:cs="Times New Roman" w:eastAsia="Times New Roman" w:hAnsi="Times New Roman"/>
          <w:sz w:val="16"/>
          <w:szCs w:val="16"/>
          <w:color w:val="auto"/>
        </w:rPr>
      </w:pPr>
    </w:p>
    <w:p>
      <w:pPr>
        <w:jc w:val="both"/>
        <w:ind w:left="1020" w:hanging="503"/>
        <w:spacing w:after="0" w:line="246"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jc w:val="both"/>
        <w:ind w:left="1020" w:hanging="503"/>
        <w:spacing w:after="0" w:line="246"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jc w:val="both"/>
        <w:ind w:left="1020" w:hanging="503"/>
        <w:spacing w:after="0" w:line="254"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Canadian dollar functional currency subsidiary of SLB issued $0.5 billion of US dollar denominated debt. SLB entered into cross-currency interest rate swaps to hedge changes in the US dollar value of its $0.5 billion 1.40% Senior Notes due 2025. These cross-currency interest rate swaps effectively convert the US dollar notes to Canadian dollar denominated debt with a fixed annual interest rate of 1.73%.</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7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 31, 2025</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2024</w:t>
            </w:r>
          </w:p>
        </w:tc>
        <w:tc>
          <w:tcPr>
            <w:tcW w:w="100" w:type="dxa"/>
            <w:vAlign w:val="bottom"/>
          </w:tcPr>
          <w:p>
            <w:pPr>
              <w:spacing w:after="0"/>
              <w:rPr>
                <w:sz w:val="24"/>
                <w:szCs w:val="24"/>
                <w:color w:val="auto"/>
              </w:rPr>
            </w:pPr>
          </w:p>
        </w:tc>
      </w:tr>
      <w:tr>
        <w:trPr>
          <w:trHeight w:val="182"/>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i w:val="1"/>
                <w:iCs w:val="1"/>
                <w:color w:val="auto"/>
              </w:rPr>
              <w:t>Other current assets</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w:t>
            </w:r>
          </w:p>
        </w:tc>
        <w:tc>
          <w:tcPr>
            <w:tcW w:w="4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Other Assets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FF0FC"/>
          </w:tcPr>
          <w:p>
            <w:pPr>
              <w:spacing w:after="0"/>
              <w:rPr>
                <w:sz w:val="16"/>
                <w:szCs w:val="16"/>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$5.0 billion and $5.5 billion in various foreign currencies as of March 31, 2025 and December 31, 2024, respectively.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March 31, 2025 and December 31, 2024.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1" w:name="page12"/>
    <w:bookmarkEnd w:id="11"/>
    <w:p>
      <w:pPr>
        <w:jc w:val="both"/>
        <w:ind w:right="20"/>
        <w:spacing w:after="0" w:line="286"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5160" w:type="dxa"/>
            <w:vAlign w:val="bottom"/>
          </w:tcPr>
          <w:p>
            <w:pPr>
              <w:spacing w:after="0"/>
              <w:rPr>
                <w:sz w:val="24"/>
                <w:szCs w:val="24"/>
                <w:color w:val="auto"/>
              </w:rPr>
            </w:pPr>
          </w:p>
        </w:tc>
        <w:tc>
          <w:tcPr>
            <w:tcW w:w="262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Gain (Loss) Recognized in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center"/>
              <w:ind w:right="339"/>
              <w:spacing w:after="0"/>
              <w:rPr>
                <w:sz w:val="20"/>
                <w:szCs w:val="20"/>
                <w:color w:val="auto"/>
              </w:rPr>
            </w:pPr>
            <w:r>
              <w:rPr>
                <w:rFonts w:ascii="Arial" w:cs="Arial" w:eastAsia="Arial" w:hAnsi="Arial"/>
                <w:sz w:val="16"/>
                <w:szCs w:val="16"/>
                <w:b w:val="1"/>
                <w:bCs w:val="1"/>
                <w:color w:val="auto"/>
              </w:rPr>
              <w:t>Income</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040" w:type="dxa"/>
            <w:vAlign w:val="bottom"/>
            <w:tcBorders>
              <w:bottom w:val="single" w:sz="8" w:color="auto"/>
            </w:tcBorders>
            <w:gridSpan w:val="5"/>
          </w:tcPr>
          <w:p>
            <w:pPr>
              <w:jc w:val="center"/>
              <w:ind w:left="259"/>
              <w:spacing w:after="0" w:line="183" w:lineRule="exact"/>
              <w:rPr>
                <w:sz w:val="20"/>
                <w:szCs w:val="20"/>
                <w:color w:val="auto"/>
              </w:rPr>
            </w:pPr>
            <w:r>
              <w:rPr>
                <w:rFonts w:ascii="Arial" w:cs="Arial" w:eastAsia="Arial" w:hAnsi="Arial"/>
                <w:sz w:val="16"/>
                <w:szCs w:val="16"/>
                <w:b w:val="1"/>
                <w:bCs w:val="1"/>
                <w:color w:val="auto"/>
              </w:rPr>
              <w:t>First Quarter</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2024</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182"/>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Derivatives designated as cash flow hedges:</w:t>
            </w:r>
          </w:p>
        </w:tc>
        <w:tc>
          <w:tcPr>
            <w:tcW w:w="76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rPr>
                <w:sz w:val="20"/>
                <w:szCs w:val="20"/>
                <w:color w:val="auto"/>
              </w:rPr>
            </w:pPr>
            <w:r>
              <w:rPr>
                <w:rFonts w:ascii="Arial" w:cs="Arial" w:eastAsia="Arial" w:hAnsi="Arial"/>
                <w:sz w:val="16"/>
                <w:szCs w:val="16"/>
                <w:color w:val="auto"/>
              </w:rPr>
              <w:t>Cross-currency interest rate swaps</w:t>
            </w:r>
          </w:p>
        </w:tc>
        <w:tc>
          <w:tcPr>
            <w:tcW w:w="76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80" w:type="dxa"/>
            <w:vAlign w:val="bottom"/>
          </w:tcPr>
          <w:p>
            <w:pPr>
              <w:spacing w:after="0"/>
              <w:rPr>
                <w:sz w:val="16"/>
                <w:szCs w:val="16"/>
                <w:color w:val="auto"/>
              </w:rPr>
            </w:pPr>
          </w:p>
        </w:tc>
        <w:tc>
          <w:tcPr>
            <w:tcW w:w="880" w:type="dxa"/>
            <w:vAlign w:val="bottom"/>
            <w:gridSpan w:val="2"/>
          </w:tcPr>
          <w:p>
            <w:pPr>
              <w:jc w:val="right"/>
              <w:ind w:right="5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(94 )</w:t>
            </w:r>
          </w:p>
        </w:tc>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5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Cross-currency interest rate swaps</w:t>
            </w:r>
          </w:p>
        </w:tc>
        <w:tc>
          <w:tcPr>
            <w:tcW w:w="7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(19 )</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(21 )</w:t>
            </w:r>
          </w:p>
        </w:tc>
        <w:tc>
          <w:tcPr>
            <w:tcW w:w="34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expense</w:t>
            </w: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rPr>
                <w:sz w:val="20"/>
                <w:szCs w:val="20"/>
                <w:color w:val="auto"/>
              </w:rPr>
            </w:pPr>
            <w:r>
              <w:rPr>
                <w:rFonts w:ascii="Arial" w:cs="Arial" w:eastAsia="Arial" w:hAnsi="Arial"/>
                <w:sz w:val="16"/>
                <w:szCs w:val="16"/>
                <w:color w:val="auto"/>
              </w:rPr>
              <w:t>Commodity contracts</w:t>
            </w:r>
          </w:p>
        </w:tc>
        <w:tc>
          <w:tcPr>
            <w:tcW w:w="7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(3 )</w:t>
            </w:r>
          </w:p>
        </w:tc>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189"/>
        </w:trPr>
        <w:tc>
          <w:tcPr>
            <w:tcW w:w="5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Foreign currency forward contracts</w:t>
            </w:r>
          </w:p>
        </w:tc>
        <w:tc>
          <w:tcPr>
            <w:tcW w:w="7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(1 )</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34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rPr>
                <w:sz w:val="20"/>
                <w:szCs w:val="20"/>
                <w:color w:val="auto"/>
              </w:rPr>
            </w:pPr>
            <w:r>
              <w:rPr>
                <w:rFonts w:ascii="Arial" w:cs="Arial" w:eastAsia="Arial" w:hAnsi="Arial"/>
                <w:sz w:val="16"/>
                <w:szCs w:val="16"/>
                <w:color w:val="auto"/>
              </w:rPr>
              <w:t>Foreign currency forward contracts</w:t>
            </w:r>
          </w:p>
        </w:tc>
        <w:tc>
          <w:tcPr>
            <w:tcW w:w="7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(4 )</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line="183" w:lineRule="exact"/>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w w:val="90"/>
              </w:rPr>
              <w:t>(115 )</w:t>
            </w:r>
          </w:p>
        </w:tc>
        <w:tc>
          <w:tcPr>
            <w:tcW w:w="3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160" w:type="dxa"/>
            <w:vAlign w:val="bottom"/>
            <w:tcBorders>
              <w:top w:val="single" w:sz="8" w:color="CFF0FC"/>
            </w:tcBorders>
          </w:tcPr>
          <w:p>
            <w:pPr>
              <w:ind w:left="20"/>
              <w:spacing w:after="0" w:line="170" w:lineRule="exact"/>
              <w:rPr>
                <w:sz w:val="20"/>
                <w:szCs w:val="20"/>
                <w:color w:val="auto"/>
              </w:rPr>
            </w:pPr>
            <w:r>
              <w:rPr>
                <w:rFonts w:ascii="Arial" w:cs="Arial" w:eastAsia="Arial" w:hAnsi="Arial"/>
                <w:sz w:val="16"/>
                <w:szCs w:val="16"/>
                <w:color w:val="auto"/>
              </w:rPr>
              <w:t>Derivatives not designated as hedges:</w:t>
            </w:r>
          </w:p>
        </w:tc>
        <w:tc>
          <w:tcPr>
            <w:tcW w:w="7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4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shd w:val="clear" w:color="auto" w:fill="CFF0FC"/>
          </w:tcPr>
          <w:p>
            <w:pPr>
              <w:ind w:left="120"/>
              <w:spacing w:after="0" w:line="169" w:lineRule="exact"/>
              <w:rPr>
                <w:sz w:val="20"/>
                <w:szCs w:val="20"/>
                <w:color w:val="auto"/>
              </w:rPr>
            </w:pPr>
            <w:r>
              <w:rPr>
                <w:rFonts w:ascii="Arial" w:cs="Arial" w:eastAsia="Arial" w:hAnsi="Arial"/>
                <w:sz w:val="16"/>
                <w:szCs w:val="16"/>
                <w:color w:val="auto"/>
              </w:rPr>
              <w:t>Foreign currency forward contracts</w:t>
            </w:r>
          </w:p>
        </w:tc>
        <w:tc>
          <w:tcPr>
            <w:tcW w:w="760" w:type="dxa"/>
            <w:vAlign w:val="bottom"/>
            <w:tcBorders>
              <w:bottom w:val="single" w:sz="8" w:color="auto"/>
            </w:tcBorders>
            <w:shd w:val="clear" w:color="auto" w:fill="CFF0FC"/>
          </w:tcPr>
          <w:p>
            <w:pPr>
              <w:jc w:val="right"/>
              <w:ind w:right="579"/>
              <w:spacing w:after="0" w:line="169" w:lineRule="exact"/>
              <w:rPr>
                <w:sz w:val="20"/>
                <w:szCs w:val="20"/>
                <w:color w:val="auto"/>
              </w:rPr>
            </w:pPr>
            <w:r>
              <w:rPr>
                <w:rFonts w:ascii="Arial" w:cs="Arial" w:eastAsia="Arial" w:hAnsi="Arial"/>
                <w:sz w:val="16"/>
                <w:szCs w:val="16"/>
                <w:b w:val="1"/>
                <w:bCs w:val="1"/>
                <w:color w:val="auto"/>
                <w:w w:val="89"/>
              </w:rPr>
              <w:t>$</w:t>
            </w:r>
          </w:p>
        </w:tc>
        <w:tc>
          <w:tcPr>
            <w:tcW w:w="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19"/>
              <w:spacing w:after="0" w:line="16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w:t>
            </w:r>
          </w:p>
        </w:tc>
        <w:tc>
          <w:tcPr>
            <w:tcW w:w="240" w:type="dxa"/>
            <w:vAlign w:val="bottom"/>
            <w:tcBorders>
              <w:bottom w:val="single" w:sz="8" w:color="CFF0FC"/>
            </w:tcBorders>
            <w:shd w:val="clear" w:color="auto" w:fill="CFF0FC"/>
          </w:tcPr>
          <w:p>
            <w:pPr>
              <w:spacing w:after="0"/>
              <w:rPr>
                <w:sz w:val="19"/>
                <w:szCs w:val="19"/>
                <w:color w:val="auto"/>
              </w:rPr>
            </w:pPr>
          </w:p>
        </w:tc>
        <w:tc>
          <w:tcPr>
            <w:tcW w:w="34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-290830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-273685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-290830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-273685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has issued credit default swaps (“CDSs”) to certain third-party financial institutions that have an aggregate notional amount outstanding of approximately $ 1.2 billion as of March 31, 2025. The CDSs relate to borrowings provided by the financial institutions to SLB’s primary customer in Mexico. The borrowings were used by this customer to pay certain of SLB’s outstanding receivables. Approximately $0.3 billion of the outstanding CDSs reduces on a monthly basis over its remaining 11-month term while the remaining $0.9 billion reduces on a monthly basis over its remaining 15-month term. The fair value of these derivative liabilities was not material at March 31, 2025.</w:t>
      </w:r>
    </w:p>
    <w:p>
      <w:pPr>
        <w:spacing w:after="0" w:line="180"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First Quarter 2025</w:t>
            </w:r>
          </w:p>
        </w:tc>
        <w:tc>
          <w:tcPr>
            <w:tcW w:w="200" w:type="dxa"/>
            <w:vAlign w:val="bottom"/>
          </w:tcPr>
          <w:p>
            <w:pPr>
              <w:spacing w:after="0"/>
              <w:rPr>
                <w:sz w:val="24"/>
                <w:szCs w:val="2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6"/>
                <w:szCs w:val="16"/>
                <w:color w:val="auto"/>
              </w:rPr>
              <w:t>First Quarter 2024</w:t>
            </w:r>
          </w:p>
        </w:tc>
      </w:tr>
      <w:tr>
        <w:trPr>
          <w:trHeight w:val="168"/>
        </w:trPr>
        <w:tc>
          <w:tcPr>
            <w:tcW w:w="54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39"/>
              <w:spacing w:after="0" w:line="168" w:lineRule="exact"/>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39"/>
              <w:spacing w:after="0" w:line="168" w:lineRule="exact"/>
              <w:rPr>
                <w:sz w:val="20"/>
                <w:szCs w:val="20"/>
                <w:color w:val="auto"/>
              </w:rPr>
            </w:pPr>
            <w:r>
              <w:rPr>
                <w:rFonts w:ascii="Arial" w:cs="Arial" w:eastAsia="Arial" w:hAnsi="Arial"/>
                <w:sz w:val="16"/>
                <w:szCs w:val="16"/>
                <w:color w:val="auto"/>
                <w:w w:val="99"/>
              </w:rPr>
              <w:t>Income</w:t>
            </w:r>
          </w:p>
        </w:tc>
        <w:tc>
          <w:tcPr>
            <w:tcW w:w="120" w:type="dxa"/>
            <w:vAlign w:val="bottom"/>
          </w:tcPr>
          <w:p>
            <w:pPr>
              <w:spacing w:after="0"/>
              <w:rPr>
                <w:sz w:val="14"/>
                <w:szCs w:val="14"/>
                <w:color w:val="auto"/>
              </w:rPr>
            </w:pPr>
          </w:p>
        </w:tc>
      </w:tr>
      <w:tr>
        <w:trPr>
          <w:trHeight w:val="203"/>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2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rPr>
              <w:t>Before Taxes</w:t>
            </w:r>
          </w:p>
        </w:tc>
      </w:tr>
      <w:tr>
        <w:trPr>
          <w:trHeight w:val="183"/>
        </w:trPr>
        <w:tc>
          <w:tcPr>
            <w:tcW w:w="5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1,006</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306</w:t>
            </w:r>
          </w:p>
        </w:tc>
        <w:tc>
          <w:tcPr>
            <w:tcW w:w="2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953</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254</w:t>
            </w:r>
          </w:p>
        </w:tc>
        <w:tc>
          <w:tcPr>
            <w:tcW w:w="120" w:type="dxa"/>
            <w:vAlign w:val="bottom"/>
            <w:shd w:val="clear" w:color="auto" w:fill="CFF0FC"/>
          </w:tcPr>
          <w:p>
            <w:pPr>
              <w:spacing w:after="0"/>
              <w:rPr>
                <w:sz w:val="15"/>
                <w:szCs w:val="15"/>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2,977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589</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2,938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(131 )</w:t>
            </w: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(96 )</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(157 )</w:t>
            </w: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(34 )</w:t>
            </w:r>
          </w:p>
        </w:tc>
      </w:tr>
      <w:tr>
        <w:trPr>
          <w:trHeight w:val="183"/>
        </w:trPr>
        <w:tc>
          <w:tcPr>
            <w:tcW w:w="54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1,556</w:t>
            </w: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1,649</w:t>
            </w:r>
          </w:p>
        </w:tc>
        <w:tc>
          <w:tcPr>
            <w:tcW w:w="120" w:type="dxa"/>
            <w:vAlign w:val="bottom"/>
            <w:tcBorders>
              <w:top w:val="single" w:sz="8" w:color="CFF0FC"/>
            </w:tcBorders>
          </w:tcPr>
          <w:p>
            <w:pPr>
              <w:spacing w:after="0"/>
              <w:rPr>
                <w:sz w:val="15"/>
                <w:szCs w:val="15"/>
                <w:color w:val="auto"/>
              </w:rPr>
            </w:pPr>
          </w:p>
        </w:tc>
      </w:tr>
      <w:tr>
        <w:trPr>
          <w:trHeight w:val="189"/>
        </w:trPr>
        <w:tc>
          <w:tcPr>
            <w:tcW w:w="542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(179 )</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(191 )</w:t>
            </w:r>
          </w:p>
        </w:tc>
      </w:tr>
      <w:tr>
        <w:trPr>
          <w:trHeight w:val="189"/>
        </w:trPr>
        <w:tc>
          <w:tcPr>
            <w:tcW w:w="542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(144 )</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(110 )</w:t>
            </w:r>
          </w:p>
        </w:tc>
      </w:tr>
      <w:tr>
        <w:trPr>
          <w:trHeight w:val="189"/>
        </w:trPr>
        <w:tc>
          <w:tcPr>
            <w:tcW w:w="542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(206 )</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(25 )</w:t>
            </w:r>
          </w:p>
        </w:tc>
      </w:tr>
      <w:tr>
        <w:trPr>
          <w:trHeight w:val="223"/>
        </w:trPr>
        <w:tc>
          <w:tcPr>
            <w:tcW w:w="5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8,490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1,063</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8,707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1,357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-762635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-762635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2" w:lineRule="exact"/>
        <w:rPr>
          <w:sz w:val="20"/>
          <w:szCs w:val="20"/>
          <w:color w:val="auto"/>
        </w:rPr>
      </w:pPr>
    </w:p>
    <w:p>
      <w:pPr>
        <w:ind w:left="380" w:hanging="372"/>
        <w:spacing w:after="0" w:line="222"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2025; $4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2025; $3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Revenue by geographic area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73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First Quarter</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7380" w:type="dxa"/>
            <w:vAlign w:val="bottom"/>
          </w:tcPr>
          <w:p>
            <w:pPr>
              <w:spacing w:after="0"/>
              <w:rPr>
                <w:sz w:val="15"/>
                <w:szCs w:val="15"/>
                <w:color w:val="auto"/>
              </w:rPr>
            </w:pPr>
          </w:p>
        </w:tc>
        <w:tc>
          <w:tcPr>
            <w:tcW w:w="11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0"/>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73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North America</w:t>
            </w:r>
          </w:p>
        </w:tc>
        <w:tc>
          <w:tcPr>
            <w:tcW w:w="1180" w:type="dxa"/>
            <w:vAlign w:val="bottom"/>
            <w:shd w:val="clear" w:color="auto" w:fill="CFF0FC"/>
          </w:tcPr>
          <w:p>
            <w:pPr>
              <w:jc w:val="right"/>
              <w:ind w:right="999"/>
              <w:spacing w:after="0" w:line="183" w:lineRule="exact"/>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1,719</w:t>
            </w:r>
          </w:p>
        </w:tc>
        <w:tc>
          <w:tcPr>
            <w:tcW w:w="740" w:type="dxa"/>
            <w:vAlign w:val="bottom"/>
            <w:gridSpan w:val="2"/>
            <w:shd w:val="clear" w:color="auto" w:fill="CFF0FC"/>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1,598</w:t>
            </w:r>
          </w:p>
        </w:tc>
        <w:tc>
          <w:tcPr>
            <w:tcW w:w="100" w:type="dxa"/>
            <w:vAlign w:val="bottom"/>
            <w:shd w:val="clear" w:color="auto" w:fill="CFF0FC"/>
          </w:tcPr>
          <w:p>
            <w:pPr>
              <w:spacing w:after="0"/>
              <w:rPr>
                <w:sz w:val="15"/>
                <w:szCs w:val="15"/>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1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1,495</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6"/>
                <w:szCs w:val="16"/>
                <w:color w:val="auto"/>
              </w:rPr>
            </w:pPr>
          </w:p>
        </w:tc>
      </w:tr>
      <w:tr>
        <w:trPr>
          <w:trHeight w:val="189"/>
        </w:trPr>
        <w:tc>
          <w:tcPr>
            <w:tcW w:w="73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11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2,235</w:t>
            </w:r>
          </w:p>
        </w:tc>
        <w:tc>
          <w:tcPr>
            <w:tcW w:w="3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w:t>
            </w:r>
          </w:p>
        </w:tc>
        <w:tc>
          <w:tcPr>
            <w:tcW w:w="100" w:type="dxa"/>
            <w:vAlign w:val="bottom"/>
            <w:shd w:val="clear" w:color="auto" w:fill="CFF0FC"/>
          </w:tcPr>
          <w:p>
            <w:pPr>
              <w:spacing w:after="0"/>
              <w:rPr>
                <w:sz w:val="16"/>
                <w:szCs w:val="16"/>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Middle East &amp; Asia</w:t>
            </w:r>
          </w:p>
        </w:tc>
        <w:tc>
          <w:tcPr>
            <w:tcW w:w="1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2,997</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16"/>
                <w:szCs w:val="16"/>
                <w:color w:val="auto"/>
              </w:rPr>
            </w:pPr>
          </w:p>
        </w:tc>
      </w:tr>
      <w:tr>
        <w:trPr>
          <w:trHeight w:val="189"/>
        </w:trPr>
        <w:tc>
          <w:tcPr>
            <w:tcW w:w="7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44</w:t>
            </w:r>
          </w:p>
        </w:tc>
        <w:tc>
          <w:tcPr>
            <w:tcW w:w="3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380" w:type="dxa"/>
            <w:vAlign w:val="bottom"/>
          </w:tcPr>
          <w:p>
            <w:pPr>
              <w:spacing w:after="0"/>
              <w:rPr>
                <w:sz w:val="15"/>
                <w:szCs w:val="15"/>
                <w:color w:val="auto"/>
              </w:rPr>
            </w:pPr>
          </w:p>
        </w:tc>
        <w:tc>
          <w:tcPr>
            <w:tcW w:w="1180" w:type="dxa"/>
            <w:vAlign w:val="bottom"/>
          </w:tcPr>
          <w:p>
            <w:pPr>
              <w:jc w:val="right"/>
              <w:ind w:right="999"/>
              <w:spacing w:after="0" w:line="183" w:lineRule="exact"/>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8,490</w:t>
            </w:r>
          </w:p>
        </w:tc>
        <w:tc>
          <w:tcPr>
            <w:tcW w:w="74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8,707</w:t>
            </w:r>
          </w:p>
        </w:tc>
        <w:tc>
          <w:tcPr>
            <w:tcW w:w="100" w:type="dxa"/>
            <w:vAlign w:val="bottom"/>
          </w:tcPr>
          <w:p>
            <w:pPr>
              <w:spacing w:after="0"/>
              <w:rPr>
                <w:sz w:val="15"/>
                <w:szCs w:val="15"/>
                <w:color w:val="auto"/>
              </w:rPr>
            </w:pPr>
          </w:p>
        </w:tc>
      </w:tr>
      <w:tr>
        <w:trPr>
          <w:trHeight w:val="20"/>
        </w:trPr>
        <w:tc>
          <w:tcPr>
            <w:tcW w:w="7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-153670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First Quarter 2025</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North</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7"/>
                <w:szCs w:val="17"/>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International</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Total</w:t>
            </w:r>
          </w:p>
        </w:tc>
      </w:tr>
      <w:tr>
        <w:trPr>
          <w:trHeight w:val="183"/>
        </w:trPr>
        <w:tc>
          <w:tcPr>
            <w:tcW w:w="5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289</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717</w:t>
            </w:r>
          </w:p>
        </w:tc>
        <w:tc>
          <w:tcPr>
            <w:tcW w:w="26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719"/>
              <w:spacing w:after="0" w:line="183" w:lineRule="exact"/>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1"/>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1,006</w:t>
            </w:r>
          </w:p>
        </w:tc>
        <w:tc>
          <w:tcPr>
            <w:tcW w:w="120" w:type="dxa"/>
            <w:vAlign w:val="bottom"/>
            <w:shd w:val="clear" w:color="auto" w:fill="CFF0FC"/>
          </w:tcPr>
          <w:p>
            <w:pPr>
              <w:spacing w:after="0"/>
              <w:rPr>
                <w:sz w:val="15"/>
                <w:szCs w:val="15"/>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1,557</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1,700</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2,381</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2,977</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2,166</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2,938</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(21 )</w:t>
            </w: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(94 )</w:t>
            </w:r>
          </w:p>
        </w:tc>
        <w:tc>
          <w:tcPr>
            <w:tcW w:w="9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(16 )</w:t>
            </w: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(131 )</w:t>
            </w:r>
          </w:p>
        </w:tc>
      </w:tr>
      <w:tr>
        <w:trPr>
          <w:trHeight w:val="183"/>
        </w:trPr>
        <w:tc>
          <w:tcPr>
            <w:tcW w:w="54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1,719</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6,727</w:t>
            </w:r>
          </w:p>
        </w:tc>
        <w:tc>
          <w:tcPr>
            <w:tcW w:w="260" w:type="dxa"/>
            <w:vAlign w:val="bottom"/>
            <w:tcBorders>
              <w:top w:val="single" w:sz="8" w:color="CFF0FC"/>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19"/>
              <w:spacing w:after="0" w:line="183" w:lineRule="exact"/>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44</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1"/>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8,490</w:t>
            </w:r>
          </w:p>
        </w:tc>
        <w:tc>
          <w:tcPr>
            <w:tcW w:w="120" w:type="dxa"/>
            <w:vAlign w:val="bottom"/>
            <w:tcBorders>
              <w:top w:val="single" w:sz="8" w:color="CFF0FC"/>
            </w:tcBorders>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8"/>
        </w:trPr>
        <w:tc>
          <w:tcPr>
            <w:tcW w:w="5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color w:val="auto"/>
              </w:rPr>
              <w:t>First Quarter 2024</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color w:val="auto"/>
              </w:rPr>
              <w:t>North</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color w:val="auto"/>
              </w:rPr>
              <w:t>America</w:t>
            </w:r>
          </w:p>
        </w:tc>
        <w:tc>
          <w:tcPr>
            <w:tcW w:w="120" w:type="dxa"/>
            <w:vAlign w:val="bottom"/>
          </w:tcPr>
          <w:p>
            <w:pPr>
              <w:spacing w:after="0"/>
              <w:rPr>
                <w:sz w:val="17"/>
                <w:szCs w:val="17"/>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6"/>
                <w:szCs w:val="16"/>
                <w:color w:val="auto"/>
              </w:rPr>
              <w:t>International</w:t>
            </w:r>
          </w:p>
        </w:tc>
        <w:tc>
          <w:tcPr>
            <w:tcW w:w="900" w:type="dxa"/>
            <w:vAlign w:val="bottom"/>
          </w:tcPr>
          <w:p>
            <w:pPr>
              <w:jc w:val="right"/>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color w:val="auto"/>
              </w:rPr>
              <w:t>Total</w:t>
            </w:r>
          </w:p>
        </w:tc>
      </w:tr>
      <w:tr>
        <w:trPr>
          <w:trHeight w:val="183"/>
        </w:trPr>
        <w:tc>
          <w:tcPr>
            <w:tcW w:w="5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236</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717</w:t>
            </w:r>
          </w:p>
        </w:tc>
        <w:tc>
          <w:tcPr>
            <w:tcW w:w="26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719"/>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953</w:t>
            </w:r>
          </w:p>
        </w:tc>
        <w:tc>
          <w:tcPr>
            <w:tcW w:w="120" w:type="dxa"/>
            <w:vAlign w:val="bottom"/>
            <w:shd w:val="clear" w:color="auto" w:fill="CFF0FC"/>
          </w:tcPr>
          <w:p>
            <w:pPr>
              <w:spacing w:after="0"/>
              <w:rPr>
                <w:sz w:val="15"/>
                <w:szCs w:val="15"/>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1,592</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1,725</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2,707</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3,368</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2,164</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2,818</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(124 )</w:t>
            </w:r>
          </w:p>
        </w:tc>
        <w:tc>
          <w:tcPr>
            <w:tcW w:w="9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(14 )</w:t>
            </w: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(157 )</w:t>
            </w:r>
          </w:p>
        </w:tc>
      </w:tr>
      <w:tr>
        <w:trPr>
          <w:trHeight w:val="182"/>
        </w:trPr>
        <w:tc>
          <w:tcPr>
            <w:tcW w:w="54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1,598</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7,056</w:t>
            </w:r>
          </w:p>
        </w:tc>
        <w:tc>
          <w:tcPr>
            <w:tcW w:w="260" w:type="dxa"/>
            <w:vAlign w:val="bottom"/>
            <w:tcBorders>
              <w:top w:val="single" w:sz="8" w:color="CFF0FC"/>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19"/>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8,707</w:t>
            </w:r>
          </w:p>
        </w:tc>
        <w:tc>
          <w:tcPr>
            <w:tcW w:w="120" w:type="dxa"/>
            <w:vAlign w:val="bottom"/>
            <w:tcBorders>
              <w:top w:val="single" w:sz="8" w:color="CFF0FC"/>
            </w:tcBorders>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-1525270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-1525270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-1525270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-153670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-153670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Significant segment expenses, which represents the difference between segment revenue and pretax segment income, consist of the following: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First Quarter 2025</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Digital &amp;</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Well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w w:val="99"/>
              </w:rPr>
              <w:t>Production</w:t>
            </w:r>
          </w:p>
        </w:tc>
        <w:tc>
          <w:tcPr>
            <w:tcW w:w="120" w:type="dxa"/>
            <w:vAlign w:val="bottom"/>
          </w:tcPr>
          <w:p>
            <w:pPr>
              <w:spacing w:after="0"/>
              <w:rPr>
                <w:sz w:val="14"/>
                <w:szCs w:val="14"/>
                <w:color w:val="auto"/>
              </w:rPr>
            </w:pPr>
          </w:p>
        </w:tc>
      </w:tr>
      <w:tr>
        <w:trPr>
          <w:trHeight w:val="203"/>
        </w:trPr>
        <w:tc>
          <w:tcPr>
            <w:tcW w:w="5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Integration</w:t>
            </w:r>
          </w:p>
        </w:tc>
        <w:tc>
          <w:tcPr>
            <w:tcW w:w="24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r>
      <w:tr>
        <w:trPr>
          <w:trHeight w:val="183"/>
        </w:trPr>
        <w:tc>
          <w:tcPr>
            <w:tcW w:w="5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Compensation</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206</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407</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604</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241</w:t>
            </w:r>
          </w:p>
        </w:tc>
        <w:tc>
          <w:tcPr>
            <w:tcW w:w="120" w:type="dxa"/>
            <w:vAlign w:val="bottom"/>
            <w:shd w:val="clear" w:color="auto" w:fill="CFF0FC"/>
          </w:tcPr>
          <w:p>
            <w:pPr>
              <w:spacing w:after="0"/>
              <w:rPr>
                <w:sz w:val="15"/>
                <w:szCs w:val="15"/>
                <w:color w:val="auto"/>
              </w:rPr>
            </w:pPr>
          </w:p>
        </w:tc>
      </w:tr>
      <w:tr>
        <w:trPr>
          <w:trHeight w:val="189"/>
        </w:trPr>
        <w:tc>
          <w:tcPr>
            <w:tcW w:w="5740" w:type="dxa"/>
            <w:vAlign w:val="bottom"/>
          </w:tcPr>
          <w:p>
            <w:pPr>
              <w:ind w:left="20"/>
              <w:spacing w:after="0"/>
              <w:rPr>
                <w:sz w:val="20"/>
                <w:szCs w:val="20"/>
                <w:color w:val="auto"/>
              </w:rPr>
            </w:pPr>
            <w:r>
              <w:rPr>
                <w:rFonts w:ascii="Arial" w:cs="Arial" w:eastAsia="Arial" w:hAnsi="Arial"/>
                <w:sz w:val="16"/>
                <w:szCs w:val="16"/>
                <w:color w:val="auto"/>
              </w:rPr>
              <w:t>Cost of products, materials, and supplies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802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1,820</w:t>
            </w:r>
          </w:p>
        </w:tc>
        <w:tc>
          <w:tcPr>
            <w:tcW w:w="120" w:type="dxa"/>
            <w:vAlign w:val="bottom"/>
          </w:tcPr>
          <w:p>
            <w:pPr>
              <w:spacing w:after="0"/>
              <w:rPr>
                <w:sz w:val="16"/>
                <w:szCs w:val="16"/>
                <w:color w:val="auto"/>
              </w:rPr>
            </w:pPr>
          </w:p>
        </w:tc>
      </w:tr>
      <w:tr>
        <w:trPr>
          <w:trHeight w:val="18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w:t>
            </w:r>
          </w:p>
        </w:tc>
        <w:tc>
          <w:tcPr>
            <w:tcW w:w="120" w:type="dxa"/>
            <w:vAlign w:val="bottom"/>
            <w:shd w:val="clear" w:color="auto" w:fill="CFF0FC"/>
          </w:tcPr>
          <w:p>
            <w:pPr>
              <w:spacing w:after="0"/>
              <w:rPr>
                <w:sz w:val="16"/>
                <w:szCs w:val="16"/>
                <w:color w:val="auto"/>
              </w:rPr>
            </w:pPr>
          </w:p>
        </w:tc>
      </w:tr>
      <w:tr>
        <w:trPr>
          <w:trHeight w:val="189"/>
        </w:trPr>
        <w:tc>
          <w:tcPr>
            <w:tcW w:w="5740" w:type="dxa"/>
            <w:vAlign w:val="bottom"/>
          </w:tcPr>
          <w:p>
            <w:pPr>
              <w:ind w:left="20"/>
              <w:spacing w:after="0"/>
              <w:rPr>
                <w:sz w:val="20"/>
                <w:szCs w:val="20"/>
                <w:color w:val="auto"/>
              </w:rPr>
            </w:pPr>
            <w:r>
              <w:rPr>
                <w:rFonts w:ascii="Arial" w:cs="Arial" w:eastAsia="Arial" w:hAnsi="Arial"/>
                <w:sz w:val="16"/>
                <w:szCs w:val="16"/>
                <w:color w:val="auto"/>
              </w:rPr>
              <w:t>Allocations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tcPr>
          <w:p>
            <w:pPr>
              <w:spacing w:after="0"/>
              <w:rPr>
                <w:sz w:val="16"/>
                <w:szCs w:val="16"/>
                <w:color w:val="auto"/>
              </w:rPr>
            </w:pPr>
          </w:p>
        </w:tc>
      </w:tr>
      <w:tr>
        <w:trPr>
          <w:trHeight w:val="18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227</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568</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700</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1,418</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2,388</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2,463</w:t>
            </w:r>
          </w:p>
        </w:tc>
        <w:tc>
          <w:tcPr>
            <w:tcW w:w="120" w:type="dxa"/>
            <w:vAlign w:val="bottom"/>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8"/>
        </w:trPr>
        <w:tc>
          <w:tcPr>
            <w:tcW w:w="5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color w:val="auto"/>
              </w:rPr>
              <w:t>First Quarter 2024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Digital &amp;</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color w:val="auto"/>
              </w:rPr>
              <w:t>Reservoir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9"/>
              <w:spacing w:after="0" w:line="168" w:lineRule="exact"/>
              <w:rPr>
                <w:sz w:val="20"/>
                <w:szCs w:val="20"/>
                <w:color w:val="auto"/>
              </w:rPr>
            </w:pPr>
            <w:r>
              <w:rPr>
                <w:rFonts w:ascii="Arial" w:cs="Arial" w:eastAsia="Arial" w:hAnsi="Arial"/>
                <w:sz w:val="16"/>
                <w:szCs w:val="16"/>
                <w:color w:val="auto"/>
              </w:rPr>
              <w:t>Well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9"/>
              <w:spacing w:after="0" w:line="168" w:lineRule="exact"/>
              <w:rPr>
                <w:sz w:val="20"/>
                <w:szCs w:val="20"/>
                <w:color w:val="auto"/>
              </w:rPr>
            </w:pPr>
            <w:r>
              <w:rPr>
                <w:rFonts w:ascii="Arial" w:cs="Arial" w:eastAsia="Arial" w:hAnsi="Arial"/>
                <w:sz w:val="16"/>
                <w:szCs w:val="16"/>
                <w:color w:val="auto"/>
                <w:w w:val="99"/>
              </w:rPr>
              <w:t>Production</w:t>
            </w:r>
          </w:p>
        </w:tc>
        <w:tc>
          <w:tcPr>
            <w:tcW w:w="120" w:type="dxa"/>
            <w:vAlign w:val="bottom"/>
          </w:tcPr>
          <w:p>
            <w:pPr>
              <w:spacing w:after="0"/>
              <w:rPr>
                <w:sz w:val="14"/>
                <w:szCs w:val="14"/>
                <w:color w:val="auto"/>
              </w:rPr>
            </w:pPr>
          </w:p>
        </w:tc>
      </w:tr>
      <w:tr>
        <w:trPr>
          <w:trHeight w:val="203"/>
        </w:trPr>
        <w:tc>
          <w:tcPr>
            <w:tcW w:w="5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Integration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3"/>
        </w:trPr>
        <w:tc>
          <w:tcPr>
            <w:tcW w:w="5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Compensation</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221</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392</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654</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294</w:t>
            </w:r>
          </w:p>
        </w:tc>
        <w:tc>
          <w:tcPr>
            <w:tcW w:w="120" w:type="dxa"/>
            <w:vAlign w:val="bottom"/>
            <w:shd w:val="clear" w:color="auto" w:fill="CFF0FC"/>
          </w:tcPr>
          <w:p>
            <w:pPr>
              <w:spacing w:after="0"/>
              <w:rPr>
                <w:sz w:val="15"/>
                <w:szCs w:val="15"/>
                <w:color w:val="auto"/>
              </w:rPr>
            </w:pPr>
          </w:p>
        </w:tc>
      </w:tr>
      <w:tr>
        <w:trPr>
          <w:trHeight w:val="189"/>
        </w:trPr>
        <w:tc>
          <w:tcPr>
            <w:tcW w:w="5740" w:type="dxa"/>
            <w:vAlign w:val="bottom"/>
          </w:tcPr>
          <w:p>
            <w:pPr>
              <w:ind w:left="20"/>
              <w:spacing w:after="0"/>
              <w:rPr>
                <w:sz w:val="20"/>
                <w:szCs w:val="20"/>
                <w:color w:val="auto"/>
              </w:rPr>
            </w:pPr>
            <w:r>
              <w:rPr>
                <w:rFonts w:ascii="Arial" w:cs="Arial" w:eastAsia="Arial" w:hAnsi="Arial"/>
                <w:sz w:val="16"/>
                <w:szCs w:val="16"/>
                <w:color w:val="auto"/>
              </w:rPr>
              <w:t>Cost of products, materials, and supplies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1,761</w:t>
            </w:r>
          </w:p>
        </w:tc>
        <w:tc>
          <w:tcPr>
            <w:tcW w:w="120" w:type="dxa"/>
            <w:vAlign w:val="bottom"/>
          </w:tcPr>
          <w:p>
            <w:pPr>
              <w:spacing w:after="0"/>
              <w:rPr>
                <w:sz w:val="16"/>
                <w:szCs w:val="16"/>
                <w:color w:val="auto"/>
              </w:rPr>
            </w:pPr>
          </w:p>
        </w:tc>
      </w:tr>
      <w:tr>
        <w:trPr>
          <w:trHeight w:val="18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FF0FC"/>
          </w:tcPr>
          <w:p>
            <w:pPr>
              <w:spacing w:after="0"/>
              <w:rPr>
                <w:sz w:val="16"/>
                <w:szCs w:val="16"/>
                <w:color w:val="auto"/>
              </w:rPr>
            </w:pPr>
          </w:p>
        </w:tc>
      </w:tr>
      <w:tr>
        <w:trPr>
          <w:trHeight w:val="189"/>
        </w:trPr>
        <w:tc>
          <w:tcPr>
            <w:tcW w:w="5740" w:type="dxa"/>
            <w:vAlign w:val="bottom"/>
          </w:tcPr>
          <w:p>
            <w:pPr>
              <w:ind w:left="20"/>
              <w:spacing w:after="0"/>
              <w:rPr>
                <w:sz w:val="20"/>
                <w:szCs w:val="20"/>
                <w:color w:val="auto"/>
              </w:rPr>
            </w:pPr>
            <w:r>
              <w:rPr>
                <w:rFonts w:ascii="Arial" w:cs="Arial" w:eastAsia="Arial" w:hAnsi="Arial"/>
                <w:sz w:val="16"/>
                <w:szCs w:val="16"/>
                <w:color w:val="auto"/>
              </w:rPr>
              <w:t>Allocations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6"/>
                <w:szCs w:val="16"/>
                <w:color w:val="auto"/>
              </w:rPr>
            </w:pPr>
          </w:p>
        </w:tc>
      </w:tr>
      <w:tr>
        <w:trPr>
          <w:trHeight w:val="18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699</w:t>
            </w:r>
          </w:p>
        </w:tc>
        <w:tc>
          <w:tcPr>
            <w:tcW w:w="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1,386</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2,678</w:t>
            </w:r>
          </w:p>
        </w:tc>
        <w:tc>
          <w:tcPr>
            <w:tcW w:w="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2,418</w:t>
            </w:r>
          </w:p>
        </w:tc>
        <w:tc>
          <w:tcPr>
            <w:tcW w:w="120" w:type="dxa"/>
            <w:vAlign w:val="bottom"/>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-1525270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-1525270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-1525270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-153670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Other segment expenses include transportation, mobilization, lease, occupancy, professional, and other costs.</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$0.6 billion at March 31, 2025 and $0.5 billion at December 31, 2024.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$5.6 billion at March 31, 2025, of which approximately 60% is expected to be recognized as revenue over the next 12 months.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Billings and cash collections in excess of revenue was $2.1 billion at March 31, 2025 and $2.0 billion at December 31, 2024. Such amounts are included within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First Quarter 2025 Compared to First Quarter 2024</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First Quarter 2025</w:t>
            </w:r>
          </w:p>
        </w:tc>
        <w:tc>
          <w:tcPr>
            <w:tcW w:w="200" w:type="dxa"/>
            <w:vAlign w:val="bottom"/>
          </w:tcPr>
          <w:p>
            <w:pPr>
              <w:spacing w:after="0"/>
              <w:rPr>
                <w:sz w:val="24"/>
                <w:szCs w:val="2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6"/>
                <w:szCs w:val="16"/>
                <w:color w:val="auto"/>
              </w:rPr>
              <w:t>First Quarter 2024</w:t>
            </w:r>
          </w:p>
        </w:tc>
      </w:tr>
      <w:tr>
        <w:trPr>
          <w:trHeight w:val="168"/>
        </w:trPr>
        <w:tc>
          <w:tcPr>
            <w:tcW w:w="54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39"/>
              <w:spacing w:after="0" w:line="168" w:lineRule="exact"/>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39"/>
              <w:spacing w:after="0" w:line="168" w:lineRule="exact"/>
              <w:rPr>
                <w:sz w:val="20"/>
                <w:szCs w:val="20"/>
                <w:color w:val="auto"/>
              </w:rPr>
            </w:pPr>
            <w:r>
              <w:rPr>
                <w:rFonts w:ascii="Arial" w:cs="Arial" w:eastAsia="Arial" w:hAnsi="Arial"/>
                <w:sz w:val="16"/>
                <w:szCs w:val="16"/>
                <w:color w:val="auto"/>
                <w:w w:val="99"/>
              </w:rPr>
              <w:t>Income</w:t>
            </w:r>
          </w:p>
        </w:tc>
        <w:tc>
          <w:tcPr>
            <w:tcW w:w="120" w:type="dxa"/>
            <w:vAlign w:val="bottom"/>
          </w:tcPr>
          <w:p>
            <w:pPr>
              <w:spacing w:after="0"/>
              <w:rPr>
                <w:sz w:val="14"/>
                <w:szCs w:val="14"/>
                <w:color w:val="auto"/>
              </w:rPr>
            </w:pPr>
          </w:p>
        </w:tc>
      </w:tr>
      <w:tr>
        <w:trPr>
          <w:trHeight w:val="203"/>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2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rPr>
              <w:t>Before Taxes</w:t>
            </w:r>
          </w:p>
        </w:tc>
      </w:tr>
      <w:tr>
        <w:trPr>
          <w:trHeight w:val="183"/>
        </w:trPr>
        <w:tc>
          <w:tcPr>
            <w:tcW w:w="5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1,006</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306</w:t>
            </w:r>
          </w:p>
        </w:tc>
        <w:tc>
          <w:tcPr>
            <w:tcW w:w="2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953</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254</w:t>
            </w:r>
          </w:p>
        </w:tc>
        <w:tc>
          <w:tcPr>
            <w:tcW w:w="120" w:type="dxa"/>
            <w:vAlign w:val="bottom"/>
            <w:shd w:val="clear" w:color="auto" w:fill="CFF0FC"/>
          </w:tcPr>
          <w:p>
            <w:pPr>
              <w:spacing w:after="0"/>
              <w:rPr>
                <w:sz w:val="15"/>
                <w:szCs w:val="15"/>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2,977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589</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2,938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(131 )</w:t>
            </w: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(96 )</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(157 )</w:t>
            </w: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(34 )</w:t>
            </w:r>
          </w:p>
        </w:tc>
      </w:tr>
      <w:tr>
        <w:trPr>
          <w:trHeight w:val="183"/>
        </w:trPr>
        <w:tc>
          <w:tcPr>
            <w:tcW w:w="54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1,556</w:t>
            </w: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1,649</w:t>
            </w:r>
          </w:p>
        </w:tc>
        <w:tc>
          <w:tcPr>
            <w:tcW w:w="120" w:type="dxa"/>
            <w:vAlign w:val="bottom"/>
            <w:tcBorders>
              <w:top w:val="single" w:sz="8" w:color="CFF0FC"/>
            </w:tcBorders>
          </w:tcPr>
          <w:p>
            <w:pPr>
              <w:spacing w:after="0"/>
              <w:rPr>
                <w:sz w:val="15"/>
                <w:szCs w:val="15"/>
                <w:color w:val="auto"/>
              </w:rPr>
            </w:pPr>
          </w:p>
        </w:tc>
      </w:tr>
      <w:tr>
        <w:trPr>
          <w:trHeight w:val="189"/>
        </w:trPr>
        <w:tc>
          <w:tcPr>
            <w:tcW w:w="542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(179 )</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(191 )</w:t>
            </w:r>
          </w:p>
        </w:tc>
      </w:tr>
      <w:tr>
        <w:trPr>
          <w:trHeight w:val="189"/>
        </w:trPr>
        <w:tc>
          <w:tcPr>
            <w:tcW w:w="542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(144 )</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(110 )</w:t>
            </w:r>
          </w:p>
        </w:tc>
      </w:tr>
      <w:tr>
        <w:trPr>
          <w:trHeight w:val="189"/>
        </w:trPr>
        <w:tc>
          <w:tcPr>
            <w:tcW w:w="542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(206 )</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(25 )</w:t>
            </w:r>
          </w:p>
        </w:tc>
      </w:tr>
      <w:tr>
        <w:trPr>
          <w:trHeight w:val="223"/>
        </w:trPr>
        <w:tc>
          <w:tcPr>
            <w:tcW w:w="5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8,490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1,063</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8,707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1,357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-762000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-762000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3" w:lineRule="exact"/>
        <w:rPr>
          <w:sz w:val="20"/>
          <w:szCs w:val="20"/>
          <w:color w:val="auto"/>
        </w:rPr>
      </w:pPr>
    </w:p>
    <w:p>
      <w:pPr>
        <w:ind w:left="380" w:hanging="372"/>
        <w:spacing w:after="0" w:line="222"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2025; $4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2025; $3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First-quarter 2025 revenue of $8.5 billion decreased 3% year on year as it was a subdued start to the year. North America revenue grew by 8% year on year to $1.7 billion, partially compensating for softer international revenue which declined 5% to $6.7 billion.</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The year-on-year growth in North America revenue was primarily driven by higher digital sales and sales of production systems in US offshore, and strong growth in data center infrastructure solutions.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Internationally, Latin America led the year on year decline as revenue of $1.5 billion declined 10% year on year primarily due to a significant reduction in drilling activity in Mexico. Europe &amp; Africa revenue of $2.2 billion decreased 4% due to reduced activity in offshore Africa and in Russia. Revenue in the Middle East &amp; Asia of $3.0 billion declined 3% year on year largely due to reduced drilling and stimulation activity in Saudi Arabia as well as lower activity in Egypt, Australia and India. These declines were partially offset by higher revenue in the United Arab Emirates and Kuwait.</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The industry may experience a potential shift of priorities driven by changes in the global economy, fluctuating commodity prices and evolving tariffs — all of which could impact upstream oil and gas investment and, in turn, affect demand for our products and services. In this uncertain environment, SLB remains committed to protecting its margins, generating strong cash flow and delivering consistent value to its customers and shareholders in 2025.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Digital &amp; Integration revenue of $1.0 billion increased 6% year on year driven by 17% growth in digital revenue, supported by greater adoption of digital technologies and higher sales of exploration data. This increase was partially offset by lower APS revenue due to a temporary pipeline disruption on an Asset Performance Solutions (“APS”) project in Ecuador.</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Digital &amp; Integration pretax operating margin of 30% expanded 380 basis points (“bps”) year on year, mostly due to improved profitability in digital, following higher uptake of digital technologies and higher sales of exploration data.</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Reservoir Performance revenue of $1.7 billion declined 1% year on year with strong unconventional stimulation and intervention activity offset by lower evaluation and exploration activity across the international markets.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Reservoir Performance pretax operating margin of 17% decreased 311 bps year on year due to reduced profitability from lower evaluation activity and project startup costs.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Well Construction revenue of $3.0 billion declined 12% year on year reflecting lower drilling activity in Mexico, Saudi Arabia, U.S. land, India and offshore West Africa.</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Well Construction pretax operating margin of 20% declined 71 bps year on year driven by the reduced activity across North America and the international markets.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 xml:space="preserve">Production Systems revenue of $2.9 billion increased 4% year on year due to strong demand in North America for surface production systems, completions, artificial lift, and </w:t>
      </w:r>
      <w:r>
        <w:rPr>
          <w:rFonts w:ascii="Arial" w:cs="Arial" w:eastAsia="Arial" w:hAnsi="Arial"/>
          <w:sz w:val="16"/>
          <w:szCs w:val="16"/>
          <w:color w:val="000000"/>
        </w:rPr>
        <w:t>data center infrastructure solutions.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Production Systems pretax operating margin of 16% increased 197 bps year on year due to improved profitability across a number of business lines driven by activity mix, execution efficiency and conversion of improved-price backlog.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First Quarter 2025 Compared to Fourth Quarter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First Quarter 2025</w:t>
            </w:r>
          </w:p>
        </w:tc>
        <w:tc>
          <w:tcPr>
            <w:tcW w:w="200" w:type="dxa"/>
            <w:vAlign w:val="bottom"/>
          </w:tcPr>
          <w:p>
            <w:pPr>
              <w:spacing w:after="0"/>
              <w:rPr>
                <w:sz w:val="24"/>
                <w:szCs w:val="24"/>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6"/>
                <w:szCs w:val="16"/>
                <w:color w:val="auto"/>
              </w:rPr>
              <w:t>Fourth Quarter 2024</w:t>
            </w:r>
          </w:p>
        </w:tc>
      </w:tr>
      <w:tr>
        <w:trPr>
          <w:trHeight w:val="168"/>
        </w:trPr>
        <w:tc>
          <w:tcPr>
            <w:tcW w:w="54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39"/>
              <w:spacing w:after="0" w:line="168" w:lineRule="exact"/>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39"/>
              <w:spacing w:after="0" w:line="168" w:lineRule="exact"/>
              <w:rPr>
                <w:sz w:val="20"/>
                <w:szCs w:val="20"/>
                <w:color w:val="auto"/>
              </w:rPr>
            </w:pPr>
            <w:r>
              <w:rPr>
                <w:rFonts w:ascii="Arial" w:cs="Arial" w:eastAsia="Arial" w:hAnsi="Arial"/>
                <w:sz w:val="16"/>
                <w:szCs w:val="16"/>
                <w:color w:val="auto"/>
                <w:w w:val="99"/>
              </w:rPr>
              <w:t>Income</w:t>
            </w:r>
          </w:p>
        </w:tc>
        <w:tc>
          <w:tcPr>
            <w:tcW w:w="120" w:type="dxa"/>
            <w:vAlign w:val="bottom"/>
          </w:tcPr>
          <w:p>
            <w:pPr>
              <w:spacing w:after="0"/>
              <w:rPr>
                <w:sz w:val="14"/>
                <w:szCs w:val="14"/>
                <w:color w:val="auto"/>
              </w:rPr>
            </w:pPr>
          </w:p>
        </w:tc>
      </w:tr>
      <w:tr>
        <w:trPr>
          <w:trHeight w:val="203"/>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2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rPr>
              <w:t>Before Taxes</w:t>
            </w:r>
          </w:p>
        </w:tc>
      </w:tr>
      <w:tr>
        <w:trPr>
          <w:trHeight w:val="183"/>
        </w:trPr>
        <w:tc>
          <w:tcPr>
            <w:tcW w:w="5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1,006</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306</w:t>
            </w:r>
          </w:p>
        </w:tc>
        <w:tc>
          <w:tcPr>
            <w:tcW w:w="26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1,156</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442</w:t>
            </w:r>
          </w:p>
        </w:tc>
        <w:tc>
          <w:tcPr>
            <w:tcW w:w="120" w:type="dxa"/>
            <w:vAlign w:val="bottom"/>
            <w:shd w:val="clear" w:color="auto" w:fill="CFF0FC"/>
          </w:tcPr>
          <w:p>
            <w:pPr>
              <w:spacing w:after="0"/>
              <w:rPr>
                <w:sz w:val="15"/>
                <w:szCs w:val="15"/>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2,977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589</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FF0FC"/>
          </w:tcPr>
          <w:p>
            <w:pPr>
              <w:spacing w:after="0"/>
              <w:rPr>
                <w:sz w:val="16"/>
                <w:szCs w:val="16"/>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2,938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(131 )</w:t>
            </w: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(96 )</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(146 )</w:t>
            </w: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(81 )</w:t>
            </w:r>
          </w:p>
        </w:tc>
      </w:tr>
      <w:tr>
        <w:trPr>
          <w:trHeight w:val="182"/>
        </w:trPr>
        <w:tc>
          <w:tcPr>
            <w:tcW w:w="54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1,556</w:t>
            </w: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1,918</w:t>
            </w:r>
          </w:p>
        </w:tc>
        <w:tc>
          <w:tcPr>
            <w:tcW w:w="120" w:type="dxa"/>
            <w:vAlign w:val="bottom"/>
            <w:tcBorders>
              <w:top w:val="single" w:sz="8" w:color="CFF0FC"/>
            </w:tcBorders>
          </w:tcPr>
          <w:p>
            <w:pPr>
              <w:spacing w:after="0"/>
              <w:rPr>
                <w:sz w:val="15"/>
                <w:szCs w:val="15"/>
                <w:color w:val="auto"/>
              </w:rPr>
            </w:pPr>
          </w:p>
        </w:tc>
      </w:tr>
      <w:tr>
        <w:trPr>
          <w:trHeight w:val="189"/>
        </w:trPr>
        <w:tc>
          <w:tcPr>
            <w:tcW w:w="542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(179 )</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(177 )</w:t>
            </w:r>
          </w:p>
        </w:tc>
      </w:tr>
      <w:tr>
        <w:trPr>
          <w:trHeight w:val="189"/>
        </w:trPr>
        <w:tc>
          <w:tcPr>
            <w:tcW w:w="542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r>
      <w:tr>
        <w:trPr>
          <w:trHeight w:val="189"/>
        </w:trPr>
        <w:tc>
          <w:tcPr>
            <w:tcW w:w="542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(144 )</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(128 )</w:t>
            </w:r>
          </w:p>
        </w:tc>
      </w:tr>
      <w:tr>
        <w:trPr>
          <w:trHeight w:val="189"/>
        </w:trPr>
        <w:tc>
          <w:tcPr>
            <w:tcW w:w="542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(206 )</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(262 )</w:t>
            </w:r>
          </w:p>
        </w:tc>
      </w:tr>
      <w:tr>
        <w:trPr>
          <w:trHeight w:val="223"/>
        </w:trPr>
        <w:tc>
          <w:tcPr>
            <w:tcW w:w="5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8,490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1,063</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9,284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1,387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-762000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-762000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3" w:lineRule="exact"/>
        <w:rPr>
          <w:sz w:val="20"/>
          <w:szCs w:val="20"/>
          <w:color w:val="auto"/>
        </w:rPr>
      </w:pPr>
    </w:p>
    <w:p>
      <w:pPr>
        <w:ind w:left="380" w:hanging="372"/>
        <w:spacing w:after="0" w:line="222"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the first quarter of 2025; $9 million in the fourth quarter of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the first quarter of 2025; $2 million in the fourth quarter of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First-quarter 2025 revenue of $8.5 billion decreased 9% sequentially as revenue declined 10% in the international markets and 2% in North America primarily due to seasonal effects.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Revenue in North America declined 2% sequentially due to lower drilling activity both on land and offshore partially offset by higher revenue from data center infrastructure solutions.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Internationally, revenue decreased 11% on a sequential basis in the Middle East &amp; Asia and 10% in Europe &amp; Africa following strong year-end product and digital sales across these areas in the fourth quarter of 2024. Revenue in Latin America decreased 9% sequentially driven by lower drilling activity in Mexico. Reduced APS revenue in Ecuador and seasonally lower revenue in Brazil following strong year-end production systems sales last quarter also contributed to the revenue decline in Latin America.</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Digital &amp; Integration revenue of $1.0 billion declined 13% sequentially following seasonally strong year-end digital sales in the fourth quarter of 2024 while APS revenue was lower due to a temporary pipeline disruption on an APS project in Ecuador.</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Digital &amp; Integration pretax operating margin of 30% decreased 784 bps sequentially due to seasonally lower sales of digital and exploration data as well as lower APS revenue.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Reservoir Performance revenue of $1.7 billion declined 6% sequentially primarily due to seasonal activity reductions in Europe &amp; Africa and the Middle East &amp; Asia.</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Reservoir Performance pretax operating margin of 17% decreased 391 bps sequentially due to reduced profitability from lower evaluation activity and project startup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231F20"/>
        </w:rPr>
        <w:t>Well Construction revenue of $3.0 billion decreased 9% sequentially due to seasonal activity reductions across all areas.</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Well Construction pretax operating margin of 20% declined 106 bps sequentially driven by the reduced activity across North America and the international markets.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 xml:space="preserve">Production Systems revenue of $2.9 billion </w:t>
      </w:r>
      <w:r>
        <w:rPr>
          <w:rFonts w:ascii="Arial" w:cs="Arial" w:eastAsia="Arial" w:hAnsi="Arial"/>
          <w:sz w:val="16"/>
          <w:szCs w:val="16"/>
          <w:color w:val="000000"/>
        </w:rPr>
        <w:t>declined 8% sequentially driven by seasonally lower sales of artificial lift, midstream and surface production</w:t>
      </w:r>
      <w:r>
        <w:rPr>
          <w:rFonts w:ascii="Arial" w:cs="Arial" w:eastAsia="Arial" w:hAnsi="Arial"/>
          <w:sz w:val="16"/>
          <w:szCs w:val="16"/>
          <w:color w:val="231F20"/>
        </w:rPr>
        <w:t xml:space="preserve"> </w:t>
      </w:r>
      <w:r>
        <w:rPr>
          <w:rFonts w:ascii="Arial" w:cs="Arial" w:eastAsia="Arial" w:hAnsi="Arial"/>
          <w:sz w:val="16"/>
          <w:szCs w:val="16"/>
          <w:color w:val="000000"/>
        </w:rPr>
        <w:t>systems and completions.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31F20"/>
        </w:rPr>
        <w:t>Production Systems pretax operating margin of 16% increased by 34 bps sequentially primarily due to cost efficiencies despite seasonally lower sales.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and Other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76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First Quarter</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7660" w:type="dxa"/>
            <w:vAlign w:val="bottom"/>
          </w:tcPr>
          <w:p>
            <w:pPr>
              <w:spacing w:after="0"/>
              <w:rPr>
                <w:sz w:val="15"/>
                <w:szCs w:val="15"/>
                <w:color w:val="auto"/>
              </w:rPr>
            </w:pPr>
          </w:p>
        </w:tc>
        <w:tc>
          <w:tcPr>
            <w:tcW w:w="11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1"/>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Earnings of equity method investments</w:t>
            </w:r>
          </w:p>
        </w:tc>
        <w:tc>
          <w:tcPr>
            <w:tcW w:w="1120" w:type="dxa"/>
            <w:vAlign w:val="bottom"/>
            <w:shd w:val="clear" w:color="auto" w:fill="CFF0FC"/>
          </w:tcPr>
          <w:p>
            <w:pPr>
              <w:jc w:val="right"/>
              <w:ind w:right="939"/>
              <w:spacing w:after="0" w:line="183"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42</w:t>
            </w:r>
          </w:p>
        </w:tc>
        <w:tc>
          <w:tcPr>
            <w:tcW w:w="660" w:type="dxa"/>
            <w:vAlign w:val="bottom"/>
            <w:gridSpan w:val="2"/>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Interest income</w:t>
            </w:r>
          </w:p>
        </w:tc>
        <w:tc>
          <w:tcPr>
            <w:tcW w:w="1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28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FF0FC"/>
            </w:tcBorders>
          </w:tcPr>
          <w:p>
            <w:pPr>
              <w:spacing w:after="0"/>
              <w:rPr>
                <w:sz w:val="16"/>
                <w:szCs w:val="16"/>
                <w:color w:val="auto"/>
              </w:rPr>
            </w:pPr>
          </w:p>
        </w:tc>
      </w:tr>
      <w:tr>
        <w:trPr>
          <w:trHeight w:val="223"/>
        </w:trPr>
        <w:tc>
          <w:tcPr>
            <w:tcW w:w="76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9"/>
              <w:spacing w:after="0" w:line="183" w:lineRule="exact"/>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78</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first quarter ended March 31, 2025 and 2024 were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w:t>
      </w:r>
    </w:p>
    <w:p>
      <w:pPr>
        <w:spacing w:after="0" w:line="318"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First Quarter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2025</w:t>
            </w:r>
          </w:p>
        </w:tc>
        <w:tc>
          <w:tcPr>
            <w:tcW w:w="4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rPr>
              <w:t>2024</w:t>
            </w:r>
          </w:p>
        </w:tc>
        <w:tc>
          <w:tcPr>
            <w:tcW w:w="180" w:type="dxa"/>
            <w:vAlign w:val="bottom"/>
          </w:tcPr>
          <w:p>
            <w:pPr>
              <w:spacing w:after="0"/>
              <w:rPr>
                <w:sz w:val="15"/>
                <w:szCs w:val="15"/>
                <w:color w:val="auto"/>
              </w:rPr>
            </w:pPr>
          </w:p>
        </w:tc>
      </w:tr>
      <w:tr>
        <w:trPr>
          <w:trHeight w:val="183"/>
        </w:trPr>
        <w:tc>
          <w:tcPr>
            <w:tcW w:w="870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Research &amp; engineering</w:t>
            </w:r>
          </w:p>
        </w:tc>
        <w:tc>
          <w:tcPr>
            <w:tcW w:w="7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b w:val="1"/>
                <w:bCs w:val="1"/>
                <w:color w:val="auto"/>
              </w:rPr>
              <w:t>2.0 %</w:t>
            </w:r>
          </w:p>
        </w:tc>
        <w:tc>
          <w:tcPr>
            <w:tcW w:w="18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2.1 %</w:t>
            </w: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6"/>
                <w:szCs w:val="16"/>
                <w:color w:val="auto"/>
              </w:rPr>
              <w:t>General &amp; administrative</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1.1 %</w:t>
            </w: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1.4 %</w:t>
            </w:r>
          </w:p>
        </w:tc>
      </w:tr>
    </w:tbl>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effective tax rate was 22% for the first quarter of 2025 as compared to 19% for the same period of 2024. The increase in the effective tax rate year on year was primarily due to the charges and credits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The charges and credits increased the effective tax rate by three percentage points as a significant portion of these charges do not result in a tax benefit.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SLB recorded charges and credits during the first quarters of 2025 and 2024. These charges and credits, which are summarized below,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5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183"/>
        </w:trPr>
        <w:tc>
          <w:tcPr>
            <w:tcW w:w="574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Workforce reductions</w:t>
            </w:r>
          </w:p>
        </w:tc>
        <w:tc>
          <w:tcPr>
            <w:tcW w:w="500" w:type="dxa"/>
            <w:vAlign w:val="bottom"/>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158</w:t>
            </w:r>
          </w:p>
        </w:tc>
        <w:tc>
          <w:tcPr>
            <w:tcW w:w="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w:t>
            </w:r>
          </w:p>
        </w:tc>
        <w:tc>
          <w:tcPr>
            <w:tcW w:w="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120" w:type="dxa"/>
            <w:vAlign w:val="bottom"/>
            <w:shd w:val="clear" w:color="auto" w:fill="CFF0FC"/>
          </w:tcPr>
          <w:p>
            <w:pPr>
              <w:spacing w:after="0"/>
              <w:rPr>
                <w:sz w:val="15"/>
                <w:szCs w:val="15"/>
                <w:color w:val="auto"/>
              </w:rPr>
            </w:pPr>
          </w:p>
        </w:tc>
      </w:tr>
      <w:tr>
        <w:trPr>
          <w:trHeight w:val="189"/>
        </w:trPr>
        <w:tc>
          <w:tcPr>
            <w:tcW w:w="574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Merger and integration-related</w:t>
            </w:r>
          </w:p>
        </w:tc>
        <w:tc>
          <w:tcPr>
            <w:tcW w:w="5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FF0FC"/>
            </w:tcBorders>
          </w:tcPr>
          <w:p>
            <w:pPr>
              <w:spacing w:after="0"/>
              <w:rPr>
                <w:sz w:val="16"/>
                <w:szCs w:val="16"/>
                <w:color w:val="auto"/>
              </w:rPr>
            </w:pPr>
          </w:p>
        </w:tc>
      </w:tr>
      <w:tr>
        <w:trPr>
          <w:trHeight w:val="223"/>
        </w:trPr>
        <w:tc>
          <w:tcPr>
            <w:tcW w:w="57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810"/>
        </w:trPr>
        <w:tc>
          <w:tcPr>
            <w:tcW w:w="5740" w:type="dxa"/>
            <w:vAlign w:val="bottom"/>
          </w:tcPr>
          <w:p>
            <w:pPr>
              <w:jc w:val="right"/>
              <w:ind w:right="5239"/>
              <w:spacing w:after="0"/>
              <w:rPr>
                <w:sz w:val="20"/>
                <w:szCs w:val="20"/>
                <w:color w:val="auto"/>
              </w:rPr>
            </w:pPr>
            <w:r>
              <w:rPr>
                <w:rFonts w:ascii="Arial" w:cs="Arial" w:eastAsia="Arial" w:hAnsi="Arial"/>
                <w:sz w:val="16"/>
                <w:szCs w:val="16"/>
                <w:b w:val="1"/>
                <w:bCs w:val="1"/>
                <w:color w:val="auto"/>
                <w:w w:val="97"/>
              </w:rPr>
              <w:t>2024:</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5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5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183"/>
        </w:trPr>
        <w:tc>
          <w:tcPr>
            <w:tcW w:w="574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Merger and integration-related</w:t>
            </w:r>
          </w:p>
        </w:tc>
        <w:tc>
          <w:tcPr>
            <w:tcW w:w="500" w:type="dxa"/>
            <w:vAlign w:val="bottom"/>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c>
          <w:tcPr>
            <w:tcW w:w="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52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-1285240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-1268095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-1414145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-1285240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-1268095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-1414145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-1285240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-1268095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-1414145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5"/>
        </w:trPr>
        <w:tc>
          <w:tcPr>
            <w:tcW w:w="4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Mar. 31,</w:t>
            </w:r>
          </w:p>
        </w:tc>
        <w:tc>
          <w:tcPr>
            <w:tcW w:w="24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6"/>
                <w:szCs w:val="16"/>
                <w:color w:val="auto"/>
              </w:rPr>
              <w:t>Mar. 31,</w:t>
            </w:r>
          </w:p>
        </w:tc>
        <w:tc>
          <w:tcPr>
            <w:tcW w:w="14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6"/>
                <w:szCs w:val="16"/>
                <w:color w:val="auto"/>
              </w:rPr>
              <w:t>Dec. 31,</w:t>
            </w:r>
          </w:p>
        </w:tc>
      </w:tr>
      <w:tr>
        <w:trPr>
          <w:trHeight w:val="203"/>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Components of Liquidity:</w:t>
            </w:r>
          </w:p>
        </w:tc>
        <w:tc>
          <w:tcPr>
            <w:tcW w:w="1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183"/>
        </w:trPr>
        <w:tc>
          <w:tcPr>
            <w:tcW w:w="49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w:t>
            </w:r>
          </w:p>
        </w:tc>
        <w:tc>
          <w:tcPr>
            <w:tcW w:w="188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2,936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2,788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3,544</w:t>
            </w:r>
          </w:p>
        </w:tc>
        <w:tc>
          <w:tcPr>
            <w:tcW w:w="100" w:type="dxa"/>
            <w:vAlign w:val="bottom"/>
            <w:shd w:val="clear" w:color="auto" w:fill="CFF0FC"/>
          </w:tcPr>
          <w:p>
            <w:pPr>
              <w:spacing w:after="0"/>
              <w:rPr>
                <w:sz w:val="15"/>
                <w:szCs w:val="15"/>
                <w:color w:val="auto"/>
              </w:rPr>
            </w:pPr>
          </w:p>
        </w:tc>
      </w:tr>
      <w:tr>
        <w:trPr>
          <w:trHeight w:val="189"/>
        </w:trPr>
        <w:tc>
          <w:tcPr>
            <w:tcW w:w="49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961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6"/>
                <w:szCs w:val="16"/>
                <w:color w:val="auto"/>
              </w:rPr>
            </w:pPr>
          </w:p>
        </w:tc>
      </w:tr>
      <w:tr>
        <w:trPr>
          <w:trHeight w:val="189"/>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borrowings and current portion of long-term debt</w:t>
            </w:r>
          </w:p>
        </w:tc>
        <w:tc>
          <w:tcPr>
            <w:tcW w:w="1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(3,475 )</w:t>
            </w: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(1,430 )</w:t>
            </w:r>
          </w:p>
        </w:tc>
        <w:tc>
          <w:tcPr>
            <w:tcW w:w="1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(1,051 )</w:t>
            </w:r>
          </w:p>
        </w:tc>
      </w:tr>
      <w:tr>
        <w:trPr>
          <w:trHeight w:val="189"/>
        </w:trPr>
        <w:tc>
          <w:tcPr>
            <w:tcW w:w="49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(10,527 )</w:t>
            </w:r>
          </w:p>
        </w:tc>
        <w:tc>
          <w:tcPr>
            <w:tcW w:w="24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(10,740 )</w:t>
            </w:r>
          </w:p>
        </w:tc>
        <w:tc>
          <w:tcPr>
            <w:tcW w:w="14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(11,023 )</w:t>
            </w:r>
          </w:p>
        </w:tc>
      </w:tr>
      <w:tr>
        <w:trPr>
          <w:trHeight w:val="20"/>
        </w:trPr>
        <w:tc>
          <w:tcPr>
            <w:tcW w:w="4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2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 xml:space="preserve">Net debt </w:t>
            </w:r>
            <w:r>
              <w:rPr>
                <w:rFonts w:ascii="Arial" w:cs="Arial" w:eastAsia="Arial" w:hAnsi="Arial"/>
                <w:sz w:val="19"/>
                <w:szCs w:val="19"/>
                <w:color w:val="auto"/>
                <w:vertAlign w:val="superscript"/>
              </w:rPr>
              <w:t>(1)</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b w:val="1"/>
                <w:bCs w:val="1"/>
                <w:color w:val="auto"/>
                <w:w w:val="89"/>
              </w:rPr>
              <w:t>$</w:t>
            </w:r>
          </w:p>
        </w:tc>
        <w:tc>
          <w:tcPr>
            <w:tcW w:w="138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6"/>
                <w:szCs w:val="16"/>
                <w:b w:val="1"/>
                <w:bCs w:val="1"/>
                <w:color w:val="auto"/>
              </w:rPr>
              <w:t>(10,105 )</w:t>
            </w:r>
          </w:p>
        </w:tc>
        <w:tc>
          <w:tcPr>
            <w:tcW w:w="24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color w:val="auto"/>
              </w:rPr>
              <w:t>(8,679 )</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(7,405 )</w:t>
            </w:r>
          </w:p>
        </w:tc>
      </w:tr>
      <w:tr>
        <w:trPr>
          <w:trHeight w:val="613"/>
        </w:trPr>
        <w:tc>
          <w:tcPr>
            <w:tcW w:w="4920" w:type="dxa"/>
            <w:vAlign w:val="bottom"/>
            <w:tcBorders>
              <w:top w:val="single" w:sz="8" w:color="CFF0FC"/>
            </w:tcBorders>
          </w:tcPr>
          <w:p>
            <w:pPr>
              <w:spacing w:after="0"/>
              <w:rPr>
                <w:sz w:val="24"/>
                <w:szCs w:val="24"/>
                <w:color w:val="auto"/>
              </w:rPr>
            </w:pPr>
          </w:p>
        </w:tc>
        <w:tc>
          <w:tcPr>
            <w:tcW w:w="1640" w:type="dxa"/>
            <w:vAlign w:val="bottom"/>
            <w:tcBorders>
              <w:top w:val="single" w:sz="8" w:color="CFF0FC"/>
            </w:tcBorders>
          </w:tcPr>
          <w:p>
            <w:pPr>
              <w:jc w:val="right"/>
              <w:ind w:right="759"/>
              <w:spacing w:after="0"/>
              <w:rPr>
                <w:sz w:val="20"/>
                <w:szCs w:val="20"/>
                <w:color w:val="auto"/>
              </w:rPr>
            </w:pPr>
            <w:r>
              <w:rPr>
                <w:rFonts w:ascii="Arial" w:cs="Arial" w:eastAsia="Arial" w:hAnsi="Arial"/>
                <w:sz w:val="16"/>
                <w:szCs w:val="16"/>
                <w:color w:val="auto"/>
              </w:rPr>
              <w:t>18</w:t>
            </w: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1"/>
        </w:trPr>
        <w:tc>
          <w:tcPr>
            <w:tcW w:w="49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-916940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-899795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-916940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-899795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7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Changes in Liquidity:</w:t>
            </w:r>
          </w:p>
        </w:tc>
        <w:tc>
          <w:tcPr>
            <w:tcW w:w="360" w:type="dxa"/>
            <w:vAlign w:val="bottom"/>
          </w:tcPr>
          <w:p>
            <w:pPr>
              <w:spacing w:after="0"/>
              <w:rPr>
                <w:sz w:val="17"/>
                <w:szCs w:val="17"/>
                <w:color w:val="auto"/>
              </w:rPr>
            </w:pPr>
          </w:p>
        </w:tc>
        <w:tc>
          <w:tcPr>
            <w:tcW w:w="322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Mar. 31,</w:t>
            </w:r>
          </w:p>
        </w:tc>
        <w:tc>
          <w:tcPr>
            <w:tcW w:w="0" w:type="dxa"/>
            <w:vAlign w:val="bottom"/>
          </w:tcPr>
          <w:p>
            <w:pPr>
              <w:spacing w:after="0"/>
              <w:rPr>
                <w:sz w:val="1"/>
                <w:szCs w:val="1"/>
                <w:color w:val="auto"/>
              </w:rPr>
            </w:pPr>
          </w:p>
        </w:tc>
      </w:tr>
      <w:tr>
        <w:trPr>
          <w:trHeight w:val="183"/>
        </w:trPr>
        <w:tc>
          <w:tcPr>
            <w:tcW w:w="7660" w:type="dxa"/>
            <w:vAlign w:val="bottom"/>
            <w:vMerge w:val="continue"/>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ind w:left="260"/>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829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 less dividends received</w:t>
            </w: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(10 )</w:t>
            </w: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3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(37 )</w:t>
            </w:r>
          </w:p>
        </w:tc>
        <w:tc>
          <w:tcPr>
            <w:tcW w:w="36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Increase in working capital</w:t>
            </w:r>
          </w:p>
        </w:tc>
        <w:tc>
          <w:tcPr>
            <w:tcW w:w="3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(937 )</w:t>
            </w:r>
          </w:p>
        </w:tc>
        <w:tc>
          <w:tcPr>
            <w:tcW w:w="36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(1,475 )</w:t>
            </w:r>
          </w:p>
        </w:tc>
        <w:tc>
          <w:tcPr>
            <w:tcW w:w="0" w:type="dxa"/>
            <w:vAlign w:val="bottom"/>
          </w:tcPr>
          <w:p>
            <w:pPr>
              <w:spacing w:after="0"/>
              <w:rPr>
                <w:sz w:val="1"/>
                <w:szCs w:val="1"/>
                <w:color w:val="auto"/>
              </w:rPr>
            </w:pP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w:t>
            </w:r>
          </w:p>
        </w:tc>
        <w:tc>
          <w:tcPr>
            <w:tcW w:w="2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 from operations</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660</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(398 )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(399 )</w:t>
            </w: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APS investments</w:t>
            </w:r>
          </w:p>
        </w:tc>
        <w:tc>
          <w:tcPr>
            <w:tcW w:w="3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(108 )</w:t>
            </w:r>
          </w:p>
        </w:tc>
        <w:tc>
          <w:tcPr>
            <w:tcW w:w="36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Exploration data costs capitalized</w:t>
            </w: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(51 )</w:t>
            </w: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36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(222 )</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Dividends paid</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(386 )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Stock repurchase program</w:t>
            </w:r>
          </w:p>
        </w:tc>
        <w:tc>
          <w:tcPr>
            <w:tcW w:w="3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(2,300 )</w:t>
            </w:r>
          </w:p>
        </w:tc>
        <w:tc>
          <w:tcPr>
            <w:tcW w:w="36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(270 )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stock options</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 paid on net settled stock-based compensation awards</w:t>
            </w: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(53 )</w:t>
            </w: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Business acquisitions and investments, net of cash acquired</w:t>
            </w:r>
          </w:p>
        </w:tc>
        <w:tc>
          <w:tcPr>
            <w:tcW w:w="3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(37 )</w:t>
            </w:r>
          </w:p>
        </w:tc>
        <w:tc>
          <w:tcPr>
            <w:tcW w:w="36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Blue Chip Swap securities</w:t>
            </w: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(75 )</w:t>
            </w: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sale of Blue Chip securities</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(20 )</w:t>
            </w: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Increase in net debt before impact of changes in foreign exchange rates</w:t>
            </w:r>
          </w:p>
        </w:tc>
        <w:tc>
          <w:tcPr>
            <w:tcW w:w="360" w:type="dxa"/>
            <w:vAlign w:val="bottom"/>
          </w:tcPr>
          <w:p>
            <w:pPr>
              <w:spacing w:after="0"/>
              <w:rPr>
                <w:sz w:val="15"/>
                <w:szCs w:val="15"/>
                <w:color w:val="auto"/>
              </w:rPr>
            </w:pPr>
          </w:p>
        </w:tc>
        <w:tc>
          <w:tcPr>
            <w:tcW w:w="15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(2,592 )</w:t>
            </w:r>
          </w:p>
        </w:tc>
        <w:tc>
          <w:tcPr>
            <w:tcW w:w="360" w:type="dxa"/>
            <w:vAlign w:val="bottom"/>
          </w:tcPr>
          <w:p>
            <w:pPr>
              <w:spacing w:after="0"/>
              <w:rPr>
                <w:sz w:val="15"/>
                <w:szCs w:val="15"/>
                <w:color w:val="auto"/>
              </w:rPr>
            </w:pPr>
          </w:p>
        </w:tc>
        <w:tc>
          <w:tcPr>
            <w:tcW w:w="13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(799 )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Impact of changes in foreign exchange rates on net debt</w:t>
            </w: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(108 )</w:t>
            </w: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Increase in net debt</w:t>
            </w:r>
          </w:p>
        </w:tc>
        <w:tc>
          <w:tcPr>
            <w:tcW w:w="360" w:type="dxa"/>
            <w:vAlign w:val="bottom"/>
          </w:tcPr>
          <w:p>
            <w:pPr>
              <w:spacing w:after="0"/>
              <w:rPr>
                <w:sz w:val="15"/>
                <w:szCs w:val="15"/>
                <w:color w:val="auto"/>
              </w:rPr>
            </w:pPr>
          </w:p>
        </w:tc>
        <w:tc>
          <w:tcPr>
            <w:tcW w:w="15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(2,700 )</w:t>
            </w:r>
          </w:p>
        </w:tc>
        <w:tc>
          <w:tcPr>
            <w:tcW w:w="360" w:type="dxa"/>
            <w:vAlign w:val="bottom"/>
          </w:tcPr>
          <w:p>
            <w:pPr>
              <w:spacing w:after="0"/>
              <w:rPr>
                <w:sz w:val="15"/>
                <w:szCs w:val="15"/>
                <w:color w:val="auto"/>
              </w:rPr>
            </w:pPr>
          </w:p>
        </w:tc>
        <w:tc>
          <w:tcPr>
            <w:tcW w:w="13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(703 )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Net debt, beginning of period </w:t>
            </w:r>
            <w:r>
              <w:rPr>
                <w:rFonts w:ascii="Arial" w:cs="Arial" w:eastAsia="Arial" w:hAnsi="Arial"/>
                <w:sz w:val="21"/>
                <w:szCs w:val="21"/>
                <w:color w:val="auto"/>
                <w:vertAlign w:val="superscript"/>
              </w:rPr>
              <w:t>(1)</w:t>
            </w: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(7,405 )</w:t>
            </w:r>
          </w:p>
        </w:tc>
        <w:tc>
          <w:tcPr>
            <w:tcW w:w="3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(7,976 )</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 xml:space="preserve">Net debt, end of period </w:t>
            </w:r>
            <w:r>
              <w:rPr>
                <w:rFonts w:ascii="Arial" w:cs="Arial" w:eastAsia="Arial" w:hAnsi="Arial"/>
                <w:sz w:val="19"/>
                <w:szCs w:val="19"/>
                <w:b w:val="1"/>
                <w:bCs w:val="1"/>
                <w:color w:val="auto"/>
                <w:vertAlign w:val="superscript"/>
              </w:rPr>
              <w:t>(1)</w:t>
            </w: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w w:val="89"/>
              </w:rPr>
              <w:t>$</w:t>
            </w:r>
          </w:p>
        </w:tc>
        <w:tc>
          <w:tcPr>
            <w:tcW w:w="1520" w:type="dxa"/>
            <w:vAlign w:val="bottom"/>
            <w:gridSpan w:val="2"/>
          </w:tcPr>
          <w:p>
            <w:pPr>
              <w:jc w:val="right"/>
              <w:ind w:right="220"/>
              <w:spacing w:after="0" w:line="169" w:lineRule="exact"/>
              <w:rPr>
                <w:sz w:val="20"/>
                <w:szCs w:val="20"/>
                <w:color w:val="auto"/>
              </w:rPr>
            </w:pPr>
            <w:r>
              <w:rPr>
                <w:rFonts w:ascii="Arial" w:cs="Arial" w:eastAsia="Arial" w:hAnsi="Arial"/>
                <w:sz w:val="16"/>
                <w:szCs w:val="16"/>
                <w:b w:val="1"/>
                <w:bCs w:val="1"/>
                <w:color w:val="auto"/>
              </w:rPr>
              <w:t>(10,105 )</w:t>
            </w: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(8,679 )</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-2365375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-1868170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-650875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-402590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both"/>
        <w:ind w:left="380" w:hanging="372"/>
        <w:spacing w:after="0" w:line="228"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79"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9" w:lineRule="exact"/>
        <w:rPr>
          <w:rFonts w:ascii="Arial" w:cs="Arial" w:eastAsia="Arial" w:hAnsi="Arial"/>
          <w:sz w:val="19"/>
          <w:szCs w:val="19"/>
          <w:color w:val="auto"/>
          <w:vertAlign w:val="superscript"/>
        </w:rPr>
      </w:pPr>
    </w:p>
    <w:p>
      <w:pPr>
        <w:jc w:val="both"/>
        <w:ind w:left="380" w:hanging="372"/>
        <w:spacing w:after="0" w:line="233"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the first three months of 2025 and 2024 included:</w:t>
      </w:r>
    </w:p>
    <w:p>
      <w:pPr>
        <w:spacing w:after="0" w:line="113" w:lineRule="exact"/>
        <w:rPr>
          <w:sz w:val="20"/>
          <w:szCs w:val="20"/>
          <w:color w:val="auto"/>
        </w:rPr>
      </w:pPr>
    </w:p>
    <w:p>
      <w:pPr>
        <w:jc w:val="both"/>
        <w:ind w:left="380" w:hanging="372"/>
        <w:spacing w:after="0" w:line="266"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investments (consisting of capital expenditures, APS investments and exploration data capitalized) were $0.6 billion during the first three months of 2025 compared to $0.5 million during the first three months of 2024. Capital investments for the full year 2025 are expected to be approximately $2.3 billion.</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2025, SLB announced a 3.6% increase to its quarterly cash dividend from $0.275 per share of outstanding common stock to $0.285 per share, beginning with the dividend payable in April 2025. Dividends paid during the first three months of 2025 and 2024 were $386 million and $357 million, respectively.</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59"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SLB entered into accelerated share repurchase ("ASR") agreements to repurchase $2.3 billion of its common stock commencing on January 13, 2025, and ending no later than May 31, 2025. The ASR was completed on April 7, 2025, and SLB received 56.8 million shares of its common stock, of which 47.6 million were received in January 2025 and the remaining 9.2 million shares were received in April 2025. These shares were repurchased by SLB at an average price of $40.51, representing the volume-weighted average price of SLB's common stock during this period less a discount.</w:t>
      </w:r>
    </w:p>
    <w:p>
      <w:pPr>
        <w:spacing w:after="0" w:line="69"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quarter of 2024, SLB repurchased 5.4 million shares of its common stock at an average price of $50.13 per share for a total purchase price of $270 million.</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March 31, 2025, SLB had $3.9 billion of cash and short-term investments on hand and committed debt facility agreements with commercial banks aggregating $5.0 billion, all of which was available. SLB believes these amounts are sufficient to meet future business requirements for at least the next 12 months and beyond.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9" w:name="page20"/>
    <w:bookmarkEnd w:id="19"/>
    <w:p>
      <w:pPr>
        <w:jc w:val="both"/>
        <w:spacing w:after="0" w:line="256" w:lineRule="auto"/>
        <w:rPr>
          <w:sz w:val="20"/>
          <w:szCs w:val="20"/>
          <w:color w:val="auto"/>
        </w:rPr>
      </w:pPr>
      <w:r>
        <w:rPr>
          <w:rFonts w:ascii="Arial" w:cs="Arial" w:eastAsia="Arial" w:hAnsi="Arial"/>
          <w:sz w:val="16"/>
          <w:szCs w:val="16"/>
          <w:color w:val="auto"/>
        </w:rPr>
        <w:t xml:space="preserve">SLB has a global footprint in more than 100 countries. As of March 31, 2025, only three of those countries individually accounted for greater than 5% of SLB’s net receivable balance. Only one of these countries, the United States, represented greater than 10% of such receivables. As of March 31, 2025, Mexico represented 7% of SLB's net accounts receivable balance. (See Note 8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SLB’s receivables from its primary customer in Mexico are not in dispute and SLB has not historically had any material write-offs due to uncollectible accounts receivable relating to this customer.</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17, 2024, SLB entered into a definitive agreement to sell its interest in the Palliser APS project in Canada. Under the terms of the agreement, SLB will receive cash proceeds of approximately $430 million, subject to closing adjustments that are typical for such a transaction. The transaction, which is subject to regulatory approval and other customary closing conditions, is expected to close in the second quarter of 2025. SLB recorded revenue of approximately $0.1 billion during the first quarter of 2025 relating to this project.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first-quarter 2025 Form 10-Q,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tariffs;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Form 10-Q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April 25, 2025, and SLB disclaims any intention or obligation to update publicly or revise such statements, whether as a result of new information, future events, or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2024. SLB’s exposure to market risk has not changed materially since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9—Contingencies, in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the date of this filing, there have been no material changes from the risk factors disclosed in Part 1, Item 1A, of SLB’s Annual Report on Form 10-K for the fiscal year ended December 31, 2024.</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March 31, 2025, SLB had repurchased approximately $5.3 billion of SLB common stock under this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March 31, 2025 was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345"/>
        </w:trPr>
        <w:tc>
          <w:tcPr>
            <w:tcW w:w="5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Total number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5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rPr>
              <w:t>Maximum</w:t>
            </w:r>
          </w:p>
        </w:tc>
      </w:tr>
      <w:tr>
        <w:trPr>
          <w:trHeight w:val="189"/>
        </w:trPr>
        <w:tc>
          <w:tcPr>
            <w:tcW w:w="5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purchased as</w:t>
            </w:r>
          </w:p>
        </w:tc>
        <w:tc>
          <w:tcPr>
            <w:tcW w:w="24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color w:val="auto"/>
              </w:rPr>
              <w:t>value of shares</w:t>
            </w:r>
          </w:p>
        </w:tc>
      </w:tr>
      <w:tr>
        <w:trPr>
          <w:trHeight w:val="189"/>
        </w:trPr>
        <w:tc>
          <w:tcPr>
            <w:tcW w:w="5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24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color w:val="auto"/>
              </w:rPr>
              <w:t>that may yet be</w:t>
            </w:r>
          </w:p>
        </w:tc>
      </w:tr>
      <w:tr>
        <w:trPr>
          <w:trHeight w:val="189"/>
        </w:trPr>
        <w:tc>
          <w:tcPr>
            <w:tcW w:w="52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Total number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announced plans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color w:val="auto"/>
              </w:rPr>
              <w:t>purchased</w:t>
            </w:r>
          </w:p>
        </w:tc>
      </w:tr>
      <w:tr>
        <w:trPr>
          <w:trHeight w:val="189"/>
        </w:trPr>
        <w:tc>
          <w:tcPr>
            <w:tcW w:w="52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Average price</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or</w:t>
            </w:r>
          </w:p>
        </w:tc>
        <w:tc>
          <w:tcPr>
            <w:tcW w:w="24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color w:val="auto"/>
              </w:rPr>
              <w:t>under the plans</w:t>
            </w:r>
          </w:p>
        </w:tc>
      </w:tr>
      <w:tr>
        <w:trPr>
          <w:trHeight w:val="203"/>
        </w:trPr>
        <w:tc>
          <w:tcPr>
            <w:tcW w:w="528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paid per share</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or programs</w:t>
            </w:r>
          </w:p>
        </w:tc>
        <w:tc>
          <w:tcPr>
            <w:tcW w:w="120" w:type="dxa"/>
            <w:vAlign w:val="bottom"/>
          </w:tcPr>
          <w:p>
            <w:pPr>
              <w:spacing w:after="0"/>
              <w:rPr>
                <w:sz w:val="17"/>
                <w:szCs w:val="17"/>
                <w:color w:val="auto"/>
              </w:rPr>
            </w:pPr>
          </w:p>
        </w:tc>
      </w:tr>
      <w:tr>
        <w:trPr>
          <w:trHeight w:val="183"/>
        </w:trPr>
        <w:tc>
          <w:tcPr>
            <w:tcW w:w="5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January 2025</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47,643.7</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38.62</w:t>
            </w:r>
          </w:p>
        </w:tc>
        <w:tc>
          <w:tcPr>
            <w:tcW w:w="15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47,643.7</w:t>
            </w:r>
          </w:p>
        </w:tc>
        <w:tc>
          <w:tcPr>
            <w:tcW w:w="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4,701,236</w:t>
            </w:r>
          </w:p>
        </w:tc>
        <w:tc>
          <w:tcPr>
            <w:tcW w:w="120" w:type="dxa"/>
            <w:vAlign w:val="bottom"/>
            <w:shd w:val="clear" w:color="auto" w:fill="CFF0FC"/>
          </w:tcPr>
          <w:p>
            <w:pPr>
              <w:spacing w:after="0"/>
              <w:rPr>
                <w:sz w:val="15"/>
                <w:szCs w:val="15"/>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February 2025</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4,701,236</w:t>
            </w:r>
          </w:p>
        </w:tc>
        <w:tc>
          <w:tcPr>
            <w:tcW w:w="120" w:type="dxa"/>
            <w:vAlign w:val="bottom"/>
          </w:tcPr>
          <w:p>
            <w:pPr>
              <w:spacing w:after="0"/>
              <w:rPr>
                <w:sz w:val="16"/>
                <w:szCs w:val="16"/>
                <w:color w:val="auto"/>
              </w:rPr>
            </w:pPr>
          </w:p>
        </w:tc>
      </w:tr>
      <w:tr>
        <w:trPr>
          <w:trHeight w:val="189"/>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March 2025</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4,701,236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28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47,643.7</w:t>
            </w:r>
          </w:p>
        </w:tc>
        <w:tc>
          <w:tcPr>
            <w:tcW w:w="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38.62</w:t>
            </w:r>
          </w:p>
        </w:tc>
        <w:tc>
          <w:tcPr>
            <w:tcW w:w="15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47,643.7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5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-153670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-153670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SLB’s residual transactions or dealings with the government of Iran during the first quarter of 2025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25, 2025, Olivier Le Peuch, CEO and a member of the SLB Board of Directors, adopted a Rule 10b5-1 trading arrangement that is intended to satisfy the affirmative defense of Rule 10b5-1(c) for the sale of up to 300,000 shares of SLB’s common stock between June 25, 2025 and May 27, 2026, for a duration of 336 days.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479425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383" w:lineRule="exact"/>
        <w:rPr>
          <w:sz w:val="20"/>
          <w:szCs w:val="20"/>
          <w:color w:val="auto"/>
        </w:rPr>
      </w:pPr>
    </w:p>
    <w:p>
      <w:pPr>
        <w:jc w:val="both"/>
        <w:ind w:left="520"/>
        <w:spacing w:after="0" w:line="286" w:lineRule="auto"/>
        <w:rPr>
          <w:rFonts w:ascii="Arial" w:cs="Arial" w:eastAsia="Arial" w:hAnsi="Arial"/>
          <w:sz w:val="16"/>
          <w:szCs w:val="16"/>
          <w:color w:val="auto"/>
        </w:rPr>
      </w:pPr>
      <w:hyperlink r:id="rId235">
        <w:r>
          <w:rPr>
            <w:rFonts w:ascii="Arial" w:cs="Arial" w:eastAsia="Arial" w:hAnsi="Arial"/>
            <w:sz w:val="16"/>
            <w:szCs w:val="16"/>
            <w:color w:val="auto"/>
          </w:rPr>
          <w:t>Exhibit 3.1—Articles of Incorporation of Schlumberger Limited (Schlumberger N.V.) (incorporated by reference to Exhibit 3.1 to SLB’s Current Report</w:t>
        </w:r>
      </w:hyperlink>
      <w:r>
        <w:rPr>
          <w:rFonts w:ascii="Arial" w:cs="Arial" w:eastAsia="Arial" w:hAnsi="Arial"/>
          <w:sz w:val="16"/>
          <w:szCs w:val="16"/>
          <w:color w:val="auto"/>
        </w:rPr>
        <w:t xml:space="preserve"> </w:t>
      </w:r>
      <w:hyperlink r:id="rId235">
        <w:r>
          <w:rPr>
            <w:rFonts w:ascii="Arial" w:cs="Arial" w:eastAsia="Arial" w:hAnsi="Arial"/>
            <w:sz w:val="16"/>
            <w:szCs w:val="16"/>
            <w:color w:val="auto"/>
          </w:rPr>
          <w:t>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-165735</wp:posOffset>
            </wp:positionV>
            <wp:extent cx="62033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20331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-45720</wp:posOffset>
            </wp:positionV>
            <wp:extent cx="15722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09" w:lineRule="exact"/>
        <w:rPr>
          <w:sz w:val="20"/>
          <w:szCs w:val="20"/>
          <w:color w:val="auto"/>
        </w:rPr>
      </w:pPr>
    </w:p>
    <w:p>
      <w:pPr>
        <w:jc w:val="both"/>
        <w:ind w:left="520"/>
        <w:spacing w:after="0" w:line="286" w:lineRule="auto"/>
        <w:rPr>
          <w:rFonts w:ascii="Arial" w:cs="Arial" w:eastAsia="Arial" w:hAnsi="Arial"/>
          <w:sz w:val="16"/>
          <w:szCs w:val="16"/>
          <w:color w:val="auto"/>
        </w:rPr>
      </w:pPr>
      <w:hyperlink r:id="rId238">
        <w:r>
          <w:rPr>
            <w:rFonts w:ascii="Arial" w:cs="Arial" w:eastAsia="Arial" w:hAnsi="Arial"/>
            <w:sz w:val="16"/>
            <w:szCs w:val="16"/>
            <w:color w:val="auto"/>
          </w:rPr>
          <w:t>Exhibit 3.2—Amended and Restated By-Laws of Schlumberger Limited (Schlumberger N.V.) (incorporated by reference to Exhibit 3 to SLB’s Current</w:t>
        </w:r>
      </w:hyperlink>
      <w:r>
        <w:rPr>
          <w:rFonts w:ascii="Arial" w:cs="Arial" w:eastAsia="Arial" w:hAnsi="Arial"/>
          <w:sz w:val="16"/>
          <w:szCs w:val="16"/>
          <w:color w:val="auto"/>
        </w:rPr>
        <w:t xml:space="preserve"> </w:t>
      </w:r>
      <w:hyperlink r:id="rId238">
        <w:r>
          <w:rPr>
            <w:rFonts w:ascii="Arial" w:cs="Arial" w:eastAsia="Arial" w:hAnsi="Arial"/>
            <w:sz w:val="16"/>
            <w:szCs w:val="16"/>
            <w:color w:val="auto"/>
          </w:rPr>
          <w:t>Report on Form 8-K filed on April 21,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-165735</wp:posOffset>
            </wp:positionV>
            <wp:extent cx="62039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20395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-45720</wp:posOffset>
            </wp:positionV>
            <wp:extent cx="19665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1966595" cy="8890"/>
                    </a:xfrm>
                    <a:prstGeom prst="rect">
                      <a:avLst/>
                    </a:prstGeom>
                    <a:noFill/>
                  </pic:spPr>
                </pic:pic>
              </a:graphicData>
            </a:graphic>
          </wp:anchor>
        </w:drawing>
      </w:r>
    </w:p>
    <w:p>
      <w:pPr>
        <w:spacing w:after="0" w:line="109" w:lineRule="exact"/>
        <w:rPr>
          <w:sz w:val="20"/>
          <w:szCs w:val="20"/>
          <w:color w:val="auto"/>
        </w:rPr>
      </w:pPr>
    </w:p>
    <w:p>
      <w:pPr>
        <w:jc w:val="both"/>
        <w:ind w:left="520"/>
        <w:spacing w:after="0" w:line="266" w:lineRule="auto"/>
        <w:rPr>
          <w:rFonts w:ascii="Arial" w:cs="Arial" w:eastAsia="Arial" w:hAnsi="Arial"/>
          <w:sz w:val="16"/>
          <w:szCs w:val="16"/>
          <w:color w:val="auto"/>
        </w:rPr>
      </w:pPr>
      <w:hyperlink r:id="rId241">
        <w:r>
          <w:rPr>
            <w:rFonts w:ascii="Arial" w:cs="Arial" w:eastAsia="Arial" w:hAnsi="Arial"/>
            <w:sz w:val="16"/>
            <w:szCs w:val="16"/>
            <w:color w:val="auto"/>
          </w:rPr>
          <w:t>Exhibit 4.1—Indenture dated as of December 3, 2013, by and among Schlumberger Investment S.A., as issuer, Schlumberger Limited, as guarantor,</w:t>
        </w:r>
      </w:hyperlink>
      <w:r>
        <w:rPr>
          <w:rFonts w:ascii="Arial" w:cs="Arial" w:eastAsia="Arial" w:hAnsi="Arial"/>
          <w:sz w:val="16"/>
          <w:szCs w:val="16"/>
          <w:color w:val="auto"/>
        </w:rPr>
        <w:t xml:space="preserve"> </w:t>
      </w:r>
      <w:hyperlink r:id="rId241">
        <w:r>
          <w:rPr>
            <w:rFonts w:ascii="Arial" w:cs="Arial" w:eastAsia="Arial" w:hAnsi="Arial"/>
            <w:sz w:val="16"/>
            <w:szCs w:val="16"/>
            <w:color w:val="auto"/>
          </w:rPr>
          <w:t>and The Bank of New York Mellon, as trustee (incorporated by reference to Exhibit 4.1 to SLB’s Current Report on Form 8-K filed on December 3,</w:t>
        </w:r>
      </w:hyperlink>
      <w:r>
        <w:rPr>
          <w:rFonts w:ascii="Arial" w:cs="Arial" w:eastAsia="Arial" w:hAnsi="Arial"/>
          <w:sz w:val="16"/>
          <w:szCs w:val="16"/>
          <w:color w:val="auto"/>
        </w:rPr>
        <w:t xml:space="preserve"> </w:t>
      </w:r>
      <w:hyperlink r:id="rId241">
        <w:r>
          <w:rPr>
            <w:rFonts w:ascii="Arial" w:cs="Arial" w:eastAsia="Arial" w:hAnsi="Arial"/>
            <w:sz w:val="16"/>
            <w:szCs w:val="16"/>
            <w:color w:val="auto"/>
          </w:rPr>
          <w:t>2013)</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919480</wp:posOffset>
            </wp:positionH>
            <wp:positionV relativeFrom="paragraph">
              <wp:posOffset>-276225</wp:posOffset>
            </wp:positionV>
            <wp:extent cx="62039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620395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-156210</wp:posOffset>
            </wp:positionV>
            <wp:extent cx="67894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-36195</wp:posOffset>
            </wp:positionV>
            <wp:extent cx="262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124" w:lineRule="exact"/>
        <w:rPr>
          <w:rFonts w:ascii="Arial" w:cs="Arial" w:eastAsia="Arial" w:hAnsi="Arial"/>
          <w:sz w:val="16"/>
          <w:szCs w:val="16"/>
          <w:color w:val="auto"/>
        </w:rPr>
      </w:pPr>
    </w:p>
    <w:p>
      <w:pPr>
        <w:jc w:val="both"/>
        <w:ind w:left="520"/>
        <w:spacing w:after="0" w:line="266" w:lineRule="auto"/>
        <w:rPr>
          <w:rFonts w:ascii="Arial" w:cs="Arial" w:eastAsia="Arial" w:hAnsi="Arial"/>
          <w:sz w:val="16"/>
          <w:szCs w:val="16"/>
          <w:color w:val="auto"/>
        </w:rPr>
      </w:pPr>
      <w:hyperlink r:id="rId245">
        <w:r>
          <w:rPr>
            <w:rFonts w:ascii="Arial" w:cs="Arial" w:eastAsia="Arial" w:hAnsi="Arial"/>
            <w:sz w:val="16"/>
            <w:szCs w:val="16"/>
            <w:color w:val="auto"/>
          </w:rPr>
          <w:t>Exhibit 4.2—Second Supplemental Indenture dated as of June 26, 2020, by and among Schlumberger Investment S.A., as issuer, Schlumberger</w:t>
        </w:r>
      </w:hyperlink>
      <w:r>
        <w:rPr>
          <w:rFonts w:ascii="Arial" w:cs="Arial" w:eastAsia="Arial" w:hAnsi="Arial"/>
          <w:sz w:val="16"/>
          <w:szCs w:val="16"/>
          <w:color w:val="auto"/>
        </w:rPr>
        <w:t xml:space="preserve"> </w:t>
      </w:r>
      <w:hyperlink r:id="rId245">
        <w:r>
          <w:rPr>
            <w:rFonts w:ascii="Arial" w:cs="Arial" w:eastAsia="Arial" w:hAnsi="Arial"/>
            <w:sz w:val="16"/>
            <w:szCs w:val="16"/>
            <w:color w:val="auto"/>
          </w:rPr>
          <w:t>Limited, as guarantor, and The Bank of New York Mellon, as trustee (including form of global notes representing 2.650% Senior Notes due 2030)</w:t>
        </w:r>
      </w:hyperlink>
      <w:r>
        <w:rPr>
          <w:rFonts w:ascii="Arial" w:cs="Arial" w:eastAsia="Arial" w:hAnsi="Arial"/>
          <w:sz w:val="16"/>
          <w:szCs w:val="16"/>
          <w:color w:val="auto"/>
        </w:rPr>
        <w:t xml:space="preserve"> </w:t>
      </w:r>
      <w:hyperlink r:id="rId245">
        <w:r>
          <w:rPr>
            <w:rFonts w:ascii="Arial" w:cs="Arial" w:eastAsia="Arial" w:hAnsi="Arial"/>
            <w:sz w:val="16"/>
            <w:szCs w:val="16"/>
            <w:color w:val="auto"/>
          </w:rPr>
          <w:t>(incorporated by reference to Exhibit 4.1 to SLB’s Current Report on Form 8-K filed on June 26, 2020)</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927735</wp:posOffset>
            </wp:positionH>
            <wp:positionV relativeFrom="paragraph">
              <wp:posOffset>-276225</wp:posOffset>
            </wp:positionV>
            <wp:extent cx="61925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619252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-156210</wp:posOffset>
            </wp:positionV>
            <wp:extent cx="67843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678434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-36195</wp:posOffset>
            </wp:positionV>
            <wp:extent cx="46259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4625975" cy="8255"/>
                    </a:xfrm>
                    <a:prstGeom prst="rect">
                      <a:avLst/>
                    </a:prstGeom>
                    <a:noFill/>
                  </pic:spPr>
                </pic:pic>
              </a:graphicData>
            </a:graphic>
          </wp:anchor>
        </w:drawing>
      </w:r>
    </w:p>
    <w:p>
      <w:pPr>
        <w:spacing w:after="0" w:line="124" w:lineRule="exact"/>
        <w:rPr>
          <w:rFonts w:ascii="Arial" w:cs="Arial" w:eastAsia="Arial" w:hAnsi="Arial"/>
          <w:sz w:val="16"/>
          <w:szCs w:val="16"/>
          <w:color w:val="auto"/>
        </w:rPr>
      </w:pPr>
    </w:p>
    <w:p>
      <w:pPr>
        <w:jc w:val="both"/>
        <w:ind w:left="520"/>
        <w:spacing w:after="0" w:line="266" w:lineRule="auto"/>
        <w:rPr>
          <w:rFonts w:ascii="Arial" w:cs="Arial" w:eastAsia="Arial" w:hAnsi="Arial"/>
          <w:sz w:val="16"/>
          <w:szCs w:val="16"/>
          <w:color w:val="auto"/>
        </w:rPr>
      </w:pPr>
      <w:hyperlink r:id="rId249">
        <w:r>
          <w:rPr>
            <w:rFonts w:ascii="Arial" w:cs="Arial" w:eastAsia="Arial" w:hAnsi="Arial"/>
            <w:sz w:val="16"/>
            <w:szCs w:val="16"/>
            <w:color w:val="auto"/>
          </w:rPr>
          <w:t>Exhibit 4.3—Fourth Supplemental Indenture dated as of May 29, 2024, among Schlumberger Investment S.A., as issuer, Schlumberger Limited, as</w:t>
        </w:r>
      </w:hyperlink>
      <w:r>
        <w:rPr>
          <w:rFonts w:ascii="Arial" w:cs="Arial" w:eastAsia="Arial" w:hAnsi="Arial"/>
          <w:sz w:val="16"/>
          <w:szCs w:val="16"/>
          <w:color w:val="auto"/>
        </w:rPr>
        <w:t xml:space="preserve"> </w:t>
      </w:r>
      <w:hyperlink r:id="rId249">
        <w:r>
          <w:rPr>
            <w:rFonts w:ascii="Arial" w:cs="Arial" w:eastAsia="Arial" w:hAnsi="Arial"/>
            <w:sz w:val="16"/>
            <w:szCs w:val="16"/>
            <w:color w:val="auto"/>
          </w:rPr>
          <w:t>guarantor, and The Bank of New York Mellon, as trustee (including form of global notes representing 5.000% Senior Notes due 2034) (incorporated</w:t>
        </w:r>
      </w:hyperlink>
      <w:r>
        <w:rPr>
          <w:rFonts w:ascii="Arial" w:cs="Arial" w:eastAsia="Arial" w:hAnsi="Arial"/>
          <w:sz w:val="16"/>
          <w:szCs w:val="16"/>
          <w:color w:val="auto"/>
        </w:rPr>
        <w:t xml:space="preserve"> </w:t>
      </w:r>
      <w:hyperlink r:id="rId249">
        <w:r>
          <w:rPr>
            <w:rFonts w:ascii="Arial" w:cs="Arial" w:eastAsia="Arial" w:hAnsi="Arial"/>
            <w:sz w:val="16"/>
            <w:szCs w:val="16"/>
            <w:color w:val="auto"/>
          </w:rPr>
          <w:t>by reference to Exhibit 4.1 to SLB’s Current Report on Form 8-K filed on May 29, 2024)</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919480</wp:posOffset>
            </wp:positionH>
            <wp:positionV relativeFrom="paragraph">
              <wp:posOffset>-276225</wp:posOffset>
            </wp:positionV>
            <wp:extent cx="6207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620712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-156210</wp:posOffset>
            </wp:positionV>
            <wp:extent cx="67900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679005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-36195</wp:posOffset>
            </wp:positionV>
            <wp:extent cx="39624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3962400" cy="8255"/>
                    </a:xfrm>
                    <a:prstGeom prst="rect">
                      <a:avLst/>
                    </a:prstGeom>
                    <a:noFill/>
                  </pic:spPr>
                </pic:pic>
              </a:graphicData>
            </a:graphic>
          </wp:anchor>
        </w:drawing>
      </w:r>
    </w:p>
    <w:p>
      <w:pPr>
        <w:spacing w:after="0" w:line="124" w:lineRule="exact"/>
        <w:rPr>
          <w:rFonts w:ascii="Arial" w:cs="Arial" w:eastAsia="Arial" w:hAnsi="Arial"/>
          <w:sz w:val="16"/>
          <w:szCs w:val="16"/>
          <w:color w:val="auto"/>
        </w:rPr>
      </w:pPr>
    </w:p>
    <w:p>
      <w:pPr>
        <w:ind w:left="520" w:firstLine="9"/>
        <w:spacing w:after="0" w:line="286" w:lineRule="auto"/>
        <w:tabs>
          <w:tab w:leader="none" w:pos="6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4.4—Fifth Supplemental Indenture dated as of March 13, 2025, among Schlumberger Investment S.A., as issuer, Schlumberger Limited, as guarantor, and The Bank of New York Mellon, as trustee</w:t>
      </w:r>
    </w:p>
    <w:p>
      <w:pPr>
        <w:spacing w:after="0" w:line="128" w:lineRule="exact"/>
        <w:rPr>
          <w:rFonts w:ascii="Arial" w:cs="Arial" w:eastAsia="Arial" w:hAnsi="Arial"/>
          <w:sz w:val="16"/>
          <w:szCs w:val="16"/>
          <w:color w:val="auto"/>
        </w:rPr>
      </w:pPr>
    </w:p>
    <w:p>
      <w:pPr>
        <w:ind w:left="640" w:hanging="111"/>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10.1—Form of Restricted Stock Unit Award Agreement under SLB’s 2017 Omnibus Stock Incentive Plan (ratable vesting) (+)</w:t>
      </w:r>
    </w:p>
    <w:p>
      <w:pPr>
        <w:spacing w:after="0" w:line="194" w:lineRule="exact"/>
        <w:rPr>
          <w:rFonts w:ascii="Arial" w:cs="Arial" w:eastAsia="Arial" w:hAnsi="Arial"/>
          <w:sz w:val="16"/>
          <w:szCs w:val="16"/>
          <w:color w:val="auto"/>
        </w:rPr>
      </w:pPr>
    </w:p>
    <w:p>
      <w:pPr>
        <w:ind w:left="640" w:hanging="111"/>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10.2—Form of Restricted Stock Unit Award Agreement under SLB’s 2017 Omnibus Stock Incentive Plan (three-year cliff vesting) (+)</w:t>
      </w:r>
    </w:p>
    <w:p>
      <w:pPr>
        <w:spacing w:after="0" w:line="194" w:lineRule="exact"/>
        <w:rPr>
          <w:rFonts w:ascii="Arial" w:cs="Arial" w:eastAsia="Arial" w:hAnsi="Arial"/>
          <w:sz w:val="16"/>
          <w:szCs w:val="16"/>
          <w:color w:val="auto"/>
        </w:rPr>
      </w:pPr>
    </w:p>
    <w:p>
      <w:pPr>
        <w:ind w:left="520" w:firstLine="9"/>
        <w:spacing w:after="0" w:line="286" w:lineRule="auto"/>
        <w:tabs>
          <w:tab w:leader="none" w:pos="64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10.3—Form of Performance Share Unit Award Agreement (Based on Free Cash Flow Margin Performance) under SLB’s 2017 Omnibus Stock Incentive Plan (+)</w:t>
      </w:r>
    </w:p>
    <w:p>
      <w:pPr>
        <w:spacing w:after="0" w:line="128" w:lineRule="exact"/>
        <w:rPr>
          <w:rFonts w:ascii="Arial" w:cs="Arial" w:eastAsia="Arial" w:hAnsi="Arial"/>
          <w:sz w:val="16"/>
          <w:szCs w:val="16"/>
          <w:color w:val="auto"/>
        </w:rPr>
      </w:pPr>
    </w:p>
    <w:p>
      <w:pPr>
        <w:ind w:left="520" w:firstLine="9"/>
        <w:spacing w:after="0" w:line="286" w:lineRule="auto"/>
        <w:tabs>
          <w:tab w:leader="none" w:pos="6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10.4—Form of Performance Share Unit Award Agreement (Based on Relative Return on Capital Employed Performance) under SLB’s 2017 Omnibus Stock Incentive Plan (+)</w:t>
      </w:r>
    </w:p>
    <w:p>
      <w:pPr>
        <w:spacing w:after="0" w:line="128" w:lineRule="exact"/>
        <w:rPr>
          <w:rFonts w:ascii="Arial" w:cs="Arial" w:eastAsia="Arial" w:hAnsi="Arial"/>
          <w:sz w:val="16"/>
          <w:szCs w:val="16"/>
          <w:color w:val="auto"/>
        </w:rPr>
      </w:pPr>
    </w:p>
    <w:p>
      <w:pPr>
        <w:ind w:left="520" w:firstLine="9"/>
        <w:spacing w:after="0" w:line="286" w:lineRule="auto"/>
        <w:tabs>
          <w:tab w:leader="none" w:pos="6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 10.5—Form of Performance Share Unit Award Agreement (Based on Relative TSR Performance) under SLB’s 2017 Omnibus Stock Incentive Plan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988060</wp:posOffset>
            </wp:positionH>
            <wp:positionV relativeFrom="paragraph">
              <wp:posOffset>-1725930</wp:posOffset>
            </wp:positionV>
            <wp:extent cx="61410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6141085" cy="8890"/>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-1605915</wp:posOffset>
            </wp:positionV>
            <wp:extent cx="25673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2567305"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-1365885</wp:posOffset>
            </wp:positionV>
            <wp:extent cx="53657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5365750" cy="8255"/>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-1125855</wp:posOffset>
            </wp:positionV>
            <wp:extent cx="57029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5702935" cy="8255"/>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-885825</wp:posOffset>
            </wp:positionV>
            <wp:extent cx="60604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-765810</wp:posOffset>
            </wp:positionV>
            <wp:extent cx="10890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-525780</wp:posOffset>
            </wp:positionV>
            <wp:extent cx="60839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6083935" cy="8890"/>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-405765</wp:posOffset>
            </wp:positionV>
            <wp:extent cx="15290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1529080" cy="8255"/>
                    </a:xfrm>
                    <a:prstGeom prst="rect">
                      <a:avLst/>
                    </a:prstGeom>
                    <a:noFill/>
                  </pic:spPr>
                </pic:pic>
              </a:graphicData>
            </a:graphic>
          </wp:anchor>
        </w:drawing>
        <w:drawing>
          <wp:anchor simplePos="0" relativeHeight="251657728" behindDoc="1" locked="0" layoutInCell="0" allowOverlap="1">
            <wp:simplePos x="0" y="0"/>
            <wp:positionH relativeFrom="column">
              <wp:posOffset>1087755</wp:posOffset>
            </wp:positionH>
            <wp:positionV relativeFrom="paragraph">
              <wp:posOffset>-165735</wp:posOffset>
            </wp:positionV>
            <wp:extent cx="6037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603758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-45720</wp:posOffset>
            </wp:positionV>
            <wp:extent cx="8032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109" w:lineRule="exact"/>
        <w:rPr>
          <w:rFonts w:ascii="Arial" w:cs="Arial" w:eastAsia="Arial" w:hAnsi="Arial"/>
          <w:sz w:val="16"/>
          <w:szCs w:val="16"/>
          <w:color w:val="auto"/>
        </w:rPr>
      </w:pPr>
    </w:p>
    <w:p>
      <w:pPr>
        <w:ind w:left="520"/>
        <w:spacing w:after="0" w:line="286" w:lineRule="auto"/>
        <w:rPr>
          <w:rFonts w:ascii="Arial" w:cs="Arial" w:eastAsia="Arial" w:hAnsi="Arial"/>
          <w:sz w:val="16"/>
          <w:szCs w:val="16"/>
          <w:color w:val="auto"/>
        </w:rPr>
      </w:pPr>
      <w:hyperlink r:id="rId263">
        <w:r>
          <w:rPr>
            <w:rFonts w:ascii="Arial" w:cs="Arial" w:eastAsia="Arial" w:hAnsi="Arial"/>
            <w:sz w:val="16"/>
            <w:szCs w:val="16"/>
            <w:color w:val="auto"/>
          </w:rPr>
          <w:t>Exhibit 10.6—Discounted Stock Purchase Plan, as amended and restated effective April 2, 2025 (incorporated by reference to Appendix B to SLB’s</w:t>
        </w:r>
      </w:hyperlink>
      <w:r>
        <w:rPr>
          <w:rFonts w:ascii="Arial" w:cs="Arial" w:eastAsia="Arial" w:hAnsi="Arial"/>
          <w:sz w:val="16"/>
          <w:szCs w:val="16"/>
          <w:color w:val="auto"/>
        </w:rPr>
        <w:t xml:space="preserve"> </w:t>
      </w:r>
      <w:hyperlink r:id="rId263">
        <w:r>
          <w:rPr>
            <w:rFonts w:ascii="Arial" w:cs="Arial" w:eastAsia="Arial" w:hAnsi="Arial"/>
            <w:sz w:val="16"/>
            <w:szCs w:val="16"/>
            <w:color w:val="auto"/>
          </w:rPr>
          <w:t>Definitive Proxy Statement on Schedule 14A filed on February 20,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-165735</wp:posOffset>
            </wp:positionV>
            <wp:extent cx="61499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614997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-45720</wp:posOffset>
            </wp:positionV>
            <wp:extent cx="34448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3444875" cy="8890"/>
                    </a:xfrm>
                    <a:prstGeom prst="rect">
                      <a:avLst/>
                    </a:prstGeom>
                    <a:noFill/>
                  </pic:spPr>
                </pic:pic>
              </a:graphicData>
            </a:graphic>
          </wp:anchor>
        </w:drawing>
      </w:r>
    </w:p>
    <w:p>
      <w:pPr>
        <w:spacing w:after="0" w:line="109" w:lineRule="exact"/>
        <w:rPr>
          <w:sz w:val="20"/>
          <w:szCs w:val="20"/>
          <w:color w:val="auto"/>
        </w:rPr>
      </w:pPr>
    </w:p>
    <w:p>
      <w:pPr>
        <w:ind w:left="640" w:hanging="111"/>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22—Issuers of Registered Guaranteed Debt Securities</w:t>
      </w:r>
    </w:p>
    <w:p>
      <w:pPr>
        <w:spacing w:after="0" w:line="194" w:lineRule="exact"/>
        <w:rPr>
          <w:rFonts w:ascii="Arial" w:cs="Arial" w:eastAsia="Arial" w:hAnsi="Arial"/>
          <w:sz w:val="16"/>
          <w:szCs w:val="16"/>
          <w:color w:val="auto"/>
        </w:rPr>
      </w:pPr>
    </w:p>
    <w:p>
      <w:pPr>
        <w:ind w:left="520" w:firstLine="9"/>
        <w:spacing w:after="0" w:line="286"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31.1—Certification of Chief Executive Officer pursuant to Rule 13a-14(a) of the Securities Exchange Act of 1934, as amended, as adopted pursuant to Section 302 of the Sarbanes-Oxley Act of 2002</w:t>
      </w:r>
    </w:p>
    <w:p>
      <w:pPr>
        <w:spacing w:after="0" w:line="128" w:lineRule="exact"/>
        <w:rPr>
          <w:rFonts w:ascii="Arial" w:cs="Arial" w:eastAsia="Arial" w:hAnsi="Arial"/>
          <w:sz w:val="16"/>
          <w:szCs w:val="16"/>
          <w:color w:val="auto"/>
        </w:rPr>
      </w:pPr>
    </w:p>
    <w:p>
      <w:pPr>
        <w:ind w:left="520" w:firstLine="9"/>
        <w:spacing w:after="0" w:line="286"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31.2—Certification of Chief Financial Officer pursuant to Rule 13a-14(a)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-765810</wp:posOffset>
            </wp:positionV>
            <wp:extent cx="22701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2270125" cy="8890"/>
                    </a:xfrm>
                    <a:prstGeom prst="rect">
                      <a:avLst/>
                    </a:prstGeom>
                    <a:noFill/>
                  </pic:spPr>
                </pic:pic>
              </a:graphicData>
            </a:graphic>
          </wp:anchor>
        </w:drawing>
        <w:drawing>
          <wp:anchor simplePos="0" relativeHeight="251657728" behindDoc="1" locked="0" layoutInCell="0" allowOverlap="1">
            <wp:simplePos x="0" y="0"/>
            <wp:positionH relativeFrom="column">
              <wp:posOffset>1053465</wp:posOffset>
            </wp:positionH>
            <wp:positionV relativeFrom="paragraph">
              <wp:posOffset>-525780</wp:posOffset>
            </wp:positionV>
            <wp:extent cx="60667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606679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-405765</wp:posOffset>
            </wp:positionV>
            <wp:extent cx="2687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2687320" cy="8890"/>
                    </a:xfrm>
                    <a:prstGeom prst="rect">
                      <a:avLst/>
                    </a:prstGeom>
                    <a:noFill/>
                  </pic:spPr>
                </pic:pic>
              </a:graphicData>
            </a:graphic>
          </wp:anchor>
        </w:drawing>
        <w:drawing>
          <wp:anchor simplePos="0" relativeHeight="251657728" behindDoc="1" locked="0" layoutInCell="0" allowOverlap="1">
            <wp:simplePos x="0" y="0"/>
            <wp:positionH relativeFrom="column">
              <wp:posOffset>1053465</wp:posOffset>
            </wp:positionH>
            <wp:positionV relativeFrom="paragraph">
              <wp:posOffset>-165735</wp:posOffset>
            </wp:positionV>
            <wp:extent cx="60667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6066790" cy="8890"/>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-45720</wp:posOffset>
            </wp:positionV>
            <wp:extent cx="2687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09" w:lineRule="exact"/>
        <w:rPr>
          <w:sz w:val="20"/>
          <w:szCs w:val="20"/>
          <w:color w:val="auto"/>
        </w:rPr>
      </w:pPr>
    </w:p>
    <w:p>
      <w:pPr>
        <w:ind w:left="520" w:firstLine="9"/>
        <w:spacing w:after="0" w:line="286"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32.1—Certification of Chief Executive Officer pursuant to 18 U.S.C. Section 1350, as adopted pursuant to Section 906 of the Sarbanes-Oxley Act of 2002</w:t>
      </w:r>
    </w:p>
    <w:p>
      <w:pPr>
        <w:spacing w:after="0" w:line="128" w:lineRule="exact"/>
        <w:rPr>
          <w:rFonts w:ascii="Arial" w:cs="Arial" w:eastAsia="Arial" w:hAnsi="Arial"/>
          <w:sz w:val="16"/>
          <w:szCs w:val="16"/>
          <w:color w:val="auto"/>
        </w:rPr>
      </w:pPr>
    </w:p>
    <w:p>
      <w:pPr>
        <w:ind w:left="520" w:firstLine="9"/>
        <w:spacing w:after="0" w:line="286"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32.2—Certification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-525780</wp:posOffset>
            </wp:positionV>
            <wp:extent cx="60210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602107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-405765</wp:posOffset>
            </wp:positionV>
            <wp:extent cx="8115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81153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-165735</wp:posOffset>
            </wp:positionV>
            <wp:extent cx="60210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602107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-45720</wp:posOffset>
            </wp:positionV>
            <wp:extent cx="8115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09" w:lineRule="exact"/>
        <w:rPr>
          <w:sz w:val="20"/>
          <w:szCs w:val="20"/>
          <w:color w:val="auto"/>
        </w:rPr>
      </w:pPr>
    </w:p>
    <w:p>
      <w:pPr>
        <w:ind w:left="640" w:hanging="111"/>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95—Mine Safety Disclosures</w:t>
      </w:r>
    </w:p>
    <w:p>
      <w:pPr>
        <w:spacing w:after="0" w:line="194" w:lineRule="exact"/>
        <w:rPr>
          <w:rFonts w:ascii="Arial" w:cs="Arial" w:eastAsia="Arial" w:hAnsi="Arial"/>
          <w:sz w:val="16"/>
          <w:szCs w:val="16"/>
          <w:color w:val="auto"/>
        </w:rPr>
      </w:pPr>
    </w:p>
    <w:p>
      <w:pPr>
        <w:ind w:left="520" w:firstLine="9"/>
        <w:spacing w:after="0" w:line="286" w:lineRule="auto"/>
        <w:tabs>
          <w:tab w:leader="none" w:pos="64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28" w:lineRule="exact"/>
        <w:rPr>
          <w:rFonts w:ascii="Arial" w:cs="Arial" w:eastAsia="Arial" w:hAnsi="Arial"/>
          <w:sz w:val="16"/>
          <w:szCs w:val="16"/>
          <w:color w:val="auto"/>
        </w:rPr>
      </w:pPr>
    </w:p>
    <w:p>
      <w:pPr>
        <w:ind w:left="640" w:hanging="111"/>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194" w:lineRule="exact"/>
        <w:rPr>
          <w:rFonts w:ascii="Arial" w:cs="Arial" w:eastAsia="Arial" w:hAnsi="Arial"/>
          <w:sz w:val="16"/>
          <w:szCs w:val="16"/>
          <w:color w:val="auto"/>
        </w:rPr>
      </w:pPr>
    </w:p>
    <w:p>
      <w:pPr>
        <w:ind w:left="640" w:hanging="111"/>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-844550</wp:posOffset>
            </wp:positionV>
            <wp:extent cx="11029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 Filed with this Form 10-Q.</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Furnished with this Form 10-Q.</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30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SLB agrees, pursuant to Item 601(b)(4)(iii) of Regulation S-K, that it will furnish a copy of any such instrument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8" w:right="4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SCHLUMBERGER LIMITED</w:t>
      </w:r>
    </w:p>
    <w:p>
      <w:pPr>
        <w:spacing w:after="0" w:line="235" w:lineRule="exact"/>
        <w:rPr>
          <w:sz w:val="20"/>
          <w:szCs w:val="20"/>
          <w:color w:val="auto"/>
        </w:rPr>
      </w:pPr>
    </w:p>
    <w:p>
      <w:pPr>
        <w:ind w:left="20"/>
        <w:spacing w:after="0"/>
        <w:tabs>
          <w:tab w:leader="none" w:pos="560" w:val="left"/>
          <w:tab w:leader="none" w:pos="5740" w:val="left"/>
        </w:tabs>
        <w:rPr>
          <w:sz w:val="20"/>
          <w:szCs w:val="20"/>
          <w:color w:val="auto"/>
        </w:rPr>
      </w:pPr>
      <w:r>
        <w:rPr>
          <w:rFonts w:ascii="Arial" w:cs="Arial" w:eastAsia="Arial" w:hAnsi="Arial"/>
          <w:sz w:val="16"/>
          <w:szCs w:val="16"/>
          <w:color w:val="auto"/>
        </w:rPr>
        <w:t>Date:</w:t>
        <w:tab/>
        <w:t>April 25, 2025</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12065</wp:posOffset>
            </wp:positionV>
            <wp:extent cx="3488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4"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Howard Guild</w:t>
      </w:r>
    </w:p>
    <w:p>
      <w:pPr>
        <w:spacing w:after="0" w:line="22"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0"/>
          <w:szCs w:val="20"/>
          <w:b w:val="1"/>
          <w:bCs w:val="1"/>
          <w:i w:val="1"/>
          <w:i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Schlumberger Investment S.A.</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Schlumberger Limited</w:t>
      </w:r>
    </w:p>
    <w:p>
      <w:pPr>
        <w:spacing w:after="0" w:line="204"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_______________________________</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FIFTH SUPPLEMENTAL INDENTURE</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March 13, 2025</w:t>
      </w:r>
    </w:p>
    <w:p>
      <w:pPr>
        <w:spacing w:after="0" w:line="202"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_______________________________</w:t>
      </w:r>
    </w:p>
    <w:p>
      <w:pPr>
        <w:spacing w:after="0" w:line="202"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The Bank of New York Mellon,</w:t>
      </w:r>
    </w:p>
    <w:p>
      <w:pPr>
        <w:spacing w:after="0" w:line="202"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as Trustee, Registrar, Paying Agent</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 Transfer Agent</w:t>
      </w:r>
    </w:p>
    <w:p>
      <w:pPr>
        <w:spacing w:after="0" w:line="184"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1158240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6"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20"/>
          <w:szCs w:val="20"/>
          <w:b w:val="1"/>
          <w:bCs w:val="1"/>
          <w:color w:val="auto"/>
        </w:rPr>
        <w:t>FIFTH SUPPLEMENTAL INDENTURE</w:t>
      </w:r>
    </w:p>
    <w:p>
      <w:pPr>
        <w:spacing w:after="0" w:line="204" w:lineRule="exact"/>
        <w:rPr>
          <w:sz w:val="20"/>
          <w:szCs w:val="20"/>
          <w:color w:val="auto"/>
        </w:rPr>
      </w:pPr>
    </w:p>
    <w:p>
      <w:pPr>
        <w:ind w:right="20" w:firstLine="749"/>
        <w:spacing w:after="0" w:line="232" w:lineRule="auto"/>
        <w:rPr>
          <w:sz w:val="20"/>
          <w:szCs w:val="20"/>
          <w:color w:val="auto"/>
        </w:rPr>
      </w:pPr>
      <w:r>
        <w:rPr>
          <w:rFonts w:ascii="Arial" w:cs="Arial" w:eastAsia="Arial" w:hAnsi="Arial"/>
          <w:sz w:val="20"/>
          <w:szCs w:val="20"/>
          <w:color w:val="auto"/>
        </w:rPr>
        <w:t>FIFTH SUPPLEMENTAL INDENTURE (this “</w:t>
      </w:r>
      <w:r>
        <w:rPr>
          <w:rFonts w:ascii="Arial" w:cs="Arial" w:eastAsia="Arial" w:hAnsi="Arial"/>
          <w:sz w:val="20"/>
          <w:szCs w:val="20"/>
          <w:i w:val="1"/>
          <w:iCs w:val="1"/>
          <w:color w:val="auto"/>
        </w:rPr>
        <w:t>Fifth Supplemental Indenture</w:t>
      </w:r>
      <w:r>
        <w:rPr>
          <w:rFonts w:ascii="Arial" w:cs="Arial" w:eastAsia="Arial" w:hAnsi="Arial"/>
          <w:sz w:val="20"/>
          <w:szCs w:val="20"/>
          <w:color w:val="auto"/>
        </w:rPr>
        <w:t>”) dated as of March 12, 2025, by and among Schlumberger Investment S.A., a public limited liability company (</w:t>
      </w:r>
      <w:r>
        <w:rPr>
          <w:rFonts w:ascii="Arial" w:cs="Arial" w:eastAsia="Arial" w:hAnsi="Arial"/>
          <w:sz w:val="20"/>
          <w:szCs w:val="20"/>
          <w:i w:val="1"/>
          <w:iCs w:val="1"/>
          <w:color w:val="auto"/>
        </w:rPr>
        <w:t>société anonyme</w:t>
      </w:r>
      <w:r>
        <w:rPr>
          <w:rFonts w:ascii="Arial" w:cs="Arial" w:eastAsia="Arial" w:hAnsi="Arial"/>
          <w:sz w:val="20"/>
          <w:szCs w:val="20"/>
          <w:color w:val="auto"/>
        </w:rPr>
        <w:t>) incorporated and existing under the laws of the Grand Duchy of Luxembourg, having its registered address at 5, Place de la Gare, L-1616 Luxembourg, Grand Duchy of Luxembourg, and registered with the Luxembourg Trade and Companies Register (Registre de Commerce et des Sociétés, Luxembourg) under number B 163.122 (the “</w:t>
      </w:r>
      <w:r>
        <w:rPr>
          <w:rFonts w:ascii="Arial" w:cs="Arial" w:eastAsia="Arial" w:hAnsi="Arial"/>
          <w:sz w:val="20"/>
          <w:szCs w:val="20"/>
          <w:i w:val="1"/>
          <w:iCs w:val="1"/>
          <w:color w:val="auto"/>
        </w:rPr>
        <w:t>Company</w:t>
      </w:r>
      <w:r>
        <w:rPr>
          <w:rFonts w:ascii="Arial" w:cs="Arial" w:eastAsia="Arial" w:hAnsi="Arial"/>
          <w:sz w:val="20"/>
          <w:szCs w:val="20"/>
          <w:color w:val="auto"/>
        </w:rPr>
        <w:t>”), Schlumberger Limited, a company incorporated under the laws of Curaçao (the “</w:t>
      </w:r>
      <w:r>
        <w:rPr>
          <w:rFonts w:ascii="Arial" w:cs="Arial" w:eastAsia="Arial" w:hAnsi="Arial"/>
          <w:sz w:val="20"/>
          <w:szCs w:val="20"/>
          <w:i w:val="1"/>
          <w:iCs w:val="1"/>
          <w:color w:val="auto"/>
        </w:rPr>
        <w:t>Guarantor</w:t>
      </w:r>
      <w:r>
        <w:rPr>
          <w:rFonts w:ascii="Arial" w:cs="Arial" w:eastAsia="Arial" w:hAnsi="Arial"/>
          <w:sz w:val="20"/>
          <w:szCs w:val="20"/>
          <w:color w:val="auto"/>
        </w:rPr>
        <w:t>”), and The Bank of New York Mellon, as trustee (the “</w:t>
      </w:r>
      <w:r>
        <w:rPr>
          <w:rFonts w:ascii="Arial" w:cs="Arial" w:eastAsia="Arial" w:hAnsi="Arial"/>
          <w:sz w:val="20"/>
          <w:szCs w:val="20"/>
          <w:i w:val="1"/>
          <w:iCs w:val="1"/>
          <w:color w:val="auto"/>
        </w:rPr>
        <w:t>Trustee</w:t>
      </w:r>
      <w:r>
        <w:rPr>
          <w:rFonts w:ascii="Arial" w:cs="Arial" w:eastAsia="Arial" w:hAnsi="Arial"/>
          <w:sz w:val="20"/>
          <w:szCs w:val="20"/>
          <w:color w:val="auto"/>
        </w:rPr>
        <w:t>”), registrar, paying agent, and transfer agent.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RECITALS</w:t>
      </w:r>
    </w:p>
    <w:p>
      <w:pPr>
        <w:spacing w:after="0" w:line="202" w:lineRule="exact"/>
        <w:rPr>
          <w:sz w:val="20"/>
          <w:szCs w:val="20"/>
          <w:color w:val="auto"/>
        </w:rPr>
      </w:pPr>
    </w:p>
    <w:p>
      <w:pPr>
        <w:ind w:right="160" w:firstLine="839"/>
        <w:spacing w:after="0" w:line="234" w:lineRule="auto"/>
        <w:rPr>
          <w:sz w:val="20"/>
          <w:szCs w:val="20"/>
          <w:color w:val="auto"/>
        </w:rPr>
      </w:pPr>
      <w:r>
        <w:rPr>
          <w:rFonts w:ascii="Arial" w:cs="Arial" w:eastAsia="Arial" w:hAnsi="Arial"/>
          <w:sz w:val="20"/>
          <w:szCs w:val="20"/>
          <w:color w:val="auto"/>
        </w:rPr>
        <w:t>A.The Company, the Guarantor, and the Trustee, executed and delivered an Indenture, dated as of December 3, 2013, as amended by Section 1.9 of the Second Supplemental Indenture, dated as of June 26, 2020, by and among the Company, the Guarantor and the Trustee, and as further amended by Section 1.7 of the Fourth Supplemental Indenture, dated as of May 29, 2024, by and among the Company, the Guarantor and the Trustee, which is herein referred to as the “Base Indenture.”</w:t>
      </w:r>
    </w:p>
    <w:p>
      <w:pPr>
        <w:spacing w:after="0" w:line="175" w:lineRule="exact"/>
        <w:rPr>
          <w:sz w:val="20"/>
          <w:szCs w:val="20"/>
          <w:color w:val="auto"/>
        </w:rPr>
      </w:pPr>
    </w:p>
    <w:p>
      <w:pPr>
        <w:ind w:right="80" w:firstLine="839"/>
        <w:spacing w:after="0" w:line="230" w:lineRule="auto"/>
        <w:rPr>
          <w:sz w:val="20"/>
          <w:szCs w:val="20"/>
          <w:color w:val="auto"/>
        </w:rPr>
      </w:pPr>
      <w:r>
        <w:rPr>
          <w:rFonts w:ascii="Arial" w:cs="Arial" w:eastAsia="Arial" w:hAnsi="Arial"/>
          <w:sz w:val="20"/>
          <w:szCs w:val="20"/>
          <w:color w:val="auto"/>
        </w:rPr>
        <w:t>B.The Company has heretofore entered into (i) the Second Supplemental Indenture, dated as of June 26, 2020, by and among the Company, the Guarantor and the Trustee, providing for issuance by the Company of the 2.650% Senior Notes due 2030 (the “2030 Notes”), (ii) the Third Supplemental Indenture, dated as of May 15, 2023, by and among the Company, the Guarantor and the Trustee, providing for issuance by the Company of the 4.500% Senior Notes due 2028 (the “2028 Notes”), and the 4.850% Senior Notes due 2033 (the “2033 Notes”), and (iii) the Fourth Supplemental Indenture, dated as of May 29, 2024, by and among the Company, the Guarantor and the Trustee, providing for issuance by the Company of the 4.500% Senior Notes due 2034 (the “2034 Notes” and, together with the 2030 Notes, the 2028 Notes, and the 2033 Notes, the “Notes”). The Base Indenture, as supplemented and amended by each of the foregoing supplemental indentures with respect to the corresponding series of Notes, and as further supplemented and amended by this Fifth Supplemental Indenture, is herein referred to as the “Indenture.”</w:t>
      </w:r>
    </w:p>
    <w:p>
      <w:pPr>
        <w:spacing w:after="0" w:line="172" w:lineRule="exact"/>
        <w:rPr>
          <w:sz w:val="20"/>
          <w:szCs w:val="20"/>
          <w:color w:val="auto"/>
        </w:rPr>
      </w:pPr>
    </w:p>
    <w:p>
      <w:pPr>
        <w:ind w:firstLine="839"/>
        <w:spacing w:after="0" w:line="237" w:lineRule="auto"/>
        <w:rPr>
          <w:sz w:val="20"/>
          <w:szCs w:val="20"/>
          <w:color w:val="auto"/>
        </w:rPr>
      </w:pPr>
      <w:r>
        <w:rPr>
          <w:rFonts w:ascii="Arial" w:cs="Arial" w:eastAsia="Arial" w:hAnsi="Arial"/>
          <w:sz w:val="20"/>
          <w:szCs w:val="20"/>
          <w:color w:val="auto"/>
        </w:rPr>
        <w:t>C.The Company has solicited consents from the Holders of each series of Notes to certain proposed amendments to the Base Indenture as set forth in Article I‎ to this Fifth Supplemental Indenture (the “</w:t>
      </w:r>
      <w:r>
        <w:rPr>
          <w:rFonts w:ascii="Arial" w:cs="Arial" w:eastAsia="Arial" w:hAnsi="Arial"/>
          <w:sz w:val="20"/>
          <w:szCs w:val="20"/>
          <w:i w:val="1"/>
          <w:iCs w:val="1"/>
          <w:color w:val="auto"/>
        </w:rPr>
        <w:t>Proposed Amendments</w:t>
      </w:r>
      <w:r>
        <w:rPr>
          <w:rFonts w:ascii="Arial" w:cs="Arial" w:eastAsia="Arial" w:hAnsi="Arial"/>
          <w:sz w:val="20"/>
          <w:szCs w:val="20"/>
          <w:color w:val="auto"/>
        </w:rPr>
        <w:t>”), in accordance with the terms and conditions of the Exchange Offer Memorandum and Consent Solicitation Statement, dated as of February 27, 2025 (the “</w:t>
      </w:r>
      <w:r>
        <w:rPr>
          <w:rFonts w:ascii="Arial" w:cs="Arial" w:eastAsia="Arial" w:hAnsi="Arial"/>
          <w:sz w:val="20"/>
          <w:szCs w:val="20"/>
          <w:i w:val="1"/>
          <w:iCs w:val="1"/>
          <w:color w:val="auto"/>
        </w:rPr>
        <w:t>Exchange Offer Memorandum</w:t>
      </w:r>
      <w:r>
        <w:rPr>
          <w:rFonts w:ascii="Arial" w:cs="Arial" w:eastAsia="Arial" w:hAnsi="Arial"/>
          <w:sz w:val="20"/>
          <w:szCs w:val="20"/>
          <w:color w:val="auto"/>
        </w:rPr>
        <w:t>”).</w:t>
      </w:r>
    </w:p>
    <w:p>
      <w:pPr>
        <w:spacing w:after="0" w:line="172" w:lineRule="exact"/>
        <w:rPr>
          <w:sz w:val="20"/>
          <w:szCs w:val="20"/>
          <w:color w:val="auto"/>
        </w:rPr>
      </w:pPr>
    </w:p>
    <w:p>
      <w:pPr>
        <w:ind w:firstLine="839"/>
        <w:spacing w:after="0" w:line="241" w:lineRule="auto"/>
        <w:rPr>
          <w:sz w:val="20"/>
          <w:szCs w:val="20"/>
          <w:color w:val="auto"/>
        </w:rPr>
      </w:pPr>
      <w:r>
        <w:rPr>
          <w:rFonts w:ascii="Arial" w:cs="Arial" w:eastAsia="Arial" w:hAnsi="Arial"/>
          <w:sz w:val="20"/>
          <w:szCs w:val="20"/>
          <w:color w:val="auto"/>
        </w:rPr>
        <w:t>D.Section 9.2 of the Base Indenture provides that, with the consent of the Holders of a majority in principal amount of the Notes then outstanding, the Company, the Guarantor, and the Trustee may amend or supplement the Indenture or the Notes in accordance with such Section 9.2.</w:t>
      </w:r>
    </w:p>
    <w:p>
      <w:pPr>
        <w:spacing w:after="0" w:line="171" w:lineRule="exact"/>
        <w:rPr>
          <w:sz w:val="20"/>
          <w:szCs w:val="20"/>
          <w:color w:val="auto"/>
        </w:rPr>
      </w:pPr>
    </w:p>
    <w:p>
      <w:pPr>
        <w:ind w:right="140" w:firstLine="839"/>
        <w:spacing w:after="0" w:line="237" w:lineRule="auto"/>
        <w:rPr>
          <w:sz w:val="20"/>
          <w:szCs w:val="20"/>
          <w:color w:val="auto"/>
        </w:rPr>
      </w:pPr>
      <w:r>
        <w:rPr>
          <w:rFonts w:ascii="Arial" w:cs="Arial" w:eastAsia="Arial" w:hAnsi="Arial"/>
          <w:sz w:val="20"/>
          <w:szCs w:val="20"/>
          <w:color w:val="auto"/>
        </w:rPr>
        <w:t>E.The Holders of at least a majority in aggregate principal amount of each series of Notes outstanding (the “</w:t>
      </w:r>
      <w:r>
        <w:rPr>
          <w:rFonts w:ascii="Arial" w:cs="Arial" w:eastAsia="Arial" w:hAnsi="Arial"/>
          <w:sz w:val="20"/>
          <w:szCs w:val="20"/>
          <w:i w:val="1"/>
          <w:iCs w:val="1"/>
          <w:color w:val="auto"/>
        </w:rPr>
        <w:t>Requisite</w:t>
      </w:r>
      <w:r>
        <w:rPr>
          <w:rFonts w:ascii="Arial" w:cs="Arial" w:eastAsia="Arial" w:hAnsi="Arial"/>
          <w:sz w:val="20"/>
          <w:szCs w:val="20"/>
          <w:color w:val="auto"/>
        </w:rPr>
        <w:t xml:space="preserve"> </w:t>
      </w:r>
      <w:r>
        <w:rPr>
          <w:rFonts w:ascii="Arial" w:cs="Arial" w:eastAsia="Arial" w:hAnsi="Arial"/>
          <w:sz w:val="20"/>
          <w:szCs w:val="20"/>
          <w:i w:val="1"/>
          <w:iCs w:val="1"/>
          <w:color w:val="auto"/>
        </w:rPr>
        <w:t>Consent</w:t>
      </w:r>
      <w:r>
        <w:rPr>
          <w:rFonts w:ascii="Arial" w:cs="Arial" w:eastAsia="Arial" w:hAnsi="Arial"/>
          <w:sz w:val="20"/>
          <w:szCs w:val="20"/>
          <w:color w:val="auto"/>
        </w:rPr>
        <w:t>”) have validly tendered, and not withdrawn, their consents to the adoption of the Proposed Amendments to be</w:t>
      </w:r>
      <w:r>
        <w:rPr>
          <w:rFonts w:ascii="Arial" w:cs="Arial" w:eastAsia="Arial" w:hAnsi="Arial"/>
          <w:sz w:val="20"/>
          <w:szCs w:val="20"/>
          <w:i w:val="1"/>
          <w:iCs w:val="1"/>
          <w:color w:val="auto"/>
        </w:rPr>
        <w:t xml:space="preserve"> </w:t>
      </w:r>
      <w:r>
        <w:rPr>
          <w:rFonts w:ascii="Arial" w:cs="Arial" w:eastAsia="Arial" w:hAnsi="Arial"/>
          <w:sz w:val="20"/>
          <w:szCs w:val="20"/>
          <w:color w:val="auto"/>
        </w:rPr>
        <w:t>effectuated by this Fifth Supplemental Indenture in accordance with Section 9.2 of the Base Indenture, and the Company, having received the Requisite Consent for the Proposed Amendments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8" w:name="page29"/>
    <w:bookmarkEnd w:id="28"/>
    <w:p>
      <w:pPr>
        <w:spacing w:after="0" w:line="19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series of Notes, as evidenced by the Officer’s Certificate of the Company delivered to the Trustee by the Company on the date hereof (the “Consent Officer’s Certificate”), desires to amend the Indenture as provided in this Fifth Supplemental Indenture only in respect to the Notes.</w:t>
      </w:r>
    </w:p>
    <w:p>
      <w:pPr>
        <w:spacing w:after="0" w:line="171" w:lineRule="exact"/>
        <w:rPr>
          <w:sz w:val="20"/>
          <w:szCs w:val="20"/>
          <w:color w:val="auto"/>
        </w:rPr>
      </w:pPr>
    </w:p>
    <w:p>
      <w:pPr>
        <w:ind w:firstLine="839"/>
        <w:spacing w:after="0" w:line="257" w:lineRule="auto"/>
        <w:rPr>
          <w:sz w:val="20"/>
          <w:szCs w:val="20"/>
          <w:color w:val="auto"/>
        </w:rPr>
      </w:pPr>
      <w:r>
        <w:rPr>
          <w:rFonts w:ascii="Arial" w:cs="Arial" w:eastAsia="Arial" w:hAnsi="Arial"/>
          <w:sz w:val="20"/>
          <w:szCs w:val="20"/>
          <w:color w:val="auto"/>
        </w:rPr>
        <w:t>F.All things necessary to make this Fifth Supplemental Indenture a valid and legally binding agreement according to its terms have been done.</w:t>
      </w:r>
    </w:p>
    <w:p>
      <w:pPr>
        <w:spacing w:after="0" w:line="155" w:lineRule="exact"/>
        <w:rPr>
          <w:sz w:val="20"/>
          <w:szCs w:val="20"/>
          <w:color w:val="auto"/>
        </w:rPr>
      </w:pPr>
    </w:p>
    <w:p>
      <w:pPr>
        <w:ind w:right="80" w:firstLine="749"/>
        <w:spacing w:after="0" w:line="284" w:lineRule="auto"/>
        <w:rPr>
          <w:sz w:val="20"/>
          <w:szCs w:val="20"/>
          <w:color w:val="auto"/>
        </w:rPr>
      </w:pPr>
      <w:r>
        <w:rPr>
          <w:rFonts w:ascii="Arial" w:cs="Arial" w:eastAsia="Arial" w:hAnsi="Arial"/>
          <w:sz w:val="19"/>
          <w:szCs w:val="19"/>
          <w:color w:val="auto"/>
        </w:rPr>
        <w:t>NOW, THEREFORE, for and in consideration of the foregoing premises, the Company, the Guarantor, and the Trustee mutually covenant and agree for the equal and proportionate benefit of the Holders from time to time of the Notes as follows:</w:t>
      </w:r>
    </w:p>
    <w:p>
      <w:pPr>
        <w:spacing w:after="0" w:line="129" w:lineRule="exact"/>
        <w:rPr>
          <w:sz w:val="20"/>
          <w:szCs w:val="20"/>
          <w:color w:val="auto"/>
        </w:rPr>
      </w:pPr>
    </w:p>
    <w:p>
      <w:pPr>
        <w:jc w:val="center"/>
        <w:ind w:right="-39"/>
        <w:spacing w:after="0"/>
        <w:tabs>
          <w:tab w:leader="none" w:pos="340" w:val="left"/>
        </w:tabs>
        <w:rPr>
          <w:sz w:val="20"/>
          <w:szCs w:val="20"/>
          <w:color w:val="auto"/>
        </w:rPr>
      </w:pPr>
      <w:r>
        <w:rPr>
          <w:rFonts w:ascii="Arial" w:cs="Arial" w:eastAsia="Arial" w:hAnsi="Arial"/>
          <w:sz w:val="20"/>
          <w:szCs w:val="20"/>
          <w:b w:val="1"/>
          <w:bCs w:val="1"/>
          <w:color w:val="auto"/>
        </w:rPr>
        <w:t>ARTICLE I</w:t>
      </w:r>
      <w:r>
        <w:rPr>
          <w:sz w:val="20"/>
          <w:szCs w:val="20"/>
          <w:color w:val="auto"/>
        </w:rPr>
        <w:tab/>
      </w:r>
      <w:r>
        <w:rPr>
          <w:rFonts w:ascii="Arial" w:cs="Arial" w:eastAsia="Arial" w:hAnsi="Arial"/>
          <w:sz w:val="19"/>
          <w:szCs w:val="19"/>
          <w:b w:val="1"/>
          <w:bCs w:val="1"/>
          <w:color w:val="auto"/>
        </w:rPr>
        <w:t>AMENDMENTS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1.1.</w:t>
      </w:r>
      <w:r>
        <w:rPr>
          <w:rFonts w:ascii="Arial" w:cs="Arial" w:eastAsia="Arial" w:hAnsi="Arial"/>
          <w:sz w:val="20"/>
          <w:szCs w:val="20"/>
          <w:u w:val="single" w:color="auto"/>
          <w:color w:val="auto"/>
        </w:rPr>
        <w:t>Indenture Amendments</w:t>
      </w:r>
      <w:r>
        <w:rPr>
          <w:rFonts w:ascii="Arial" w:cs="Arial" w:eastAsia="Arial" w:hAnsi="Arial"/>
          <w:sz w:val="20"/>
          <w:szCs w:val="20"/>
          <w:color w:val="auto"/>
        </w:rPr>
        <w:t>.</w:t>
      </w:r>
    </w:p>
    <w:p>
      <w:pPr>
        <w:spacing w:after="0" w:line="202" w:lineRule="exact"/>
        <w:rPr>
          <w:sz w:val="20"/>
          <w:szCs w:val="20"/>
          <w:color w:val="auto"/>
        </w:rPr>
      </w:pPr>
    </w:p>
    <w:p>
      <w:pPr>
        <w:ind w:right="60" w:firstLine="749"/>
        <w:spacing w:after="0" w:line="233" w:lineRule="auto"/>
        <w:rPr>
          <w:sz w:val="20"/>
          <w:szCs w:val="20"/>
          <w:color w:val="auto"/>
        </w:rPr>
      </w:pPr>
      <w:r>
        <w:rPr>
          <w:rFonts w:ascii="Arial" w:cs="Arial" w:eastAsia="Arial" w:hAnsi="Arial"/>
          <w:sz w:val="20"/>
          <w:szCs w:val="20"/>
          <w:color w:val="auto"/>
        </w:rPr>
        <w:t>Subject to the satisfaction of the Condition Precedent (as defined below), the Base Indenture is hereby amended only as it relates to the Notes of each series (and not any other series of Securities) to delete the following sections in their entirety, and, in the case of each such section, insert in lieu thereof the phrase “[Intentionally Omitted]” and any and all references thereto (including any definitions the references to which would be eliminated as a result of such deletions), and any and all obligations thereunder, and any events of default related thereto are hereby deleted throughout the Base Indenture only as they relate to the Notes and such sections and references shall be of no further force or effect only as they relate to the Notes:</w:t>
      </w:r>
    </w:p>
    <w:p>
      <w:pPr>
        <w:spacing w:after="0" w:line="172" w:lineRule="exact"/>
        <w:rPr>
          <w:sz w:val="20"/>
          <w:szCs w:val="20"/>
          <w:color w:val="auto"/>
        </w:rPr>
      </w:pPr>
    </w:p>
    <w:p>
      <w:pPr>
        <w:ind w:left="1500" w:hanging="743"/>
        <w:spacing w:after="0"/>
        <w:tabs>
          <w:tab w:leader="none" w:pos="1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Section 4.5 entitled “Limitation on Liens”;</w:t>
      </w:r>
    </w:p>
    <w:p>
      <w:pPr>
        <w:spacing w:after="0" w:line="202" w:lineRule="exact"/>
        <w:rPr>
          <w:rFonts w:ascii="Arial" w:cs="Arial" w:eastAsia="Arial" w:hAnsi="Arial"/>
          <w:sz w:val="20"/>
          <w:szCs w:val="20"/>
          <w:color w:val="auto"/>
        </w:rPr>
      </w:pPr>
    </w:p>
    <w:p>
      <w:pPr>
        <w:ind w:left="1500" w:right="160" w:hanging="743"/>
        <w:spacing w:after="0" w:line="257" w:lineRule="auto"/>
        <w:tabs>
          <w:tab w:leader="none" w:pos="1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Section 4.7 entitled “Reports,” with the exception of SISA’s obligation to comply with the provisions of Section 314(a) under the Trust Indenture Act of 1939, as amended;</w:t>
      </w:r>
    </w:p>
    <w:p>
      <w:pPr>
        <w:spacing w:after="0" w:line="155" w:lineRule="exact"/>
        <w:rPr>
          <w:rFonts w:ascii="Arial" w:cs="Arial" w:eastAsia="Arial" w:hAnsi="Arial"/>
          <w:sz w:val="20"/>
          <w:szCs w:val="20"/>
          <w:color w:val="auto"/>
        </w:rPr>
      </w:pPr>
    </w:p>
    <w:p>
      <w:pPr>
        <w:ind w:left="1500" w:hanging="743"/>
        <w:spacing w:after="0"/>
        <w:tabs>
          <w:tab w:leader="none" w:pos="1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Section 5.1 entitled “Consolidation, Merger and Sale of Assets”; and</w:t>
      </w:r>
    </w:p>
    <w:p>
      <w:pPr>
        <w:spacing w:after="0" w:line="202" w:lineRule="exact"/>
        <w:rPr>
          <w:rFonts w:ascii="Arial" w:cs="Arial" w:eastAsia="Arial" w:hAnsi="Arial"/>
          <w:sz w:val="20"/>
          <w:szCs w:val="20"/>
          <w:color w:val="auto"/>
        </w:rPr>
      </w:pPr>
    </w:p>
    <w:p>
      <w:pPr>
        <w:ind w:left="1500" w:hanging="743"/>
        <w:spacing w:after="0"/>
        <w:tabs>
          <w:tab w:leader="none" w:pos="1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Clause (h) of Section 6.1 entitled “Events of Default.”</w:t>
      </w:r>
    </w:p>
    <w:p>
      <w:pPr>
        <w:spacing w:after="0" w:line="200" w:lineRule="exact"/>
        <w:rPr>
          <w:sz w:val="20"/>
          <w:szCs w:val="20"/>
          <w:color w:val="auto"/>
        </w:rPr>
      </w:pPr>
    </w:p>
    <w:p>
      <w:pPr>
        <w:jc w:val="center"/>
        <w:ind w:right="-19"/>
        <w:spacing w:after="0"/>
        <w:tabs>
          <w:tab w:leader="none" w:pos="280" w:val="left"/>
        </w:tabs>
        <w:rPr>
          <w:sz w:val="20"/>
          <w:szCs w:val="20"/>
          <w:color w:val="auto"/>
        </w:rPr>
      </w:pPr>
      <w:r>
        <w:rPr>
          <w:rFonts w:ascii="Arial" w:cs="Arial" w:eastAsia="Arial" w:hAnsi="Arial"/>
          <w:sz w:val="20"/>
          <w:szCs w:val="20"/>
          <w:b w:val="1"/>
          <w:bCs w:val="1"/>
          <w:color w:val="auto"/>
        </w:rPr>
        <w:t>ARTICLE II</w:t>
      </w:r>
      <w:r>
        <w:rPr>
          <w:sz w:val="20"/>
          <w:szCs w:val="20"/>
          <w:color w:val="auto"/>
        </w:rPr>
        <w:tab/>
      </w:r>
      <w:r>
        <w:rPr>
          <w:rFonts w:ascii="Arial" w:cs="Arial" w:eastAsia="Arial" w:hAnsi="Arial"/>
          <w:sz w:val="19"/>
          <w:szCs w:val="19"/>
          <w:b w:val="1"/>
          <w:bCs w:val="1"/>
          <w:color w:val="auto"/>
        </w:rPr>
        <w:t>MISCELLANEOUS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2.1.</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sz w:val="20"/>
          <w:szCs w:val="20"/>
          <w:color w:val="auto"/>
        </w:rPr>
      </w:pPr>
    </w:p>
    <w:p>
      <w:pPr>
        <w:ind w:right="40" w:firstLine="749"/>
        <w:spacing w:after="0" w:line="257" w:lineRule="auto"/>
        <w:rPr>
          <w:sz w:val="20"/>
          <w:szCs w:val="20"/>
          <w:color w:val="auto"/>
        </w:rPr>
      </w:pPr>
      <w:r>
        <w:rPr>
          <w:rFonts w:ascii="Arial" w:cs="Arial" w:eastAsia="Arial" w:hAnsi="Arial"/>
          <w:sz w:val="20"/>
          <w:szCs w:val="20"/>
          <w:color w:val="auto"/>
        </w:rPr>
        <w:t>Capitalized terms used but not defined in this Fifth Supplemental Indenture shall have the meanings ascribed thereto in the Base Indenture.</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2.2.</w:t>
      </w:r>
      <w:r>
        <w:rPr>
          <w:rFonts w:ascii="Arial" w:cs="Arial" w:eastAsia="Arial" w:hAnsi="Arial"/>
          <w:sz w:val="20"/>
          <w:szCs w:val="20"/>
          <w:u w:val="single" w:color="auto"/>
          <w:color w:val="auto"/>
        </w:rPr>
        <w:t>Confirmation of Indenture</w:t>
      </w:r>
      <w:r>
        <w:rPr>
          <w:rFonts w:ascii="Arial" w:cs="Arial" w:eastAsia="Arial" w:hAnsi="Arial"/>
          <w:sz w:val="20"/>
          <w:szCs w:val="20"/>
          <w:color w:val="auto"/>
        </w:rPr>
        <w:t>.</w:t>
      </w:r>
    </w:p>
    <w:p>
      <w:pPr>
        <w:spacing w:after="0" w:line="202" w:lineRule="exact"/>
        <w:rPr>
          <w:sz w:val="20"/>
          <w:szCs w:val="20"/>
          <w:color w:val="auto"/>
        </w:rPr>
      </w:pPr>
    </w:p>
    <w:p>
      <w:pPr>
        <w:jc w:val="both"/>
        <w:ind w:right="60" w:firstLine="749"/>
        <w:spacing w:after="0" w:line="241" w:lineRule="auto"/>
        <w:rPr>
          <w:sz w:val="20"/>
          <w:szCs w:val="20"/>
          <w:color w:val="auto"/>
        </w:rPr>
      </w:pPr>
      <w:r>
        <w:rPr>
          <w:rFonts w:ascii="Arial" w:cs="Arial" w:eastAsia="Arial" w:hAnsi="Arial"/>
          <w:sz w:val="20"/>
          <w:szCs w:val="20"/>
          <w:color w:val="auto"/>
        </w:rPr>
        <w:t>The Base Indenture, as supplemented and amended by this Fifth Supplemental Indenture, is in all respects ratified and confirmed, and the Base Indenture, this Fifth Supplemental Indenture and any applicable indentures supplemental thereto shall be read, taken and construed as one and the same instrument with respect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2.3.</w:t>
      </w:r>
      <w:r>
        <w:rPr>
          <w:rFonts w:ascii="Arial" w:cs="Arial" w:eastAsia="Arial" w:hAnsi="Arial"/>
          <w:sz w:val="20"/>
          <w:szCs w:val="20"/>
          <w:u w:val="single" w:color="auto"/>
          <w:color w:val="auto"/>
        </w:rPr>
        <w:t>Governing Law</w:t>
      </w:r>
      <w:r>
        <w:rPr>
          <w:rFonts w:ascii="Arial" w:cs="Arial" w:eastAsia="Arial" w:hAnsi="Arial"/>
          <w:sz w:val="20"/>
          <w:szCs w:val="20"/>
          <w:color w:val="auto"/>
        </w:rPr>
        <w:t>.</w:t>
      </w:r>
    </w:p>
    <w:p>
      <w:pPr>
        <w:spacing w:after="0" w:line="200" w:lineRule="exact"/>
        <w:rPr>
          <w:sz w:val="20"/>
          <w:szCs w:val="20"/>
          <w:color w:val="auto"/>
        </w:rPr>
      </w:pPr>
    </w:p>
    <w:p>
      <w:pPr>
        <w:ind w:right="140" w:firstLine="749"/>
        <w:spacing w:after="0"/>
        <w:rPr>
          <w:sz w:val="20"/>
          <w:szCs w:val="20"/>
          <w:color w:val="auto"/>
        </w:rPr>
      </w:pPr>
      <w:r>
        <w:rPr>
          <w:rFonts w:ascii="Arial" w:cs="Arial" w:eastAsia="Arial" w:hAnsi="Arial"/>
          <w:sz w:val="20"/>
          <w:szCs w:val="20"/>
          <w:b w:val="1"/>
          <w:bCs w:val="1"/>
          <w:color w:val="auto"/>
        </w:rPr>
        <w:t>THIS FIFTH SUPPLEMENTAL INDENTURE, INCLUDING ANY CLAIM OR CONTROVERSY ARISING OUT OF OR RELATING TO THIS FIFTH SUPPLEMENTAL INDENTURE, SHALL BE GOVERNED BY THE LAWS OF THE STATE OF NEW YORK WITHOUT REGARD TO CONFLICT OF LAW PRINCIPLES THAT WOULD RESULT IN THE APPLICATION OF ANY LAW OTHER THAN THE LAW OF THE STATE OF NEW YORK.</w:t>
      </w:r>
    </w:p>
    <w:p>
      <w:pPr>
        <w:spacing w:after="0" w:line="160" w:lineRule="exact"/>
        <w:rPr>
          <w:sz w:val="20"/>
          <w:szCs w:val="20"/>
          <w:color w:val="auto"/>
        </w:rPr>
      </w:pPr>
    </w:p>
    <w:p>
      <w:pPr>
        <w:ind w:right="420" w:firstLine="749"/>
        <w:spacing w:after="0" w:line="247" w:lineRule="auto"/>
        <w:rPr>
          <w:sz w:val="20"/>
          <w:szCs w:val="20"/>
          <w:color w:val="auto"/>
        </w:rPr>
      </w:pPr>
      <w:r>
        <w:rPr>
          <w:rFonts w:ascii="Arial" w:cs="Arial" w:eastAsia="Arial" w:hAnsi="Arial"/>
          <w:sz w:val="20"/>
          <w:szCs w:val="20"/>
          <w:b w:val="1"/>
          <w:bCs w:val="1"/>
          <w:color w:val="auto"/>
        </w:rPr>
        <w:t>THE APPLICATION OF THE PROVISIONS OF THE ARTICLES 470-1 TO 470-19 (INCLUSIVE) OF THE LUXEMBOURG LAW OF 10 AUGUST 1915 ON COMMERCIAL COMPANIES, AS AMENDED, IS HEREBY EXPRESSLY EXCLUDED.</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2.4.</w:t>
      </w:r>
      <w:r>
        <w:rPr>
          <w:rFonts w:ascii="Arial" w:cs="Arial" w:eastAsia="Arial" w:hAnsi="Arial"/>
          <w:sz w:val="20"/>
          <w:szCs w:val="20"/>
          <w:u w:val="single" w:color="auto"/>
          <w:color w:val="auto"/>
        </w:rPr>
        <w:t>Severability</w:t>
      </w:r>
      <w:r>
        <w:rPr>
          <w:rFonts w:ascii="Arial" w:cs="Arial" w:eastAsia="Arial" w:hAnsi="Arial"/>
          <w:sz w:val="20"/>
          <w:szCs w:val="20"/>
          <w:color w:val="auto"/>
        </w:rPr>
        <w:t>.</w:t>
      </w:r>
    </w:p>
    <w:p>
      <w:pPr>
        <w:spacing w:after="0" w:line="202" w:lineRule="exact"/>
        <w:rPr>
          <w:sz w:val="20"/>
          <w:szCs w:val="20"/>
          <w:color w:val="auto"/>
        </w:rPr>
      </w:pPr>
    </w:p>
    <w:p>
      <w:pPr>
        <w:ind w:right="180" w:firstLine="749"/>
        <w:spacing w:after="0" w:line="257" w:lineRule="auto"/>
        <w:rPr>
          <w:sz w:val="20"/>
          <w:szCs w:val="20"/>
          <w:color w:val="auto"/>
        </w:rPr>
      </w:pPr>
      <w:r>
        <w:rPr>
          <w:rFonts w:ascii="Arial" w:cs="Arial" w:eastAsia="Arial" w:hAnsi="Arial"/>
          <w:sz w:val="20"/>
          <w:szCs w:val="20"/>
          <w:color w:val="auto"/>
        </w:rPr>
        <w:t>In case any provision in this Fifth Supplemental Indenture shall be invalid, illegal or unenforceable, the validity, legality and enforceability of the remaining provisions shall not in any way be affected or impaired thereby.</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2.5.</w:t>
      </w:r>
      <w:r>
        <w:rPr>
          <w:rFonts w:ascii="Arial" w:cs="Arial" w:eastAsia="Arial" w:hAnsi="Arial"/>
          <w:sz w:val="20"/>
          <w:szCs w:val="20"/>
          <w:u w:val="single" w:color="auto"/>
          <w:color w:val="auto"/>
        </w:rPr>
        <w:t>Counterparts</w:t>
      </w:r>
      <w:r>
        <w:rPr>
          <w:rFonts w:ascii="Arial" w:cs="Arial" w:eastAsia="Arial" w:hAnsi="Arial"/>
          <w:sz w:val="20"/>
          <w:szCs w:val="20"/>
          <w:color w:val="auto"/>
        </w:rPr>
        <w:t>.</w:t>
      </w:r>
    </w:p>
    <w:p>
      <w:pPr>
        <w:spacing w:after="0" w:line="202" w:lineRule="exact"/>
        <w:rPr>
          <w:sz w:val="20"/>
          <w:szCs w:val="20"/>
          <w:color w:val="auto"/>
        </w:rPr>
      </w:pPr>
    </w:p>
    <w:p>
      <w:pPr>
        <w:ind w:right="160" w:firstLine="749"/>
        <w:spacing w:after="0" w:line="241" w:lineRule="auto"/>
        <w:rPr>
          <w:sz w:val="20"/>
          <w:szCs w:val="20"/>
          <w:color w:val="auto"/>
        </w:rPr>
      </w:pPr>
      <w:r>
        <w:rPr>
          <w:rFonts w:ascii="Arial" w:cs="Arial" w:eastAsia="Arial" w:hAnsi="Arial"/>
          <w:sz w:val="20"/>
          <w:szCs w:val="20"/>
          <w:color w:val="auto"/>
        </w:rPr>
        <w:t>This Fifth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2.6.</w:t>
      </w:r>
      <w:r>
        <w:rPr>
          <w:rFonts w:ascii="Arial" w:cs="Arial" w:eastAsia="Arial" w:hAnsi="Arial"/>
          <w:sz w:val="20"/>
          <w:szCs w:val="20"/>
          <w:u w:val="single" w:color="auto"/>
          <w:color w:val="auto"/>
        </w:rPr>
        <w:t>No Benefit</w:t>
      </w:r>
      <w:r>
        <w:rPr>
          <w:rFonts w:ascii="Arial" w:cs="Arial" w:eastAsia="Arial" w:hAnsi="Arial"/>
          <w:sz w:val="20"/>
          <w:szCs w:val="20"/>
          <w:color w:val="auto"/>
        </w:rPr>
        <w:t>.</w:t>
      </w:r>
    </w:p>
    <w:p>
      <w:pPr>
        <w:spacing w:after="0" w:line="202" w:lineRule="exact"/>
        <w:rPr>
          <w:sz w:val="20"/>
          <w:szCs w:val="20"/>
          <w:color w:val="auto"/>
        </w:rPr>
      </w:pPr>
    </w:p>
    <w:p>
      <w:pPr>
        <w:ind w:right="160" w:firstLine="749"/>
        <w:spacing w:after="0" w:line="241" w:lineRule="auto"/>
        <w:rPr>
          <w:sz w:val="20"/>
          <w:szCs w:val="20"/>
          <w:color w:val="auto"/>
        </w:rPr>
      </w:pPr>
      <w:r>
        <w:rPr>
          <w:rFonts w:ascii="Arial" w:cs="Arial" w:eastAsia="Arial" w:hAnsi="Arial"/>
          <w:sz w:val="20"/>
          <w:szCs w:val="20"/>
          <w:color w:val="auto"/>
        </w:rPr>
        <w:t>Nothing in this Fifth Supplemental Indenture, express or implied, shall give to any Person other than the parties hereto and their successors or assigns, and the Holders of the Notes, any benefit or legal or equitable rights, remedy or claim under this Fifth Supplemental Indenture or the Base Indenture.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2.7.</w:t>
      </w:r>
      <w:r>
        <w:rPr>
          <w:rFonts w:ascii="Arial" w:cs="Arial" w:eastAsia="Arial" w:hAnsi="Arial"/>
          <w:sz w:val="20"/>
          <w:szCs w:val="20"/>
          <w:u w:val="single" w:color="auto"/>
          <w:color w:val="auto"/>
        </w:rPr>
        <w:t>No Responsibility of the Trustee</w:t>
      </w:r>
      <w:r>
        <w:rPr>
          <w:rFonts w:ascii="Arial" w:cs="Arial" w:eastAsia="Arial" w:hAnsi="Arial"/>
          <w:sz w:val="20"/>
          <w:szCs w:val="20"/>
          <w:color w:val="auto"/>
        </w:rPr>
        <w:t>.</w:t>
      </w:r>
    </w:p>
    <w:p>
      <w:pPr>
        <w:spacing w:after="0" w:line="202" w:lineRule="exact"/>
        <w:rPr>
          <w:sz w:val="20"/>
          <w:szCs w:val="20"/>
          <w:color w:val="auto"/>
        </w:rPr>
      </w:pPr>
    </w:p>
    <w:p>
      <w:pPr>
        <w:ind w:firstLine="749"/>
        <w:spacing w:after="0" w:line="229" w:lineRule="auto"/>
        <w:rPr>
          <w:sz w:val="20"/>
          <w:szCs w:val="20"/>
          <w:color w:val="auto"/>
        </w:rPr>
      </w:pPr>
      <w:r>
        <w:rPr>
          <w:rFonts w:ascii="Arial" w:cs="Arial" w:eastAsia="Arial" w:hAnsi="Arial"/>
          <w:sz w:val="20"/>
          <w:szCs w:val="20"/>
          <w:color w:val="auto"/>
        </w:rPr>
        <w:t>The Trustee shall not be responsible in any manner whatsoever for or in respect of, and the Trustee makes no representations with respect to, (a) the validity or sufficiency of the Consent Officer’s Certificate or this Fifth Supplemental Indenture, (b) the proper authorization hereof by the other parties hereto by corporate action or otherwise, (c) the due execution hereof by any other party hereto, (d) the consequences (direct or indirect and whether deliberate or inadvertent) of the Proposed Amendments provided for herein, (e) the validity or sufficiency of the exchange offer or the consent solicitation, the Exchange Offer Memorandum or any materials or procedures in connection therewith, (f) the form or substance of this Fifth Supplemental Indenture, or (g) the recitals contained herein, all of which recitals are made solely by the Company and the Guarantor. The Trustee enters into this Fifth Supplemental Indenture on the basis of the consent of the Holders referenced in the recitals to this Fifth Supplemental Indenture and evidenced by the Consent Officer’s Certificate. All of the provisions contained in the Base Indenture in respect of the rights, privileges, immunities, powers and duties of the Trustee shall be applicable in respect of this Fifth Supplemental Indenture as fully and with like effect as if set forth herein in full. Each of the Company and the Guarantor hereby reaffirms its obligations under Section 7.7 of the Base Indenture to indemnify the Trustee against any and all loss, liability or expense (including reasonable attorneys’ fees) incurred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connection with its execution and performance of this Fifth Supplemental Indenture. This indemnity shall survive the satisfaction and discharge of the Base Indenture and the resignation or removal of the Trustee as expressly provided in Section 7.7 of the Base Indenture.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2.8.</w:t>
      </w:r>
      <w:r>
        <w:rPr>
          <w:rFonts w:ascii="Arial" w:cs="Arial" w:eastAsia="Arial" w:hAnsi="Arial"/>
          <w:sz w:val="20"/>
          <w:szCs w:val="20"/>
          <w:u w:val="single" w:color="auto"/>
          <w:color w:val="auto"/>
        </w:rPr>
        <w:t>Condition of Operation of Amendments</w:t>
      </w:r>
      <w:r>
        <w:rPr>
          <w:rFonts w:ascii="Arial" w:cs="Arial" w:eastAsia="Arial" w:hAnsi="Arial"/>
          <w:sz w:val="20"/>
          <w:szCs w:val="20"/>
          <w:color w:val="auto"/>
        </w:rPr>
        <w:t>.</w:t>
      </w:r>
    </w:p>
    <w:p>
      <w:pPr>
        <w:spacing w:after="0" w:line="202" w:lineRule="exact"/>
        <w:rPr>
          <w:sz w:val="20"/>
          <w:szCs w:val="20"/>
          <w:color w:val="auto"/>
        </w:rPr>
      </w:pPr>
    </w:p>
    <w:p>
      <w:pPr>
        <w:ind w:right="120" w:firstLine="749"/>
        <w:spacing w:after="0" w:line="234" w:lineRule="auto"/>
        <w:rPr>
          <w:sz w:val="20"/>
          <w:szCs w:val="20"/>
          <w:color w:val="auto"/>
        </w:rPr>
      </w:pPr>
      <w:r>
        <w:rPr>
          <w:rFonts w:ascii="Arial" w:cs="Arial" w:eastAsia="Arial" w:hAnsi="Arial"/>
          <w:sz w:val="20"/>
          <w:szCs w:val="20"/>
          <w:color w:val="auto"/>
        </w:rPr>
        <w:t xml:space="preserve">This Fifth Supplemental Indenture shall be effective as a binding agreement upon execution hereof by the parties 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amendments set forth in Article I‎ hereof shall not become operative until the Company has delivered an Officer’s Certificate to the Trustee confirming that the payment of the applicable Early Tender Consideration (as defined in the Exchange Offer Memorandum) has been made to all Holders of the applicable series of Notes (the “Condition Precedent”), upon which Officer’s Certificate the Trustee may conclusively rely.</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1" w:name="page32"/>
    <w:bookmarkEnd w:id="31"/>
    <w:p>
      <w:pPr>
        <w:ind w:firstLine="749"/>
        <w:spacing w:after="0" w:line="257" w:lineRule="auto"/>
        <w:rPr>
          <w:sz w:val="20"/>
          <w:szCs w:val="20"/>
          <w:color w:val="auto"/>
        </w:rPr>
      </w:pPr>
      <w:r>
        <w:rPr>
          <w:rFonts w:ascii="Arial" w:cs="Arial" w:eastAsia="Arial" w:hAnsi="Arial"/>
          <w:sz w:val="20"/>
          <w:szCs w:val="20"/>
          <w:color w:val="auto"/>
        </w:rPr>
        <w:t>IN WITNESS WHEREOF, the parties hereto have caused this Fifth Supplemental Indenture to be duly executed all as of the day and year first above written.</w:t>
      </w:r>
    </w:p>
    <w:p>
      <w:pPr>
        <w:spacing w:after="0" w:line="37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SCHLUMBERGER INVESTMENT S.A.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By:  /s/ Colin David Beddall</w:t>
      </w:r>
    </w:p>
    <w:p>
      <w:pPr>
        <w:spacing w:after="0" w:line="20" w:lineRule="exact"/>
        <w:rPr>
          <w:sz w:val="20"/>
          <w:szCs w:val="20"/>
          <w:color w:val="auto"/>
        </w:rPr>
      </w:pPr>
    </w:p>
    <w:tbl>
      <w:tblPr>
        <w:tblLayout w:type="fixed"/>
        <w:tblInd w:w="4960" w:type="dxa"/>
        <w:tblCellMar>
          <w:top w:w="0" w:type="dxa"/>
          <w:left w:w="0" w:type="dxa"/>
          <w:bottom w:w="0" w:type="dxa"/>
          <w:right w:w="0" w:type="dxa"/>
        </w:tblCellMar>
      </w:tblP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1"/>
        </w:trPr>
        <w:tc>
          <w:tcPr>
            <w:tcW w:w="740" w:type="dxa"/>
            <w:vAlign w:val="bottom"/>
            <w:gridSpan w:val="2"/>
          </w:tcPr>
          <w:p>
            <w:pPr>
              <w:spacing w:after="0" w:line="182" w:lineRule="exact"/>
              <w:rPr>
                <w:sz w:val="20"/>
                <w:szCs w:val="20"/>
                <w:color w:val="auto"/>
              </w:rPr>
            </w:pPr>
            <w:r>
              <w:rPr>
                <w:rFonts w:ascii="Arial" w:cs="Arial" w:eastAsia="Arial" w:hAnsi="Arial"/>
                <w:sz w:val="20"/>
                <w:szCs w:val="20"/>
                <w:color w:val="auto"/>
              </w:rPr>
              <w:t>Name:</w:t>
            </w:r>
          </w:p>
        </w:tc>
        <w:tc>
          <w:tcPr>
            <w:tcW w:w="1880" w:type="dxa"/>
            <w:vAlign w:val="bottom"/>
            <w:gridSpan w:val="2"/>
          </w:tcPr>
          <w:p>
            <w:pPr>
              <w:ind w:left="140"/>
              <w:spacing w:after="0" w:line="182" w:lineRule="exact"/>
              <w:rPr>
                <w:sz w:val="20"/>
                <w:szCs w:val="20"/>
                <w:color w:val="auto"/>
              </w:rPr>
            </w:pPr>
            <w:r>
              <w:rPr>
                <w:rFonts w:ascii="Arial" w:cs="Arial" w:eastAsia="Arial" w:hAnsi="Arial"/>
                <w:sz w:val="20"/>
                <w:szCs w:val="20"/>
                <w:color w:val="auto"/>
                <w:w w:val="98"/>
              </w:rPr>
              <w:t>Colin David Beddall</w:t>
            </w:r>
          </w:p>
        </w:tc>
      </w:tr>
      <w:tr>
        <w:trPr>
          <w:trHeight w:val="261"/>
        </w:trPr>
        <w:tc>
          <w:tcPr>
            <w:tcW w:w="740" w:type="dxa"/>
            <w:vAlign w:val="bottom"/>
            <w:gridSpan w:val="2"/>
          </w:tcPr>
          <w:p>
            <w:pPr>
              <w:spacing w:after="0"/>
              <w:rPr>
                <w:sz w:val="20"/>
                <w:szCs w:val="20"/>
                <w:color w:val="auto"/>
              </w:rPr>
            </w:pPr>
            <w:r>
              <w:rPr>
                <w:rFonts w:ascii="Arial" w:cs="Arial" w:eastAsia="Arial" w:hAnsi="Arial"/>
                <w:sz w:val="20"/>
                <w:szCs w:val="20"/>
                <w:color w:val="auto"/>
              </w:rPr>
              <w:t>Title:</w:t>
            </w:r>
          </w:p>
        </w:tc>
        <w:tc>
          <w:tcPr>
            <w:tcW w:w="1880" w:type="dxa"/>
            <w:vAlign w:val="bottom"/>
            <w:gridSpan w:val="2"/>
          </w:tcPr>
          <w:p>
            <w:pPr>
              <w:ind w:left="140"/>
              <w:spacing w:after="0"/>
              <w:rPr>
                <w:sz w:val="20"/>
                <w:szCs w:val="20"/>
                <w:color w:val="auto"/>
              </w:rPr>
            </w:pPr>
            <w:r>
              <w:rPr>
                <w:rFonts w:ascii="Arial" w:cs="Arial" w:eastAsia="Arial" w:hAnsi="Arial"/>
                <w:sz w:val="20"/>
                <w:szCs w:val="20"/>
                <w:color w:val="auto"/>
              </w:rPr>
              <w:t>Class B Director</w:t>
            </w:r>
          </w:p>
        </w:tc>
      </w:tr>
    </w:tbl>
    <w:p>
      <w:pPr>
        <w:spacing w:after="0" w:line="38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79"/>
        <w:spacing w:after="0"/>
        <w:rPr>
          <w:sz w:val="20"/>
          <w:szCs w:val="20"/>
          <w:color w:val="auto"/>
        </w:rPr>
      </w:pPr>
      <w:r>
        <w:rPr>
          <w:rFonts w:ascii="Arial" w:cs="Arial" w:eastAsia="Arial" w:hAnsi="Arial"/>
          <w:sz w:val="20"/>
          <w:szCs w:val="20"/>
          <w:color w:val="auto"/>
        </w:rPr>
        <w:t>By:  /s/ Kevin Fyfe</w:t>
      </w:r>
    </w:p>
    <w:p>
      <w:pPr>
        <w:spacing w:after="0" w:line="20" w:lineRule="exact"/>
        <w:rPr>
          <w:sz w:val="20"/>
          <w:szCs w:val="20"/>
          <w:color w:val="auto"/>
        </w:rPr>
      </w:pPr>
    </w:p>
    <w:tbl>
      <w:tblPr>
        <w:tblLayout w:type="fixed"/>
        <w:tblInd w:w="4960" w:type="dxa"/>
        <w:tblCellMar>
          <w:top w:w="0" w:type="dxa"/>
          <w:left w:w="0" w:type="dxa"/>
          <w:bottom w:w="0" w:type="dxa"/>
          <w:right w:w="0" w:type="dxa"/>
        </w:tblCellMar>
      </w:tblP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81"/>
        </w:trPr>
        <w:tc>
          <w:tcPr>
            <w:tcW w:w="740" w:type="dxa"/>
            <w:vAlign w:val="bottom"/>
            <w:gridSpan w:val="2"/>
          </w:tcPr>
          <w:p>
            <w:pPr>
              <w:spacing w:after="0" w:line="182" w:lineRule="exact"/>
              <w:rPr>
                <w:sz w:val="20"/>
                <w:szCs w:val="20"/>
                <w:color w:val="auto"/>
              </w:rPr>
            </w:pPr>
            <w:r>
              <w:rPr>
                <w:rFonts w:ascii="Arial" w:cs="Arial" w:eastAsia="Arial" w:hAnsi="Arial"/>
                <w:sz w:val="20"/>
                <w:szCs w:val="20"/>
                <w:color w:val="auto"/>
              </w:rPr>
              <w:t>Name:</w:t>
            </w:r>
          </w:p>
        </w:tc>
        <w:tc>
          <w:tcPr>
            <w:tcW w:w="2720" w:type="dxa"/>
            <w:vAlign w:val="bottom"/>
            <w:gridSpan w:val="2"/>
          </w:tcPr>
          <w:p>
            <w:pPr>
              <w:ind w:left="140"/>
              <w:spacing w:after="0" w:line="182" w:lineRule="exact"/>
              <w:rPr>
                <w:sz w:val="20"/>
                <w:szCs w:val="20"/>
                <w:color w:val="auto"/>
              </w:rPr>
            </w:pPr>
            <w:r>
              <w:rPr>
                <w:rFonts w:ascii="Arial" w:cs="Arial" w:eastAsia="Arial" w:hAnsi="Arial"/>
                <w:sz w:val="20"/>
                <w:szCs w:val="20"/>
                <w:color w:val="auto"/>
              </w:rPr>
              <w:t>Kevin Fyfe</w:t>
            </w:r>
          </w:p>
        </w:tc>
      </w:tr>
      <w:tr>
        <w:trPr>
          <w:trHeight w:val="261"/>
        </w:trPr>
        <w:tc>
          <w:tcPr>
            <w:tcW w:w="740" w:type="dxa"/>
            <w:vAlign w:val="bottom"/>
            <w:gridSpan w:val="2"/>
          </w:tcPr>
          <w:p>
            <w:pPr>
              <w:spacing w:after="0"/>
              <w:rPr>
                <w:sz w:val="20"/>
                <w:szCs w:val="20"/>
                <w:color w:val="auto"/>
              </w:rPr>
            </w:pPr>
            <w:r>
              <w:rPr>
                <w:rFonts w:ascii="Arial" w:cs="Arial" w:eastAsia="Arial" w:hAnsi="Arial"/>
                <w:sz w:val="20"/>
                <w:szCs w:val="20"/>
                <w:color w:val="auto"/>
              </w:rPr>
              <w:t>Title:</w:t>
            </w:r>
          </w:p>
        </w:tc>
        <w:tc>
          <w:tcPr>
            <w:tcW w:w="2720" w:type="dxa"/>
            <w:vAlign w:val="bottom"/>
            <w:gridSpan w:val="2"/>
          </w:tcPr>
          <w:p>
            <w:pPr>
              <w:ind w:left="140"/>
              <w:spacing w:after="0"/>
              <w:rPr>
                <w:sz w:val="20"/>
                <w:szCs w:val="20"/>
                <w:color w:val="auto"/>
              </w:rPr>
            </w:pPr>
            <w:r>
              <w:rPr>
                <w:rFonts w:ascii="Arial" w:cs="Arial" w:eastAsia="Arial" w:hAnsi="Arial"/>
                <w:sz w:val="20"/>
                <w:szCs w:val="20"/>
                <w:color w:val="auto"/>
                <w:w w:val="98"/>
              </w:rPr>
              <w:t>Vice President and Treasurer</w:t>
            </w:r>
          </w:p>
        </w:tc>
      </w:tr>
    </w:tbl>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Fifth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4" w:right="519" w:bottom="1440" w:gutter="0" w:footer="0" w:header="0"/>
        </w:sectPr>
      </w:pPr>
    </w:p>
    <w:bookmarkStart w:id="32" w:name="page33"/>
    <w:bookmarkEnd w:id="32"/>
    <w:p>
      <w:pPr>
        <w:ind w:left="3380"/>
        <w:spacing w:after="0"/>
        <w:rPr>
          <w:sz w:val="20"/>
          <w:szCs w:val="20"/>
          <w:color w:val="auto"/>
        </w:rPr>
      </w:pPr>
      <w:r>
        <w:rPr>
          <w:rFonts w:ascii="Arial" w:cs="Arial" w:eastAsia="Arial" w:hAnsi="Arial"/>
          <w:sz w:val="20"/>
          <w:szCs w:val="20"/>
          <w:color w:val="auto"/>
        </w:rPr>
        <w:t>THE BANK OF NEW YORK MELLON</w:t>
      </w:r>
    </w:p>
    <w:p>
      <w:pPr>
        <w:spacing w:after="0" w:line="4" w:lineRule="exact"/>
        <w:rPr>
          <w:sz w:val="20"/>
          <w:szCs w:val="20"/>
          <w:color w:val="auto"/>
        </w:rPr>
      </w:pPr>
    </w:p>
    <w:p>
      <w:pPr>
        <w:jc w:val="right"/>
        <w:ind w:right="379"/>
        <w:spacing w:after="0"/>
        <w:rPr>
          <w:sz w:val="20"/>
          <w:szCs w:val="20"/>
          <w:color w:val="auto"/>
        </w:rPr>
      </w:pPr>
      <w:r>
        <w:rPr>
          <w:rFonts w:ascii="Arial" w:cs="Arial" w:eastAsia="Arial" w:hAnsi="Arial"/>
          <w:sz w:val="20"/>
          <w:szCs w:val="20"/>
          <w:color w:val="auto"/>
        </w:rPr>
        <w:t>as Trustee, Registrar, Paying Agent and Transfer Agent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Nathaniel Henkle</w:t>
      </w:r>
    </w:p>
    <w:p>
      <w:pPr>
        <w:ind w:left="3840"/>
        <w:spacing w:after="0" w:line="229" w:lineRule="auto"/>
        <w:tabs>
          <w:tab w:leader="none" w:pos="4700" w:val="left"/>
        </w:tabs>
        <w:rPr>
          <w:sz w:val="20"/>
          <w:szCs w:val="20"/>
          <w:color w:val="auto"/>
        </w:rPr>
      </w:pPr>
      <w:r>
        <w:rPr>
          <w:rFonts w:ascii="Arial" w:cs="Arial" w:eastAsia="Arial" w:hAnsi="Arial"/>
          <w:sz w:val="20"/>
          <w:szCs w:val="20"/>
          <w:color w:val="auto"/>
        </w:rPr>
        <w:t>Name:</w:t>
        <w:tab/>
        <w:t>Nathaniel Henkle</w:t>
      </w:r>
    </w:p>
    <w:p>
      <w:pPr>
        <w:spacing w:after="0" w:line="1" w:lineRule="exact"/>
        <w:rPr>
          <w:sz w:val="20"/>
          <w:szCs w:val="20"/>
          <w:color w:val="auto"/>
        </w:rPr>
      </w:pPr>
    </w:p>
    <w:p>
      <w:pPr>
        <w:ind w:left="3840"/>
        <w:spacing w:after="0"/>
        <w:tabs>
          <w:tab w:leader="none" w:pos="47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Agent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to Fifth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Exhibit 10.1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2017 OMNIBUS STOCK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(Includes Confidentiality, Intellectual Property, Non-Competition,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Non-Solicitation Provisions in Section 7 and Attachment I)</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Effective Date: [ ]</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auto"/>
        </w:rPr>
        <w:t xml:space="preserve">Please note: </w:t>
      </w:r>
      <w:r>
        <w:rPr>
          <w:rFonts w:ascii="Arial" w:cs="Arial" w:eastAsia="Arial" w:hAnsi="Arial"/>
          <w:sz w:val="22"/>
          <w:szCs w:val="22"/>
          <w:i w:val="1"/>
          <w:iCs w:val="1"/>
          <w:color w:val="auto"/>
        </w:rPr>
        <w:t>If you do not wish to accept this Restricted Stock Unit Award Agreement, you must notify the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Department no later than 30 days after this Agreement is made available to you.</w:t>
      </w:r>
    </w:p>
    <w:p>
      <w:pPr>
        <w:spacing w:after="0" w:line="200" w:lineRule="exact"/>
        <w:rPr>
          <w:sz w:val="20"/>
          <w:szCs w:val="20"/>
          <w:color w:val="auto"/>
        </w:rPr>
      </w:pPr>
    </w:p>
    <w:p>
      <w:pPr>
        <w:spacing w:after="0" w:line="205" w:lineRule="exact"/>
        <w:rPr>
          <w:sz w:val="20"/>
          <w:szCs w:val="20"/>
          <w:color w:val="auto"/>
        </w:rPr>
      </w:pPr>
    </w:p>
    <w:p>
      <w:pPr>
        <w:jc w:val="both"/>
        <w:ind w:firstLine="440"/>
        <w:spacing w:after="0" w:line="233" w:lineRule="auto"/>
        <w:rPr>
          <w:sz w:val="20"/>
          <w:szCs w:val="20"/>
          <w:color w:val="auto"/>
        </w:rPr>
      </w:pPr>
      <w:r>
        <w:rPr>
          <w:rFonts w:ascii="Arial" w:cs="Arial" w:eastAsia="Arial" w:hAnsi="Arial"/>
          <w:sz w:val="20"/>
          <w:szCs w:val="20"/>
          <w:b w:val="1"/>
          <w:bCs w:val="1"/>
          <w:color w:val="auto"/>
        </w:rPr>
        <w:t>SCHLUMBERGER LIMITED, a Curaçao corporation (the “Company”), hereby grants to the employee named in the Notice of Grant of Award (“Employee”) restricted stock units (“Restricted Stock Units” or “RSUs”) pursuant to this award agreement (as may be amended, the “Agreement”) (the “Award Notice”). Your RSUs are granted pursuant to the Schlumberger 2017 Omnibus Stock Incentive Plan, as may be amended (the “Plan”). Restricted Stock Units are notional units of measurement denominated in shares of common stock of the Company, $.01 par value per share (“Common Stock”). Each Restricted Stock Unit represents a hypothetical share of Common Stock, subject to the conditions and restrictions on transferability set forth herein and in the Plan.</w:t>
      </w:r>
    </w:p>
    <w:p>
      <w:pPr>
        <w:spacing w:after="0" w:line="167" w:lineRule="exact"/>
        <w:rPr>
          <w:sz w:val="20"/>
          <w:szCs w:val="20"/>
          <w:color w:val="auto"/>
        </w:rPr>
      </w:pPr>
    </w:p>
    <w:p>
      <w:pPr>
        <w:ind w:firstLine="757"/>
        <w:spacing w:after="0" w:line="257" w:lineRule="auto"/>
        <w:tabs>
          <w:tab w:leader="none" w:pos="1018"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 The period of time between the grant date specified in the Award Notice (the “Grant Date”) and the vesting of Restricted Stock Units (and the termination of restrictions thereon) is the “Restricted Period.”</w:t>
      </w:r>
    </w:p>
    <w:p>
      <w:pPr>
        <w:spacing w:after="0" w:line="155" w:lineRule="exact"/>
        <w:rPr>
          <w:sz w:val="20"/>
          <w:szCs w:val="20"/>
          <w:color w:val="auto"/>
        </w:rPr>
      </w:pPr>
    </w:p>
    <w:p>
      <w:pPr>
        <w:jc w:val="both"/>
        <w:ind w:firstLine="757"/>
        <w:spacing w:after="0" w:line="237" w:lineRule="auto"/>
        <w:tabs>
          <w:tab w:leader="none" w:pos="1018"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Normal Vesting</w:t>
      </w:r>
      <w:r>
        <w:rPr>
          <w:rFonts w:ascii="Arial" w:cs="Arial" w:eastAsia="Arial" w:hAnsi="Arial"/>
          <w:sz w:val="20"/>
          <w:szCs w:val="20"/>
          <w:color w:val="auto"/>
        </w:rPr>
        <w:t>. The Restricted Stock Units will vest over a three (3) year period according to the following schedule (“Vesting Dates”), provided that the Employee has been continuously employed by the Company or any of its Subsidiaries from the Grant Date to each Vesting Date: one-third on the first anniversary of the grant date, one-third on the second anniversary of the grant date, and one-third on the third anniversary of the grant date.</w:t>
      </w:r>
    </w:p>
    <w:p>
      <w:pPr>
        <w:spacing w:after="0" w:line="17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b w:val="1"/>
          <w:bCs w:val="1"/>
          <w:color w:val="auto"/>
        </w:rPr>
        <w:t>Except as provided in Section 1(b) or 1(c) below, if there is any Termination of Employment (as defined in Section 11 below) during the period from and between the Grant Date until and including the Vesting Date, Employee will immediately and automatically forfeit all Restricted Stock Units that have yet to vest as of such date. Any questions as to whether and when there has been a Termination of Employment, and the cause of such termination, will be resolved by the Committee (as defined in Section 11 below), and its determination will be final.</w:t>
      </w:r>
    </w:p>
    <w:p>
      <w:pPr>
        <w:spacing w:after="0" w:line="162" w:lineRule="exact"/>
        <w:rPr>
          <w:sz w:val="20"/>
          <w:szCs w:val="20"/>
          <w:color w:val="auto"/>
        </w:rPr>
      </w:pPr>
    </w:p>
    <w:p>
      <w:pPr>
        <w:jc w:val="both"/>
        <w:ind w:firstLine="757"/>
        <w:spacing w:after="0" w:line="237" w:lineRule="auto"/>
        <w:tabs>
          <w:tab w:leader="none" w:pos="101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Acceleration on Death or Disability</w:t>
      </w:r>
      <w:r>
        <w:rPr>
          <w:rFonts w:ascii="Arial" w:cs="Arial" w:eastAsia="Arial" w:hAnsi="Arial"/>
          <w:sz w:val="20"/>
          <w:szCs w:val="20"/>
          <w:color w:val="auto"/>
        </w:rPr>
        <w:t>. Upon Termination of Employment by reason of Employee’s death or Disability (as defined in Section 11 below) or upon Employee’s Disability prior to Termination of Employment (as determined by the Committee and within the meaning of Section 409A of the U.S. Internal Revenue Code (the “Code”)), all Restricted Stock Units that are not vested at that time immediately and automatically will become vested in full.</w:t>
      </w:r>
    </w:p>
    <w:p>
      <w:pPr>
        <w:spacing w:after="0" w:line="171"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Termination of Employment from the Company and its Subsidiaries by reason of Employee’s Retirement (as defined in Section 11 below), the Restricted Stock Units will continue to vest following Termination of Employment as if Employee continued to be employed with the Company or any of its Subsidiaries, subject to forfeiture in the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of the Committee in the event that Employee engages in Detrimental Activity (as defined in Section 11 below).</w:t>
      </w:r>
    </w:p>
    <w:p>
      <w:pPr>
        <w:spacing w:after="0" w:line="202" w:lineRule="exact"/>
        <w:rPr>
          <w:sz w:val="20"/>
          <w:szCs w:val="20"/>
          <w:color w:val="auto"/>
        </w:rPr>
      </w:pPr>
    </w:p>
    <w:p>
      <w:pPr>
        <w:jc w:val="both"/>
        <w:ind w:firstLine="757"/>
        <w:spacing w:after="0" w:line="235" w:lineRule="auto"/>
        <w:tabs>
          <w:tab w:leader="none" w:pos="101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Settlement of Restricted Stock Units</w:t>
      </w:r>
      <w:r>
        <w:rPr>
          <w:rFonts w:ascii="Arial" w:cs="Arial" w:eastAsia="Arial" w:hAnsi="Arial"/>
          <w:sz w:val="20"/>
          <w:szCs w:val="20"/>
          <w:color w:val="auto"/>
        </w:rPr>
        <w:t xml:space="preserve">. If Employee’s Restricted Stock Units vest in accordance with the normal vesting schedule described in the first sentence of Section 1(a) above or pursuant to Section 1(b) above, payment of vested Restricted Stock Units will be made as soon as administratively </w:t>
      </w:r>
      <w:r>
        <w:rPr>
          <w:rFonts w:ascii="Arial" w:cs="Arial" w:eastAsia="Arial" w:hAnsi="Arial"/>
          <w:sz w:val="21"/>
          <w:szCs w:val="21"/>
          <w:color w:val="auto"/>
        </w:rPr>
        <w:t>practicable</w:t>
      </w:r>
      <w:r>
        <w:rPr>
          <w:rFonts w:ascii="Arial" w:cs="Arial" w:eastAsia="Arial" w:hAnsi="Arial"/>
          <w:sz w:val="20"/>
          <w:szCs w:val="20"/>
          <w:color w:val="auto"/>
        </w:rPr>
        <w:t>, but in no event later than 45 days following the date that the Restricted Stock Units vest (the date of any such payment, the “Settlement Date”). Notwithstanding the foregoing, the Committee may, in its sole and absolute discretion, settle the vested Restricted Stock Units in cash based on the Fair Market Value (as defined in Section 11 below) of the shares of Common Stock on the settlement date.</w:t>
      </w:r>
    </w:p>
    <w:p>
      <w:pPr>
        <w:spacing w:after="0" w:line="176" w:lineRule="exact"/>
        <w:rPr>
          <w:rFonts w:ascii="Arial" w:cs="Arial" w:eastAsia="Arial" w:hAnsi="Arial"/>
          <w:sz w:val="20"/>
          <w:szCs w:val="20"/>
          <w:color w:val="auto"/>
        </w:rPr>
      </w:pPr>
    </w:p>
    <w:p>
      <w:pPr>
        <w:ind w:left="1020" w:hanging="263"/>
        <w:spacing w:after="0"/>
        <w:tabs>
          <w:tab w:leader="none" w:pos="102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Forfeitures of Restricted Stock Units</w:t>
      </w:r>
      <w:r>
        <w:rPr>
          <w:rFonts w:ascii="Arial" w:cs="Arial" w:eastAsia="Arial" w:hAnsi="Arial"/>
          <w:sz w:val="20"/>
          <w:szCs w:val="20"/>
          <w:color w:val="auto"/>
        </w:rPr>
        <w:t>.</w:t>
      </w:r>
    </w:p>
    <w:p>
      <w:pPr>
        <w:spacing w:after="0" w:line="200" w:lineRule="exact"/>
        <w:rPr>
          <w:sz w:val="20"/>
          <w:szCs w:val="20"/>
          <w:color w:val="auto"/>
        </w:rPr>
      </w:pPr>
    </w:p>
    <w:p>
      <w:pPr>
        <w:jc w:val="both"/>
        <w:ind w:firstLine="757"/>
        <w:spacing w:after="0" w:line="237" w:lineRule="auto"/>
        <w:tabs>
          <w:tab w:leader="none" w:pos="1189"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At any time during the Restricted Period, upon a Termination of Employment for any reason that does not result in an acceleration or continuation of vesting pursuant to Section 1, Employee will immediately and automatically forfeit all unvested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62" w:lineRule="exact"/>
        <w:rPr>
          <w:rFonts w:ascii="Arial" w:cs="Arial" w:eastAsia="Arial" w:hAnsi="Arial"/>
          <w:sz w:val="20"/>
          <w:szCs w:val="20"/>
          <w:b w:val="1"/>
          <w:bCs w:val="1"/>
          <w:color w:val="auto"/>
        </w:rPr>
      </w:pPr>
    </w:p>
    <w:p>
      <w:pPr>
        <w:jc w:val="both"/>
        <w:ind w:firstLine="757"/>
        <w:spacing w:after="0" w:line="241" w:lineRule="auto"/>
        <w:tabs>
          <w:tab w:leader="none" w:pos="1189" w:val="left"/>
        </w:tabs>
        <w:numPr>
          <w:ilvl w:val="0"/>
          <w:numId w:val="29"/>
        </w:numPr>
        <w:rPr>
          <w:rFonts w:ascii="Arial" w:cs="Arial" w:eastAsia="Arial" w:hAnsi="Arial"/>
          <w:sz w:val="20"/>
          <w:szCs w:val="20"/>
          <w:color w:val="auto"/>
        </w:rPr>
      </w:pPr>
      <w:r>
        <w:rPr>
          <w:rFonts w:ascii="Arial" w:cs="Arial" w:eastAsia="Arial" w:hAnsi="Arial"/>
          <w:sz w:val="20"/>
          <w:szCs w:val="20"/>
          <w:color w:val="auto"/>
        </w:rPr>
        <w:t>Notwithstanding any provision in this Agreement to the contrary, if at any time during the Restricted Period, Employee engages in Detrimental Activity, Employee will immediately and automatically forfeit all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210" w:lineRule="exact"/>
        <w:rPr>
          <w:sz w:val="20"/>
          <w:szCs w:val="20"/>
          <w:color w:val="auto"/>
        </w:rPr>
      </w:pPr>
    </w:p>
    <w:p>
      <w:pPr>
        <w:ind w:left="1020" w:hanging="263"/>
        <w:spacing w:after="0"/>
        <w:tabs>
          <w:tab w:leader="none" w:pos="102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47" w:lineRule="auto"/>
        <w:tabs>
          <w:tab w:leader="none" w:pos="1018"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Restricted Stock Units granted hereunder to Employee may not be sold, assigned, transferred, pledged or otherwise encumbered, whether voluntarily or involuntarily, by operation of law or otherwise (any of the foregoing, a “Transfer”), other than</w:t>
      </w:r>
    </w:p>
    <w:p>
      <w:pPr>
        <w:jc w:val="both"/>
        <w:ind w:firstLine="8"/>
        <w:spacing w:after="0" w:line="232" w:lineRule="auto"/>
        <w:tabs>
          <w:tab w:leader="none" w:pos="249" w:val="left"/>
        </w:tabs>
        <w:numPr>
          <w:ilvl w:val="0"/>
          <w:numId w:val="32"/>
        </w:numPr>
        <w:rPr>
          <w:rFonts w:ascii="Arial" w:cs="Arial" w:eastAsia="Arial" w:hAnsi="Arial"/>
          <w:sz w:val="20"/>
          <w:szCs w:val="20"/>
          <w:color w:val="auto"/>
        </w:rPr>
      </w:pPr>
      <w:r>
        <w:rPr>
          <w:rFonts w:ascii="Arial" w:cs="Arial" w:eastAsia="Arial" w:hAnsi="Arial"/>
          <w:sz w:val="20"/>
          <w:szCs w:val="20"/>
          <w:color w:val="auto"/>
        </w:rPr>
        <w:t>to the Company as a result of the forfeiture of Restricted Stock Units, or (ii) by will or the laws of descent and distribution. Payment of Restricted Stock Units after Employee’s death will be made to Employee’s estate or, in the sole and absolute discretion of the Committee, to the person or persons entitled to receive such payment under applicable laws of descent and distribution.</w:t>
      </w:r>
    </w:p>
    <w:p>
      <w:pPr>
        <w:spacing w:after="0" w:line="172" w:lineRule="exact"/>
        <w:rPr>
          <w:rFonts w:ascii="Arial" w:cs="Arial" w:eastAsia="Arial" w:hAnsi="Arial"/>
          <w:sz w:val="20"/>
          <w:szCs w:val="20"/>
          <w:color w:val="auto"/>
        </w:rPr>
      </w:pPr>
    </w:p>
    <w:p>
      <w:pPr>
        <w:jc w:val="both"/>
        <w:ind w:firstLine="757"/>
        <w:spacing w:after="0" w:line="233" w:lineRule="auto"/>
        <w:tabs>
          <w:tab w:leader="none" w:pos="1018" w:val="left"/>
        </w:tabs>
        <w:numPr>
          <w:ilvl w:val="1"/>
          <w:numId w:val="32"/>
        </w:numPr>
        <w:rPr>
          <w:rFonts w:ascii="Arial" w:cs="Arial" w:eastAsia="Arial" w:hAnsi="Arial"/>
          <w:sz w:val="20"/>
          <w:szCs w:val="20"/>
          <w:color w:val="auto"/>
        </w:rPr>
      </w:pPr>
      <w:r>
        <w:rPr>
          <w:rFonts w:ascii="Arial" w:cs="Arial" w:eastAsia="Arial" w:hAnsi="Arial"/>
          <w:sz w:val="20"/>
          <w:szCs w:val="20"/>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Restricted Stock Units will terminate and become of no further effect.</w:t>
      </w:r>
    </w:p>
    <w:p>
      <w:pPr>
        <w:spacing w:after="0" w:line="172" w:lineRule="exact"/>
        <w:rPr>
          <w:sz w:val="20"/>
          <w:szCs w:val="20"/>
          <w:color w:val="auto"/>
        </w:rPr>
      </w:pPr>
    </w:p>
    <w:p>
      <w:pPr>
        <w:jc w:val="both"/>
        <w:ind w:firstLine="757"/>
        <w:spacing w:after="0" w:line="241" w:lineRule="auto"/>
        <w:tabs>
          <w:tab w:leader="none" w:pos="101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Employee will have no rights as a stockholder of the Company with regard to the Restricted Stock Units. Rights as a stockholder of the Company will arise only if the Restricted Stock Units are settled in shares of Common Stock pursuant to Section 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5" w:name="page36"/>
    <w:bookmarkEnd w:id="35"/>
    <w:p>
      <w:pPr>
        <w:ind w:left="1012" w:hanging="263"/>
        <w:spacing w:after="0"/>
        <w:tabs>
          <w:tab w:leader="none" w:pos="101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Taxes and Social Insurance Withholding</w:t>
      </w:r>
      <w:r>
        <w:rPr>
          <w:rFonts w:ascii="Arial" w:cs="Arial" w:eastAsia="Arial" w:hAnsi="Arial"/>
          <w:sz w:val="20"/>
          <w:szCs w:val="20"/>
          <w:color w:val="auto"/>
        </w:rPr>
        <w:t>.</w:t>
      </w:r>
    </w:p>
    <w:p>
      <w:pPr>
        <w:spacing w:after="0" w:line="200" w:lineRule="exact"/>
        <w:rPr>
          <w:sz w:val="20"/>
          <w:szCs w:val="20"/>
          <w:color w:val="auto"/>
        </w:rPr>
      </w:pPr>
    </w:p>
    <w:p>
      <w:pPr>
        <w:jc w:val="both"/>
        <w:ind w:left="-8" w:firstLine="757"/>
        <w:spacing w:after="0" w:line="230" w:lineRule="auto"/>
        <w:tabs>
          <w:tab w:leader="none" w:pos="1265" w:val="left"/>
        </w:tabs>
        <w:numPr>
          <w:ilvl w:val="1"/>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Restricted Stock Units, including the grant of the Restricted Stock Units, the vesting of the Restricted Stock Units, the conversion of the Restricted Stock Units into shares of Common Stock or the receipt of any equivalent cash payment, the subsequent sale of any shares of Common Stock acquired at vesting, and (ii) does not commit to structure the terms of the grant or any aspect of the Restricted Stock Units to reduce or eliminate Employee’s liability for the Tax-Related Items.</w:t>
      </w:r>
    </w:p>
    <w:p>
      <w:pPr>
        <w:spacing w:after="0" w:line="172" w:lineRule="exact"/>
        <w:rPr>
          <w:rFonts w:ascii="Arial" w:cs="Arial" w:eastAsia="Arial" w:hAnsi="Arial"/>
          <w:sz w:val="20"/>
          <w:szCs w:val="20"/>
          <w:b w:val="1"/>
          <w:bCs w:val="1"/>
          <w:color w:val="auto"/>
        </w:rPr>
      </w:pPr>
    </w:p>
    <w:p>
      <w:pPr>
        <w:jc w:val="both"/>
        <w:ind w:left="-8" w:firstLine="757"/>
        <w:spacing w:after="0" w:line="258" w:lineRule="auto"/>
        <w:tabs>
          <w:tab w:leader="none" w:pos="1263" w:val="left"/>
        </w:tabs>
        <w:numPr>
          <w:ilvl w:val="1"/>
          <w:numId w:val="35"/>
        </w:numPr>
        <w:rPr>
          <w:rFonts w:ascii="Arial" w:cs="Arial" w:eastAsia="Arial" w:hAnsi="Arial"/>
          <w:sz w:val="20"/>
          <w:szCs w:val="20"/>
          <w:color w:val="auto"/>
        </w:rPr>
      </w:pPr>
      <w:r>
        <w:rPr>
          <w:rFonts w:ascii="Arial" w:cs="Arial" w:eastAsia="Arial" w:hAnsi="Arial"/>
          <w:sz w:val="20"/>
          <w:szCs w:val="20"/>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or</w:t>
      </w:r>
    </w:p>
    <w:p>
      <w:pPr>
        <w:spacing w:after="0" w:line="3" w:lineRule="exact"/>
        <w:rPr>
          <w:rFonts w:ascii="Arial" w:cs="Arial" w:eastAsia="Arial" w:hAnsi="Arial"/>
          <w:sz w:val="20"/>
          <w:szCs w:val="20"/>
          <w:color w:val="auto"/>
        </w:rPr>
      </w:pPr>
    </w:p>
    <w:p>
      <w:pPr>
        <w:jc w:val="both"/>
        <w:ind w:left="-8" w:firstLine="8"/>
        <w:spacing w:after="0" w:line="245" w:lineRule="auto"/>
        <w:tabs>
          <w:tab w:leader="none" w:pos="298" w:val="left"/>
        </w:tabs>
        <w:numPr>
          <w:ilvl w:val="0"/>
          <w:numId w:val="36"/>
        </w:numPr>
        <w:rPr>
          <w:rFonts w:ascii="Arial" w:cs="Arial" w:eastAsia="Arial" w:hAnsi="Arial"/>
          <w:sz w:val="21"/>
          <w:szCs w:val="21"/>
          <w:color w:val="auto"/>
        </w:rPr>
      </w:pPr>
      <w:r>
        <w:rPr>
          <w:rFonts w:ascii="Arial" w:cs="Arial" w:eastAsia="Arial" w:hAnsi="Arial"/>
          <w:sz w:val="21"/>
          <w:szCs w:val="21"/>
          <w:color w:val="auto"/>
        </w:rPr>
        <w:t>withhold whole shares of Common Stock which would otherwise be delivered to Employee having an aggregate Fair Market Value, determined as of the Tax Date, or withhold an amount of cash from Employee’s wages or other cash compensation which would otherwise be payable to Employee by the Company or from any equivalent cash payment received upon vesting of the Restricted Stock Units, equal to the amount necessary to satisfy any such obligation.</w:t>
      </w:r>
    </w:p>
    <w:p>
      <w:pPr>
        <w:spacing w:after="0" w:line="208" w:lineRule="exact"/>
        <w:rPr>
          <w:rFonts w:ascii="Arial" w:cs="Arial" w:eastAsia="Arial" w:hAnsi="Arial"/>
          <w:sz w:val="21"/>
          <w:szCs w:val="21"/>
          <w:color w:val="auto"/>
        </w:rPr>
      </w:pPr>
    </w:p>
    <w:p>
      <w:pPr>
        <w:jc w:val="both"/>
        <w:ind w:left="-8" w:firstLine="757"/>
        <w:spacing w:after="0" w:line="244" w:lineRule="auto"/>
        <w:tabs>
          <w:tab w:leader="none" w:pos="1201"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the Employee if Employee fails to comply with his or her obligations in connection with the Tax-Related Items as described herein.</w:t>
      </w:r>
    </w:p>
    <w:p>
      <w:pPr>
        <w:spacing w:after="0" w:line="210" w:lineRule="exact"/>
        <w:rPr>
          <w:sz w:val="20"/>
          <w:szCs w:val="20"/>
          <w:color w:val="auto"/>
        </w:rPr>
      </w:pPr>
    </w:p>
    <w:p>
      <w:pPr>
        <w:jc w:val="both"/>
        <w:ind w:left="-8" w:firstLine="757"/>
        <w:spacing w:after="0" w:line="235" w:lineRule="auto"/>
        <w:tabs>
          <w:tab w:leader="none" w:pos="101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Intellectual Property and Noncompetition</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 acknowledges that Employee is in</w:t>
      </w:r>
      <w:r>
        <w:rPr>
          <w:rFonts w:ascii="Arial" w:cs="Arial" w:eastAsia="Arial" w:hAnsi="Arial"/>
          <w:sz w:val="20"/>
          <w:szCs w:val="20"/>
          <w:color w:val="auto"/>
        </w:rPr>
        <w:t xml:space="preserve"> </w:t>
      </w:r>
      <w:r>
        <w:rPr>
          <w:rFonts w:ascii="Arial" w:cs="Arial" w:eastAsia="Arial" w:hAnsi="Arial"/>
          <w:sz w:val="20"/>
          <w:szCs w:val="20"/>
          <w:b w:val="1"/>
          <w:bCs w:val="1"/>
          <w:color w:val="auto"/>
        </w:rPr>
        <w:t>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995680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4" w:right="339" w:bottom="1440" w:gutter="0" w:footer="0" w:header="0"/>
        </w:sectPr>
      </w:pPr>
    </w:p>
    <w:bookmarkStart w:id="36" w:name="page37"/>
    <w:bookmarkEnd w:id="36"/>
    <w:p>
      <w:pPr>
        <w:jc w:val="both"/>
        <w:spacing w:after="0" w:line="247" w:lineRule="auto"/>
        <w:rPr>
          <w:sz w:val="20"/>
          <w:szCs w:val="20"/>
          <w:color w:val="auto"/>
        </w:rPr>
      </w:pPr>
      <w:r>
        <w:rPr>
          <w:rFonts w:ascii="Arial" w:cs="Arial" w:eastAsia="Arial" w:hAnsi="Arial"/>
          <w:sz w:val="20"/>
          <w:szCs w:val="20"/>
          <w:b w:val="1"/>
          <w:bCs w:val="1"/>
          <w:color w:val="auto"/>
        </w:rPr>
        <w:t>that they be protected. Accordingly, Employee agrees to be bound by the terms and conditions set forth on Attachment I, which is incorporated herein by reference, including all rules, procedures, policies and requirements that the Company may promulgate consistent with Attachment I.</w:t>
      </w:r>
    </w:p>
    <w:p>
      <w:pPr>
        <w:spacing w:after="0" w:line="156" w:lineRule="exact"/>
        <w:rPr>
          <w:sz w:val="20"/>
          <w:szCs w:val="20"/>
          <w:color w:val="auto"/>
        </w:rPr>
      </w:pPr>
    </w:p>
    <w:p>
      <w:pPr>
        <w:jc w:val="both"/>
        <w:ind w:firstLine="757"/>
        <w:spacing w:after="0" w:line="237" w:lineRule="auto"/>
        <w:tabs>
          <w:tab w:leader="none" w:pos="101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Changes in Capital Structure</w:t>
      </w:r>
      <w:r>
        <w:rPr>
          <w:rFonts w:ascii="Arial" w:cs="Arial" w:eastAsia="Arial" w:hAnsi="Arial"/>
          <w:sz w:val="20"/>
          <w:szCs w:val="20"/>
          <w:color w:val="auto"/>
        </w:rPr>
        <w:t>. As more fully described in the Plan, if the outstanding shares of Common Stock at any time are changed or exchanged by declaration of a stock dividend, stock split, combination of shares, or recapitalization, the number and kind of Restricted Stock Units will be appropriately and equitably adjusted so as to maintain their equivalence to the proportionate number of shares.</w:t>
      </w:r>
    </w:p>
    <w:p>
      <w:pPr>
        <w:spacing w:after="0" w:line="171" w:lineRule="exact"/>
        <w:rPr>
          <w:rFonts w:ascii="Arial" w:cs="Arial" w:eastAsia="Arial" w:hAnsi="Arial"/>
          <w:sz w:val="20"/>
          <w:szCs w:val="20"/>
          <w:color w:val="auto"/>
        </w:rPr>
      </w:pPr>
    </w:p>
    <w:p>
      <w:pPr>
        <w:jc w:val="both"/>
        <w:ind w:firstLine="757"/>
        <w:spacing w:after="0" w:line="233" w:lineRule="auto"/>
        <w:tabs>
          <w:tab w:leader="none" w:pos="101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10.</w:t>
      </w: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sz w:val="20"/>
          <w:szCs w:val="20"/>
          <w:color w:val="auto"/>
        </w:rPr>
      </w:pPr>
    </w:p>
    <w:p>
      <w:pPr>
        <w:ind w:firstLine="757"/>
        <w:spacing w:after="0" w:line="257" w:lineRule="auto"/>
        <w:tabs>
          <w:tab w:leader="none" w:pos="1018" w:val="left"/>
        </w:tabs>
        <w:numPr>
          <w:ilvl w:val="0"/>
          <w:numId w:val="39"/>
        </w:numPr>
        <w:rPr>
          <w:rFonts w:ascii="Arial" w:cs="Arial" w:eastAsia="Arial" w:hAnsi="Arial"/>
          <w:sz w:val="20"/>
          <w:szCs w:val="20"/>
          <w:color w:val="auto"/>
        </w:rPr>
      </w:pPr>
      <w:r>
        <w:rPr>
          <w:rFonts w:ascii="Arial" w:cs="Arial" w:eastAsia="Arial" w:hAnsi="Arial"/>
          <w:sz w:val="20"/>
          <w:szCs w:val="20"/>
          <w:color w:val="auto"/>
        </w:rPr>
        <w:t>give Employee or any other person or entity any right to be awarded any further Restricted Stock Units (or other form of stock incentive awards) other than in the sole discretion of the Committee;</w:t>
      </w:r>
    </w:p>
    <w:p>
      <w:pPr>
        <w:spacing w:after="0" w:line="155" w:lineRule="exact"/>
        <w:rPr>
          <w:rFonts w:ascii="Arial" w:cs="Arial" w:eastAsia="Arial" w:hAnsi="Arial"/>
          <w:sz w:val="20"/>
          <w:szCs w:val="20"/>
          <w:color w:val="auto"/>
        </w:rPr>
      </w:pPr>
    </w:p>
    <w:p>
      <w:pPr>
        <w:ind w:right="20" w:firstLine="757"/>
        <w:spacing w:after="0" w:line="257" w:lineRule="auto"/>
        <w:tabs>
          <w:tab w:leader="none" w:pos="1018" w:val="left"/>
        </w:tabs>
        <w:numPr>
          <w:ilvl w:val="0"/>
          <w:numId w:val="39"/>
        </w:numPr>
        <w:rPr>
          <w:rFonts w:ascii="Arial" w:cs="Arial" w:eastAsia="Arial" w:hAnsi="Arial"/>
          <w:sz w:val="20"/>
          <w:szCs w:val="20"/>
          <w:color w:val="auto"/>
        </w:rPr>
      </w:pPr>
      <w:r>
        <w:rPr>
          <w:rFonts w:ascii="Arial" w:cs="Arial" w:eastAsia="Arial" w:hAnsi="Arial"/>
          <w:sz w:val="20"/>
          <w:szCs w:val="20"/>
          <w:color w:val="auto"/>
        </w:rPr>
        <w:t>give Employee or any other person or entity any interest in any fund or in any specified asset or assets of the Company (other than the Restricted Stock Units); or</w:t>
      </w:r>
    </w:p>
    <w:p>
      <w:pPr>
        <w:spacing w:after="0" w:line="155" w:lineRule="exact"/>
        <w:rPr>
          <w:rFonts w:ascii="Arial" w:cs="Arial" w:eastAsia="Arial" w:hAnsi="Arial"/>
          <w:sz w:val="20"/>
          <w:szCs w:val="20"/>
          <w:color w:val="auto"/>
        </w:rPr>
      </w:pPr>
    </w:p>
    <w:p>
      <w:pPr>
        <w:ind w:firstLine="757"/>
        <w:spacing w:after="0" w:line="257" w:lineRule="auto"/>
        <w:tabs>
          <w:tab w:leader="none" w:pos="1018"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confer upon Employee or any other person or entity the right to continue in the employment or service of the Company or any Subsidiary.</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sz w:val="20"/>
          <w:szCs w:val="20"/>
          <w:color w:val="auto"/>
        </w:rPr>
      </w:pPr>
    </w:p>
    <w:p>
      <w:pPr>
        <w:ind w:left="1020" w:hanging="263"/>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“Agreement” is defined in the introduction.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“Award Notice” is defined in the introduction.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“Reserved” is defined in Section 15.</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“Code” is defined in Section 1(b).</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“Committee” means the Compensation Committee of the Board of Directors of the Company.</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“Common Stock” is defined in the introduction.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“Company” means Schlumberger Limited.</w:t>
      </w:r>
    </w:p>
    <w:p>
      <w:pPr>
        <w:spacing w:after="0" w:line="202" w:lineRule="exact"/>
        <w:rPr>
          <w:rFonts w:ascii="Arial" w:cs="Arial" w:eastAsia="Arial" w:hAnsi="Arial"/>
          <w:sz w:val="20"/>
          <w:szCs w:val="20"/>
          <w:color w:val="auto"/>
        </w:rPr>
      </w:pPr>
    </w:p>
    <w:p>
      <w:pPr>
        <w:ind w:firstLine="757"/>
        <w:spacing w:after="0" w:line="257" w:lineRule="auto"/>
        <w:tabs>
          <w:tab w:leader="none" w:pos="1018"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“Detrimental Activity” means activity that is determined by the Committee in its sole and absolute discretion to be detrimental to the interests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7" w:name="page38"/>
    <w:bookmarkEnd w:id="37"/>
    <w:p>
      <w:pPr>
        <w:jc w:val="both"/>
        <w:spacing w:after="0" w:line="228" w:lineRule="auto"/>
        <w:rPr>
          <w:sz w:val="20"/>
          <w:szCs w:val="20"/>
          <w:color w:val="auto"/>
        </w:rPr>
      </w:pPr>
      <w:r>
        <w:rPr>
          <w:rFonts w:ascii="Arial" w:cs="Arial" w:eastAsia="Arial" w:hAnsi="Arial"/>
          <w:sz w:val="20"/>
          <w:szCs w:val="20"/>
          <w:color w:val="auto"/>
        </w:rPr>
        <w:t>including but not limited to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81" w:lineRule="exact"/>
        <w:rPr>
          <w:sz w:val="20"/>
          <w:szCs w:val="20"/>
          <w:color w:val="auto"/>
        </w:rPr>
      </w:pPr>
    </w:p>
    <w:p>
      <w:pPr>
        <w:jc w:val="both"/>
        <w:ind w:firstLine="757"/>
        <w:spacing w:after="0" w:line="234" w:lineRule="auto"/>
        <w:tabs>
          <w:tab w:leader="none" w:pos="1018" w:val="left"/>
        </w:tabs>
        <w:numPr>
          <w:ilvl w:val="0"/>
          <w:numId w:val="41"/>
        </w:numPr>
        <w:rPr>
          <w:rFonts w:ascii="Arial" w:cs="Arial" w:eastAsia="Arial" w:hAnsi="Arial"/>
          <w:sz w:val="20"/>
          <w:szCs w:val="20"/>
          <w:color w:val="auto"/>
        </w:rPr>
      </w:pPr>
      <w:r>
        <w:rPr>
          <w:rFonts w:ascii="Arial" w:cs="Arial" w:eastAsia="Arial" w:hAnsi="Arial"/>
          <w:sz w:val="20"/>
          <w:szCs w:val="20"/>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74"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41"/>
        </w:numPr>
        <w:rPr>
          <w:rFonts w:ascii="Arial" w:cs="Arial" w:eastAsia="Arial" w:hAnsi="Arial"/>
          <w:sz w:val="20"/>
          <w:szCs w:val="20"/>
          <w:color w:val="auto"/>
        </w:rPr>
      </w:pPr>
      <w:r>
        <w:rPr>
          <w:rFonts w:ascii="Arial" w:cs="Arial" w:eastAsia="Arial" w:hAnsi="Arial"/>
          <w:sz w:val="20"/>
          <w:szCs w:val="20"/>
          <w:color w:val="auto"/>
        </w:rPr>
        <w:t>“Disability” means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pacing w:after="0" w:line="171" w:lineRule="exact"/>
        <w:rPr>
          <w:rFonts w:ascii="Arial" w:cs="Arial" w:eastAsia="Arial" w:hAnsi="Arial"/>
          <w:sz w:val="20"/>
          <w:szCs w:val="20"/>
          <w:color w:val="auto"/>
        </w:rPr>
      </w:pPr>
    </w:p>
    <w:p>
      <w:pPr>
        <w:ind w:left="1020" w:hanging="263"/>
        <w:spacing w:after="0"/>
        <w:tabs>
          <w:tab w:leader="none" w:pos="10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“Employee” is defined in the introduction.</w:t>
      </w:r>
    </w:p>
    <w:p>
      <w:pPr>
        <w:spacing w:after="0" w:line="202" w:lineRule="exact"/>
        <w:rPr>
          <w:rFonts w:ascii="Arial" w:cs="Arial" w:eastAsia="Arial" w:hAnsi="Arial"/>
          <w:sz w:val="20"/>
          <w:szCs w:val="20"/>
          <w:color w:val="auto"/>
        </w:rPr>
      </w:pPr>
    </w:p>
    <w:p>
      <w:pPr>
        <w:jc w:val="both"/>
        <w:ind w:firstLine="757"/>
        <w:spacing w:after="0" w:line="234" w:lineRule="auto"/>
        <w:tabs>
          <w:tab w:leader="none" w:pos="1018" w:val="left"/>
        </w:tabs>
        <w:numPr>
          <w:ilvl w:val="0"/>
          <w:numId w:val="41"/>
        </w:numPr>
        <w:rPr>
          <w:rFonts w:ascii="Arial" w:cs="Arial" w:eastAsia="Arial" w:hAnsi="Arial"/>
          <w:sz w:val="20"/>
          <w:szCs w:val="20"/>
          <w:color w:val="auto"/>
        </w:rPr>
      </w:pPr>
      <w:r>
        <w:rPr>
          <w:rFonts w:ascii="Arial" w:cs="Arial" w:eastAsia="Arial" w:hAnsi="Arial"/>
          <w:sz w:val="20"/>
          <w:szCs w:val="20"/>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(m)“Grant Date” is defined in Section 1.</w:t>
      </w:r>
    </w:p>
    <w:p>
      <w:pPr>
        <w:spacing w:after="0" w:line="202" w:lineRule="exact"/>
        <w:rPr>
          <w:sz w:val="20"/>
          <w:szCs w:val="20"/>
          <w:color w:val="auto"/>
        </w:rPr>
      </w:pPr>
    </w:p>
    <w:p>
      <w:pPr>
        <w:ind w:left="1020" w:hanging="263"/>
        <w:spacing w:after="0"/>
        <w:tabs>
          <w:tab w:leader="none" w:pos="10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“Plan” is defined in the introduction.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“Restricted Period” is defined in Section 1.</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“Restricted Stock Units” (or “RSUs”) is defined in the introduction.</w:t>
      </w:r>
    </w:p>
    <w:p>
      <w:pPr>
        <w:spacing w:after="0" w:line="202" w:lineRule="exact"/>
        <w:rPr>
          <w:rFonts w:ascii="Arial" w:cs="Arial" w:eastAsia="Arial" w:hAnsi="Arial"/>
          <w:sz w:val="20"/>
          <w:szCs w:val="20"/>
          <w:color w:val="auto"/>
        </w:rPr>
      </w:pPr>
    </w:p>
    <w:p>
      <w:pPr>
        <w:ind w:firstLine="757"/>
        <w:spacing w:after="0" w:line="257" w:lineRule="auto"/>
        <w:tabs>
          <w:tab w:leader="none" w:pos="1018"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“Retirement” means either: (i) Employee’s voluntary election to retire from employment with the Company and its Subsidiaries at any time after Employee has reached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8" w:name="page39"/>
    <w:bookmarkEnd w:id="38"/>
    <w:p>
      <w:pPr>
        <w:jc w:val="both"/>
        <w:spacing w:after="0" w:line="233" w:lineRule="auto"/>
        <w:rPr>
          <w:sz w:val="20"/>
          <w:szCs w:val="20"/>
          <w:color w:val="auto"/>
        </w:rPr>
      </w:pPr>
      <w:r>
        <w:rPr>
          <w:rFonts w:ascii="Arial" w:cs="Arial" w:eastAsia="Arial" w:hAnsi="Arial"/>
          <w:sz w:val="20"/>
          <w:szCs w:val="20"/>
          <w:color w:val="auto"/>
        </w:rPr>
        <w:t>the age of 60 and 25 years of service, or (ii) Employee’s voluntary election to retire from employment with the Company and its Subsidiaries at any time after Employee has reached both the age of 50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72" w:lineRule="exact"/>
        <w:rPr>
          <w:sz w:val="20"/>
          <w:szCs w:val="20"/>
          <w:color w:val="auto"/>
        </w:rPr>
      </w:pPr>
    </w:p>
    <w:p>
      <w:pPr>
        <w:ind w:firstLine="757"/>
        <w:spacing w:after="0" w:line="257" w:lineRule="auto"/>
        <w:tabs>
          <w:tab w:leader="none" w:pos="1018"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“Retirement Committee” means a committee consisting of the Company’s Chief People Officer, the Director HR Operations and the Director Total Rewards.</w:t>
      </w:r>
    </w:p>
    <w:p>
      <w:pPr>
        <w:spacing w:after="0" w:line="155" w:lineRule="exact"/>
        <w:rPr>
          <w:rFonts w:ascii="Arial" w:cs="Arial" w:eastAsia="Arial" w:hAnsi="Arial"/>
          <w:sz w:val="20"/>
          <w:szCs w:val="20"/>
          <w:color w:val="auto"/>
        </w:rPr>
      </w:pPr>
    </w:p>
    <w:p>
      <w:pPr>
        <w:ind w:left="1020" w:hanging="263"/>
        <w:spacing w:after="0"/>
        <w:tabs>
          <w:tab w:leader="none" w:pos="10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“Settlement Date” is defined in Section 2.</w:t>
      </w:r>
    </w:p>
    <w:p>
      <w:pPr>
        <w:spacing w:after="0" w:line="202"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43"/>
        </w:numPr>
        <w:rPr>
          <w:rFonts w:ascii="Arial" w:cs="Arial" w:eastAsia="Arial" w:hAnsi="Arial"/>
          <w:sz w:val="20"/>
          <w:szCs w:val="20"/>
          <w:color w:val="auto"/>
        </w:rPr>
      </w:pPr>
      <w:r>
        <w:rPr>
          <w:rFonts w:ascii="Arial" w:cs="Arial" w:eastAsia="Arial" w:hAnsi="Arial"/>
          <w:sz w:val="20"/>
          <w:szCs w:val="20"/>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1"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171" w:lineRule="exact"/>
        <w:rPr>
          <w:rFonts w:ascii="Arial" w:cs="Arial" w:eastAsia="Arial" w:hAnsi="Arial"/>
          <w:sz w:val="20"/>
          <w:szCs w:val="20"/>
          <w:color w:val="auto"/>
        </w:rPr>
      </w:pPr>
    </w:p>
    <w:p>
      <w:pPr>
        <w:ind w:left="1020" w:hanging="263"/>
        <w:spacing w:after="0"/>
        <w:tabs>
          <w:tab w:leader="none" w:pos="10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“Transfer” is defined in Section 4(a).</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(w)“Vesting Date” is defined in Section 1(a).</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12.</w:t>
      </w:r>
      <w:r>
        <w:rPr>
          <w:rFonts w:ascii="Arial" w:cs="Arial" w:eastAsia="Arial" w:hAnsi="Arial"/>
          <w:sz w:val="20"/>
          <w:szCs w:val="20"/>
          <w:u w:val="single" w:color="auto"/>
          <w:color w:val="auto"/>
        </w:rPr>
        <w:t>Committee Determination</w:t>
      </w:r>
      <w:r>
        <w:rPr>
          <w:rFonts w:ascii="Arial" w:cs="Arial" w:eastAsia="Arial" w:hAnsi="Arial"/>
          <w:sz w:val="20"/>
          <w:szCs w:val="20"/>
          <w:color w:val="auto"/>
        </w:rPr>
        <w:t>. Any questions as to whether and when (i) the Employee has engaged in Detrimental Activity, (ii) there has been a Disability, or (iii) there has been a Termination of Employment and the cause of such termination, will be resolved by the Committee, and its determination will be final.</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13.</w:t>
      </w: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37" w:lineRule="auto"/>
        <w:tabs>
          <w:tab w:leader="none" w:pos="1018" w:val="left"/>
        </w:tabs>
        <w:numPr>
          <w:ilvl w:val="0"/>
          <w:numId w:val="44"/>
        </w:numPr>
        <w:rPr>
          <w:rFonts w:ascii="Arial" w:cs="Arial" w:eastAsia="Arial" w:hAnsi="Arial"/>
          <w:sz w:val="20"/>
          <w:szCs w:val="20"/>
          <w:color w:val="auto"/>
        </w:rPr>
      </w:pPr>
      <w:r>
        <w:rPr>
          <w:rFonts w:ascii="Arial" w:cs="Arial" w:eastAsia="Arial" w:hAnsi="Arial"/>
          <w:sz w:val="20"/>
          <w:szCs w:val="20"/>
          <w:color w:val="auto"/>
        </w:rPr>
        <w:t>Employee hereby acknowledges that he or she has received, reviewed and accepted the terms and conditions contained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or subsequent awards.</w:t>
      </w:r>
    </w:p>
    <w:p>
      <w:pPr>
        <w:spacing w:after="0" w:line="171" w:lineRule="exact"/>
        <w:rPr>
          <w:rFonts w:ascii="Arial" w:cs="Arial" w:eastAsia="Arial" w:hAnsi="Arial"/>
          <w:sz w:val="20"/>
          <w:szCs w:val="20"/>
          <w:color w:val="auto"/>
        </w:rPr>
      </w:pPr>
    </w:p>
    <w:p>
      <w:pPr>
        <w:ind w:firstLine="757"/>
        <w:spacing w:after="0" w:line="257" w:lineRule="auto"/>
        <w:tabs>
          <w:tab w:leader="none" w:pos="1018" w:val="left"/>
        </w:tabs>
        <w:numPr>
          <w:ilvl w:val="0"/>
          <w:numId w:val="44"/>
        </w:numPr>
        <w:rPr>
          <w:rFonts w:ascii="Arial" w:cs="Arial" w:eastAsia="Arial" w:hAnsi="Arial"/>
          <w:sz w:val="20"/>
          <w:szCs w:val="20"/>
          <w:color w:val="auto"/>
        </w:rPr>
      </w:pPr>
      <w:r>
        <w:rPr>
          <w:rFonts w:ascii="Arial" w:cs="Arial" w:eastAsia="Arial" w:hAnsi="Arial"/>
          <w:sz w:val="20"/>
          <w:szCs w:val="20"/>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55"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9" w:name="page40"/>
    <w:bookmarkEnd w:id="39"/>
    <w:p>
      <w:pPr>
        <w:ind w:right="20" w:firstLine="757"/>
        <w:spacing w:after="0" w:line="257" w:lineRule="auto"/>
        <w:tabs>
          <w:tab w:leader="none" w:pos="101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invalidity or unenforceability of any provision of this Agreement will not affect the validity or enforceability of any other provision of this Agreement.</w:t>
      </w:r>
    </w:p>
    <w:p>
      <w:pPr>
        <w:spacing w:after="0" w:line="155"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1"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1" w:lineRule="exact"/>
        <w:rPr>
          <w:rFonts w:ascii="Arial" w:cs="Arial" w:eastAsia="Arial" w:hAnsi="Arial"/>
          <w:sz w:val="20"/>
          <w:szCs w:val="20"/>
          <w:color w:val="auto"/>
        </w:rPr>
      </w:pPr>
    </w:p>
    <w:p>
      <w:pPr>
        <w:ind w:firstLine="757"/>
        <w:spacing w:after="0" w:line="257" w:lineRule="auto"/>
        <w:tabs>
          <w:tab w:leader="none" w:pos="1018" w:val="left"/>
        </w:tabs>
        <w:numPr>
          <w:ilvl w:val="0"/>
          <w:numId w:val="45"/>
        </w:numPr>
        <w:rPr>
          <w:rFonts w:ascii="Arial" w:cs="Arial" w:eastAsia="Arial" w:hAnsi="Arial"/>
          <w:sz w:val="20"/>
          <w:szCs w:val="20"/>
          <w:color w:val="auto"/>
        </w:rPr>
      </w:pPr>
      <w:r>
        <w:rPr>
          <w:rFonts w:ascii="Arial" w:cs="Arial" w:eastAsia="Arial" w:hAnsi="Arial"/>
          <w:sz w:val="20"/>
          <w:szCs w:val="20"/>
          <w:color w:val="auto"/>
        </w:rPr>
        <w:t>Employee and the Company agree to execute such further instruments and to take such further action as may reasonably be necessary to carry out the intent of this Agreement.</w:t>
      </w:r>
    </w:p>
    <w:p>
      <w:pPr>
        <w:spacing w:after="0" w:line="155" w:lineRule="exact"/>
        <w:rPr>
          <w:rFonts w:ascii="Arial" w:cs="Arial" w:eastAsia="Arial" w:hAnsi="Arial"/>
          <w:sz w:val="20"/>
          <w:szCs w:val="20"/>
          <w:color w:val="auto"/>
        </w:rPr>
      </w:pPr>
    </w:p>
    <w:p>
      <w:pPr>
        <w:jc w:val="both"/>
        <w:ind w:firstLine="757"/>
        <w:spacing w:after="0" w:line="245" w:lineRule="auto"/>
        <w:tabs>
          <w:tab w:leader="none" w:pos="1018"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This Agreement and the Plan (a) constitute the entire agreement among the Employee and the Company with respect to the Restricted Stock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Restricted Stock Units other than those expressly set forth herein or in the Plan, and (ii) such party has not relied upon any representation, warranty, covenant or agreement relating to the Restricted Stock Units, other than those referred to in clause (i) above.</w:t>
      </w:r>
    </w:p>
    <w:p>
      <w:pPr>
        <w:spacing w:after="0" w:line="166" w:lineRule="exact"/>
        <w:rPr>
          <w:rFonts w:ascii="Arial" w:cs="Arial" w:eastAsia="Arial" w:hAnsi="Arial"/>
          <w:sz w:val="19"/>
          <w:szCs w:val="19"/>
          <w:color w:val="auto"/>
        </w:rPr>
      </w:pPr>
    </w:p>
    <w:p>
      <w:pPr>
        <w:jc w:val="both"/>
        <w:ind w:firstLine="757"/>
        <w:spacing w:after="0" w:line="237" w:lineRule="auto"/>
        <w:tabs>
          <w:tab w:leader="none" w:pos="101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of Harris County, Texas and the Southern District of Texas, Houston Division, respectively.</w:t>
      </w:r>
    </w:p>
    <w:p>
      <w:pPr>
        <w:spacing w:after="0" w:line="17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14.</w:t>
      </w:r>
      <w:r>
        <w:rPr>
          <w:rFonts w:ascii="Arial" w:cs="Arial" w:eastAsia="Arial" w:hAnsi="Arial"/>
          <w:sz w:val="20"/>
          <w:szCs w:val="20"/>
          <w:u w:val="single" w:color="auto"/>
          <w:color w:val="auto"/>
        </w:rPr>
        <w:t>Section 409A Compliance</w:t>
      </w:r>
      <w:r>
        <w:rPr>
          <w:rFonts w:ascii="Arial" w:cs="Arial" w:eastAsia="Arial" w:hAnsi="Arial"/>
          <w:sz w:val="20"/>
          <w:szCs w:val="20"/>
          <w:color w:val="auto"/>
        </w:rPr>
        <w:t>. This award of Restricted Stock Units is intended to be exempt from or to comply with the provisions of Code Section 409A and will be construed and interpreted accordingly. If Employee is a “specified employee” within the meaning of Code Section 409A(a)(2)(B)(i) on the date of his or her “separation from service” within the meaning of U.S. Treasury Regulation Section 1.409A-1(h), the time of payment otherwise specified in this Agreement will be deferred to the extent required by Code Section 409A.</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15.</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16.</w:t>
      </w:r>
      <w:r>
        <w:rPr>
          <w:rFonts w:ascii="Arial" w:cs="Arial" w:eastAsia="Arial" w:hAnsi="Arial"/>
          <w:sz w:val="20"/>
          <w:szCs w:val="20"/>
          <w:u w:val="single" w:color="auto"/>
          <w:color w:val="auto"/>
        </w:rPr>
        <w:t>Acceptance of Award</w:t>
      </w:r>
      <w:r>
        <w:rPr>
          <w:rFonts w:ascii="Arial" w:cs="Arial" w:eastAsia="Arial" w:hAnsi="Arial"/>
          <w:sz w:val="20"/>
          <w:szCs w:val="20"/>
          <w:color w:val="auto"/>
        </w:rPr>
        <w:t>. Employee is deemed to accept the award of Restricted Stock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Restricted Stock Units (in which case such awards will be forfeited and Employee will have no further right or interest therein as of such date). Employee hereby accepts such terms and conditions, subject to the provisions of the Plan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20"/>
          <w:szCs w:val="20"/>
          <w:color w:val="auto"/>
        </w:rPr>
        <w:t>interpretations thereof. Employee further agrees that such terms and conditions will control this Agreement, notwithstanding any provisions in any employment agreement or in any prior awards.</w:t>
      </w:r>
    </w:p>
    <w:p>
      <w:pPr>
        <w:spacing w:after="0" w:line="15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17.</w:t>
      </w:r>
      <w:r>
        <w:rPr>
          <w:rFonts w:ascii="Arial" w:cs="Arial" w:eastAsia="Arial" w:hAnsi="Arial"/>
          <w:sz w:val="20"/>
          <w:szCs w:val="20"/>
          <w:u w:val="single" w:color="auto"/>
          <w:color w:val="auto"/>
        </w:rPr>
        <w:t>Appendix.</w:t>
      </w:r>
      <w:r>
        <w:rPr>
          <w:rFonts w:ascii="Arial" w:cs="Arial" w:eastAsia="Arial" w:hAnsi="Arial"/>
          <w:sz w:val="20"/>
          <w:szCs w:val="20"/>
          <w:color w:val="auto"/>
        </w:rPr>
        <w:t xml:space="preserve"> Notwithstanding any provisions in this Agreement, the Restricted Stock Units shall be subject to the additional terms and conditions for your country set forth in Appendix A, Appendix B, and Appendix C attached hereto. Moreover, if you relocate to one of the countries included therein, the terms and conditions for such country will apply to you to the extent the Company determines that the application of such terms and conditions is necessary or advisable for legal or administrative reasons. Appendix A, Appendix B and Appendix C constitute part of this Agreement.</w:t>
      </w:r>
    </w:p>
    <w:p>
      <w:pPr>
        <w:spacing w:after="0" w:line="175"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18.</w:t>
      </w:r>
      <w:r>
        <w:rPr>
          <w:rFonts w:ascii="Arial" w:cs="Arial" w:eastAsia="Arial" w:hAnsi="Arial"/>
          <w:sz w:val="20"/>
          <w:szCs w:val="20"/>
          <w:u w:val="single" w:color="auto"/>
          <w:color w:val="auto"/>
        </w:rPr>
        <w:t>More Information</w:t>
      </w:r>
      <w:r>
        <w:rPr>
          <w:rFonts w:ascii="Arial" w:cs="Arial" w:eastAsia="Arial" w:hAnsi="Arial"/>
          <w:sz w:val="20"/>
          <w:szCs w:val="20"/>
          <w:color w:val="auto"/>
        </w:rPr>
        <w:t>. The Plan and prospectus are both available on-line at the Company’s MyShares site. A paper copy of the Plan and prospectus may be obtained by contacting the Stock Department, Schlumberger Limited, [ ] or emailing your request to [ ]@slb.com.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1" w:name="page42"/>
    <w:bookmarkEnd w:id="41"/>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I</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19.</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41" w:lineRule="auto"/>
        <w:tabs>
          <w:tab w:leader="none" w:pos="1018" w:val="left"/>
        </w:tabs>
        <w:numPr>
          <w:ilvl w:val="0"/>
          <w:numId w:val="46"/>
        </w:numPr>
        <w:rPr>
          <w:rFonts w:ascii="Arial" w:cs="Arial" w:eastAsia="Arial" w:hAnsi="Arial"/>
          <w:sz w:val="20"/>
          <w:szCs w:val="20"/>
          <w:color w:val="auto"/>
        </w:rPr>
      </w:pPr>
      <w:r>
        <w:rPr>
          <w:rFonts w:ascii="Arial" w:cs="Arial" w:eastAsia="Arial" w:hAnsi="Arial"/>
          <w:sz w:val="20"/>
          <w:szCs w:val="20"/>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1" w:lineRule="exact"/>
        <w:rPr>
          <w:rFonts w:ascii="Arial" w:cs="Arial" w:eastAsia="Arial" w:hAnsi="Arial"/>
          <w:sz w:val="20"/>
          <w:szCs w:val="20"/>
          <w:color w:val="auto"/>
        </w:rPr>
      </w:pPr>
    </w:p>
    <w:p>
      <w:pPr>
        <w:jc w:val="both"/>
        <w:ind w:firstLine="757"/>
        <w:spacing w:after="0" w:line="229" w:lineRule="auto"/>
        <w:tabs>
          <w:tab w:leader="none" w:pos="1018"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1" w:lineRule="exact"/>
        <w:rPr>
          <w:rFonts w:ascii="Arial" w:cs="Arial" w:eastAsia="Arial" w:hAnsi="Arial"/>
          <w:sz w:val="20"/>
          <w:szCs w:val="20"/>
          <w:color w:val="auto"/>
        </w:rPr>
      </w:pPr>
    </w:p>
    <w:p>
      <w:pPr>
        <w:jc w:val="both"/>
        <w:ind w:firstLine="757"/>
        <w:spacing w:after="0" w:line="230" w:lineRule="auto"/>
        <w:tabs>
          <w:tab w:leader="none" w:pos="1018"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76" w:lineRule="exact"/>
        <w:rPr>
          <w:rFonts w:ascii="Arial" w:cs="Arial" w:eastAsia="Arial" w:hAnsi="Arial"/>
          <w:sz w:val="20"/>
          <w:szCs w:val="20"/>
          <w:color w:val="auto"/>
        </w:rPr>
      </w:pPr>
    </w:p>
    <w:p>
      <w:pPr>
        <w:jc w:val="both"/>
        <w:ind w:firstLine="757"/>
        <w:spacing w:after="0" w:line="234" w:lineRule="auto"/>
        <w:tabs>
          <w:tab w:leader="none" w:pos="1018"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57" w:lineRule="auto"/>
        <w:rPr>
          <w:sz w:val="20"/>
          <w:szCs w:val="20"/>
          <w:color w:val="auto"/>
        </w:rPr>
      </w:pPr>
      <w:r>
        <w:rPr>
          <w:rFonts w:ascii="Arial" w:cs="Arial" w:eastAsia="Arial" w:hAnsi="Arial"/>
          <w:sz w:val="20"/>
          <w:szCs w:val="20"/>
          <w:color w:val="auto"/>
        </w:rPr>
        <w:t>modifications thereto, know-how, and developments, any derivative works and ideas whether or not patentable, and any other form of intellectual property.</w:t>
      </w:r>
    </w:p>
    <w:p>
      <w:pPr>
        <w:spacing w:after="0" w:line="155" w:lineRule="exact"/>
        <w:rPr>
          <w:sz w:val="20"/>
          <w:szCs w:val="20"/>
          <w:color w:val="auto"/>
        </w:rPr>
      </w:pPr>
    </w:p>
    <w:p>
      <w:pPr>
        <w:ind w:right="20" w:firstLine="757"/>
        <w:spacing w:after="0" w:line="257" w:lineRule="auto"/>
        <w:tabs>
          <w:tab w:leader="none" w:pos="1018" w:val="left"/>
        </w:tabs>
        <w:numPr>
          <w:ilvl w:val="0"/>
          <w:numId w:val="47"/>
        </w:numPr>
        <w:rPr>
          <w:rFonts w:ascii="Arial" w:cs="Arial" w:eastAsia="Arial" w:hAnsi="Arial"/>
          <w:sz w:val="20"/>
          <w:szCs w:val="20"/>
          <w:color w:val="auto"/>
        </w:rPr>
      </w:pPr>
      <w:r>
        <w:rPr>
          <w:rFonts w:ascii="Arial" w:cs="Arial" w:eastAsia="Arial" w:hAnsi="Arial"/>
          <w:sz w:val="20"/>
          <w:szCs w:val="20"/>
          <w:color w:val="auto"/>
        </w:rPr>
        <w:t>“Pre-existing Intellectual Property” is all Intellectual Property that was authored, conceived, developed, or reduced to practice by Employee before the term of Employee’s employment with the Company or any Affiliate began.</w:t>
      </w:r>
    </w:p>
    <w:p>
      <w:pPr>
        <w:spacing w:after="0" w:line="155" w:lineRule="exact"/>
        <w:rPr>
          <w:sz w:val="20"/>
          <w:szCs w:val="20"/>
          <w:color w:val="auto"/>
        </w:rPr>
      </w:pPr>
    </w:p>
    <w:p>
      <w:pPr>
        <w:jc w:val="both"/>
        <w:ind w:left="200" w:firstLine="569"/>
        <w:spacing w:after="0" w:line="237" w:lineRule="auto"/>
        <w:rPr>
          <w:sz w:val="20"/>
          <w:szCs w:val="20"/>
          <w:color w:val="auto"/>
        </w:rPr>
      </w:pPr>
      <w:r>
        <w:rPr>
          <w:rFonts w:ascii="Arial" w:cs="Arial" w:eastAsia="Arial" w:hAnsi="Arial"/>
          <w:sz w:val="20"/>
          <w:szCs w:val="20"/>
          <w:color w:val="auto"/>
        </w:rPr>
        <w:t>20.</w:t>
      </w:r>
      <w:r>
        <w:rPr>
          <w:rFonts w:ascii="Arial" w:cs="Arial" w:eastAsia="Arial" w:hAnsi="Arial"/>
          <w:sz w:val="20"/>
          <w:szCs w:val="20"/>
          <w:u w:val="single" w:color="auto"/>
          <w:color w:val="auto"/>
        </w:rPr>
        <w:t>Codes of Conduct</w:t>
      </w:r>
      <w:r>
        <w:rPr>
          <w:rFonts w:ascii="Arial" w:cs="Arial" w:eastAsia="Arial" w:hAnsi="Arial"/>
          <w:sz w:val="20"/>
          <w:szCs w:val="20"/>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 In the event of any conflict or ambiguity, this Attachment I prevails.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21.</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32" w:lineRule="auto"/>
        <w:tabs>
          <w:tab w:leader="none" w:pos="1018"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 do not and will not breach any agreement or duty to keep in confidence information, knowledge, or data acquired by Employee outside of Employee’s employment with the Company or any of its Affiliates.</w:t>
      </w:r>
    </w:p>
    <w:p>
      <w:pPr>
        <w:spacing w:after="0" w:line="171"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48"/>
        </w:numPr>
        <w:rPr>
          <w:rFonts w:ascii="Arial" w:cs="Arial" w:eastAsia="Arial" w:hAnsi="Arial"/>
          <w:sz w:val="20"/>
          <w:szCs w:val="20"/>
          <w:color w:val="auto"/>
        </w:rPr>
      </w:pPr>
      <w:r>
        <w:rPr>
          <w:rFonts w:ascii="Arial" w:cs="Arial" w:eastAsia="Arial" w:hAnsi="Arial"/>
          <w:sz w:val="20"/>
          <w:szCs w:val="20"/>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71"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48"/>
        </w:numPr>
        <w:rPr>
          <w:rFonts w:ascii="Arial" w:cs="Arial" w:eastAsia="Arial" w:hAnsi="Arial"/>
          <w:sz w:val="20"/>
          <w:szCs w:val="20"/>
          <w:color w:val="auto"/>
        </w:rPr>
      </w:pPr>
      <w:r>
        <w:rPr>
          <w:rFonts w:ascii="Arial" w:cs="Arial" w:eastAsia="Arial" w:hAnsi="Arial"/>
          <w:sz w:val="20"/>
          <w:szCs w:val="20"/>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1" w:lineRule="exact"/>
        <w:rPr>
          <w:rFonts w:ascii="Arial" w:cs="Arial" w:eastAsia="Arial" w:hAnsi="Arial"/>
          <w:sz w:val="20"/>
          <w:szCs w:val="20"/>
          <w:color w:val="auto"/>
        </w:rPr>
      </w:pPr>
    </w:p>
    <w:p>
      <w:pPr>
        <w:jc w:val="both"/>
        <w:ind w:firstLine="757"/>
        <w:spacing w:after="0" w:line="231" w:lineRule="auto"/>
        <w:tabs>
          <w:tab w:leader="none" w:pos="1018"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3"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48"/>
        </w:numPr>
        <w:rPr>
          <w:rFonts w:ascii="Arial" w:cs="Arial" w:eastAsia="Arial" w:hAnsi="Arial"/>
          <w:sz w:val="20"/>
          <w:szCs w:val="20"/>
          <w:color w:val="auto"/>
        </w:rPr>
      </w:pPr>
      <w:r>
        <w:rPr>
          <w:rFonts w:ascii="Arial" w:cs="Arial" w:eastAsia="Arial" w:hAnsi="Arial"/>
          <w:sz w:val="20"/>
          <w:szCs w:val="20"/>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3" w:name="page44"/>
    <w:bookmarkEnd w:id="43"/>
    <w:p>
      <w:pPr>
        <w:spacing w:after="0" w:line="257" w:lineRule="auto"/>
        <w:rPr>
          <w:sz w:val="20"/>
          <w:szCs w:val="20"/>
          <w:color w:val="auto"/>
        </w:rPr>
      </w:pPr>
      <w:r>
        <w:rPr>
          <w:rFonts w:ascii="Arial" w:cs="Arial" w:eastAsia="Arial" w:hAnsi="Arial"/>
          <w:sz w:val="20"/>
          <w:szCs w:val="20"/>
          <w:color w:val="auto"/>
        </w:rPr>
        <w:t>accounts, Employee agrees to notify the Company and its Affiliates and make available the device and account to the Company for inspection and removal of the information.</w:t>
      </w:r>
    </w:p>
    <w:p>
      <w:pPr>
        <w:spacing w:after="0" w:line="155" w:lineRule="exact"/>
        <w:rPr>
          <w:sz w:val="20"/>
          <w:szCs w:val="20"/>
          <w:color w:val="auto"/>
        </w:rPr>
      </w:pPr>
    </w:p>
    <w:p>
      <w:pPr>
        <w:jc w:val="both"/>
        <w:ind w:firstLine="757"/>
        <w:spacing w:after="0" w:line="241" w:lineRule="auto"/>
        <w:tabs>
          <w:tab w:leader="none" w:pos="1018" w:val="left"/>
        </w:tabs>
        <w:numPr>
          <w:ilvl w:val="0"/>
          <w:numId w:val="49"/>
        </w:numPr>
        <w:rPr>
          <w:rFonts w:ascii="Arial" w:cs="Arial" w:eastAsia="Arial" w:hAnsi="Arial"/>
          <w:sz w:val="20"/>
          <w:szCs w:val="20"/>
          <w:color w:val="auto"/>
        </w:rPr>
      </w:pPr>
      <w:r>
        <w:rPr>
          <w:rFonts w:ascii="Arial" w:cs="Arial" w:eastAsia="Arial" w:hAnsi="Arial"/>
          <w:sz w:val="20"/>
          <w:szCs w:val="20"/>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22.</w:t>
      </w:r>
      <w:r>
        <w:rPr>
          <w:rFonts w:ascii="Arial" w:cs="Arial" w:eastAsia="Arial" w:hAnsi="Arial"/>
          <w:sz w:val="20"/>
          <w:szCs w:val="20"/>
          <w:u w:val="single" w:color="auto"/>
          <w:color w:val="auto"/>
        </w:rPr>
        <w:t>Disclosure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31" w:lineRule="auto"/>
        <w:tabs>
          <w:tab w:leader="none" w:pos="1018" w:val="left"/>
        </w:tabs>
        <w:numPr>
          <w:ilvl w:val="0"/>
          <w:numId w:val="50"/>
        </w:numPr>
        <w:rPr>
          <w:rFonts w:ascii="Arial" w:cs="Arial" w:eastAsia="Arial" w:hAnsi="Arial"/>
          <w:sz w:val="20"/>
          <w:szCs w:val="20"/>
          <w:color w:val="auto"/>
        </w:rPr>
      </w:pPr>
      <w:r>
        <w:rPr>
          <w:rFonts w:ascii="Arial" w:cs="Arial" w:eastAsia="Arial" w:hAnsi="Arial"/>
          <w:sz w:val="20"/>
          <w:szCs w:val="20"/>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3" w:lineRule="exact"/>
        <w:rPr>
          <w:rFonts w:ascii="Arial" w:cs="Arial" w:eastAsia="Arial" w:hAnsi="Arial"/>
          <w:sz w:val="20"/>
          <w:szCs w:val="20"/>
          <w:color w:val="auto"/>
        </w:rPr>
      </w:pPr>
    </w:p>
    <w:p>
      <w:pPr>
        <w:jc w:val="both"/>
        <w:ind w:firstLine="757"/>
        <w:spacing w:after="0" w:line="232" w:lineRule="auto"/>
        <w:tabs>
          <w:tab w:leader="none" w:pos="1018" w:val="left"/>
        </w:tabs>
        <w:numPr>
          <w:ilvl w:val="0"/>
          <w:numId w:val="50"/>
        </w:numPr>
        <w:rPr>
          <w:rFonts w:ascii="Arial" w:cs="Arial" w:eastAsia="Arial" w:hAnsi="Arial"/>
          <w:sz w:val="20"/>
          <w:szCs w:val="20"/>
          <w:color w:val="auto"/>
        </w:rPr>
      </w:pPr>
      <w:r>
        <w:rPr>
          <w:rFonts w:ascii="Arial" w:cs="Arial" w:eastAsia="Arial" w:hAnsi="Arial"/>
          <w:sz w:val="20"/>
          <w:szCs w:val="20"/>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1"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1" w:lineRule="exact"/>
        <w:rPr>
          <w:rFonts w:ascii="Arial" w:cs="Arial" w:eastAsia="Arial" w:hAnsi="Arial"/>
          <w:sz w:val="20"/>
          <w:szCs w:val="20"/>
          <w:color w:val="auto"/>
        </w:rPr>
      </w:pPr>
    </w:p>
    <w:p>
      <w:pPr>
        <w:jc w:val="both"/>
        <w:ind w:firstLine="757"/>
        <w:spacing w:after="0" w:line="233" w:lineRule="auto"/>
        <w:tabs>
          <w:tab w:leader="none" w:pos="1018" w:val="left"/>
        </w:tabs>
        <w:numPr>
          <w:ilvl w:val="0"/>
          <w:numId w:val="50"/>
        </w:numPr>
        <w:rPr>
          <w:rFonts w:ascii="Arial" w:cs="Arial" w:eastAsia="Arial" w:hAnsi="Arial"/>
          <w:sz w:val="20"/>
          <w:szCs w:val="20"/>
          <w:color w:val="auto"/>
        </w:rPr>
      </w:pPr>
      <w:r>
        <w:rPr>
          <w:rFonts w:ascii="Arial" w:cs="Arial" w:eastAsia="Arial" w:hAnsi="Arial"/>
          <w:sz w:val="20"/>
          <w:szCs w:val="20"/>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2" w:lineRule="exact"/>
        <w:rPr>
          <w:rFonts w:ascii="Arial" w:cs="Arial" w:eastAsia="Arial" w:hAnsi="Arial"/>
          <w:sz w:val="20"/>
          <w:szCs w:val="20"/>
          <w:color w:val="auto"/>
        </w:rPr>
      </w:pPr>
    </w:p>
    <w:p>
      <w:pPr>
        <w:jc w:val="both"/>
        <w:ind w:firstLine="757"/>
        <w:spacing w:after="0" w:line="234" w:lineRule="auto"/>
        <w:tabs>
          <w:tab w:leader="none" w:pos="1018" w:val="left"/>
        </w:tabs>
        <w:numPr>
          <w:ilvl w:val="0"/>
          <w:numId w:val="50"/>
        </w:numPr>
        <w:rPr>
          <w:rFonts w:ascii="Arial" w:cs="Arial" w:eastAsia="Arial" w:hAnsi="Arial"/>
          <w:sz w:val="20"/>
          <w:szCs w:val="20"/>
          <w:color w:val="auto"/>
        </w:rPr>
      </w:pPr>
      <w:r>
        <w:rPr>
          <w:rFonts w:ascii="Arial" w:cs="Arial" w:eastAsia="Arial" w:hAnsi="Arial"/>
          <w:sz w:val="20"/>
          <w:szCs w:val="20"/>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documents pertaining to Company Intellectual Property which the Company may, in its sole discretion, determine to obtain.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23.</w:t>
      </w:r>
      <w:r>
        <w:rPr>
          <w:rFonts w:ascii="Arial" w:cs="Arial" w:eastAsia="Arial" w:hAnsi="Arial"/>
          <w:sz w:val="20"/>
          <w:szCs w:val="20"/>
          <w:u w:val="single" w:color="auto"/>
          <w:color w:val="auto"/>
        </w:rPr>
        <w:t>Assignment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31" w:lineRule="auto"/>
        <w:tabs>
          <w:tab w:leader="none" w:pos="1018" w:val="left"/>
        </w:tabs>
        <w:numPr>
          <w:ilvl w:val="0"/>
          <w:numId w:val="51"/>
        </w:numPr>
        <w:rPr>
          <w:rFonts w:ascii="Arial" w:cs="Arial" w:eastAsia="Arial" w:hAnsi="Arial"/>
          <w:sz w:val="20"/>
          <w:szCs w:val="20"/>
          <w:color w:val="auto"/>
        </w:rPr>
      </w:pPr>
      <w:r>
        <w:rPr>
          <w:rFonts w:ascii="Arial" w:cs="Arial" w:eastAsia="Arial" w:hAnsi="Arial"/>
          <w:sz w:val="20"/>
          <w:szCs w:val="20"/>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3" w:lineRule="exact"/>
        <w:rPr>
          <w:rFonts w:ascii="Arial" w:cs="Arial" w:eastAsia="Arial" w:hAnsi="Arial"/>
          <w:sz w:val="20"/>
          <w:szCs w:val="20"/>
          <w:color w:val="auto"/>
        </w:rPr>
      </w:pPr>
    </w:p>
    <w:p>
      <w:pPr>
        <w:jc w:val="both"/>
        <w:ind w:firstLine="757"/>
        <w:spacing w:after="0" w:line="233" w:lineRule="auto"/>
        <w:tabs>
          <w:tab w:leader="none" w:pos="1018" w:val="left"/>
        </w:tabs>
        <w:numPr>
          <w:ilvl w:val="0"/>
          <w:numId w:val="51"/>
        </w:numPr>
        <w:rPr>
          <w:rFonts w:ascii="Arial" w:cs="Arial" w:eastAsia="Arial" w:hAnsi="Arial"/>
          <w:sz w:val="20"/>
          <w:szCs w:val="20"/>
          <w:color w:val="auto"/>
        </w:rPr>
      </w:pPr>
      <w:r>
        <w:rPr>
          <w:rFonts w:ascii="Arial" w:cs="Arial" w:eastAsia="Arial" w:hAnsi="Arial"/>
          <w:sz w:val="20"/>
          <w:szCs w:val="20"/>
          <w:color w:val="auto"/>
        </w:rPr>
        <w:t>Employee is hereby notified that certain statutes in some U.S. states relate to ownership and assignment of inventions. At relevant locations and in accordance with those statutes, the Company agrees that this Attachment 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72"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1" w:lineRule="exact"/>
        <w:rPr>
          <w:rFonts w:ascii="Arial" w:cs="Arial" w:eastAsia="Arial" w:hAnsi="Arial"/>
          <w:sz w:val="20"/>
          <w:szCs w:val="20"/>
          <w:color w:val="auto"/>
        </w:rPr>
      </w:pPr>
    </w:p>
    <w:p>
      <w:pPr>
        <w:jc w:val="both"/>
        <w:ind w:firstLine="757"/>
        <w:spacing w:after="0" w:line="246" w:lineRule="auto"/>
        <w:tabs>
          <w:tab w:leader="none" w:pos="1018"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 or obtained through fraud, negligence, failure to disclose, or incorrect, incomplete, or defective information on an IP Disclosure Form.</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Non-Competition</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41" w:lineRule="auto"/>
        <w:tabs>
          <w:tab w:leader="none" w:pos="1018" w:val="left"/>
        </w:tabs>
        <w:numPr>
          <w:ilvl w:val="0"/>
          <w:numId w:val="52"/>
        </w:numPr>
        <w:rPr>
          <w:rFonts w:ascii="Arial" w:cs="Arial" w:eastAsia="Arial" w:hAnsi="Arial"/>
          <w:sz w:val="20"/>
          <w:szCs w:val="20"/>
          <w:color w:val="auto"/>
        </w:rPr>
      </w:pPr>
      <w:r>
        <w:rPr>
          <w:rFonts w:ascii="Arial" w:cs="Arial" w:eastAsia="Arial" w:hAnsi="Arial"/>
          <w:sz w:val="20"/>
          <w:szCs w:val="20"/>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71" w:lineRule="exact"/>
        <w:rPr>
          <w:rFonts w:ascii="Arial" w:cs="Arial" w:eastAsia="Arial" w:hAnsi="Arial"/>
          <w:sz w:val="20"/>
          <w:szCs w:val="20"/>
          <w:color w:val="auto"/>
        </w:rPr>
      </w:pPr>
    </w:p>
    <w:p>
      <w:pPr>
        <w:jc w:val="both"/>
        <w:ind w:firstLine="757"/>
        <w:spacing w:after="0" w:line="234" w:lineRule="auto"/>
        <w:tabs>
          <w:tab w:leader="none" w:pos="1018" w:val="left"/>
        </w:tabs>
        <w:numPr>
          <w:ilvl w:val="0"/>
          <w:numId w:val="52"/>
        </w:numPr>
        <w:rPr>
          <w:rFonts w:ascii="Arial" w:cs="Arial" w:eastAsia="Arial" w:hAnsi="Arial"/>
          <w:sz w:val="20"/>
          <w:szCs w:val="20"/>
          <w:color w:val="auto"/>
        </w:rPr>
      </w:pPr>
      <w:r>
        <w:rPr>
          <w:rFonts w:ascii="Arial" w:cs="Arial" w:eastAsia="Arial" w:hAnsi="Arial"/>
          <w:sz w:val="20"/>
          <w:szCs w:val="20"/>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5" w:name="page46"/>
    <w:bookmarkEnd w:id="45"/>
    <w:p>
      <w:pPr>
        <w:jc w:val="both"/>
        <w:spacing w:after="0" w:line="232" w:lineRule="auto"/>
        <w:rPr>
          <w:sz w:val="20"/>
          <w:szCs w:val="20"/>
          <w:color w:val="auto"/>
        </w:rPr>
      </w:pPr>
      <w:r>
        <w:rPr>
          <w:rFonts w:ascii="Arial" w:cs="Arial" w:eastAsia="Arial" w:hAnsi="Arial"/>
          <w:sz w:val="20"/>
          <w:szCs w:val="20"/>
          <w:color w:val="auto"/>
        </w:rPr>
        <w:t>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w:t>
      </w:r>
    </w:p>
    <w:p>
      <w:pPr>
        <w:spacing w:after="0" w:line="174" w:lineRule="exact"/>
        <w:rPr>
          <w:sz w:val="20"/>
          <w:szCs w:val="20"/>
          <w:color w:val="auto"/>
        </w:rPr>
      </w:pPr>
    </w:p>
    <w:p>
      <w:pPr>
        <w:jc w:val="both"/>
        <w:ind w:firstLine="757"/>
        <w:spacing w:after="0" w:line="229" w:lineRule="auto"/>
        <w:tabs>
          <w:tab w:leader="none" w:pos="101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25.</w:t>
      </w:r>
      <w:r>
        <w:rPr>
          <w:rFonts w:ascii="Arial" w:cs="Arial" w:eastAsia="Arial" w:hAnsi="Arial"/>
          <w:sz w:val="20"/>
          <w:szCs w:val="20"/>
          <w:u w:val="single" w:color="auto"/>
          <w:color w:val="auto"/>
        </w:rPr>
        <w:t>Non-Solicitation</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41" w:lineRule="auto"/>
        <w:tabs>
          <w:tab w:leader="none" w:pos="1018" w:val="left"/>
        </w:tabs>
        <w:numPr>
          <w:ilvl w:val="1"/>
          <w:numId w:val="54"/>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w:t>
      </w:r>
    </w:p>
    <w:p>
      <w:pPr>
        <w:spacing w:after="0" w:line="1" w:lineRule="exact"/>
        <w:rPr>
          <w:rFonts w:ascii="Arial" w:cs="Arial" w:eastAsia="Arial" w:hAnsi="Arial"/>
          <w:sz w:val="19"/>
          <w:szCs w:val="19"/>
          <w:color w:val="auto"/>
        </w:rPr>
      </w:pPr>
    </w:p>
    <w:p>
      <w:pPr>
        <w:jc w:val="both"/>
        <w:ind w:firstLine="8"/>
        <w:spacing w:after="0" w:line="234" w:lineRule="auto"/>
        <w:tabs>
          <w:tab w:leader="none" w:pos="302" w:val="left"/>
        </w:tabs>
        <w:numPr>
          <w:ilvl w:val="0"/>
          <w:numId w:val="55"/>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6" w:name="page47"/>
    <w:bookmarkEnd w:id="46"/>
    <w:p>
      <w:pPr>
        <w:jc w:val="both"/>
        <w:ind w:firstLine="757"/>
        <w:spacing w:after="0" w:line="245" w:lineRule="auto"/>
        <w:tabs>
          <w:tab w:leader="none" w:pos="1018" w:val="left"/>
        </w:tabs>
        <w:numPr>
          <w:ilvl w:val="0"/>
          <w:numId w:val="56"/>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26.</w:t>
      </w:r>
      <w:r>
        <w:rPr>
          <w:rFonts w:ascii="Arial" w:cs="Arial" w:eastAsia="Arial" w:hAnsi="Arial"/>
          <w:sz w:val="20"/>
          <w:szCs w:val="20"/>
          <w:u w:val="single" w:color="auto"/>
          <w:color w:val="auto"/>
        </w:rPr>
        <w:t>Remedies for Employee’s Breach</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tabs>
          <w:tab w:leader="none" w:pos="1018"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 by Employee, the Company and its Affiliates will be entitled to: </w:t>
      </w:r>
      <w:r>
        <w:rPr>
          <w:rFonts w:ascii="Arial" w:cs="Arial" w:eastAsia="Arial" w:hAnsi="Arial"/>
          <w:sz w:val="19"/>
          <w:szCs w:val="19"/>
          <w:b w:val="1"/>
          <w:bCs w:val="1"/>
          <w:color w:val="auto"/>
        </w:rPr>
        <w:t>(i) recover from Employee the value of any portion of the Award that has</w:t>
      </w:r>
      <w:r>
        <w:rPr>
          <w:rFonts w:ascii="Arial" w:cs="Arial" w:eastAsia="Arial" w:hAnsi="Arial"/>
          <w:sz w:val="19"/>
          <w:szCs w:val="19"/>
          <w:color w:val="auto"/>
        </w:rPr>
        <w:t xml:space="preserve"> </w:t>
      </w:r>
      <w:r>
        <w:rPr>
          <w:rFonts w:ascii="Arial" w:cs="Arial" w:eastAsia="Arial" w:hAnsi="Arial"/>
          <w:sz w:val="19"/>
          <w:szCs w:val="19"/>
          <w:b w:val="1"/>
          <w:bCs w:val="1"/>
          <w:color w:val="auto"/>
        </w:rPr>
        <w:t>been paid or delivered; (ii) seek injunctive relief against Employee pursuant to the provisions of subsection (b) below;</w:t>
      </w:r>
    </w:p>
    <w:p>
      <w:pPr>
        <w:jc w:val="both"/>
        <w:ind w:firstLine="8"/>
        <w:spacing w:after="0" w:line="238" w:lineRule="auto"/>
        <w:tabs>
          <w:tab w:leader="none" w:pos="378"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61" w:lineRule="exact"/>
        <w:rPr>
          <w:rFonts w:ascii="Arial" w:cs="Arial" w:eastAsia="Arial" w:hAnsi="Arial"/>
          <w:sz w:val="20"/>
          <w:szCs w:val="20"/>
          <w:b w:val="1"/>
          <w:bCs w:val="1"/>
          <w:color w:val="auto"/>
        </w:rPr>
      </w:pPr>
    </w:p>
    <w:p>
      <w:pPr>
        <w:jc w:val="both"/>
        <w:ind w:firstLine="757"/>
        <w:spacing w:after="0" w:line="233" w:lineRule="auto"/>
        <w:tabs>
          <w:tab w:leader="none" w:pos="1018" w:val="left"/>
        </w:tabs>
        <w:numPr>
          <w:ilvl w:val="1"/>
          <w:numId w:val="58"/>
        </w:numPr>
        <w:rPr>
          <w:rFonts w:ascii="Arial" w:cs="Arial" w:eastAsia="Arial" w:hAnsi="Arial"/>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72" w:lineRule="exact"/>
        <w:rPr>
          <w:rFonts w:ascii="Arial" w:cs="Arial" w:eastAsia="Arial" w:hAnsi="Arial"/>
          <w:sz w:val="20"/>
          <w:szCs w:val="20"/>
          <w:color w:val="auto"/>
        </w:rPr>
      </w:pPr>
    </w:p>
    <w:p>
      <w:pPr>
        <w:jc w:val="both"/>
        <w:ind w:firstLine="757"/>
        <w:spacing w:after="0" w:line="237" w:lineRule="auto"/>
        <w:tabs>
          <w:tab w:leader="none" w:pos="1018" w:val="left"/>
        </w:tabs>
        <w:numPr>
          <w:ilvl w:val="1"/>
          <w:numId w:val="58"/>
        </w:numPr>
        <w:rPr>
          <w:rFonts w:ascii="Arial" w:cs="Arial" w:eastAsia="Arial" w:hAnsi="Arial"/>
          <w:sz w:val="20"/>
          <w:szCs w:val="20"/>
          <w:color w:val="auto"/>
        </w:rPr>
      </w:pPr>
      <w:r>
        <w:rPr>
          <w:rFonts w:ascii="Arial" w:cs="Arial" w:eastAsia="Arial" w:hAnsi="Arial"/>
          <w:sz w:val="20"/>
          <w:szCs w:val="20"/>
          <w:color w:val="auto"/>
        </w:rPr>
        <w:t>Each of the covenants in this Attachment I will be construed as an agreement independent of any other provision in this Attachment I, and the existence of any claim or cause of action of Employee against the Company or any Affiliate, whether predicated on this Attachment I or otherwise, will not constitute a defense to the enforcement by the Company or any Affiliate of such covenants or provisions.</w:t>
      </w:r>
    </w:p>
    <w:p>
      <w:pPr>
        <w:spacing w:after="0" w:line="171" w:lineRule="exact"/>
        <w:rPr>
          <w:rFonts w:ascii="Arial" w:cs="Arial" w:eastAsia="Arial" w:hAnsi="Arial"/>
          <w:sz w:val="20"/>
          <w:szCs w:val="20"/>
          <w:color w:val="auto"/>
        </w:rPr>
      </w:pPr>
    </w:p>
    <w:p>
      <w:pPr>
        <w:ind w:firstLine="757"/>
        <w:spacing w:after="0" w:line="257" w:lineRule="auto"/>
        <w:tabs>
          <w:tab w:leader="none" w:pos="1018" w:val="left"/>
        </w:tabs>
        <w:numPr>
          <w:ilvl w:val="1"/>
          <w:numId w:val="58"/>
        </w:numPr>
        <w:rPr>
          <w:rFonts w:ascii="Arial" w:cs="Arial" w:eastAsia="Arial" w:hAnsi="Arial"/>
          <w:sz w:val="20"/>
          <w:szCs w:val="20"/>
          <w:color w:val="auto"/>
        </w:rPr>
      </w:pPr>
      <w:r>
        <w:rPr>
          <w:rFonts w:ascii="Arial" w:cs="Arial" w:eastAsia="Arial" w:hAnsi="Arial"/>
          <w:sz w:val="20"/>
          <w:szCs w:val="20"/>
          <w:color w:val="auto"/>
        </w:rPr>
        <w:t>Employee acknowledges that the remedies contained in the Attachment I for violation of this Attachment I are not the exclusive remedies that the Company or an Affiliate may pursue.</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27.</w:t>
      </w:r>
      <w:r>
        <w:rPr>
          <w:rFonts w:ascii="Arial" w:cs="Arial" w:eastAsia="Arial" w:hAnsi="Arial"/>
          <w:sz w:val="20"/>
          <w:szCs w:val="20"/>
          <w:u w:val="single" w:color="auto"/>
          <w:color w:val="auto"/>
        </w:rPr>
        <w:t>Waiver</w:t>
      </w:r>
      <w:r>
        <w:rPr>
          <w:rFonts w:ascii="Arial" w:cs="Arial" w:eastAsia="Arial" w:hAnsi="Arial"/>
          <w:sz w:val="20"/>
          <w:szCs w:val="20"/>
          <w:color w:val="auto"/>
        </w:rPr>
        <w:t>. Waiver of any term of this Attachment I by the Company will not operate as a waiver of any other term of this Attachment I. A failure to enforce any provision of this Attachment I will not operate as a waiver of the Company’s right to enforce any other provision of this Attachment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7" w:name="page48"/>
    <w:bookmarkEnd w:id="47"/>
    <w:p>
      <w:pPr>
        <w:ind w:left="3"/>
        <w:spacing w:after="0"/>
        <w:rPr>
          <w:sz w:val="20"/>
          <w:szCs w:val="20"/>
          <w:color w:val="auto"/>
        </w:rPr>
      </w:pPr>
      <w:r>
        <w:rPr>
          <w:rFonts w:ascii="Arial" w:cs="Arial" w:eastAsia="Arial" w:hAnsi="Arial"/>
          <w:sz w:val="20"/>
          <w:szCs w:val="20"/>
          <w:color w:val="auto"/>
        </w:rPr>
        <w:t>28.</w:t>
      </w: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sz w:val="20"/>
          <w:szCs w:val="20"/>
          <w:color w:val="auto"/>
        </w:rPr>
      </w:pPr>
    </w:p>
    <w:p>
      <w:pPr>
        <w:jc w:val="both"/>
        <w:ind w:left="-757" w:firstLine="757"/>
        <w:spacing w:after="0" w:line="237" w:lineRule="auto"/>
        <w:tabs>
          <w:tab w:leader="none" w:pos="261" w:val="left"/>
        </w:tabs>
        <w:numPr>
          <w:ilvl w:val="0"/>
          <w:numId w:val="59"/>
        </w:numPr>
        <w:rPr>
          <w:rFonts w:ascii="Arial" w:cs="Arial" w:eastAsia="Arial" w:hAnsi="Arial"/>
          <w:sz w:val="20"/>
          <w:szCs w:val="20"/>
          <w:color w:val="auto"/>
        </w:rPr>
      </w:pPr>
      <w:r>
        <w:rPr>
          <w:rFonts w:ascii="Arial" w:cs="Arial" w:eastAsia="Arial" w:hAnsi="Arial"/>
          <w:sz w:val="20"/>
          <w:szCs w:val="20"/>
          <w:color w:val="auto"/>
        </w:rPr>
        <w:t>Employee represents and warrants that Employee is not a party to any other agreement that will interfere with Employee’s full compliance with this Attachment I or that otherwise may restrict Employee’s employment by the Company or its Affiliates or the performance of Employee’s duties for the Company or its Affiliates. Employee agrees not to enter into any agreement, whether oral or written, in conflict with this Attachment I.</w:t>
      </w:r>
    </w:p>
    <w:p>
      <w:pPr>
        <w:spacing w:after="0" w:line="171" w:lineRule="exact"/>
        <w:rPr>
          <w:rFonts w:ascii="Arial" w:cs="Arial" w:eastAsia="Arial" w:hAnsi="Arial"/>
          <w:sz w:val="20"/>
          <w:szCs w:val="20"/>
          <w:color w:val="auto"/>
        </w:rPr>
      </w:pPr>
    </w:p>
    <w:p>
      <w:pPr>
        <w:jc w:val="both"/>
        <w:ind w:left="-757" w:firstLine="757"/>
        <w:spacing w:after="0" w:line="241" w:lineRule="auto"/>
        <w:tabs>
          <w:tab w:leader="none" w:pos="261"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This Attachment I may be enforced by, will inure to the benefit of, and be binding upon the Company, its successors, and assigns. This Agreement will also inure to the benefit of, and may be enforced by, the Company’s Affiliates. This Attachment I is binding upon Employee’s heirs and legal representatives.</w:t>
      </w:r>
    </w:p>
    <w:p>
      <w:pPr>
        <w:spacing w:after="0" w:line="171" w:lineRule="exact"/>
        <w:rPr>
          <w:rFonts w:ascii="Arial" w:cs="Arial" w:eastAsia="Arial" w:hAnsi="Arial"/>
          <w:sz w:val="20"/>
          <w:szCs w:val="20"/>
          <w:color w:val="auto"/>
        </w:rPr>
      </w:pPr>
    </w:p>
    <w:p>
      <w:pPr>
        <w:jc w:val="both"/>
        <w:ind w:left="-757" w:firstLine="757"/>
        <w:spacing w:after="0" w:line="241" w:lineRule="auto"/>
        <w:tabs>
          <w:tab w:leader="none" w:pos="261"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Nothing in this Attachment I prohibits Employee from reporting possible violation of federal law or regulation to any governmental agency or entity, or making disclosures that are protected under a “whistleblower” provision of federal law or regulation.</w:t>
      </w:r>
    </w:p>
    <w:p>
      <w:pPr>
        <w:spacing w:after="0" w:line="171" w:lineRule="exact"/>
        <w:rPr>
          <w:rFonts w:ascii="Arial" w:cs="Arial" w:eastAsia="Arial" w:hAnsi="Arial"/>
          <w:sz w:val="20"/>
          <w:szCs w:val="20"/>
          <w:color w:val="auto"/>
        </w:rPr>
      </w:pPr>
    </w:p>
    <w:p>
      <w:pPr>
        <w:jc w:val="both"/>
        <w:ind w:left="-757" w:firstLine="757"/>
        <w:spacing w:after="0" w:line="237" w:lineRule="auto"/>
        <w:tabs>
          <w:tab w:leader="none" w:pos="261" w:val="left"/>
        </w:tabs>
        <w:numPr>
          <w:ilvl w:val="0"/>
          <w:numId w:val="59"/>
        </w:numPr>
        <w:rPr>
          <w:rFonts w:ascii="Arial" w:cs="Arial" w:eastAsia="Arial" w:hAnsi="Arial"/>
          <w:sz w:val="20"/>
          <w:szCs w:val="20"/>
          <w:color w:val="auto"/>
        </w:rPr>
      </w:pPr>
      <w:r>
        <w:rPr>
          <w:rFonts w:ascii="Arial" w:cs="Arial" w:eastAsia="Arial" w:hAnsi="Arial"/>
          <w:sz w:val="20"/>
          <w:szCs w:val="20"/>
          <w:color w:val="auto"/>
        </w:rPr>
        <w:t>If Employee is employed by an Affiliate of the Company or by accepting a transfer to an Affiliate of the Company, Employee agrees to the automatic application of all of the terms of this Attachment I to said Affiliate contemporaneously with the acceptance of such transfer, subject to subsequent agreements, if any, executed by Employee and the Affiliate of the Company or the Company, and to the fullest extent allowed by law.</w:t>
      </w:r>
    </w:p>
    <w:p>
      <w:pPr>
        <w:spacing w:after="0" w:line="171" w:lineRule="exact"/>
        <w:rPr>
          <w:rFonts w:ascii="Arial" w:cs="Arial" w:eastAsia="Arial" w:hAnsi="Arial"/>
          <w:sz w:val="20"/>
          <w:szCs w:val="20"/>
          <w:color w:val="auto"/>
        </w:rPr>
      </w:pPr>
    </w:p>
    <w:p>
      <w:pPr>
        <w:jc w:val="both"/>
        <w:ind w:left="-757" w:firstLine="757"/>
        <w:spacing w:after="0" w:line="232" w:lineRule="auto"/>
        <w:tabs>
          <w:tab w:leader="none" w:pos="261" w:val="left"/>
        </w:tabs>
        <w:numPr>
          <w:ilvl w:val="0"/>
          <w:numId w:val="59"/>
        </w:numPr>
        <w:rPr>
          <w:rFonts w:ascii="Arial" w:cs="Arial" w:eastAsia="Arial" w:hAnsi="Arial"/>
          <w:sz w:val="20"/>
          <w:szCs w:val="20"/>
          <w:color w:val="auto"/>
        </w:rPr>
      </w:pPr>
      <w:r>
        <w:rPr>
          <w:rFonts w:ascii="Arial" w:cs="Arial" w:eastAsia="Arial" w:hAnsi="Arial"/>
          <w:sz w:val="20"/>
          <w:szCs w:val="20"/>
          <w:color w:val="auto"/>
        </w:rPr>
        <w:t>Should any portion of this Attachment I be held invalid, unenforceable, or void, such holding will not have the effect of invalidating or voiding the other portions of this Attachment 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will give rise to a finding of knowing, willful, or bad faith unreasonableness against the Company regarding this Attachment I.</w:t>
      </w:r>
    </w:p>
    <w:p>
      <w:pPr>
        <w:spacing w:after="0" w:line="171" w:lineRule="exact"/>
        <w:rPr>
          <w:rFonts w:ascii="Arial" w:cs="Arial" w:eastAsia="Arial" w:hAnsi="Arial"/>
          <w:sz w:val="20"/>
          <w:szCs w:val="20"/>
          <w:color w:val="auto"/>
        </w:rPr>
      </w:pPr>
    </w:p>
    <w:p>
      <w:pPr>
        <w:jc w:val="both"/>
        <w:ind w:left="-757" w:firstLine="757"/>
        <w:spacing w:after="0" w:line="237" w:lineRule="auto"/>
        <w:tabs>
          <w:tab w:leader="none" w:pos="261"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terms and conditions of this Attachment 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1001395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4" w:right="339" w:bottom="1440" w:gutter="0" w:footer="0" w:header="0"/>
        </w:sectPr>
      </w:pPr>
    </w:p>
    <w:bookmarkStart w:id="48" w:name="page49"/>
    <w:bookmarkEnd w:id="48"/>
    <w:p>
      <w:pPr>
        <w:ind w:left="5020"/>
        <w:spacing w:after="0"/>
        <w:rPr>
          <w:sz w:val="20"/>
          <w:szCs w:val="20"/>
          <w:color w:val="auto"/>
        </w:rPr>
      </w:pPr>
      <w:r>
        <w:rPr>
          <w:rFonts w:ascii="Arial" w:cs="Arial" w:eastAsia="Arial" w:hAnsi="Arial"/>
          <w:sz w:val="20"/>
          <w:szCs w:val="20"/>
          <w:b w:val="1"/>
          <w:bCs w:val="1"/>
          <w:u w:val="single" w:color="auto"/>
          <w:color w:val="auto"/>
        </w:rPr>
        <w:t>APPENDIX A</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SPECIFIC PROVISIONS APPLICABLE TO EMPLOYEES BEING FRENCH TAX RESIDENT (AT THE DATE OF GRANT) OR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BECOMING FRENCH TAX RESIDENT (AFTER THE DATE OF GRANT)</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Appendix A includes additional terms and conditions that govern the Restricted Stock Units granted to you under the Plan if, as the case may be, you are Tax resident in France or you are becoming French Tax resident after the date of grant. Defined terms not otherwise defined in this appendix have the meaning provided in the Plan or the sub-plan for France as the case may be.</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According to vesting and transfer rules of the Plan, (i) the Restricted Stock Units vest over a three (3) year period according to the following schedule (“Vesting Dates”): provided that the Employee has been continuously employed by the Company or any of its Subsidiaries from the Grant Date to each Vesting Date: one-third on the first anniversary of the grant date, one-third on the second anniversary of the grant date, and one-third on the third anniversary of the grant date (ii) the sale of shares issued pursuant to the conversion of the Restricted Stock Units can occur when the Restricted Stock Units are converted into shares from the Grant Date to each Vesting Date.</w:t>
      </w:r>
    </w:p>
    <w:p>
      <w:pPr>
        <w:spacing w:after="0" w:line="17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We have mutually agreed to convert your grant to the sub-plan for France which governs the Restricted Stock Units granted to employees who are resident of France or who are or may become subject to French tax and provide for specific minimum French law holding period requirements, in line with the rules on Omnibus Stock Incentive Plan for employees in France.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Accordingly, the Restricted Stock Units granted under this French sub-plan will be deemed French Qualified Restricted Stock Units and are intended to be eligible for the specific income and social security tax regime applicable to shares granted for no consideration under the Articles L.225-197-1 to L.225-197-5 of the French Commercial Code.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Employee and the Company agree to comply with the provisions of the French sub-plan and execute such further instruments or to take such further action as may reasonably be necessary to carry out the intent of this Agreement.</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Accordingly, Employee irrevocably agrees that (including, for the avoidance of doubt, if such Employee is no longer a French tax resident at the end of the Holding Period as defined below):</w:t>
      </w:r>
    </w:p>
    <w:p>
      <w:pPr>
        <w:spacing w:after="0" w:line="155" w:lineRule="exact"/>
        <w:rPr>
          <w:sz w:val="20"/>
          <w:szCs w:val="20"/>
          <w:color w:val="auto"/>
        </w:rPr>
      </w:pPr>
    </w:p>
    <w:p>
      <w:pPr>
        <w:ind w:left="740" w:right="20" w:hanging="732"/>
        <w:spacing w:after="0" w:line="257" w:lineRule="auto"/>
        <w:tabs>
          <w:tab w:leader="none" w:pos="443"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French Qualified Restricted Stock Units shall vest and be delivered one-third on the first anniversary of the grant date, one-third on the second anniversary of the grant date, and one-third on the third anniversary of the grant date;</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shares related to a French Qualified Restricted Stock Unit which have been delivered prior to the second anniversary of the Grant Date in accordance with the vesting schedule above shall be subject to a holding period till the second year anniversary of the Grant Date (the “Holding Period”).</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By way of exception, upon Termination of Employment from the Company by reason of Employee’s death, (i) all French Qualified Restricted Stock Units that are not vested at that time immediately will become vested in full and (ii) the Company shall issue the underlying shares to the Employee’s heirs, at their request, within six months following the death of the Employee. In case of Employee’s death or disability (as determined by the Committee in its sole and absolute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20"/>
          <w:szCs w:val="20"/>
          <w:color w:val="auto"/>
        </w:rPr>
        <w:t>discretion, and as defined under article L341-4 of the Social Security Code), the shares shall be freely transferable, subject to the French Closed Periods.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avoidance of doubt, (i) none of the vested French Qualified Restricted Stock Units shall be settled in cash and (ii) Employee will have all rights as a stockholder of the Company with regard to the Restricted Stock Units as of the date of delivery of the shares.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sale of shares issued pursuant to the conversion of the French Qualified Restricted Stock Units may occur as soon as the shares are delivered to the Employee, subject to such Employee complying with the Holding Period for the French Qualified Restricted Stock Units vested before the second anniversary of the Grant Date. However, in no circumstances shares may be sold during the following French Closed Periods:</w:t>
      </w:r>
    </w:p>
    <w:p>
      <w:pPr>
        <w:spacing w:after="0" w:line="199"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the 10 days before or after the publication of the annual accounts;</w:t>
      </w:r>
    </w:p>
    <w:p>
      <w:pPr>
        <w:spacing w:after="0" w:line="202" w:lineRule="exact"/>
        <w:rPr>
          <w:rFonts w:ascii="Arial" w:cs="Arial" w:eastAsia="Arial" w:hAnsi="Arial"/>
          <w:sz w:val="20"/>
          <w:szCs w:val="20"/>
          <w:color w:val="auto"/>
        </w:rPr>
      </w:pPr>
    </w:p>
    <w:p>
      <w:pPr>
        <w:ind w:left="600" w:hanging="592"/>
        <w:spacing w:after="0" w:line="241" w:lineRule="auto"/>
        <w:tabs>
          <w:tab w:leader="none" w:pos="45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These Closed Periods will apply to grant of French Qualified Restricted Stock Units as long as and to the extent such Closed Periods are applicable under French law.</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This Appendix will not affect the validity or enforceability of any other provision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APPLICABLE TO PARTICIPANTS IN CHINA SUBJECT TO SAFE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Capitalized terms used but not defined in this Appendix B are defined in the Schlumberger 2017 Omnibus Stock Incentive Plan, as may be amended (the “Plan”), and the Restricted Stock Unit award agreement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Introduction</w:t>
      </w:r>
      <w:r>
        <w:rPr>
          <w:rFonts w:ascii="Arial" w:cs="Arial" w:eastAsia="Arial" w:hAnsi="Arial"/>
          <w:sz w:val="20"/>
          <w:szCs w:val="20"/>
          <w:u w:val="single" w:color="auto"/>
          <w:color w:val="auto"/>
        </w:rPr>
        <w: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terms and conditions will apply to you to the extent that the Company, in its discretion, determines that your participation in the Plan is subject to exchange control restrictions in the People’s Republic of China (the “PRC”), as implemented by the PRC State Administration of Foreign Exchange (“SAFE”).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Vesting of RSUs</w:t>
      </w:r>
      <w:r>
        <w:rPr>
          <w:rFonts w:ascii="Arial" w:cs="Arial" w:eastAsia="Arial" w:hAnsi="Arial"/>
          <w:sz w:val="20"/>
          <w:szCs w:val="20"/>
          <w:color w:val="auto"/>
        </w:rPr>
        <w:t>. The following provision supplements Section 1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Unless and until the Company has obtained all necessary exchange control or other approvals from SAFE or its local counterpart (“SAFE Approval”) with respect to your Restricted Stock Units (“RSUs”), the shares of Common Stock represented by such RSUs will be issued to you as soon as administratively feasible after the Company has obtained SAFE Approval. The Company is under no obligation to issue shares of Common Stock if the Company has not obtained SAFE Approval.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Acceleration on Retirement</w:t>
      </w:r>
      <w:r>
        <w:rPr>
          <w:rFonts w:ascii="Arial" w:cs="Arial" w:eastAsia="Arial" w:hAnsi="Arial"/>
          <w:sz w:val="20"/>
          <w:szCs w:val="20"/>
          <w:color w:val="auto"/>
        </w:rPr>
        <w:t>. The following provision replaces Section 1(c) of the Agreement in its entirety:</w:t>
      </w:r>
    </w:p>
    <w:p>
      <w:pPr>
        <w:spacing w:after="0" w:line="202" w:lineRule="exact"/>
        <w:rPr>
          <w:sz w:val="20"/>
          <w:szCs w:val="20"/>
          <w:color w:val="auto"/>
        </w:rPr>
      </w:pPr>
    </w:p>
    <w:p>
      <w:pPr>
        <w:jc w:val="both"/>
        <w:ind w:firstLine="757"/>
        <w:spacing w:after="0" w:line="237" w:lineRule="auto"/>
        <w:tabs>
          <w:tab w:leader="none" w:pos="1018"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To allow the Company to comply with PRC exchange control restrictions, upon Termination of Employment from the Company and its Subsidiaries by reason of Employee’s Retirement (as defined in Section 11), the Restricted Stock Units will become fully vested, subject to the Company obtaining SAFE Approval before vesting of the Restricted Stock Units.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Settlement of RSUs and Sale of Shares</w:t>
      </w:r>
      <w:r>
        <w:rPr>
          <w:rFonts w:ascii="Arial" w:cs="Arial" w:eastAsia="Arial" w:hAnsi="Arial"/>
          <w:sz w:val="20"/>
          <w:szCs w:val="20"/>
          <w:color w:val="auto"/>
        </w:rPr>
        <w:t>. The following provision supplements Section 2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to the contrary in the Plan or this Agreement, you understand and agree that the Company may require any shares of Common Stock that you acquire from vesting of the RSUs to be immediately sold at vesting or, at the Company’s discretion, at a later time. The purpose of this is solely to allow the Company to comply with PRC exchange control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You understand and agree that any shares of Common Stock acquired by you under Plan must be sold by no later than ninety</w:t>
      </w:r>
    </w:p>
    <w:p>
      <w:pPr>
        <w:spacing w:after="0" w:line="4" w:lineRule="exact"/>
        <w:rPr>
          <w:sz w:val="20"/>
          <w:szCs w:val="20"/>
          <w:color w:val="auto"/>
        </w:rPr>
      </w:pPr>
    </w:p>
    <w:p>
      <w:pPr>
        <w:jc w:val="both"/>
        <w:ind w:firstLine="8"/>
        <w:spacing w:after="0" w:line="231" w:lineRule="auto"/>
        <w:tabs>
          <w:tab w:leader="none" w:pos="4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days after your Termination of Employment, or within any other such time frame as may be permitted by the Company or required by SAFE. Further, you understand that any shares of Common Stock acquired by you under the Plan that have not been sold within ninety (90) days of your termination of employment will be automatically sold by Fidelity (which is the Company's current designated broker) at the Company’s direction. For the sake of clarity, any references to Fidelity in this Appendix also refer to any other designated broker the Company may use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1" w:name="page52"/>
    <w:bookmarkEnd w:id="51"/>
    <w:p>
      <w:pPr>
        <w:jc w:val="both"/>
        <w:spacing w:after="0" w:line="241" w:lineRule="auto"/>
        <w:rPr>
          <w:sz w:val="20"/>
          <w:szCs w:val="20"/>
          <w:color w:val="auto"/>
        </w:rPr>
      </w:pPr>
      <w:r>
        <w:rPr>
          <w:rFonts w:ascii="Arial" w:cs="Arial" w:eastAsia="Arial" w:hAnsi="Arial"/>
          <w:sz w:val="20"/>
          <w:szCs w:val="20"/>
          <w:color w:val="auto"/>
        </w:rPr>
        <w:t>You further agree that the Company is authorized to instruct Fidelity to assist with the mandatory sale of the shares of Common Stock, and you expressly authorize Fidelity to complete the sale of the shares of Common Stock. Your acceptance of this Agreement constitutes your authorization for Fidelity to act on your behalf in the sale of the shares.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acknowledge that Fidelity is under no obligation to arrange for the sale of shares of Common Stock at any particular price. Upon the sale of the shares of Common Stock, the Company agrees to pay you the cash proceeds from the sale, less any brokerage fees or commissions, in accordance with applicable exchange control laws and regulations, and provided any liability for Tax-Related Items (as defined in Section 6 of the Agreement) has been satisfied.</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Due to fluctuations in the Company’s share price and the United States Dollar exchange rate between the date that shares are issued to you upon vesting of the RSUs and (if later) the date on which the shares of Common Stock are sold, the sale proceeds may be more or less than the fair market value of the shares of Common Stock on the date the shares are initially issued to you. This date is the relevant date for determining your tax liability. You understand and agree that the Company is not responsible for the amount of any loss you may incur, and that the Company assumes no liability for any fluctuation in the share price or United States Dollar exchange rate.</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further agree that any shares of Common Stock to be issued to you shall be deposited directly into your Fidelity account. You also agree that you may not transfer the deposited shares of Common Stock from your Fidelity account. This limitation will apply both to transfers to different accounts with Fidelity and to transfers to other brokerage firms. The limitation shall apply to all shares of Common Stock issued to you under the Plan, whether or not you continue to be employed by the Company, the Employer or any affiliate of the Company.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u w:val="single" w:color="auto"/>
          <w:color w:val="auto"/>
        </w:rPr>
        <w:t>Exchange Control Requirements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SAFE rules require that when you sell shares of Common Stock or receive any other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from the shares (</w:t>
      </w:r>
      <w:r>
        <w:rPr>
          <w:rFonts w:ascii="Arial" w:cs="Arial" w:eastAsia="Arial" w:hAnsi="Arial"/>
          <w:sz w:val="20"/>
          <w:szCs w:val="20"/>
          <w:i w:val="1"/>
          <w:iCs w:val="1"/>
          <w:color w:val="auto"/>
        </w:rPr>
        <w:t>e.g</w:t>
      </w:r>
      <w:r>
        <w:rPr>
          <w:rFonts w:ascii="Arial" w:cs="Arial" w:eastAsia="Arial" w:hAnsi="Arial"/>
          <w:sz w:val="20"/>
          <w:szCs w:val="20"/>
          <w:color w:val="auto"/>
        </w:rPr>
        <w:t>., dividends), all such funds must be immediately brought back (</w:t>
      </w:r>
      <w:r>
        <w:rPr>
          <w:rFonts w:ascii="Arial" w:cs="Arial" w:eastAsia="Arial" w:hAnsi="Arial"/>
          <w:sz w:val="20"/>
          <w:szCs w:val="20"/>
          <w:i w:val="1"/>
          <w:iCs w:val="1"/>
          <w:color w:val="auto"/>
        </w:rPr>
        <w:t>i.e.,</w:t>
      </w:r>
      <w:r>
        <w:rPr>
          <w:rFonts w:ascii="Arial" w:cs="Arial" w:eastAsia="Arial" w:hAnsi="Arial"/>
          <w:sz w:val="20"/>
          <w:szCs w:val="20"/>
          <w:color w:val="auto"/>
        </w:rPr>
        <w:t xml:space="preserve"> "repatriated") to China through a special exchange control account. To comply with this requirement, the Company will set up the special exchange control account and will facilitate the repatriation of the funds to China where the funds will be delivered to you. By accepting the RSUs, you acknowledge and agree that all funds received from your shares of Stock must be repatriated to China, and you hereby consent and agree that such funds may be transferred to the special exchange control account prior to being delivered to you.</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You understand that the sale proceeds (or other funds) may be paid to you in local currency. If the funds are paid in local currency, you acknowledge that neither the Company nor any affiliate is under an obligation to secure any particular currency conversion rate and that the Company (or any affiliate) may face delays in converting the funds to local currency due to exchange control requirements in China. You agree to bear any currency fluctuation risk between the time the shares of Common Stock are sold (or other funds are paid out) and the time the funds are converted into local currency and distributed to you.</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You further agree to comply with any other requirements that may be imposed by the Company in the future to facilitate compliance with exchange control requirements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u w:val="single" w:color="auto"/>
          <w:color w:val="auto"/>
        </w:rPr>
        <w:t>APPENDIX 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STATE AND COUNTRY-SPECIFIC APPENDICES FOR ATTACHMENT I</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Appendix C.1- U.S. State Law</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any of the U.S. states below, or transfers employment and/or residency after the Grant Date to one of the U.S. states below, then the following terms shall apply to the noncompete and nonsolicit restrictions in Sections 6 and 7 of Attachment I after the date on which Employee ceases to be employed by the Company Group for as long as Employee continues to work or reside in such state.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California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Sections 6 and 7(b) of Attachment I shall not apply to any Employee who primarily resides or works in, or transfers employment and/or residency after the Grant Date to California. For any Employee who primarily resides or works in California, any clause or agreement between Employee and the Company that restricts post-employment competition in California, including but not limited to Sections 6 and 7(b), are hereby rescinded and shall be deemed null and void.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Colorado</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Employee acknowledges that Employee was provided with a separate notice of Sections 6 and 7 of Attachment I at least 14 days before the earlier of (1) the effective date of this Agreement or (2) the Grant Date.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6 of Attachment I shall only apply to any Employee who primarily resides or works in, or transfers employment and/or residency after the Grant Date to Colorado and earns an amount of compensation equal to or greater than the threshold amount for “highly compensated workers” under Colorado law.</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7(b) of Attachment I shall only apply to any Employee who primarily resides or works in, or transfers employment and/or residency after the Grant Date to Colorado and earns an amount of compensation equal to or greater than 60% of the threshold amount for “highly compensated workers” under Colorado law.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Georgia</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Section 6 of Attachment I shall only apply to any Employee who primarily resides or works in, or transfers employment and/or residency after the Grant Date to Georgia and (i) customarily and regularly solicits customers or prospective customers for the Company Group, (ii) customarily and regularly engages in making sales or obtaining orders or contracts for products or services to be performed by others, (iii) has the authority to hire or fire other employees or particular weight is given to Employee’s suggestions and recommendations as to the hiring, firing, advancement, promotion, or any other change of status of other employees, or (iv) performs the duties of a “key employee” or professional under Georgia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Idaho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20"/>
          <w:szCs w:val="20"/>
          <w:color w:val="auto"/>
        </w:rPr>
        <w:t>Section 6 of Attachment I shall only apply to any Employee who primarily resides or works in, or transfers employment and/or residency after the Grant Date to Idaho and performs the duties of a “key employee” under Idaho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Illinois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Sections 6 and 7 of Attachment I shall only apply to any Employee who primarily resides or works in, or transfers employment and/or residency after the Grant Date to Illinois and: (i) whose actual or expected annualized rate of earnings exceeds the statutory amount set in the Illinois Freedom to Work Act 820 ILCS 90/10, as adjusted in accordance with the Illinois Freedom to Work Act and (ii) who was not laid off or furloughed due to COVID-19 or similar circumstances without appropriate compensation.</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Employee acknowledges that: (i) the Company has advised Employee that Employee has the right to consult with an attorney before executing this Agreement, and (ii) Employee was provided with a separate notice of Sections 6 and 7(b) of Attachment I at least 14 days before the earlier of (1) the effective date of this Agreement or (2) the Grant Date or Employee was provided with at least 14 days to review this Agreement. Employee further acknowledges that the Company is in compliance with this provision even if Employee voluntarily elects to sign this Agreement before the expiration of the 14-day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Louisiana</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For Employees who primarily reside or work in, or transfer employment and/or residency after the Grant Date to Louisiana, the Restricted Territory shall be as described below.</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Within the State of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Massachusetts</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Section 6 of Attachment I shall only apply to any Employee who primarily resides or works in, or transfers employment and/or residency after the Grant Date to Massachusetts and (i) is classified as exempt under the Fair Labor Standards Act, (ii) was not terminated without cause or laid off, (iii) who the Company Group pays on a pro-rata basis during the entirety of the restricted period following the date in which Employee ceases to be employed by the Company Group (but in no event longer than a one</w:t>
      </w:r>
    </w:p>
    <w:p>
      <w:pPr>
        <w:ind w:firstLine="8"/>
        <w:spacing w:after="0" w:line="239" w:lineRule="auto"/>
        <w:tabs>
          <w:tab w:leader="none" w:pos="322" w:val="left"/>
        </w:tabs>
        <w:numPr>
          <w:ilvl w:val="0"/>
          <w:numId w:val="64"/>
        </w:numPr>
        <w:rPr>
          <w:rFonts w:ascii="Arial" w:cs="Arial" w:eastAsia="Arial" w:hAnsi="Arial"/>
          <w:sz w:val="20"/>
          <w:szCs w:val="20"/>
          <w:color w:val="auto"/>
        </w:rPr>
      </w:pPr>
      <w:r>
        <w:rPr>
          <w:rFonts w:ascii="Arial" w:cs="Arial" w:eastAsia="Arial" w:hAnsi="Arial"/>
          <w:sz w:val="20"/>
          <w:szCs w:val="20"/>
          <w:color w:val="auto"/>
        </w:rPr>
        <w:t>year period) an amount equal to fifty percent (50%) of Employee’s highest annualized base salary paid by the Company Group within the two years preceding the date in which Employee ceases to be employed by the Company Group.</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Employee acknowledges that Employee was provided with this notice at least 10 days before the effective date of this Agreement. Employee acknowledges that Employee the Company has advised and hereby does advise Employee that Employee has the right to consult with an attorney of his or her choosing before executing this Agreement.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restriction in Section 6(b) of Attachment I shall be limited to the period of one (1) year following the date on which Employee ceases to be employed by the Company Group, unless Employee has breached his or her fiduciary duty to the Company Group or Employee has unlawfully taken, physically or electronically, property belonging to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4" w:name="page55"/>
    <w:bookmarkEnd w:id="54"/>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Nevada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 shall not apply to any Employee who primarily resides or works in, or transfers employment and/or residency after the Grant Date to Nevada and: (i) is paid solely on an hourly wage basis, exclusive of any tips or gratuities, or (ii) their termination was part of a reduction of force, reorganization, or similar restructuring of the Company Group (unless the Company Group pays Employee’s salary, benefits, or equivalent compensation, including severance pay, if any, during the restricted period).</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 shall not restrict Employee from providing a service to a former customer or client if (i) Employee did not solicit the former customer or client; (ii) the customer or client voluntarily chose to leave and sought Employee’s services; and (iii) Employee has otherwise complied with Section 6 of Attachment I regarding time, geographic area, and scope of the restrained activity, other than any limitation on providing services to a former customer or client of the Company Group who seeks the services of Employee without any contact instigated by Employee.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North Dakota</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Sections 6 and 7(b) of Attachment I shall not apply to any Employee who primarily resides or works in, or transfers employment and/or residency after the Grant Date to North Dakota.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Oklahoma</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Section 6 of Attachment I shall not apply to any Employee who primarily resides or works in, or transfers employment and/or residency after the Grant Date to Oklahoma.</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Appendix C.2 – United Arab Emirates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the United Arab Emirates, or transfers employment and/or residency after the Grant Date to the United Arab Emirates, then the following terms shall apply to the noncompete and nonsolicit restrictions in Sections 6 and 7 of Attachment I after the date on which Employee ceases to be employed by the Company Group for as long as Employee continues to work or reside in such state.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Emirate of Dubai (including but not limited to the Dubai International Financial Centre) and the Emirate of Abu Dhabi (including but not limited to the Abu Dhabi Global Market).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clause in Section 6(b) of Attachment 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restriction in Section 7 of Attachment I shall be limited to the period of twelve (12) months following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The following clause in Section 7(a) of Attachment 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0" w:lineRule="exact"/>
        <w:rPr>
          <w:sz w:val="20"/>
          <w:szCs w:val="20"/>
          <w:color w:val="auto"/>
        </w:rPr>
      </w:pPr>
    </w:p>
    <w:p>
      <w:pPr>
        <w:ind w:left="4280"/>
        <w:spacing w:after="0"/>
        <w:rPr>
          <w:sz w:val="20"/>
          <w:szCs w:val="20"/>
          <w:color w:val="auto"/>
        </w:rPr>
      </w:pPr>
      <w:r>
        <w:rPr>
          <w:rFonts w:ascii="Arial" w:cs="Arial" w:eastAsia="Arial" w:hAnsi="Arial"/>
          <w:sz w:val="20"/>
          <w:szCs w:val="20"/>
          <w:b w:val="1"/>
          <w:bCs w:val="1"/>
          <w:u w:val="single" w:color="auto"/>
          <w:color w:val="auto"/>
        </w:rPr>
        <w:t>Appendix C.3 – Saudi Arabia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Saudi Arabia, or transfers employment and/or residency after the Grant Date to Saudi Arabia, then the following terms shall apply to the confidential information, noncompete and nonsolicit restrictions in Sections 3, 6 and 7 of Attachment I after the date on which Employee ceases to be employed by the Company Group for as long as Employee continues to work or reside in such state.</w:t>
      </w:r>
    </w:p>
    <w:p>
      <w:pPr>
        <w:spacing w:after="0" w:line="17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restriction in Section 3(c) of Attachment I shall only apply for 50 years following the termination of the Employee's employment.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Dhahran, Khobar, Dammam, Udhailiyahh, Khafji, or King Salman Energy Park (SPARK).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restriction in Section 7(a) of Attachment I shall be limited to employees, consultants, or contractors: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4" w:lineRule="exact"/>
        <w:rPr>
          <w:sz w:val="20"/>
          <w:szCs w:val="20"/>
          <w:color w:val="auto"/>
        </w:rPr>
      </w:pPr>
    </w:p>
    <w:p>
      <w:pPr>
        <w:ind w:left="1060" w:hanging="303"/>
        <w:spacing w:after="0"/>
        <w:tabs>
          <w:tab w:leader="none" w:pos="10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w:t>
      </w:r>
    </w:p>
    <w:p>
      <w:pPr>
        <w:spacing w:after="0" w:line="184" w:lineRule="exact"/>
        <w:rPr>
          <w:rFonts w:ascii="Arial" w:cs="Arial" w:eastAsia="Arial" w:hAnsi="Arial"/>
          <w:sz w:val="20"/>
          <w:szCs w:val="20"/>
          <w:color w:val="auto"/>
        </w:rPr>
      </w:pPr>
    </w:p>
    <w:p>
      <w:pPr>
        <w:ind w:left="1100" w:hanging="343"/>
        <w:spacing w:after="0"/>
        <w:tabs>
          <w:tab w:leader="none" w:pos="11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who worked in Employee’s business unit (Group); or</w:t>
      </w:r>
    </w:p>
    <w:p>
      <w:pPr>
        <w:spacing w:after="0" w:line="202" w:lineRule="exact"/>
        <w:rPr>
          <w:rFonts w:ascii="Arial" w:cs="Arial" w:eastAsia="Arial" w:hAnsi="Arial"/>
          <w:sz w:val="20"/>
          <w:szCs w:val="20"/>
          <w:color w:val="auto"/>
        </w:rPr>
      </w:pPr>
    </w:p>
    <w:p>
      <w:pPr>
        <w:ind w:left="1100" w:hanging="343"/>
        <w:spacing w:after="0"/>
        <w:tabs>
          <w:tab w:leader="none" w:pos="11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about whom Employee had access to confidential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jc w:val="both"/>
        <w:ind w:firstLine="8"/>
        <w:spacing w:after="0" w:line="241" w:lineRule="auto"/>
        <w:tabs>
          <w:tab w:leader="none" w:pos="297" w:val="left"/>
        </w:tabs>
        <w:numPr>
          <w:ilvl w:val="0"/>
          <w:numId w:val="66"/>
        </w:numPr>
        <w:rPr>
          <w:rFonts w:ascii="Arial" w:cs="Arial" w:eastAsia="Arial" w:hAnsi="Arial"/>
          <w:sz w:val="20"/>
          <w:szCs w:val="20"/>
          <w:color w:val="auto"/>
        </w:rPr>
      </w:pPr>
      <w:r>
        <w:rPr>
          <w:rFonts w:ascii="Arial" w:cs="Arial" w:eastAsia="Arial" w:hAnsi="Arial"/>
          <w:sz w:val="20"/>
          <w:szCs w:val="20"/>
          <w:color w:val="auto"/>
        </w:rPr>
        <w:t>who were engaged or employed by the Company or its Affiliates in Saudi Arabia on the date in which Employee ceases to be employed by the Company Group or was engaged or employed by the Company or its Affiliates in Saudi Arabia during the twelve (12)-month period immediately preceding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2017 OMNIBUS STOCK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(Includes Confidentiality, Intellectual Property, Non-Competition,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Non-Solicitation Provisions in Section 7 and Attachment I)</w:t>
      </w:r>
    </w:p>
    <w:p>
      <w:pPr>
        <w:spacing w:after="0" w:line="211"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Effective Date: [ ], 20[ ]</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auto"/>
        </w:rPr>
        <w:t xml:space="preserve">Please note: </w:t>
      </w:r>
      <w:r>
        <w:rPr>
          <w:rFonts w:ascii="Arial" w:cs="Arial" w:eastAsia="Arial" w:hAnsi="Arial"/>
          <w:sz w:val="22"/>
          <w:szCs w:val="22"/>
          <w:i w:val="1"/>
          <w:iCs w:val="1"/>
          <w:color w:val="auto"/>
        </w:rPr>
        <w:t>If you do not wish to accept this Restricted Stock Unit Award Agreement, you must notify the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Department no later than 30 days after this Agreement is made available to you.</w:t>
      </w:r>
    </w:p>
    <w:p>
      <w:pPr>
        <w:spacing w:after="0" w:line="200" w:lineRule="exact"/>
        <w:rPr>
          <w:sz w:val="20"/>
          <w:szCs w:val="20"/>
          <w:color w:val="auto"/>
        </w:rPr>
      </w:pPr>
    </w:p>
    <w:p>
      <w:pPr>
        <w:spacing w:after="0" w:line="205" w:lineRule="exact"/>
        <w:rPr>
          <w:sz w:val="20"/>
          <w:szCs w:val="20"/>
          <w:color w:val="auto"/>
        </w:rPr>
      </w:pPr>
    </w:p>
    <w:p>
      <w:pPr>
        <w:jc w:val="both"/>
        <w:ind w:firstLine="440"/>
        <w:spacing w:after="0" w:line="233" w:lineRule="auto"/>
        <w:rPr>
          <w:sz w:val="20"/>
          <w:szCs w:val="20"/>
          <w:color w:val="auto"/>
        </w:rPr>
      </w:pPr>
      <w:r>
        <w:rPr>
          <w:rFonts w:ascii="Arial" w:cs="Arial" w:eastAsia="Arial" w:hAnsi="Arial"/>
          <w:sz w:val="20"/>
          <w:szCs w:val="20"/>
          <w:b w:val="1"/>
          <w:bCs w:val="1"/>
          <w:color w:val="auto"/>
        </w:rPr>
        <w:t>SCHLUMBERGER LIMITED, a Curaçao corporation (the “Company”), hereby grants to the employee named in the Notice of Grant of Award (“Employee”) restricted stock units (“Restricted Stock Units” or “RSUs”) pursuant to this award agreement (as may be amended, the “Agreement”) (the “Award Notice”). Your RSUs are granted pursuant to the Schlumberger 2017 Omnibus Stock Incentive Plan, as may be amended (the “Plan”). Restricted Stock Units are notional units of measurement denominated in shares of common stock of the Company, $.01 par value per share (“Common Stock”). Each Restricted Stock Unit represents a hypothetical share of Common Stock, subject to the conditions and restrictions on transferability set forth herein and in the Plan.</w:t>
      </w:r>
    </w:p>
    <w:p>
      <w:pPr>
        <w:spacing w:after="0" w:line="167" w:lineRule="exact"/>
        <w:rPr>
          <w:sz w:val="20"/>
          <w:szCs w:val="20"/>
          <w:color w:val="auto"/>
        </w:rPr>
      </w:pPr>
    </w:p>
    <w:p>
      <w:pPr>
        <w:ind w:firstLine="757"/>
        <w:spacing w:after="0" w:line="257" w:lineRule="auto"/>
        <w:tabs>
          <w:tab w:leader="none" w:pos="1018"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 The period of time between the grant date specified in the Award Notice (the “Grant Date”) and the vesting of Restricted Stock Units (and the termination of restrictions thereon) is the “Restricted Period.”</w:t>
      </w:r>
    </w:p>
    <w:p>
      <w:pPr>
        <w:spacing w:after="0" w:line="155" w:lineRule="exact"/>
        <w:rPr>
          <w:sz w:val="20"/>
          <w:szCs w:val="20"/>
          <w:color w:val="auto"/>
        </w:rPr>
      </w:pPr>
    </w:p>
    <w:p>
      <w:pPr>
        <w:jc w:val="both"/>
        <w:ind w:firstLine="757"/>
        <w:spacing w:after="0" w:line="241" w:lineRule="auto"/>
        <w:tabs>
          <w:tab w:leader="none" w:pos="1018"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Normal Vesting</w:t>
      </w:r>
      <w:r>
        <w:rPr>
          <w:rFonts w:ascii="Arial" w:cs="Arial" w:eastAsia="Arial" w:hAnsi="Arial"/>
          <w:sz w:val="20"/>
          <w:szCs w:val="20"/>
          <w:color w:val="auto"/>
        </w:rPr>
        <w:t>. The Restricted Stock Units will vest in a single vesting on the third anniversary of the Grant Date (“Vesting Date”), provided that the Employee has been continuously employed by the Company or any of its Subsidiaries from the Grant Date to the Vesting Date.</w:t>
      </w:r>
    </w:p>
    <w:p>
      <w:pPr>
        <w:spacing w:after="0" w:line="16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b w:val="1"/>
          <w:bCs w:val="1"/>
          <w:color w:val="auto"/>
        </w:rPr>
        <w:t>Except as provided in Section 1(b) or 1(c) below, if there is any Termination of Employment (as defined in Section 11 below) during the period from and between the Grant Date until and including the Vesting Date, Employee will immediately and automatically forfeit all Restricted Stock Units that have yet to vest as of such date. Any questions as to whether and when there has been a Termination of Employment, and the cause of such termination, will be resolved by the Committee (as defined in Section 11 below), and its determination will be final.</w:t>
      </w:r>
    </w:p>
    <w:p>
      <w:pPr>
        <w:spacing w:after="0" w:line="162" w:lineRule="exact"/>
        <w:rPr>
          <w:sz w:val="20"/>
          <w:szCs w:val="20"/>
          <w:color w:val="auto"/>
        </w:rPr>
      </w:pPr>
    </w:p>
    <w:p>
      <w:pPr>
        <w:jc w:val="both"/>
        <w:ind w:firstLine="757"/>
        <w:spacing w:after="0" w:line="237" w:lineRule="auto"/>
        <w:tabs>
          <w:tab w:leader="none" w:pos="1018"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Acceleration on Death or Disability</w:t>
      </w:r>
      <w:r>
        <w:rPr>
          <w:rFonts w:ascii="Arial" w:cs="Arial" w:eastAsia="Arial" w:hAnsi="Arial"/>
          <w:sz w:val="20"/>
          <w:szCs w:val="20"/>
          <w:color w:val="auto"/>
        </w:rPr>
        <w:t>. Upon Termination of Employment by reason of Employee’s death or Disability (as defined in Section 11 below) or upon Employee’s Disability prior to Termination of Employment (as determined by the Committee and within the meaning of Section 409A of the U.S. Internal Revenue Code (the “Code”)), all Restricted Stock Units that are not vested at that time immediately and automatically will become vested in full.</w:t>
      </w:r>
    </w:p>
    <w:p>
      <w:pPr>
        <w:spacing w:after="0" w:line="171"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Termination of Employment from the Company and its Subsidiaries by reason of Employee’s Retirement (as defined in Section 11 below), the Restricted Stock Units will continue to vest following Termination of Employment as if Employee continued to be employed with the Company or any of its Subsidiaries, subject to forfeiture in the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of the Committee in the event that Employee engages in Detrimental Activity (as defined in Section 11 below).</w:t>
      </w:r>
    </w:p>
    <w:p>
      <w:pPr>
        <w:spacing w:after="0" w:line="202" w:lineRule="exact"/>
        <w:rPr>
          <w:sz w:val="20"/>
          <w:szCs w:val="20"/>
          <w:color w:val="auto"/>
        </w:rPr>
      </w:pPr>
    </w:p>
    <w:p>
      <w:pPr>
        <w:jc w:val="both"/>
        <w:ind w:firstLine="757"/>
        <w:spacing w:after="0" w:line="235" w:lineRule="auto"/>
        <w:tabs>
          <w:tab w:leader="none" w:pos="1018"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Settlement of Restricted Stock Units</w:t>
      </w:r>
      <w:r>
        <w:rPr>
          <w:rFonts w:ascii="Arial" w:cs="Arial" w:eastAsia="Arial" w:hAnsi="Arial"/>
          <w:sz w:val="20"/>
          <w:szCs w:val="20"/>
          <w:color w:val="auto"/>
        </w:rPr>
        <w:t xml:space="preserve">. If Employee’s Restricted Stock Units vest in accordance with the normal vesting schedule described in the first sentence of Section 1(a) above or pursuant to Section 1(b) above, payment of vested Restricted Stock Units will be made as soon as administratively </w:t>
      </w:r>
      <w:r>
        <w:rPr>
          <w:rFonts w:ascii="Arial" w:cs="Arial" w:eastAsia="Arial" w:hAnsi="Arial"/>
          <w:sz w:val="21"/>
          <w:szCs w:val="21"/>
          <w:color w:val="auto"/>
        </w:rPr>
        <w:t>practicable</w:t>
      </w:r>
      <w:r>
        <w:rPr>
          <w:rFonts w:ascii="Arial" w:cs="Arial" w:eastAsia="Arial" w:hAnsi="Arial"/>
          <w:sz w:val="20"/>
          <w:szCs w:val="20"/>
          <w:color w:val="auto"/>
        </w:rPr>
        <w:t>, but in no event later than 45 days following the date that the Restricted Stock Units vest (the date of any such payment, the “Settlement Date”). Notwithstanding the foregoing, the Committee may, in its sole and absolute discretion, settle the vested Restricted Stock Units in cash based on the Fair Market Value (as defined in Section 11 below) of the shares of Common Stock on the settlement date.</w:t>
      </w:r>
    </w:p>
    <w:p>
      <w:pPr>
        <w:spacing w:after="0" w:line="176" w:lineRule="exact"/>
        <w:rPr>
          <w:rFonts w:ascii="Arial" w:cs="Arial" w:eastAsia="Arial" w:hAnsi="Arial"/>
          <w:sz w:val="20"/>
          <w:szCs w:val="20"/>
          <w:color w:val="auto"/>
        </w:rPr>
      </w:pPr>
    </w:p>
    <w:p>
      <w:pPr>
        <w:ind w:left="1020" w:hanging="263"/>
        <w:spacing w:after="0"/>
        <w:tabs>
          <w:tab w:leader="none" w:pos="102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Forfeitures of Restricted Stock Units</w:t>
      </w:r>
      <w:r>
        <w:rPr>
          <w:rFonts w:ascii="Arial" w:cs="Arial" w:eastAsia="Arial" w:hAnsi="Arial"/>
          <w:sz w:val="20"/>
          <w:szCs w:val="20"/>
          <w:color w:val="auto"/>
        </w:rPr>
        <w:t>.</w:t>
      </w:r>
    </w:p>
    <w:p>
      <w:pPr>
        <w:spacing w:after="0" w:line="200" w:lineRule="exact"/>
        <w:rPr>
          <w:sz w:val="20"/>
          <w:szCs w:val="20"/>
          <w:color w:val="auto"/>
        </w:rPr>
      </w:pPr>
    </w:p>
    <w:p>
      <w:pPr>
        <w:jc w:val="both"/>
        <w:ind w:firstLine="757"/>
        <w:spacing w:after="0" w:line="237" w:lineRule="auto"/>
        <w:tabs>
          <w:tab w:leader="none" w:pos="1189"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At any time during the Restricted Period, upon a Termination of Employment for any reason that does not result in an acceleration or continuation of vesting pursuant to Section 1, Employee will immediately and automatically forfeit all unvested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62" w:lineRule="exact"/>
        <w:rPr>
          <w:rFonts w:ascii="Arial" w:cs="Arial" w:eastAsia="Arial" w:hAnsi="Arial"/>
          <w:sz w:val="20"/>
          <w:szCs w:val="20"/>
          <w:b w:val="1"/>
          <w:bCs w:val="1"/>
          <w:color w:val="auto"/>
        </w:rPr>
      </w:pPr>
    </w:p>
    <w:p>
      <w:pPr>
        <w:jc w:val="both"/>
        <w:ind w:firstLine="757"/>
        <w:spacing w:after="0" w:line="241" w:lineRule="auto"/>
        <w:tabs>
          <w:tab w:leader="none" w:pos="1189"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Notwithstanding any provision in this Agreement to the contrary, if at any time during the Restricted Period, Employee engages in Detrimental Activity, Employee will immediately and automatically forfeit all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210" w:lineRule="exact"/>
        <w:rPr>
          <w:sz w:val="20"/>
          <w:szCs w:val="20"/>
          <w:color w:val="auto"/>
        </w:rPr>
      </w:pPr>
    </w:p>
    <w:p>
      <w:pPr>
        <w:ind w:left="1020" w:hanging="263"/>
        <w:spacing w:after="0"/>
        <w:tabs>
          <w:tab w:leader="none" w:pos="102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47" w:lineRule="auto"/>
        <w:tabs>
          <w:tab w:leader="none" w:pos="1018" w:val="left"/>
        </w:tabs>
        <w:numPr>
          <w:ilvl w:val="1"/>
          <w:numId w:val="73"/>
        </w:numPr>
        <w:rPr>
          <w:rFonts w:ascii="Arial" w:cs="Arial" w:eastAsia="Arial" w:hAnsi="Arial"/>
          <w:sz w:val="19"/>
          <w:szCs w:val="19"/>
          <w:color w:val="auto"/>
        </w:rPr>
      </w:pPr>
      <w:r>
        <w:rPr>
          <w:rFonts w:ascii="Arial" w:cs="Arial" w:eastAsia="Arial" w:hAnsi="Arial"/>
          <w:sz w:val="19"/>
          <w:szCs w:val="19"/>
          <w:color w:val="auto"/>
        </w:rPr>
        <w:t>Restricted Stock Units granted hereunder to Employee may not be sold, assigned, transferred, pledged or otherwise encumbered, whether voluntarily or involuntarily, by operation of law or otherwise (any of the foregoing, a “Transfer”), other than</w:t>
      </w:r>
    </w:p>
    <w:p>
      <w:pPr>
        <w:jc w:val="both"/>
        <w:ind w:firstLine="8"/>
        <w:spacing w:after="0" w:line="232" w:lineRule="auto"/>
        <w:tabs>
          <w:tab w:leader="none" w:pos="249"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the Company as a result of the forfeiture of Restricted Stock Units, or (ii) by will or the laws of descent and distribution. Payment of Restricted Stock Units after Employee’s death will be made to Employee’s estate or, in the sole and absolute discretion of the Committee, to the person or persons entitled to receive such payment under applicable laws of descent and distribution.</w:t>
      </w:r>
    </w:p>
    <w:p>
      <w:pPr>
        <w:spacing w:after="0" w:line="172" w:lineRule="exact"/>
        <w:rPr>
          <w:rFonts w:ascii="Arial" w:cs="Arial" w:eastAsia="Arial" w:hAnsi="Arial"/>
          <w:sz w:val="20"/>
          <w:szCs w:val="20"/>
          <w:color w:val="auto"/>
        </w:rPr>
      </w:pPr>
    </w:p>
    <w:p>
      <w:pPr>
        <w:jc w:val="both"/>
        <w:ind w:firstLine="757"/>
        <w:spacing w:after="0" w:line="233" w:lineRule="auto"/>
        <w:tabs>
          <w:tab w:leader="none" w:pos="1018" w:val="left"/>
        </w:tabs>
        <w:numPr>
          <w:ilvl w:val="1"/>
          <w:numId w:val="74"/>
        </w:numPr>
        <w:rPr>
          <w:rFonts w:ascii="Arial" w:cs="Arial" w:eastAsia="Arial" w:hAnsi="Arial"/>
          <w:sz w:val="20"/>
          <w:szCs w:val="20"/>
          <w:color w:val="auto"/>
        </w:rPr>
      </w:pPr>
      <w:r>
        <w:rPr>
          <w:rFonts w:ascii="Arial" w:cs="Arial" w:eastAsia="Arial" w:hAnsi="Arial"/>
          <w:sz w:val="20"/>
          <w:szCs w:val="20"/>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Restricted Stock Units will terminate and become of no further effect.</w:t>
      </w:r>
    </w:p>
    <w:p>
      <w:pPr>
        <w:spacing w:after="0" w:line="172" w:lineRule="exact"/>
        <w:rPr>
          <w:sz w:val="20"/>
          <w:szCs w:val="20"/>
          <w:color w:val="auto"/>
        </w:rPr>
      </w:pPr>
    </w:p>
    <w:p>
      <w:pPr>
        <w:jc w:val="both"/>
        <w:ind w:firstLine="757"/>
        <w:spacing w:after="0" w:line="241" w:lineRule="auto"/>
        <w:tabs>
          <w:tab w:leader="none" w:pos="101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Employee will have no rights as a stockholder of the Company with regard to the Restricted Stock Units. Rights as a stockholder of the Company will arise only if the Restricted Stock Units are settled in shares of Common Stock pursuant to Section 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8" w:name="page59"/>
    <w:bookmarkEnd w:id="58"/>
    <w:p>
      <w:pPr>
        <w:ind w:left="1012" w:hanging="263"/>
        <w:spacing w:after="0"/>
        <w:tabs>
          <w:tab w:leader="none" w:pos="101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Taxes and Social Insurance Withholding</w:t>
      </w:r>
      <w:r>
        <w:rPr>
          <w:rFonts w:ascii="Arial" w:cs="Arial" w:eastAsia="Arial" w:hAnsi="Arial"/>
          <w:sz w:val="20"/>
          <w:szCs w:val="20"/>
          <w:color w:val="auto"/>
        </w:rPr>
        <w:t>.</w:t>
      </w:r>
    </w:p>
    <w:p>
      <w:pPr>
        <w:spacing w:after="0" w:line="200" w:lineRule="exact"/>
        <w:rPr>
          <w:sz w:val="20"/>
          <w:szCs w:val="20"/>
          <w:color w:val="auto"/>
        </w:rPr>
      </w:pPr>
    </w:p>
    <w:p>
      <w:pPr>
        <w:jc w:val="both"/>
        <w:ind w:left="-8" w:firstLine="757"/>
        <w:spacing w:after="0" w:line="230" w:lineRule="auto"/>
        <w:tabs>
          <w:tab w:leader="none" w:pos="1265" w:val="left"/>
        </w:tabs>
        <w:numPr>
          <w:ilvl w:val="1"/>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Restricted Stock Units, including the grant of the Restricted Stock Units, the vesting of the Restricted Stock Units, the conversion of the Restricted Stock Units into shares of Common Stock or the receipt of any equivalent cash payment, the subsequent sale of any shares of Common Stock acquired at vesting, and (ii) does not commit to structure the terms of the grant or any aspect of the Restricted Stock Units to reduce or eliminate Employee’s liability for the Tax-Related Items.</w:t>
      </w:r>
    </w:p>
    <w:p>
      <w:pPr>
        <w:spacing w:after="0" w:line="172" w:lineRule="exact"/>
        <w:rPr>
          <w:rFonts w:ascii="Arial" w:cs="Arial" w:eastAsia="Arial" w:hAnsi="Arial"/>
          <w:sz w:val="20"/>
          <w:szCs w:val="20"/>
          <w:b w:val="1"/>
          <w:bCs w:val="1"/>
          <w:color w:val="auto"/>
        </w:rPr>
      </w:pPr>
    </w:p>
    <w:p>
      <w:pPr>
        <w:jc w:val="both"/>
        <w:ind w:left="-8" w:firstLine="757"/>
        <w:spacing w:after="0" w:line="258" w:lineRule="auto"/>
        <w:tabs>
          <w:tab w:leader="none" w:pos="1263" w:val="left"/>
        </w:tabs>
        <w:numPr>
          <w:ilvl w:val="1"/>
          <w:numId w:val="77"/>
        </w:numPr>
        <w:rPr>
          <w:rFonts w:ascii="Arial" w:cs="Arial" w:eastAsia="Arial" w:hAnsi="Arial"/>
          <w:sz w:val="20"/>
          <w:szCs w:val="20"/>
          <w:color w:val="auto"/>
        </w:rPr>
      </w:pPr>
      <w:r>
        <w:rPr>
          <w:rFonts w:ascii="Arial" w:cs="Arial" w:eastAsia="Arial" w:hAnsi="Arial"/>
          <w:sz w:val="20"/>
          <w:szCs w:val="20"/>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or</w:t>
      </w:r>
    </w:p>
    <w:p>
      <w:pPr>
        <w:spacing w:after="0" w:line="3" w:lineRule="exact"/>
        <w:rPr>
          <w:rFonts w:ascii="Arial" w:cs="Arial" w:eastAsia="Arial" w:hAnsi="Arial"/>
          <w:sz w:val="20"/>
          <w:szCs w:val="20"/>
          <w:color w:val="auto"/>
        </w:rPr>
      </w:pPr>
    </w:p>
    <w:p>
      <w:pPr>
        <w:jc w:val="both"/>
        <w:ind w:left="-8" w:firstLine="8"/>
        <w:spacing w:after="0" w:line="245" w:lineRule="auto"/>
        <w:tabs>
          <w:tab w:leader="none" w:pos="298" w:val="left"/>
        </w:tabs>
        <w:numPr>
          <w:ilvl w:val="0"/>
          <w:numId w:val="78"/>
        </w:numPr>
        <w:rPr>
          <w:rFonts w:ascii="Arial" w:cs="Arial" w:eastAsia="Arial" w:hAnsi="Arial"/>
          <w:sz w:val="21"/>
          <w:szCs w:val="21"/>
          <w:color w:val="auto"/>
        </w:rPr>
      </w:pPr>
      <w:r>
        <w:rPr>
          <w:rFonts w:ascii="Arial" w:cs="Arial" w:eastAsia="Arial" w:hAnsi="Arial"/>
          <w:sz w:val="21"/>
          <w:szCs w:val="21"/>
          <w:color w:val="auto"/>
        </w:rPr>
        <w:t>withhold whole shares of Common Stock which would otherwise be delivered to Employee having an aggregate Fair Market Value, determined as of the Tax Date, or withhold an amount of cash from Employee’s wages or other cash compensation which would otherwise be payable to Employee by the Company or from any equivalent cash payment received upon vesting of the Restricted Stock Units, equal to the amount necessary to satisfy any such obligation.</w:t>
      </w:r>
    </w:p>
    <w:p>
      <w:pPr>
        <w:spacing w:after="0" w:line="208" w:lineRule="exact"/>
        <w:rPr>
          <w:rFonts w:ascii="Arial" w:cs="Arial" w:eastAsia="Arial" w:hAnsi="Arial"/>
          <w:sz w:val="21"/>
          <w:szCs w:val="21"/>
          <w:color w:val="auto"/>
        </w:rPr>
      </w:pPr>
    </w:p>
    <w:p>
      <w:pPr>
        <w:jc w:val="both"/>
        <w:ind w:left="-8" w:firstLine="757"/>
        <w:spacing w:after="0" w:line="244" w:lineRule="auto"/>
        <w:tabs>
          <w:tab w:leader="none" w:pos="1201"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the Employee if Employee fails to comply with his or her obligations in connection with the Tax-Related Items as described herein.</w:t>
      </w:r>
    </w:p>
    <w:p>
      <w:pPr>
        <w:spacing w:after="0" w:line="210" w:lineRule="exact"/>
        <w:rPr>
          <w:sz w:val="20"/>
          <w:szCs w:val="20"/>
          <w:color w:val="auto"/>
        </w:rPr>
      </w:pPr>
    </w:p>
    <w:p>
      <w:pPr>
        <w:jc w:val="both"/>
        <w:ind w:left="-8" w:firstLine="757"/>
        <w:spacing w:after="0" w:line="235" w:lineRule="auto"/>
        <w:tabs>
          <w:tab w:leader="none" w:pos="101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Intellectual Property and Noncompetition</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 acknowledges that Employee is in</w:t>
      </w:r>
      <w:r>
        <w:rPr>
          <w:rFonts w:ascii="Arial" w:cs="Arial" w:eastAsia="Arial" w:hAnsi="Arial"/>
          <w:sz w:val="20"/>
          <w:szCs w:val="20"/>
          <w:color w:val="auto"/>
        </w:rPr>
        <w:t xml:space="preserve"> </w:t>
      </w:r>
      <w:r>
        <w:rPr>
          <w:rFonts w:ascii="Arial" w:cs="Arial" w:eastAsia="Arial" w:hAnsi="Arial"/>
          <w:sz w:val="20"/>
          <w:szCs w:val="20"/>
          <w:b w:val="1"/>
          <w:bCs w:val="1"/>
          <w:color w:val="auto"/>
        </w:rPr>
        <w:t>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995680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4" w:right="339" w:bottom="1440" w:gutter="0" w:footer="0" w:header="0"/>
        </w:sectPr>
      </w:pPr>
    </w:p>
    <w:bookmarkStart w:id="59" w:name="page60"/>
    <w:bookmarkEnd w:id="59"/>
    <w:p>
      <w:pPr>
        <w:jc w:val="both"/>
        <w:spacing w:after="0" w:line="247" w:lineRule="auto"/>
        <w:rPr>
          <w:sz w:val="20"/>
          <w:szCs w:val="20"/>
          <w:color w:val="auto"/>
        </w:rPr>
      </w:pPr>
      <w:r>
        <w:rPr>
          <w:rFonts w:ascii="Arial" w:cs="Arial" w:eastAsia="Arial" w:hAnsi="Arial"/>
          <w:sz w:val="20"/>
          <w:szCs w:val="20"/>
          <w:b w:val="1"/>
          <w:bCs w:val="1"/>
          <w:color w:val="auto"/>
        </w:rPr>
        <w:t>that they be protected. Accordingly, Employee agrees to be bound by the terms and conditions set forth on Attachment I, which is incorporated herein by reference, including all rules, procedures, policies and requirements that the Company may promulgate consistent with Attachment I.</w:t>
      </w:r>
    </w:p>
    <w:p>
      <w:pPr>
        <w:spacing w:after="0" w:line="156" w:lineRule="exact"/>
        <w:rPr>
          <w:sz w:val="20"/>
          <w:szCs w:val="20"/>
          <w:color w:val="auto"/>
        </w:rPr>
      </w:pPr>
    </w:p>
    <w:p>
      <w:pPr>
        <w:jc w:val="both"/>
        <w:ind w:firstLine="757"/>
        <w:spacing w:after="0" w:line="237" w:lineRule="auto"/>
        <w:tabs>
          <w:tab w:leader="none" w:pos="1018"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Changes in Capital Structure</w:t>
      </w:r>
      <w:r>
        <w:rPr>
          <w:rFonts w:ascii="Arial" w:cs="Arial" w:eastAsia="Arial" w:hAnsi="Arial"/>
          <w:sz w:val="20"/>
          <w:szCs w:val="20"/>
          <w:color w:val="auto"/>
        </w:rPr>
        <w:t>. As more fully described in the Plan, if the outstanding shares of Common Stock at any time are changed or ex changed by declaration of a stock dividend, stock split, combination of shares, or recapitalization, the number and kind of Restricted Stock Units will be appropriately and equitably adjusted so as to maintain their equivalence to the proportionate number of shares.</w:t>
      </w:r>
    </w:p>
    <w:p>
      <w:pPr>
        <w:spacing w:after="0" w:line="171" w:lineRule="exact"/>
        <w:rPr>
          <w:rFonts w:ascii="Arial" w:cs="Arial" w:eastAsia="Arial" w:hAnsi="Arial"/>
          <w:sz w:val="20"/>
          <w:szCs w:val="20"/>
          <w:color w:val="auto"/>
        </w:rPr>
      </w:pPr>
    </w:p>
    <w:p>
      <w:pPr>
        <w:jc w:val="both"/>
        <w:ind w:firstLine="757"/>
        <w:spacing w:after="0" w:line="233" w:lineRule="auto"/>
        <w:tabs>
          <w:tab w:leader="none" w:pos="1018"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10.</w:t>
      </w: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sz w:val="20"/>
          <w:szCs w:val="20"/>
          <w:color w:val="auto"/>
        </w:rPr>
      </w:pPr>
    </w:p>
    <w:p>
      <w:pPr>
        <w:ind w:firstLine="757"/>
        <w:spacing w:after="0" w:line="257" w:lineRule="auto"/>
        <w:tabs>
          <w:tab w:leader="none" w:pos="1018" w:val="left"/>
        </w:tabs>
        <w:numPr>
          <w:ilvl w:val="0"/>
          <w:numId w:val="81"/>
        </w:numPr>
        <w:rPr>
          <w:rFonts w:ascii="Arial" w:cs="Arial" w:eastAsia="Arial" w:hAnsi="Arial"/>
          <w:sz w:val="20"/>
          <w:szCs w:val="20"/>
          <w:color w:val="auto"/>
        </w:rPr>
      </w:pPr>
      <w:r>
        <w:rPr>
          <w:rFonts w:ascii="Arial" w:cs="Arial" w:eastAsia="Arial" w:hAnsi="Arial"/>
          <w:sz w:val="20"/>
          <w:szCs w:val="20"/>
          <w:color w:val="auto"/>
        </w:rPr>
        <w:t>give Employee or any other person or entity any right to be awarded any further Restricted Stock Units (or other form of stock incentive awards) other than in the sole discretion of the Committee;</w:t>
      </w:r>
    </w:p>
    <w:p>
      <w:pPr>
        <w:spacing w:after="0" w:line="155" w:lineRule="exact"/>
        <w:rPr>
          <w:rFonts w:ascii="Arial" w:cs="Arial" w:eastAsia="Arial" w:hAnsi="Arial"/>
          <w:sz w:val="20"/>
          <w:szCs w:val="20"/>
          <w:color w:val="auto"/>
        </w:rPr>
      </w:pPr>
    </w:p>
    <w:p>
      <w:pPr>
        <w:ind w:right="20" w:firstLine="757"/>
        <w:spacing w:after="0" w:line="257" w:lineRule="auto"/>
        <w:tabs>
          <w:tab w:leader="none" w:pos="1018" w:val="left"/>
        </w:tabs>
        <w:numPr>
          <w:ilvl w:val="0"/>
          <w:numId w:val="81"/>
        </w:numPr>
        <w:rPr>
          <w:rFonts w:ascii="Arial" w:cs="Arial" w:eastAsia="Arial" w:hAnsi="Arial"/>
          <w:sz w:val="20"/>
          <w:szCs w:val="20"/>
          <w:color w:val="auto"/>
        </w:rPr>
      </w:pPr>
      <w:r>
        <w:rPr>
          <w:rFonts w:ascii="Arial" w:cs="Arial" w:eastAsia="Arial" w:hAnsi="Arial"/>
          <w:sz w:val="20"/>
          <w:szCs w:val="20"/>
          <w:color w:val="auto"/>
        </w:rPr>
        <w:t>give Employee or any other person or entity any interest in any fund or in any specified asset or assets of the Company (other than the Restricted Stock Units); or</w:t>
      </w:r>
    </w:p>
    <w:p>
      <w:pPr>
        <w:spacing w:after="0" w:line="155" w:lineRule="exact"/>
        <w:rPr>
          <w:rFonts w:ascii="Arial" w:cs="Arial" w:eastAsia="Arial" w:hAnsi="Arial"/>
          <w:sz w:val="20"/>
          <w:szCs w:val="20"/>
          <w:color w:val="auto"/>
        </w:rPr>
      </w:pPr>
    </w:p>
    <w:p>
      <w:pPr>
        <w:ind w:firstLine="757"/>
        <w:spacing w:after="0" w:line="257" w:lineRule="auto"/>
        <w:tabs>
          <w:tab w:leader="none" w:pos="1018" w:val="left"/>
        </w:tabs>
        <w:numPr>
          <w:ilvl w:val="0"/>
          <w:numId w:val="81"/>
        </w:numPr>
        <w:rPr>
          <w:rFonts w:ascii="Arial" w:cs="Arial" w:eastAsia="Arial" w:hAnsi="Arial"/>
          <w:sz w:val="20"/>
          <w:szCs w:val="20"/>
          <w:color w:val="auto"/>
        </w:rPr>
      </w:pPr>
      <w:r>
        <w:rPr>
          <w:rFonts w:ascii="Arial" w:cs="Arial" w:eastAsia="Arial" w:hAnsi="Arial"/>
          <w:sz w:val="20"/>
          <w:szCs w:val="20"/>
          <w:color w:val="auto"/>
        </w:rPr>
        <w:t>confer upon Employee or any other person or entity the right to continue in the employment or service of the Company or any Subsidiary.</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sz w:val="20"/>
          <w:szCs w:val="20"/>
          <w:color w:val="auto"/>
        </w:rPr>
      </w:pPr>
    </w:p>
    <w:p>
      <w:pPr>
        <w:ind w:left="1020" w:hanging="26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“Agreement” is defined in the introduction.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“Award Notice” is defined in the introduction.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“Reserved” is defined in Section 15.</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“Code” is defined in Section 1(b).</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“Committee” means the Compensation Committee of the Board of Directors of the Company.</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“Common Stock” is defined in the introduction.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“Company” means Schlumberger Limited.</w:t>
      </w:r>
    </w:p>
    <w:p>
      <w:pPr>
        <w:spacing w:after="0" w:line="202" w:lineRule="exact"/>
        <w:rPr>
          <w:rFonts w:ascii="Arial" w:cs="Arial" w:eastAsia="Arial" w:hAnsi="Arial"/>
          <w:sz w:val="20"/>
          <w:szCs w:val="20"/>
          <w:color w:val="auto"/>
        </w:rPr>
      </w:pPr>
    </w:p>
    <w:p>
      <w:pPr>
        <w:ind w:firstLine="757"/>
        <w:spacing w:after="0" w:line="257" w:lineRule="auto"/>
        <w:tabs>
          <w:tab w:leader="none" w:pos="1018" w:val="left"/>
        </w:tabs>
        <w:numPr>
          <w:ilvl w:val="0"/>
          <w:numId w:val="82"/>
        </w:numPr>
        <w:rPr>
          <w:rFonts w:ascii="Arial" w:cs="Arial" w:eastAsia="Arial" w:hAnsi="Arial"/>
          <w:sz w:val="20"/>
          <w:szCs w:val="20"/>
          <w:color w:val="auto"/>
        </w:rPr>
      </w:pPr>
      <w:r>
        <w:rPr>
          <w:rFonts w:ascii="Arial" w:cs="Arial" w:eastAsia="Arial" w:hAnsi="Arial"/>
          <w:sz w:val="20"/>
          <w:szCs w:val="20"/>
          <w:color w:val="auto"/>
        </w:rPr>
        <w:t>“Detrimental Activity” means activity that is determined by the Committee in its sole and absolute discretion to be detrimental to the interests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0" w:name="page61"/>
    <w:bookmarkEnd w:id="60"/>
    <w:p>
      <w:pPr>
        <w:jc w:val="both"/>
        <w:spacing w:after="0" w:line="228" w:lineRule="auto"/>
        <w:rPr>
          <w:sz w:val="20"/>
          <w:szCs w:val="20"/>
          <w:color w:val="auto"/>
        </w:rPr>
      </w:pPr>
      <w:r>
        <w:rPr>
          <w:rFonts w:ascii="Arial" w:cs="Arial" w:eastAsia="Arial" w:hAnsi="Arial"/>
          <w:sz w:val="20"/>
          <w:szCs w:val="20"/>
          <w:color w:val="auto"/>
        </w:rPr>
        <w:t>including but not limited to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81" w:lineRule="exact"/>
        <w:rPr>
          <w:sz w:val="20"/>
          <w:szCs w:val="20"/>
          <w:color w:val="auto"/>
        </w:rPr>
      </w:pPr>
    </w:p>
    <w:p>
      <w:pPr>
        <w:jc w:val="both"/>
        <w:ind w:firstLine="757"/>
        <w:spacing w:after="0" w:line="234" w:lineRule="auto"/>
        <w:tabs>
          <w:tab w:leader="none" w:pos="1018" w:val="left"/>
        </w:tabs>
        <w:numPr>
          <w:ilvl w:val="0"/>
          <w:numId w:val="83"/>
        </w:numPr>
        <w:rPr>
          <w:rFonts w:ascii="Arial" w:cs="Arial" w:eastAsia="Arial" w:hAnsi="Arial"/>
          <w:sz w:val="20"/>
          <w:szCs w:val="20"/>
          <w:color w:val="auto"/>
        </w:rPr>
      </w:pPr>
      <w:r>
        <w:rPr>
          <w:rFonts w:ascii="Arial" w:cs="Arial" w:eastAsia="Arial" w:hAnsi="Arial"/>
          <w:sz w:val="20"/>
          <w:szCs w:val="20"/>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74"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83"/>
        </w:numPr>
        <w:rPr>
          <w:rFonts w:ascii="Arial" w:cs="Arial" w:eastAsia="Arial" w:hAnsi="Arial"/>
          <w:sz w:val="20"/>
          <w:szCs w:val="20"/>
          <w:color w:val="auto"/>
        </w:rPr>
      </w:pPr>
      <w:r>
        <w:rPr>
          <w:rFonts w:ascii="Arial" w:cs="Arial" w:eastAsia="Arial" w:hAnsi="Arial"/>
          <w:sz w:val="20"/>
          <w:szCs w:val="20"/>
          <w:color w:val="auto"/>
        </w:rPr>
        <w:t>“Disability” means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pacing w:after="0" w:line="171" w:lineRule="exact"/>
        <w:rPr>
          <w:rFonts w:ascii="Arial" w:cs="Arial" w:eastAsia="Arial" w:hAnsi="Arial"/>
          <w:sz w:val="20"/>
          <w:szCs w:val="20"/>
          <w:color w:val="auto"/>
        </w:rPr>
      </w:pPr>
    </w:p>
    <w:p>
      <w:pPr>
        <w:ind w:left="1020" w:hanging="263"/>
        <w:spacing w:after="0"/>
        <w:tabs>
          <w:tab w:leader="none" w:pos="10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“Employee” is defined in the introduction.</w:t>
      </w:r>
    </w:p>
    <w:p>
      <w:pPr>
        <w:spacing w:after="0" w:line="202" w:lineRule="exact"/>
        <w:rPr>
          <w:rFonts w:ascii="Arial" w:cs="Arial" w:eastAsia="Arial" w:hAnsi="Arial"/>
          <w:sz w:val="20"/>
          <w:szCs w:val="20"/>
          <w:color w:val="auto"/>
        </w:rPr>
      </w:pPr>
    </w:p>
    <w:p>
      <w:pPr>
        <w:jc w:val="both"/>
        <w:ind w:firstLine="757"/>
        <w:spacing w:after="0" w:line="234" w:lineRule="auto"/>
        <w:tabs>
          <w:tab w:leader="none" w:pos="1018" w:val="left"/>
        </w:tabs>
        <w:numPr>
          <w:ilvl w:val="0"/>
          <w:numId w:val="83"/>
        </w:numPr>
        <w:rPr>
          <w:rFonts w:ascii="Arial" w:cs="Arial" w:eastAsia="Arial" w:hAnsi="Arial"/>
          <w:sz w:val="20"/>
          <w:szCs w:val="20"/>
          <w:color w:val="auto"/>
        </w:rPr>
      </w:pPr>
      <w:r>
        <w:rPr>
          <w:rFonts w:ascii="Arial" w:cs="Arial" w:eastAsia="Arial" w:hAnsi="Arial"/>
          <w:sz w:val="20"/>
          <w:szCs w:val="20"/>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(m)“Grant Date” is defined in Section 1.</w:t>
      </w:r>
    </w:p>
    <w:p>
      <w:pPr>
        <w:spacing w:after="0" w:line="202" w:lineRule="exact"/>
        <w:rPr>
          <w:sz w:val="20"/>
          <w:szCs w:val="20"/>
          <w:color w:val="auto"/>
        </w:rPr>
      </w:pPr>
    </w:p>
    <w:p>
      <w:pPr>
        <w:ind w:left="1020" w:hanging="263"/>
        <w:spacing w:after="0"/>
        <w:tabs>
          <w:tab w:leader="none" w:pos="10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“Plan” is defined in the introduction.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“Restricted Period” is defined in Section 1.</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“Restricted Stock Units” (or “RSUs”) is defined in the introduction.</w:t>
      </w:r>
    </w:p>
    <w:p>
      <w:pPr>
        <w:spacing w:after="0" w:line="202" w:lineRule="exact"/>
        <w:rPr>
          <w:rFonts w:ascii="Arial" w:cs="Arial" w:eastAsia="Arial" w:hAnsi="Arial"/>
          <w:sz w:val="20"/>
          <w:szCs w:val="20"/>
          <w:color w:val="auto"/>
        </w:rPr>
      </w:pPr>
    </w:p>
    <w:p>
      <w:pPr>
        <w:ind w:firstLine="757"/>
        <w:spacing w:after="0" w:line="257" w:lineRule="auto"/>
        <w:tabs>
          <w:tab w:leader="none" w:pos="1018"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“Retirement” means either: (i) Employee’s voluntary election to retire from employment with the Company and its Subsidiaries at any time after Employee has reached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1" w:name="page62"/>
    <w:bookmarkEnd w:id="61"/>
    <w:p>
      <w:pPr>
        <w:jc w:val="both"/>
        <w:spacing w:after="0" w:line="233" w:lineRule="auto"/>
        <w:rPr>
          <w:sz w:val="20"/>
          <w:szCs w:val="20"/>
          <w:color w:val="auto"/>
        </w:rPr>
      </w:pPr>
      <w:r>
        <w:rPr>
          <w:rFonts w:ascii="Arial" w:cs="Arial" w:eastAsia="Arial" w:hAnsi="Arial"/>
          <w:sz w:val="20"/>
          <w:szCs w:val="20"/>
          <w:color w:val="auto"/>
        </w:rPr>
        <w:t>the age of 60 and 25 years of service, or (ii) Employee’s voluntary election to retire from employment with the Company and its Subsidiaries at any time after Employee has reached both the age of 50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72" w:lineRule="exact"/>
        <w:rPr>
          <w:sz w:val="20"/>
          <w:szCs w:val="20"/>
          <w:color w:val="auto"/>
        </w:rPr>
      </w:pPr>
    </w:p>
    <w:p>
      <w:pPr>
        <w:ind w:firstLine="757"/>
        <w:spacing w:after="0" w:line="257" w:lineRule="auto"/>
        <w:tabs>
          <w:tab w:leader="none" w:pos="1018" w:val="left"/>
        </w:tabs>
        <w:numPr>
          <w:ilvl w:val="0"/>
          <w:numId w:val="85"/>
        </w:numPr>
        <w:rPr>
          <w:rFonts w:ascii="Arial" w:cs="Arial" w:eastAsia="Arial" w:hAnsi="Arial"/>
          <w:sz w:val="20"/>
          <w:szCs w:val="20"/>
          <w:color w:val="auto"/>
        </w:rPr>
      </w:pPr>
      <w:r>
        <w:rPr>
          <w:rFonts w:ascii="Arial" w:cs="Arial" w:eastAsia="Arial" w:hAnsi="Arial"/>
          <w:sz w:val="20"/>
          <w:szCs w:val="20"/>
          <w:color w:val="auto"/>
        </w:rPr>
        <w:t>“Retirement Committee” means a committee consisting of the Company’s Chief People Officer, the Director HR Operations and the Director Total Rewards.</w:t>
      </w:r>
    </w:p>
    <w:p>
      <w:pPr>
        <w:spacing w:after="0" w:line="155" w:lineRule="exact"/>
        <w:rPr>
          <w:rFonts w:ascii="Arial" w:cs="Arial" w:eastAsia="Arial" w:hAnsi="Arial"/>
          <w:sz w:val="20"/>
          <w:szCs w:val="20"/>
          <w:color w:val="auto"/>
        </w:rPr>
      </w:pPr>
    </w:p>
    <w:p>
      <w:pPr>
        <w:ind w:left="1020" w:hanging="263"/>
        <w:spacing w:after="0"/>
        <w:tabs>
          <w:tab w:leader="none" w:pos="10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“Settlement Date” is defined in Section 2.</w:t>
      </w:r>
    </w:p>
    <w:p>
      <w:pPr>
        <w:spacing w:after="0" w:line="202"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85"/>
        </w:numPr>
        <w:rPr>
          <w:rFonts w:ascii="Arial" w:cs="Arial" w:eastAsia="Arial" w:hAnsi="Arial"/>
          <w:sz w:val="20"/>
          <w:szCs w:val="20"/>
          <w:color w:val="auto"/>
        </w:rPr>
      </w:pPr>
      <w:r>
        <w:rPr>
          <w:rFonts w:ascii="Arial" w:cs="Arial" w:eastAsia="Arial" w:hAnsi="Arial"/>
          <w:sz w:val="20"/>
          <w:szCs w:val="20"/>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1"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85"/>
        </w:numPr>
        <w:rPr>
          <w:rFonts w:ascii="Arial" w:cs="Arial" w:eastAsia="Arial" w:hAnsi="Arial"/>
          <w:sz w:val="20"/>
          <w:szCs w:val="20"/>
          <w:color w:val="auto"/>
        </w:rPr>
      </w:pPr>
      <w:r>
        <w:rPr>
          <w:rFonts w:ascii="Arial" w:cs="Arial" w:eastAsia="Arial" w:hAnsi="Arial"/>
          <w:sz w:val="20"/>
          <w:szCs w:val="20"/>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171" w:lineRule="exact"/>
        <w:rPr>
          <w:rFonts w:ascii="Arial" w:cs="Arial" w:eastAsia="Arial" w:hAnsi="Arial"/>
          <w:sz w:val="20"/>
          <w:szCs w:val="20"/>
          <w:color w:val="auto"/>
        </w:rPr>
      </w:pPr>
    </w:p>
    <w:p>
      <w:pPr>
        <w:ind w:left="1020" w:hanging="263"/>
        <w:spacing w:after="0"/>
        <w:tabs>
          <w:tab w:leader="none" w:pos="10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“Transfer” is defined in Section 4(a).</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(w)“Vesting Date” is defined in Section 1(a).</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12.</w:t>
      </w:r>
      <w:r>
        <w:rPr>
          <w:rFonts w:ascii="Arial" w:cs="Arial" w:eastAsia="Arial" w:hAnsi="Arial"/>
          <w:sz w:val="20"/>
          <w:szCs w:val="20"/>
          <w:u w:val="single" w:color="auto"/>
          <w:color w:val="auto"/>
        </w:rPr>
        <w:t>Committee Determination</w:t>
      </w:r>
      <w:r>
        <w:rPr>
          <w:rFonts w:ascii="Arial" w:cs="Arial" w:eastAsia="Arial" w:hAnsi="Arial"/>
          <w:sz w:val="20"/>
          <w:szCs w:val="20"/>
          <w:color w:val="auto"/>
        </w:rPr>
        <w:t>. Any questions as to whether and when (i) the Employee has engaged in Detrimental Activity, (ii) there has been a Disability, or (iii) there has been a Termination of Employment and the cause of such termination, will be resolved by the Committee, and its determination will be final.</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13.</w:t>
      </w: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37" w:lineRule="auto"/>
        <w:tabs>
          <w:tab w:leader="none" w:pos="1018" w:val="left"/>
        </w:tabs>
        <w:numPr>
          <w:ilvl w:val="0"/>
          <w:numId w:val="86"/>
        </w:numPr>
        <w:rPr>
          <w:rFonts w:ascii="Arial" w:cs="Arial" w:eastAsia="Arial" w:hAnsi="Arial"/>
          <w:sz w:val="20"/>
          <w:szCs w:val="20"/>
          <w:color w:val="auto"/>
        </w:rPr>
      </w:pPr>
      <w:r>
        <w:rPr>
          <w:rFonts w:ascii="Arial" w:cs="Arial" w:eastAsia="Arial" w:hAnsi="Arial"/>
          <w:sz w:val="20"/>
          <w:szCs w:val="20"/>
          <w:color w:val="auto"/>
        </w:rPr>
        <w:t>Employee hereby acknowledges that he or she has received, reviewed and accepted the terms and conditions contained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or subsequent awards.</w:t>
      </w:r>
    </w:p>
    <w:p>
      <w:pPr>
        <w:spacing w:after="0" w:line="171" w:lineRule="exact"/>
        <w:rPr>
          <w:rFonts w:ascii="Arial" w:cs="Arial" w:eastAsia="Arial" w:hAnsi="Arial"/>
          <w:sz w:val="20"/>
          <w:szCs w:val="20"/>
          <w:color w:val="auto"/>
        </w:rPr>
      </w:pPr>
    </w:p>
    <w:p>
      <w:pPr>
        <w:ind w:firstLine="757"/>
        <w:spacing w:after="0" w:line="257" w:lineRule="auto"/>
        <w:tabs>
          <w:tab w:leader="none" w:pos="1018" w:val="left"/>
        </w:tabs>
        <w:numPr>
          <w:ilvl w:val="0"/>
          <w:numId w:val="86"/>
        </w:numPr>
        <w:rPr>
          <w:rFonts w:ascii="Arial" w:cs="Arial" w:eastAsia="Arial" w:hAnsi="Arial"/>
          <w:sz w:val="20"/>
          <w:szCs w:val="20"/>
          <w:color w:val="auto"/>
        </w:rPr>
      </w:pPr>
      <w:r>
        <w:rPr>
          <w:rFonts w:ascii="Arial" w:cs="Arial" w:eastAsia="Arial" w:hAnsi="Arial"/>
          <w:sz w:val="20"/>
          <w:szCs w:val="20"/>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55"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2" w:name="page63"/>
    <w:bookmarkEnd w:id="62"/>
    <w:p>
      <w:pPr>
        <w:ind w:right="20" w:firstLine="757"/>
        <w:spacing w:after="0" w:line="257" w:lineRule="auto"/>
        <w:tabs>
          <w:tab w:leader="none" w:pos="1018"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invalidity or unenforceability of any provision of this Agreement will not affect the validity or enforceability of any other provision of this Agreement.</w:t>
      </w:r>
    </w:p>
    <w:p>
      <w:pPr>
        <w:spacing w:after="0" w:line="155"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1"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1" w:lineRule="exact"/>
        <w:rPr>
          <w:rFonts w:ascii="Arial" w:cs="Arial" w:eastAsia="Arial" w:hAnsi="Arial"/>
          <w:sz w:val="20"/>
          <w:szCs w:val="20"/>
          <w:color w:val="auto"/>
        </w:rPr>
      </w:pPr>
    </w:p>
    <w:p>
      <w:pPr>
        <w:ind w:firstLine="757"/>
        <w:spacing w:after="0" w:line="257" w:lineRule="auto"/>
        <w:tabs>
          <w:tab w:leader="none" w:pos="1018" w:val="left"/>
        </w:tabs>
        <w:numPr>
          <w:ilvl w:val="0"/>
          <w:numId w:val="87"/>
        </w:numPr>
        <w:rPr>
          <w:rFonts w:ascii="Arial" w:cs="Arial" w:eastAsia="Arial" w:hAnsi="Arial"/>
          <w:sz w:val="20"/>
          <w:szCs w:val="20"/>
          <w:color w:val="auto"/>
        </w:rPr>
      </w:pPr>
      <w:r>
        <w:rPr>
          <w:rFonts w:ascii="Arial" w:cs="Arial" w:eastAsia="Arial" w:hAnsi="Arial"/>
          <w:sz w:val="20"/>
          <w:szCs w:val="20"/>
          <w:color w:val="auto"/>
        </w:rPr>
        <w:t>Employee and the Company agree to execute such further instruments and to take such further action as may reasonably be necessary to carry out the intent of this Agreement.</w:t>
      </w:r>
    </w:p>
    <w:p>
      <w:pPr>
        <w:spacing w:after="0" w:line="155" w:lineRule="exact"/>
        <w:rPr>
          <w:rFonts w:ascii="Arial" w:cs="Arial" w:eastAsia="Arial" w:hAnsi="Arial"/>
          <w:sz w:val="20"/>
          <w:szCs w:val="20"/>
          <w:color w:val="auto"/>
        </w:rPr>
      </w:pPr>
    </w:p>
    <w:p>
      <w:pPr>
        <w:jc w:val="both"/>
        <w:ind w:firstLine="757"/>
        <w:spacing w:after="0" w:line="245" w:lineRule="auto"/>
        <w:tabs>
          <w:tab w:leader="none" w:pos="1018"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This Agreement and the Plan (a) constitute the entire agreement among the Employee and the Company with respect to the Restricted Stock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Restricted Stock Units other than those expressly set forth herein or in the Plan, and (ii) such party has not relied upon any representation, warranty, covenant or agreement relating to the Restricted Stock Units, other than those referred to in clause (i) above.</w:t>
      </w:r>
    </w:p>
    <w:p>
      <w:pPr>
        <w:spacing w:after="0" w:line="166" w:lineRule="exact"/>
        <w:rPr>
          <w:rFonts w:ascii="Arial" w:cs="Arial" w:eastAsia="Arial" w:hAnsi="Arial"/>
          <w:sz w:val="19"/>
          <w:szCs w:val="19"/>
          <w:color w:val="auto"/>
        </w:rPr>
      </w:pPr>
    </w:p>
    <w:p>
      <w:pPr>
        <w:jc w:val="both"/>
        <w:ind w:firstLine="757"/>
        <w:spacing w:after="0" w:line="237" w:lineRule="auto"/>
        <w:tabs>
          <w:tab w:leader="none" w:pos="1018"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of Harris County, Texas and the Southern District of Texas, Houston Division, respectively.</w:t>
      </w:r>
    </w:p>
    <w:p>
      <w:pPr>
        <w:spacing w:after="0" w:line="17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14.</w:t>
      </w:r>
      <w:r>
        <w:rPr>
          <w:rFonts w:ascii="Arial" w:cs="Arial" w:eastAsia="Arial" w:hAnsi="Arial"/>
          <w:sz w:val="20"/>
          <w:szCs w:val="20"/>
          <w:u w:val="single" w:color="auto"/>
          <w:color w:val="auto"/>
        </w:rPr>
        <w:t>Section 409A Compliance</w:t>
      </w:r>
      <w:r>
        <w:rPr>
          <w:rFonts w:ascii="Arial" w:cs="Arial" w:eastAsia="Arial" w:hAnsi="Arial"/>
          <w:sz w:val="20"/>
          <w:szCs w:val="20"/>
          <w:color w:val="auto"/>
        </w:rPr>
        <w:t>. This award of Restricted Stock Units is intended to be exempt from or to comply with the provisions of Code Section 409A and will be construed and interpreted accordingly. If Employee is a “specified employee” within the meaning of Code Section 409A(a)(2)(B)(i) on the date of his or her “separation from service” within the meaning of U.S. Treasury Regulation Section 1.409A-1(h), the time of payment otherwise specified in this Agreement will be deferred to the extent required by Code Section 409A.</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15.</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16.</w:t>
      </w:r>
      <w:r>
        <w:rPr>
          <w:rFonts w:ascii="Arial" w:cs="Arial" w:eastAsia="Arial" w:hAnsi="Arial"/>
          <w:sz w:val="20"/>
          <w:szCs w:val="20"/>
          <w:u w:val="single" w:color="auto"/>
          <w:color w:val="auto"/>
        </w:rPr>
        <w:t>Acceptance of Award</w:t>
      </w:r>
      <w:r>
        <w:rPr>
          <w:rFonts w:ascii="Arial" w:cs="Arial" w:eastAsia="Arial" w:hAnsi="Arial"/>
          <w:sz w:val="20"/>
          <w:szCs w:val="20"/>
          <w:color w:val="auto"/>
        </w:rPr>
        <w:t>. Employee is deemed to accept the award of Restricted Stock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Restricted Stock Units (in which case such awards will be forfeited and Employee will have no further right or interest therein as of such date). Employee hereby accepts such terms and conditions, subject to the provisions of the Plan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20"/>
          <w:szCs w:val="20"/>
          <w:color w:val="auto"/>
        </w:rPr>
        <w:t>interpretations thereof. Employee further agrees that such terms and conditions will control this Agreement, notwithstanding any provisions in any employment agreement or in any prior awards.</w:t>
      </w:r>
    </w:p>
    <w:p>
      <w:pPr>
        <w:spacing w:after="0" w:line="15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17.</w:t>
      </w:r>
      <w:r>
        <w:rPr>
          <w:rFonts w:ascii="Arial" w:cs="Arial" w:eastAsia="Arial" w:hAnsi="Arial"/>
          <w:sz w:val="20"/>
          <w:szCs w:val="20"/>
          <w:u w:val="single" w:color="auto"/>
          <w:color w:val="auto"/>
        </w:rPr>
        <w:t>Appendix.</w:t>
      </w:r>
      <w:r>
        <w:rPr>
          <w:rFonts w:ascii="Arial" w:cs="Arial" w:eastAsia="Arial" w:hAnsi="Arial"/>
          <w:sz w:val="20"/>
          <w:szCs w:val="20"/>
          <w:color w:val="auto"/>
        </w:rPr>
        <w:t xml:space="preserve"> Notwithstanding any provisions in this Agreement, the Restricted Stock Units shall be subject to the additional terms and conditions for your country set forth in Appendix A, Appendix B, and Appendix C attached hereto. Moreover, if you relocate to one of the countries included therein, the terms and conditions for such country will apply to you to the extent the Company determines that the application of such terms and conditions is necessary or advisable for legal or administrative reasons. Appendix A, Appendix B and Appendix C constitute part of this Agreement.</w:t>
      </w:r>
    </w:p>
    <w:p>
      <w:pPr>
        <w:spacing w:after="0" w:line="175"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18.</w:t>
      </w:r>
      <w:r>
        <w:rPr>
          <w:rFonts w:ascii="Arial" w:cs="Arial" w:eastAsia="Arial" w:hAnsi="Arial"/>
          <w:sz w:val="20"/>
          <w:szCs w:val="20"/>
          <w:u w:val="single" w:color="auto"/>
          <w:color w:val="auto"/>
        </w:rPr>
        <w:t>More Information</w:t>
      </w:r>
      <w:r>
        <w:rPr>
          <w:rFonts w:ascii="Arial" w:cs="Arial" w:eastAsia="Arial" w:hAnsi="Arial"/>
          <w:sz w:val="20"/>
          <w:szCs w:val="20"/>
          <w:color w:val="auto"/>
        </w:rPr>
        <w:t>. The Plan and prospectus are both available on-line at the Company’s MyShares site. A paper copy of the Plan and prospectus may be obtained by contacting the Stock Department, Schlumberger Limited, [ ] or emailing your request to [ ]@slb.com.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ATTACHMENT I</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19.</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41" w:lineRule="auto"/>
        <w:tabs>
          <w:tab w:leader="none" w:pos="1018" w:val="left"/>
        </w:tabs>
        <w:numPr>
          <w:ilvl w:val="0"/>
          <w:numId w:val="88"/>
        </w:numPr>
        <w:rPr>
          <w:rFonts w:ascii="Arial" w:cs="Arial" w:eastAsia="Arial" w:hAnsi="Arial"/>
          <w:sz w:val="20"/>
          <w:szCs w:val="20"/>
          <w:color w:val="auto"/>
        </w:rPr>
      </w:pPr>
      <w:r>
        <w:rPr>
          <w:rFonts w:ascii="Arial" w:cs="Arial" w:eastAsia="Arial" w:hAnsi="Arial"/>
          <w:sz w:val="20"/>
          <w:szCs w:val="20"/>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1" w:lineRule="exact"/>
        <w:rPr>
          <w:rFonts w:ascii="Arial" w:cs="Arial" w:eastAsia="Arial" w:hAnsi="Arial"/>
          <w:sz w:val="20"/>
          <w:szCs w:val="20"/>
          <w:color w:val="auto"/>
        </w:rPr>
      </w:pPr>
    </w:p>
    <w:p>
      <w:pPr>
        <w:jc w:val="both"/>
        <w:ind w:firstLine="757"/>
        <w:spacing w:after="0" w:line="229" w:lineRule="auto"/>
        <w:tabs>
          <w:tab w:leader="none" w:pos="1018" w:val="left"/>
        </w:tabs>
        <w:numPr>
          <w:ilvl w:val="0"/>
          <w:numId w:val="88"/>
        </w:numPr>
        <w:rPr>
          <w:rFonts w:ascii="Arial" w:cs="Arial" w:eastAsia="Arial" w:hAnsi="Arial"/>
          <w:sz w:val="20"/>
          <w:szCs w:val="20"/>
          <w:color w:val="auto"/>
        </w:rPr>
      </w:pPr>
      <w:r>
        <w:rPr>
          <w:rFonts w:ascii="Arial" w:cs="Arial" w:eastAsia="Arial" w:hAnsi="Arial"/>
          <w:sz w:val="20"/>
          <w:szCs w:val="20"/>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1" w:lineRule="exact"/>
        <w:rPr>
          <w:rFonts w:ascii="Arial" w:cs="Arial" w:eastAsia="Arial" w:hAnsi="Arial"/>
          <w:sz w:val="20"/>
          <w:szCs w:val="20"/>
          <w:color w:val="auto"/>
        </w:rPr>
      </w:pPr>
    </w:p>
    <w:p>
      <w:pPr>
        <w:jc w:val="both"/>
        <w:ind w:firstLine="757"/>
        <w:spacing w:after="0" w:line="230" w:lineRule="auto"/>
        <w:tabs>
          <w:tab w:leader="none" w:pos="1018" w:val="left"/>
        </w:tabs>
        <w:numPr>
          <w:ilvl w:val="0"/>
          <w:numId w:val="88"/>
        </w:numPr>
        <w:rPr>
          <w:rFonts w:ascii="Arial" w:cs="Arial" w:eastAsia="Arial" w:hAnsi="Arial"/>
          <w:sz w:val="20"/>
          <w:szCs w:val="20"/>
          <w:color w:val="auto"/>
        </w:rPr>
      </w:pPr>
      <w:r>
        <w:rPr>
          <w:rFonts w:ascii="Arial" w:cs="Arial" w:eastAsia="Arial" w:hAnsi="Arial"/>
          <w:sz w:val="20"/>
          <w:szCs w:val="20"/>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76" w:lineRule="exact"/>
        <w:rPr>
          <w:rFonts w:ascii="Arial" w:cs="Arial" w:eastAsia="Arial" w:hAnsi="Arial"/>
          <w:sz w:val="20"/>
          <w:szCs w:val="20"/>
          <w:color w:val="auto"/>
        </w:rPr>
      </w:pPr>
    </w:p>
    <w:p>
      <w:pPr>
        <w:jc w:val="both"/>
        <w:ind w:firstLine="757"/>
        <w:spacing w:after="0" w:line="233" w:lineRule="auto"/>
        <w:tabs>
          <w:tab w:leader="none" w:pos="1018"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 w:name="page66"/>
    <w:bookmarkEnd w:id="65"/>
    <w:p>
      <w:pPr>
        <w:ind w:left="-200" w:right="20" w:firstLine="757"/>
        <w:spacing w:after="0" w:line="257" w:lineRule="auto"/>
        <w:tabs>
          <w:tab w:leader="none" w:pos="818" w:val="left"/>
        </w:tabs>
        <w:numPr>
          <w:ilvl w:val="0"/>
          <w:numId w:val="89"/>
        </w:numPr>
        <w:rPr>
          <w:rFonts w:ascii="Arial" w:cs="Arial" w:eastAsia="Arial" w:hAnsi="Arial"/>
          <w:sz w:val="20"/>
          <w:szCs w:val="20"/>
          <w:color w:val="auto"/>
        </w:rPr>
      </w:pPr>
      <w:r>
        <w:rPr>
          <w:rFonts w:ascii="Arial" w:cs="Arial" w:eastAsia="Arial" w:hAnsi="Arial"/>
          <w:sz w:val="20"/>
          <w:szCs w:val="20"/>
          <w:color w:val="auto"/>
        </w:rPr>
        <w:t>“Pre-existing Intellectual Property” is all Intellectual Property that was authored, conceived, developed, or reduced to practice by Employee before the term of Employee’s employment with the Company or any Affiliate began.</w:t>
      </w:r>
    </w:p>
    <w:p>
      <w:pPr>
        <w:spacing w:after="0" w:line="155" w:lineRule="exact"/>
        <w:rPr>
          <w:sz w:val="20"/>
          <w:szCs w:val="20"/>
          <w:color w:val="auto"/>
        </w:rPr>
      </w:pPr>
    </w:p>
    <w:p>
      <w:pPr>
        <w:jc w:val="both"/>
        <w:ind w:firstLine="569"/>
        <w:spacing w:after="0" w:line="237" w:lineRule="auto"/>
        <w:rPr>
          <w:sz w:val="20"/>
          <w:szCs w:val="20"/>
          <w:color w:val="auto"/>
        </w:rPr>
      </w:pPr>
      <w:r>
        <w:rPr>
          <w:rFonts w:ascii="Arial" w:cs="Arial" w:eastAsia="Arial" w:hAnsi="Arial"/>
          <w:sz w:val="20"/>
          <w:szCs w:val="20"/>
          <w:color w:val="auto"/>
        </w:rPr>
        <w:t>20.</w:t>
      </w:r>
      <w:r>
        <w:rPr>
          <w:rFonts w:ascii="Arial" w:cs="Arial" w:eastAsia="Arial" w:hAnsi="Arial"/>
          <w:sz w:val="20"/>
          <w:szCs w:val="20"/>
          <w:u w:val="single" w:color="auto"/>
          <w:color w:val="auto"/>
        </w:rPr>
        <w:t>Codes of Conduct</w:t>
      </w:r>
      <w:r>
        <w:rPr>
          <w:rFonts w:ascii="Arial" w:cs="Arial" w:eastAsia="Arial" w:hAnsi="Arial"/>
          <w:sz w:val="20"/>
          <w:szCs w:val="20"/>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 In the event of any conflict or ambiguity, this Attachment I prevails.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21.</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02" w:lineRule="exact"/>
        <w:rPr>
          <w:sz w:val="20"/>
          <w:szCs w:val="20"/>
          <w:color w:val="auto"/>
        </w:rPr>
      </w:pPr>
    </w:p>
    <w:p>
      <w:pPr>
        <w:jc w:val="both"/>
        <w:ind w:left="-200" w:firstLine="757"/>
        <w:spacing w:after="0" w:line="232" w:lineRule="auto"/>
        <w:tabs>
          <w:tab w:leader="none" w:pos="818"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 do not and will not breach any agreement or duty to keep in confidence information, knowledge, or data acquired by Employee outside of Employee’s employment with the Company or any of its Affiliates.</w:t>
      </w:r>
    </w:p>
    <w:p>
      <w:pPr>
        <w:spacing w:after="0" w:line="171" w:lineRule="exact"/>
        <w:rPr>
          <w:rFonts w:ascii="Arial" w:cs="Arial" w:eastAsia="Arial" w:hAnsi="Arial"/>
          <w:sz w:val="20"/>
          <w:szCs w:val="20"/>
          <w:color w:val="auto"/>
        </w:rPr>
      </w:pPr>
    </w:p>
    <w:p>
      <w:pPr>
        <w:jc w:val="both"/>
        <w:ind w:left="-200" w:firstLine="757"/>
        <w:spacing w:after="0" w:line="241" w:lineRule="auto"/>
        <w:tabs>
          <w:tab w:leader="none" w:pos="818" w:val="left"/>
        </w:tabs>
        <w:numPr>
          <w:ilvl w:val="0"/>
          <w:numId w:val="90"/>
        </w:numPr>
        <w:rPr>
          <w:rFonts w:ascii="Arial" w:cs="Arial" w:eastAsia="Arial" w:hAnsi="Arial"/>
          <w:sz w:val="20"/>
          <w:szCs w:val="20"/>
          <w:color w:val="auto"/>
        </w:rPr>
      </w:pPr>
      <w:r>
        <w:rPr>
          <w:rFonts w:ascii="Arial" w:cs="Arial" w:eastAsia="Arial" w:hAnsi="Arial"/>
          <w:sz w:val="20"/>
          <w:szCs w:val="20"/>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71" w:lineRule="exact"/>
        <w:rPr>
          <w:rFonts w:ascii="Arial" w:cs="Arial" w:eastAsia="Arial" w:hAnsi="Arial"/>
          <w:sz w:val="20"/>
          <w:szCs w:val="20"/>
          <w:color w:val="auto"/>
        </w:rPr>
      </w:pPr>
    </w:p>
    <w:p>
      <w:pPr>
        <w:jc w:val="both"/>
        <w:ind w:left="-200" w:firstLine="757"/>
        <w:spacing w:after="0" w:line="237" w:lineRule="auto"/>
        <w:tabs>
          <w:tab w:leader="none" w:pos="818" w:val="left"/>
        </w:tabs>
        <w:numPr>
          <w:ilvl w:val="0"/>
          <w:numId w:val="90"/>
        </w:numPr>
        <w:rPr>
          <w:rFonts w:ascii="Arial" w:cs="Arial" w:eastAsia="Arial" w:hAnsi="Arial"/>
          <w:sz w:val="20"/>
          <w:szCs w:val="20"/>
          <w:color w:val="auto"/>
        </w:rPr>
      </w:pPr>
      <w:r>
        <w:rPr>
          <w:rFonts w:ascii="Arial" w:cs="Arial" w:eastAsia="Arial" w:hAnsi="Arial"/>
          <w:sz w:val="20"/>
          <w:szCs w:val="20"/>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1" w:lineRule="exact"/>
        <w:rPr>
          <w:rFonts w:ascii="Arial" w:cs="Arial" w:eastAsia="Arial" w:hAnsi="Arial"/>
          <w:sz w:val="20"/>
          <w:szCs w:val="20"/>
          <w:color w:val="auto"/>
        </w:rPr>
      </w:pPr>
    </w:p>
    <w:p>
      <w:pPr>
        <w:jc w:val="both"/>
        <w:ind w:left="-200" w:firstLine="757"/>
        <w:spacing w:after="0" w:line="231" w:lineRule="auto"/>
        <w:tabs>
          <w:tab w:leader="none" w:pos="818" w:val="left"/>
        </w:tabs>
        <w:numPr>
          <w:ilvl w:val="0"/>
          <w:numId w:val="90"/>
        </w:numPr>
        <w:rPr>
          <w:rFonts w:ascii="Arial" w:cs="Arial" w:eastAsia="Arial" w:hAnsi="Arial"/>
          <w:sz w:val="20"/>
          <w:szCs w:val="20"/>
          <w:color w:val="auto"/>
        </w:rPr>
      </w:pPr>
      <w:r>
        <w:rPr>
          <w:rFonts w:ascii="Arial" w:cs="Arial" w:eastAsia="Arial" w:hAnsi="Arial"/>
          <w:sz w:val="20"/>
          <w:szCs w:val="20"/>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3" w:lineRule="exact"/>
        <w:rPr>
          <w:rFonts w:ascii="Arial" w:cs="Arial" w:eastAsia="Arial" w:hAnsi="Arial"/>
          <w:sz w:val="20"/>
          <w:szCs w:val="20"/>
          <w:color w:val="auto"/>
        </w:rPr>
      </w:pPr>
    </w:p>
    <w:p>
      <w:pPr>
        <w:jc w:val="both"/>
        <w:ind w:left="-200" w:firstLine="757"/>
        <w:spacing w:after="0" w:line="234" w:lineRule="auto"/>
        <w:tabs>
          <w:tab w:leader="none" w:pos="818" w:val="left"/>
        </w:tabs>
        <w:numPr>
          <w:ilvl w:val="0"/>
          <w:numId w:val="90"/>
        </w:numPr>
        <w:rPr>
          <w:rFonts w:ascii="Arial" w:cs="Arial" w:eastAsia="Arial" w:hAnsi="Arial"/>
          <w:sz w:val="20"/>
          <w:szCs w:val="20"/>
          <w:color w:val="auto"/>
        </w:rPr>
      </w:pPr>
      <w:r>
        <w:rPr>
          <w:rFonts w:ascii="Arial" w:cs="Arial" w:eastAsia="Arial" w:hAnsi="Arial"/>
          <w:sz w:val="20"/>
          <w:szCs w:val="20"/>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14" w:right="339" w:bottom="1440" w:gutter="0" w:footer="0" w:header="0"/>
        </w:sectPr>
      </w:pPr>
    </w:p>
    <w:bookmarkStart w:id="66" w:name="page67"/>
    <w:bookmarkEnd w:id="66"/>
    <w:p>
      <w:pPr>
        <w:jc w:val="both"/>
        <w:ind w:left="-757" w:firstLine="757"/>
        <w:spacing w:after="0" w:line="241" w:lineRule="auto"/>
        <w:tabs>
          <w:tab w:leader="none" w:pos="261" w:val="left"/>
        </w:tabs>
        <w:numPr>
          <w:ilvl w:val="0"/>
          <w:numId w:val="91"/>
        </w:numPr>
        <w:rPr>
          <w:rFonts w:ascii="Arial" w:cs="Arial" w:eastAsia="Arial" w:hAnsi="Arial"/>
          <w:sz w:val="20"/>
          <w:szCs w:val="20"/>
          <w:color w:val="auto"/>
        </w:rPr>
      </w:pPr>
      <w:r>
        <w:rPr>
          <w:rFonts w:ascii="Arial" w:cs="Arial" w:eastAsia="Arial" w:hAnsi="Arial"/>
          <w:sz w:val="20"/>
          <w:szCs w:val="20"/>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20"/>
          <w:szCs w:val="20"/>
          <w:color w:val="auto"/>
        </w:rPr>
        <w:t>22.</w:t>
      </w:r>
      <w:r>
        <w:rPr>
          <w:rFonts w:ascii="Arial" w:cs="Arial" w:eastAsia="Arial" w:hAnsi="Arial"/>
          <w:sz w:val="20"/>
          <w:szCs w:val="20"/>
          <w:u w:val="single" w:color="auto"/>
          <w:color w:val="auto"/>
        </w:rPr>
        <w:t>Disclosure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left="-757" w:firstLine="757"/>
        <w:spacing w:after="0" w:line="231" w:lineRule="auto"/>
        <w:tabs>
          <w:tab w:leader="none" w:pos="261" w:val="left"/>
        </w:tabs>
        <w:numPr>
          <w:ilvl w:val="0"/>
          <w:numId w:val="92"/>
        </w:numPr>
        <w:rPr>
          <w:rFonts w:ascii="Arial" w:cs="Arial" w:eastAsia="Arial" w:hAnsi="Arial"/>
          <w:sz w:val="20"/>
          <w:szCs w:val="20"/>
          <w:color w:val="auto"/>
        </w:rPr>
      </w:pPr>
      <w:r>
        <w:rPr>
          <w:rFonts w:ascii="Arial" w:cs="Arial" w:eastAsia="Arial" w:hAnsi="Arial"/>
          <w:sz w:val="20"/>
          <w:szCs w:val="20"/>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3" w:lineRule="exact"/>
        <w:rPr>
          <w:rFonts w:ascii="Arial" w:cs="Arial" w:eastAsia="Arial" w:hAnsi="Arial"/>
          <w:sz w:val="20"/>
          <w:szCs w:val="20"/>
          <w:color w:val="auto"/>
        </w:rPr>
      </w:pPr>
    </w:p>
    <w:p>
      <w:pPr>
        <w:jc w:val="both"/>
        <w:ind w:left="-757" w:firstLine="757"/>
        <w:spacing w:after="0" w:line="232" w:lineRule="auto"/>
        <w:tabs>
          <w:tab w:leader="none" w:pos="261" w:val="left"/>
        </w:tabs>
        <w:numPr>
          <w:ilvl w:val="0"/>
          <w:numId w:val="92"/>
        </w:numPr>
        <w:rPr>
          <w:rFonts w:ascii="Arial" w:cs="Arial" w:eastAsia="Arial" w:hAnsi="Arial"/>
          <w:sz w:val="20"/>
          <w:szCs w:val="20"/>
          <w:color w:val="auto"/>
        </w:rPr>
      </w:pPr>
      <w:r>
        <w:rPr>
          <w:rFonts w:ascii="Arial" w:cs="Arial" w:eastAsia="Arial" w:hAnsi="Arial"/>
          <w:sz w:val="20"/>
          <w:szCs w:val="20"/>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1" w:lineRule="exact"/>
        <w:rPr>
          <w:rFonts w:ascii="Arial" w:cs="Arial" w:eastAsia="Arial" w:hAnsi="Arial"/>
          <w:sz w:val="20"/>
          <w:szCs w:val="20"/>
          <w:color w:val="auto"/>
        </w:rPr>
      </w:pPr>
    </w:p>
    <w:p>
      <w:pPr>
        <w:jc w:val="both"/>
        <w:ind w:left="-757" w:firstLine="757"/>
        <w:spacing w:after="0" w:line="241" w:lineRule="auto"/>
        <w:tabs>
          <w:tab w:leader="none" w:pos="261"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1" w:lineRule="exact"/>
        <w:rPr>
          <w:rFonts w:ascii="Arial" w:cs="Arial" w:eastAsia="Arial" w:hAnsi="Arial"/>
          <w:sz w:val="20"/>
          <w:szCs w:val="20"/>
          <w:color w:val="auto"/>
        </w:rPr>
      </w:pPr>
    </w:p>
    <w:p>
      <w:pPr>
        <w:jc w:val="both"/>
        <w:ind w:left="-757" w:firstLine="757"/>
        <w:spacing w:after="0" w:line="233" w:lineRule="auto"/>
        <w:tabs>
          <w:tab w:leader="none" w:pos="261" w:val="left"/>
        </w:tabs>
        <w:numPr>
          <w:ilvl w:val="0"/>
          <w:numId w:val="92"/>
        </w:numPr>
        <w:rPr>
          <w:rFonts w:ascii="Arial" w:cs="Arial" w:eastAsia="Arial" w:hAnsi="Arial"/>
          <w:sz w:val="20"/>
          <w:szCs w:val="20"/>
          <w:color w:val="auto"/>
        </w:rPr>
      </w:pPr>
      <w:r>
        <w:rPr>
          <w:rFonts w:ascii="Arial" w:cs="Arial" w:eastAsia="Arial" w:hAnsi="Arial"/>
          <w:sz w:val="20"/>
          <w:szCs w:val="20"/>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2" w:lineRule="exact"/>
        <w:rPr>
          <w:rFonts w:ascii="Arial" w:cs="Arial" w:eastAsia="Arial" w:hAnsi="Arial"/>
          <w:sz w:val="20"/>
          <w:szCs w:val="20"/>
          <w:color w:val="auto"/>
        </w:rPr>
      </w:pPr>
    </w:p>
    <w:p>
      <w:pPr>
        <w:jc w:val="both"/>
        <w:ind w:left="-757" w:firstLine="757"/>
        <w:spacing w:after="0" w:line="233" w:lineRule="auto"/>
        <w:tabs>
          <w:tab w:leader="none" w:pos="261" w:val="left"/>
        </w:tabs>
        <w:numPr>
          <w:ilvl w:val="0"/>
          <w:numId w:val="92"/>
        </w:numPr>
        <w:rPr>
          <w:rFonts w:ascii="Arial" w:cs="Arial" w:eastAsia="Arial" w:hAnsi="Arial"/>
          <w:sz w:val="20"/>
          <w:szCs w:val="20"/>
          <w:color w:val="auto"/>
        </w:rPr>
      </w:pPr>
      <w:r>
        <w:rPr>
          <w:rFonts w:ascii="Arial" w:cs="Arial" w:eastAsia="Arial" w:hAnsi="Arial"/>
          <w:sz w:val="20"/>
          <w:szCs w:val="20"/>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20"/>
          <w:szCs w:val="20"/>
          <w:color w:val="auto"/>
        </w:rPr>
        <w:t>23.</w:t>
      </w:r>
      <w:r>
        <w:rPr>
          <w:rFonts w:ascii="Arial" w:cs="Arial" w:eastAsia="Arial" w:hAnsi="Arial"/>
          <w:sz w:val="20"/>
          <w:szCs w:val="20"/>
          <w:u w:val="single" w:color="auto"/>
          <w:color w:val="auto"/>
        </w:rPr>
        <w:t>Assignment of Intellectual Property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1021080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4" w:right="339" w:bottom="1440" w:gutter="0" w:footer="0" w:header="0"/>
        </w:sectPr>
      </w:pPr>
    </w:p>
    <w:bookmarkStart w:id="67" w:name="page68"/>
    <w:bookmarkEnd w:id="67"/>
    <w:p>
      <w:pPr>
        <w:jc w:val="both"/>
        <w:ind w:left="-757" w:firstLine="757"/>
        <w:spacing w:after="0" w:line="231" w:lineRule="auto"/>
        <w:tabs>
          <w:tab w:leader="none" w:pos="261" w:val="left"/>
        </w:tabs>
        <w:numPr>
          <w:ilvl w:val="0"/>
          <w:numId w:val="93"/>
        </w:numPr>
        <w:rPr>
          <w:rFonts w:ascii="Arial" w:cs="Arial" w:eastAsia="Arial" w:hAnsi="Arial"/>
          <w:sz w:val="20"/>
          <w:szCs w:val="20"/>
          <w:color w:val="auto"/>
        </w:rPr>
      </w:pPr>
      <w:r>
        <w:rPr>
          <w:rFonts w:ascii="Arial" w:cs="Arial" w:eastAsia="Arial" w:hAnsi="Arial"/>
          <w:sz w:val="20"/>
          <w:szCs w:val="20"/>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3" w:lineRule="exact"/>
        <w:rPr>
          <w:rFonts w:ascii="Arial" w:cs="Arial" w:eastAsia="Arial" w:hAnsi="Arial"/>
          <w:sz w:val="20"/>
          <w:szCs w:val="20"/>
          <w:color w:val="auto"/>
        </w:rPr>
      </w:pPr>
    </w:p>
    <w:p>
      <w:pPr>
        <w:jc w:val="both"/>
        <w:ind w:left="-757" w:firstLine="757"/>
        <w:spacing w:after="0" w:line="233" w:lineRule="auto"/>
        <w:tabs>
          <w:tab w:leader="none" w:pos="261" w:val="left"/>
        </w:tabs>
        <w:numPr>
          <w:ilvl w:val="0"/>
          <w:numId w:val="93"/>
        </w:numPr>
        <w:rPr>
          <w:rFonts w:ascii="Arial" w:cs="Arial" w:eastAsia="Arial" w:hAnsi="Arial"/>
          <w:sz w:val="20"/>
          <w:szCs w:val="20"/>
          <w:color w:val="auto"/>
        </w:rPr>
      </w:pPr>
      <w:r>
        <w:rPr>
          <w:rFonts w:ascii="Arial" w:cs="Arial" w:eastAsia="Arial" w:hAnsi="Arial"/>
          <w:sz w:val="20"/>
          <w:szCs w:val="20"/>
          <w:color w:val="auto"/>
        </w:rPr>
        <w:t>Employee is hereby notified that certain statutes in some U.S. states relate to ownership and assignment of inventions. At relevant locations and in accordance with those statutes, the Company agrees that this Attachment 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72" w:lineRule="exact"/>
        <w:rPr>
          <w:rFonts w:ascii="Arial" w:cs="Arial" w:eastAsia="Arial" w:hAnsi="Arial"/>
          <w:sz w:val="20"/>
          <w:szCs w:val="20"/>
          <w:color w:val="auto"/>
        </w:rPr>
      </w:pPr>
    </w:p>
    <w:p>
      <w:pPr>
        <w:jc w:val="both"/>
        <w:ind w:left="-757" w:firstLine="757"/>
        <w:spacing w:after="0" w:line="241" w:lineRule="auto"/>
        <w:tabs>
          <w:tab w:leader="none" w:pos="261"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1" w:lineRule="exact"/>
        <w:rPr>
          <w:rFonts w:ascii="Arial" w:cs="Arial" w:eastAsia="Arial" w:hAnsi="Arial"/>
          <w:sz w:val="20"/>
          <w:szCs w:val="20"/>
          <w:color w:val="auto"/>
        </w:rPr>
      </w:pPr>
    </w:p>
    <w:p>
      <w:pPr>
        <w:jc w:val="both"/>
        <w:ind w:left="-757" w:firstLine="757"/>
        <w:spacing w:after="0" w:line="246" w:lineRule="auto"/>
        <w:tabs>
          <w:tab w:leader="none" w:pos="261"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 or obtained through fraud, negligence, failure to disclose, or incorrect, incomplete, or defective information on an IP Disclosure Form.</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20"/>
          <w:szCs w:val="20"/>
          <w:color w:val="auto"/>
        </w:rPr>
        <w:t>24.</w:t>
      </w:r>
      <w:r>
        <w:rPr>
          <w:rFonts w:ascii="Arial" w:cs="Arial" w:eastAsia="Arial" w:hAnsi="Arial"/>
          <w:sz w:val="20"/>
          <w:szCs w:val="20"/>
          <w:u w:val="single" w:color="auto"/>
          <w:color w:val="auto"/>
        </w:rPr>
        <w:t>Non-Competition</w:t>
      </w:r>
      <w:r>
        <w:rPr>
          <w:rFonts w:ascii="Arial" w:cs="Arial" w:eastAsia="Arial" w:hAnsi="Arial"/>
          <w:sz w:val="20"/>
          <w:szCs w:val="20"/>
          <w:color w:val="auto"/>
        </w:rPr>
        <w:t>.</w:t>
      </w:r>
    </w:p>
    <w:p>
      <w:pPr>
        <w:spacing w:after="0" w:line="202" w:lineRule="exact"/>
        <w:rPr>
          <w:sz w:val="20"/>
          <w:szCs w:val="20"/>
          <w:color w:val="auto"/>
        </w:rPr>
      </w:pPr>
    </w:p>
    <w:p>
      <w:pPr>
        <w:jc w:val="both"/>
        <w:ind w:left="-757" w:firstLine="757"/>
        <w:spacing w:after="0" w:line="241" w:lineRule="auto"/>
        <w:tabs>
          <w:tab w:leader="none" w:pos="261" w:val="left"/>
        </w:tabs>
        <w:numPr>
          <w:ilvl w:val="0"/>
          <w:numId w:val="94"/>
        </w:numPr>
        <w:rPr>
          <w:rFonts w:ascii="Arial" w:cs="Arial" w:eastAsia="Arial" w:hAnsi="Arial"/>
          <w:sz w:val="20"/>
          <w:szCs w:val="20"/>
          <w:color w:val="auto"/>
        </w:rPr>
      </w:pPr>
      <w:r>
        <w:rPr>
          <w:rFonts w:ascii="Arial" w:cs="Arial" w:eastAsia="Arial" w:hAnsi="Arial"/>
          <w:sz w:val="20"/>
          <w:szCs w:val="20"/>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71" w:lineRule="exact"/>
        <w:rPr>
          <w:rFonts w:ascii="Arial" w:cs="Arial" w:eastAsia="Arial" w:hAnsi="Arial"/>
          <w:sz w:val="20"/>
          <w:szCs w:val="20"/>
          <w:color w:val="auto"/>
        </w:rPr>
      </w:pPr>
    </w:p>
    <w:p>
      <w:pPr>
        <w:jc w:val="both"/>
        <w:ind w:left="-757" w:firstLine="757"/>
        <w:spacing w:after="0" w:line="230" w:lineRule="auto"/>
        <w:tabs>
          <w:tab w:leader="none" w:pos="261" w:val="left"/>
        </w:tabs>
        <w:numPr>
          <w:ilvl w:val="0"/>
          <w:numId w:val="94"/>
        </w:numPr>
        <w:rPr>
          <w:rFonts w:ascii="Arial" w:cs="Arial" w:eastAsia="Arial" w:hAnsi="Arial"/>
          <w:sz w:val="20"/>
          <w:szCs w:val="20"/>
          <w:color w:val="auto"/>
        </w:rPr>
      </w:pPr>
      <w:r>
        <w:rPr>
          <w:rFonts w:ascii="Arial" w:cs="Arial" w:eastAsia="Arial" w:hAnsi="Arial"/>
          <w:sz w:val="20"/>
          <w:szCs w:val="20"/>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1004570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4" w:right="339" w:bottom="1440" w:gutter="0" w:footer="0" w:header="0"/>
        </w:sectPr>
      </w:pPr>
    </w:p>
    <w:bookmarkStart w:id="68" w:name="page69"/>
    <w:bookmarkEnd w:id="68"/>
    <w:p>
      <w:pPr>
        <w:jc w:val="both"/>
        <w:spacing w:after="0" w:line="241" w:lineRule="auto"/>
        <w:rPr>
          <w:sz w:val="20"/>
          <w:szCs w:val="20"/>
          <w:color w:val="auto"/>
        </w:rPr>
      </w:pPr>
      <w:r>
        <w:rPr>
          <w:rFonts w:ascii="Arial" w:cs="Arial" w:eastAsia="Arial" w:hAnsi="Arial"/>
          <w:sz w:val="20"/>
          <w:szCs w:val="20"/>
          <w:color w:val="auto"/>
        </w:rPr>
        <w:t>provide a copy of this Attachment 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w:t>
      </w:r>
    </w:p>
    <w:p>
      <w:pPr>
        <w:spacing w:after="0" w:line="174" w:lineRule="exact"/>
        <w:rPr>
          <w:sz w:val="20"/>
          <w:szCs w:val="20"/>
          <w:color w:val="auto"/>
        </w:rPr>
      </w:pPr>
    </w:p>
    <w:p>
      <w:pPr>
        <w:jc w:val="both"/>
        <w:ind w:firstLine="757"/>
        <w:spacing w:after="0" w:line="229" w:lineRule="auto"/>
        <w:tabs>
          <w:tab w:leader="none" w:pos="1018"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25.</w:t>
      </w:r>
      <w:r>
        <w:rPr>
          <w:rFonts w:ascii="Arial" w:cs="Arial" w:eastAsia="Arial" w:hAnsi="Arial"/>
          <w:sz w:val="20"/>
          <w:szCs w:val="20"/>
          <w:u w:val="single" w:color="auto"/>
          <w:color w:val="auto"/>
        </w:rPr>
        <w:t>Non-Solicitation</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41" w:lineRule="auto"/>
        <w:tabs>
          <w:tab w:leader="none" w:pos="1018" w:val="left"/>
        </w:tabs>
        <w:numPr>
          <w:ilvl w:val="1"/>
          <w:numId w:val="96"/>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w:t>
      </w:r>
    </w:p>
    <w:p>
      <w:pPr>
        <w:spacing w:after="0" w:line="1" w:lineRule="exact"/>
        <w:rPr>
          <w:rFonts w:ascii="Arial" w:cs="Arial" w:eastAsia="Arial" w:hAnsi="Arial"/>
          <w:sz w:val="19"/>
          <w:szCs w:val="19"/>
          <w:color w:val="auto"/>
        </w:rPr>
      </w:pPr>
    </w:p>
    <w:p>
      <w:pPr>
        <w:jc w:val="both"/>
        <w:ind w:firstLine="8"/>
        <w:spacing w:after="0" w:line="234" w:lineRule="auto"/>
        <w:tabs>
          <w:tab w:leader="none" w:pos="302" w:val="left"/>
        </w:tabs>
        <w:numPr>
          <w:ilvl w:val="0"/>
          <w:numId w:val="97"/>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73" w:lineRule="exact"/>
        <w:rPr>
          <w:rFonts w:ascii="Arial" w:cs="Arial" w:eastAsia="Arial" w:hAnsi="Arial"/>
          <w:sz w:val="20"/>
          <w:szCs w:val="20"/>
          <w:color w:val="auto"/>
        </w:rPr>
      </w:pPr>
    </w:p>
    <w:p>
      <w:pPr>
        <w:jc w:val="both"/>
        <w:ind w:firstLine="757"/>
        <w:spacing w:after="0" w:line="237" w:lineRule="auto"/>
        <w:tabs>
          <w:tab w:leader="none" w:pos="1018" w:val="left"/>
        </w:tabs>
        <w:numPr>
          <w:ilvl w:val="1"/>
          <w:numId w:val="97"/>
        </w:numPr>
        <w:rPr>
          <w:rFonts w:ascii="Arial" w:cs="Arial" w:eastAsia="Arial" w:hAnsi="Arial"/>
          <w:sz w:val="20"/>
          <w:szCs w:val="20"/>
          <w:color w:val="auto"/>
        </w:rPr>
      </w:pPr>
      <w:r>
        <w:rPr>
          <w:rFonts w:ascii="Arial" w:cs="Arial" w:eastAsia="Arial" w:hAnsi="Arial"/>
          <w:sz w:val="20"/>
          <w:szCs w:val="20"/>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9" w:name="page70"/>
    <w:bookmarkEnd w:id="69"/>
    <w:p>
      <w:pPr>
        <w:jc w:val="both"/>
        <w:spacing w:after="0" w:line="237" w:lineRule="auto"/>
        <w:rPr>
          <w:sz w:val="20"/>
          <w:szCs w:val="20"/>
          <w:color w:val="auto"/>
        </w:rPr>
      </w:pPr>
      <w:r>
        <w:rPr>
          <w:rFonts w:ascii="Arial" w:cs="Arial" w:eastAsia="Arial" w:hAnsi="Arial"/>
          <w:sz w:val="20"/>
          <w:szCs w:val="20"/>
          <w:color w:val="auto"/>
        </w:rPr>
        <w:t>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26.</w:t>
      </w:r>
      <w:r>
        <w:rPr>
          <w:rFonts w:ascii="Arial" w:cs="Arial" w:eastAsia="Arial" w:hAnsi="Arial"/>
          <w:sz w:val="20"/>
          <w:szCs w:val="20"/>
          <w:u w:val="single" w:color="auto"/>
          <w:color w:val="auto"/>
        </w:rPr>
        <w:t>Remedies for Employee’s Breach</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tabs>
          <w:tab w:leader="none" w:pos="1018"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 by Employee, the Company and its Affiliates will be entitled to: </w:t>
      </w:r>
      <w:r>
        <w:rPr>
          <w:rFonts w:ascii="Arial" w:cs="Arial" w:eastAsia="Arial" w:hAnsi="Arial"/>
          <w:sz w:val="19"/>
          <w:szCs w:val="19"/>
          <w:b w:val="1"/>
          <w:bCs w:val="1"/>
          <w:color w:val="auto"/>
        </w:rPr>
        <w:t>(i) recover from Employee the value of any portion of the Award that has</w:t>
      </w:r>
      <w:r>
        <w:rPr>
          <w:rFonts w:ascii="Arial" w:cs="Arial" w:eastAsia="Arial" w:hAnsi="Arial"/>
          <w:sz w:val="19"/>
          <w:szCs w:val="19"/>
          <w:color w:val="auto"/>
        </w:rPr>
        <w:t xml:space="preserve"> </w:t>
      </w:r>
      <w:r>
        <w:rPr>
          <w:rFonts w:ascii="Arial" w:cs="Arial" w:eastAsia="Arial" w:hAnsi="Arial"/>
          <w:sz w:val="19"/>
          <w:szCs w:val="19"/>
          <w:b w:val="1"/>
          <w:bCs w:val="1"/>
          <w:color w:val="auto"/>
        </w:rPr>
        <w:t>been paid or delivered; (ii) seek injunctive relief against Employee pursuant to the provisions of subsection (b) below;</w:t>
      </w:r>
    </w:p>
    <w:p>
      <w:pPr>
        <w:jc w:val="both"/>
        <w:ind w:firstLine="8"/>
        <w:spacing w:after="0" w:line="238" w:lineRule="auto"/>
        <w:tabs>
          <w:tab w:leader="none" w:pos="378"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61" w:lineRule="exact"/>
        <w:rPr>
          <w:rFonts w:ascii="Arial" w:cs="Arial" w:eastAsia="Arial" w:hAnsi="Arial"/>
          <w:sz w:val="20"/>
          <w:szCs w:val="20"/>
          <w:b w:val="1"/>
          <w:bCs w:val="1"/>
          <w:color w:val="auto"/>
        </w:rPr>
      </w:pPr>
    </w:p>
    <w:p>
      <w:pPr>
        <w:jc w:val="both"/>
        <w:ind w:firstLine="757"/>
        <w:spacing w:after="0" w:line="233" w:lineRule="auto"/>
        <w:tabs>
          <w:tab w:leader="none" w:pos="1018" w:val="left"/>
        </w:tabs>
        <w:numPr>
          <w:ilvl w:val="1"/>
          <w:numId w:val="99"/>
        </w:numPr>
        <w:rPr>
          <w:rFonts w:ascii="Arial" w:cs="Arial" w:eastAsia="Arial" w:hAnsi="Arial"/>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72" w:lineRule="exact"/>
        <w:rPr>
          <w:rFonts w:ascii="Arial" w:cs="Arial" w:eastAsia="Arial" w:hAnsi="Arial"/>
          <w:sz w:val="20"/>
          <w:szCs w:val="20"/>
          <w:color w:val="auto"/>
        </w:rPr>
      </w:pPr>
    </w:p>
    <w:p>
      <w:pPr>
        <w:jc w:val="both"/>
        <w:ind w:firstLine="757"/>
        <w:spacing w:after="0" w:line="237" w:lineRule="auto"/>
        <w:tabs>
          <w:tab w:leader="none" w:pos="1018" w:val="left"/>
        </w:tabs>
        <w:numPr>
          <w:ilvl w:val="1"/>
          <w:numId w:val="99"/>
        </w:numPr>
        <w:rPr>
          <w:rFonts w:ascii="Arial" w:cs="Arial" w:eastAsia="Arial" w:hAnsi="Arial"/>
          <w:sz w:val="20"/>
          <w:szCs w:val="20"/>
          <w:color w:val="auto"/>
        </w:rPr>
      </w:pPr>
      <w:r>
        <w:rPr>
          <w:rFonts w:ascii="Arial" w:cs="Arial" w:eastAsia="Arial" w:hAnsi="Arial"/>
          <w:sz w:val="20"/>
          <w:szCs w:val="20"/>
          <w:color w:val="auto"/>
        </w:rPr>
        <w:t>Each of the covenants in this Attachment I will be construed as an agreement independent of any other provision in this Attachment I, and the existence of any claim or cause of action of Employee against the Company or any Affiliate, whether predicated on this Attachment I or otherwise, will not constitute a defense to the enforcement by the Company or any Affiliate of such covenants or provisions.</w:t>
      </w:r>
    </w:p>
    <w:p>
      <w:pPr>
        <w:spacing w:after="0" w:line="171" w:lineRule="exact"/>
        <w:rPr>
          <w:rFonts w:ascii="Arial" w:cs="Arial" w:eastAsia="Arial" w:hAnsi="Arial"/>
          <w:sz w:val="20"/>
          <w:szCs w:val="20"/>
          <w:color w:val="auto"/>
        </w:rPr>
      </w:pPr>
    </w:p>
    <w:p>
      <w:pPr>
        <w:ind w:firstLine="757"/>
        <w:spacing w:after="0" w:line="257" w:lineRule="auto"/>
        <w:tabs>
          <w:tab w:leader="none" w:pos="1018" w:val="left"/>
        </w:tabs>
        <w:numPr>
          <w:ilvl w:val="1"/>
          <w:numId w:val="99"/>
        </w:numPr>
        <w:rPr>
          <w:rFonts w:ascii="Arial" w:cs="Arial" w:eastAsia="Arial" w:hAnsi="Arial"/>
          <w:sz w:val="20"/>
          <w:szCs w:val="20"/>
          <w:color w:val="auto"/>
        </w:rPr>
      </w:pPr>
      <w:r>
        <w:rPr>
          <w:rFonts w:ascii="Arial" w:cs="Arial" w:eastAsia="Arial" w:hAnsi="Arial"/>
          <w:sz w:val="20"/>
          <w:szCs w:val="20"/>
          <w:color w:val="auto"/>
        </w:rPr>
        <w:t>Employee acknowledges that the remedies contained in the Attachment I for violation of this Attachment I are not the exclusive remedies that the Company or an Affiliate may pursue.</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27.</w:t>
      </w:r>
      <w:r>
        <w:rPr>
          <w:rFonts w:ascii="Arial" w:cs="Arial" w:eastAsia="Arial" w:hAnsi="Arial"/>
          <w:sz w:val="20"/>
          <w:szCs w:val="20"/>
          <w:u w:val="single" w:color="auto"/>
          <w:color w:val="auto"/>
        </w:rPr>
        <w:t>Waiver</w:t>
      </w:r>
      <w:r>
        <w:rPr>
          <w:rFonts w:ascii="Arial" w:cs="Arial" w:eastAsia="Arial" w:hAnsi="Arial"/>
          <w:sz w:val="20"/>
          <w:szCs w:val="20"/>
          <w:color w:val="auto"/>
        </w:rPr>
        <w:t>. Waiver of any term of this Attachment I by the Company will not operate as a waiver of any other term of this Attachment I. A failure to enforce any provision of this Attachment I will not operate as a waiver of the Company’s right to enforce any other provision of this Attachment I.</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28.</w:t>
      </w: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sz w:val="20"/>
          <w:szCs w:val="20"/>
          <w:color w:val="auto"/>
        </w:rPr>
      </w:pPr>
    </w:p>
    <w:p>
      <w:pPr>
        <w:ind w:firstLine="757"/>
        <w:spacing w:after="0" w:line="257" w:lineRule="auto"/>
        <w:tabs>
          <w:tab w:leader="none" w:pos="101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Employee represents and warrants that Employee is not a party to any other agreement that will interfere with Employee’s full compliance with this Attachment I 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0" w:name="page71"/>
    <w:bookmarkEnd w:id="70"/>
    <w:p>
      <w:pPr>
        <w:jc w:val="both"/>
        <w:spacing w:after="0" w:line="241" w:lineRule="auto"/>
        <w:rPr>
          <w:sz w:val="20"/>
          <w:szCs w:val="20"/>
          <w:color w:val="auto"/>
        </w:rPr>
      </w:pPr>
      <w:r>
        <w:rPr>
          <w:rFonts w:ascii="Arial" w:cs="Arial" w:eastAsia="Arial" w:hAnsi="Arial"/>
          <w:sz w:val="20"/>
          <w:szCs w:val="20"/>
          <w:color w:val="auto"/>
        </w:rPr>
        <w:t>otherwise may restrict Employee’s employment by the Company or its Affiliates or the performance of Employee’s duties for the Company or its Affiliates. Employee agrees not to enter into any agreement, whether oral or written, in conflict with this Attachment I.</w:t>
      </w:r>
    </w:p>
    <w:p>
      <w:pPr>
        <w:spacing w:after="0" w:line="171" w:lineRule="exact"/>
        <w:rPr>
          <w:sz w:val="20"/>
          <w:szCs w:val="20"/>
          <w:color w:val="auto"/>
        </w:rPr>
      </w:pPr>
    </w:p>
    <w:p>
      <w:pPr>
        <w:jc w:val="both"/>
        <w:ind w:firstLine="757"/>
        <w:spacing w:after="0" w:line="241" w:lineRule="auto"/>
        <w:tabs>
          <w:tab w:leader="none" w:pos="101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This Attachment I may be enforced by, will inure to the benefit of, and be binding upon the Company, its successors, and assigns. This Agreement will also inure to the benefit of, and may be enforced by, the Company’s Affiliates. This Attachment I is binding upon Employee’s heirs and legal representatives.</w:t>
      </w:r>
    </w:p>
    <w:p>
      <w:pPr>
        <w:spacing w:after="0" w:line="171"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Nothing in this Attachment I prohibits Employee from reporting possible violation of federal law or regulation to any governmental agency or entity, or making disclosures that are protected under a “whistleblower” provision of federal law or regulation.</w:t>
      </w:r>
    </w:p>
    <w:p>
      <w:pPr>
        <w:spacing w:after="0" w:line="171"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If Employee is employed by an Affiliate of the Company or by accepting a transfer to an Affiliate of the Company, Employee agrees to the automatic application of all of the terms of this Attachment I to said Affiliate contemporaneously with the acceptance of such transfer, subject to subsequent agreements, if any, executed by Employee and the Affiliate of the Company or the Company, and to the fullest extent allowed by law.</w:t>
      </w:r>
    </w:p>
    <w:p>
      <w:pPr>
        <w:spacing w:after="0" w:line="171" w:lineRule="exact"/>
        <w:rPr>
          <w:rFonts w:ascii="Arial" w:cs="Arial" w:eastAsia="Arial" w:hAnsi="Arial"/>
          <w:sz w:val="20"/>
          <w:szCs w:val="20"/>
          <w:color w:val="auto"/>
        </w:rPr>
      </w:pPr>
    </w:p>
    <w:p>
      <w:pPr>
        <w:jc w:val="both"/>
        <w:ind w:firstLine="757"/>
        <w:spacing w:after="0" w:line="232" w:lineRule="auto"/>
        <w:tabs>
          <w:tab w:leader="none" w:pos="101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Should any portion of this Attachment I be held invalid, unenforceable, or void, such holding will not have the effect of invalidating or voiding the other portions of this Attachment 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will give rise to a finding of knowing, willful, or bad faith unreasonableness against the Company regarding this Attachment I.</w:t>
      </w:r>
    </w:p>
    <w:p>
      <w:pPr>
        <w:spacing w:after="0" w:line="171"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terms and conditions of this Attachment 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1" w:name="page72"/>
    <w:bookmarkEnd w:id="71"/>
    <w:p>
      <w:pPr>
        <w:ind w:left="5020"/>
        <w:spacing w:after="0"/>
        <w:rPr>
          <w:sz w:val="20"/>
          <w:szCs w:val="20"/>
          <w:color w:val="auto"/>
        </w:rPr>
      </w:pPr>
      <w:r>
        <w:rPr>
          <w:rFonts w:ascii="Arial" w:cs="Arial" w:eastAsia="Arial" w:hAnsi="Arial"/>
          <w:sz w:val="20"/>
          <w:szCs w:val="20"/>
          <w:b w:val="1"/>
          <w:bCs w:val="1"/>
          <w:u w:val="single" w:color="auto"/>
          <w:color w:val="auto"/>
        </w:rPr>
        <w:t>APPENDIX A</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SPECIFIC PROVISIONS APPLICABLE TO EMPLOYEES BEING FRENCH TAX RESIDENT (AT THE DATE OF GRANT) OR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BECOMING FRENCH TAX RESIDENT (AFTER THE DATE OF GRANT)</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Appendix A includes additional terms and conditions that govern the Restricted Stock Units granted to you under the Plan if, as the case may be, you are Tax resident in France or you are becoming French Tax resident after the date of grant. Defined terms not otherwise defined in this appendix have the meaning provided in the Plan or the sub-plan for France as the case may be.</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According to vesting and transfer rules of the Plan, (i) the Restricted Stock Units vest over a three (3) year period according to the following schedule (“Vesting Dates”) : provided that the Employee has been continuously employed by the Company or any of its Subsidiaries from the Grant Date to each Vesting Date: one-third on the first anniversary of the grant date, one-third on the second anniversary of the grant date, and one-third on the third anniversary of the grant date (ii) the sale of shares issued pursuant to the conversion of the Restricted Stock Units can occur when the Restricted Stock Units are converted into shares from the Grant Date to each Vesting Date.</w:t>
      </w:r>
    </w:p>
    <w:p>
      <w:pPr>
        <w:spacing w:after="0" w:line="17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We have mutually agreed to convert your grant to the sub-plan for France which governs the Restricted Stock Units granted to employees who are resident of France or who are or may become subject to French tax and provide for specific minimum French law holding period requirements, in line with the rules on Omnibus Stock Incentive Plan for employees in France.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Accordingly, the Restricted Stock Units granted under this French sub-plan will be deemed French Qualified Restricted Stock Units and are intended to be eligible for the specific income and social security tax regime applicable to shares granted for no consideration under the Articles L.225-197-1 to L.225-197-5 of the French Commercial Code.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Employee and the Company agree to comply with the provisions of the French sub-plan and execute such further instruments or to take such further action as may reasonably be necessary to carry out the intent of this Agreement.</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Accordingly, Employee irrevocably agrees that (including, for the avoidance of doubt, if such Employee is no longer a French tax resident at the end of the Holding Period as defined below):</w:t>
      </w:r>
    </w:p>
    <w:p>
      <w:pPr>
        <w:spacing w:after="0" w:line="155" w:lineRule="exact"/>
        <w:rPr>
          <w:sz w:val="20"/>
          <w:szCs w:val="20"/>
          <w:color w:val="auto"/>
        </w:rPr>
      </w:pPr>
    </w:p>
    <w:p>
      <w:pPr>
        <w:ind w:left="740" w:right="20" w:hanging="732"/>
        <w:spacing w:after="0" w:line="257" w:lineRule="auto"/>
        <w:tabs>
          <w:tab w:leader="none" w:pos="44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French Qualified Restricted Stock Units shall vest and be delivered one-third on the first anniversary of the grant date, one-third on the second anniversary of the grant date, and one-third on the third anniversary of the grant date;</w:t>
      </w:r>
    </w:p>
    <w:p>
      <w:pPr>
        <w:spacing w:after="0" w:line="155" w:lineRule="exact"/>
        <w:rPr>
          <w:rFonts w:ascii="Arial" w:cs="Arial" w:eastAsia="Arial" w:hAnsi="Arial"/>
          <w:sz w:val="20"/>
          <w:szCs w:val="20"/>
          <w:color w:val="auto"/>
        </w:rPr>
      </w:pPr>
    </w:p>
    <w:p>
      <w:pPr>
        <w:ind w:left="740" w:hanging="732"/>
        <w:spacing w:after="0" w:line="241" w:lineRule="auto"/>
        <w:tabs>
          <w:tab w:leader="none" w:pos="44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all shares related to a French Qualified Restricted Stock Unit which have been delivered prior to the second anniversary of the Grant Date in accordance with the vesting schedule above shall be subject to a holding period till the second year anniversary of the Grant Date (the “Holding Period”).</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By way of exception, upon Termination of Employment from the Company by reason of Employee’s death, (i) all French Qualified Restricted Stock Units that are not vested at that time immediately will become vested in full and (ii) the Company shall issue the underlying shares to the Employee’s heirs, at their request, within six months following the death of the Employee. In case of Employee’s death or disability (as determined by the Committee in its sole and absolute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2" w:name="page73"/>
    <w:bookmarkEnd w:id="72"/>
    <w:p>
      <w:pPr>
        <w:jc w:val="both"/>
        <w:spacing w:after="0" w:line="257" w:lineRule="auto"/>
        <w:rPr>
          <w:sz w:val="20"/>
          <w:szCs w:val="20"/>
          <w:color w:val="auto"/>
        </w:rPr>
      </w:pPr>
      <w:r>
        <w:rPr>
          <w:rFonts w:ascii="Arial" w:cs="Arial" w:eastAsia="Arial" w:hAnsi="Arial"/>
          <w:sz w:val="20"/>
          <w:szCs w:val="20"/>
          <w:color w:val="auto"/>
        </w:rPr>
        <w:t>discretion, and as defined under article L341-4 of the Social Security Code), the shares shall be freely transferable, subject to the French Closed Periods.</w:t>
      </w:r>
    </w:p>
    <w:p>
      <w:pPr>
        <w:spacing w:after="0" w:line="3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avoidance of doubt, (i) none of the vested French Qualified Restricted Stock Units shall be settled in cash and (ii) Employee will have all rights as a stockholder of the Company with regard to the Restricted Stock Units as of the date of delivery of the shares.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sale of shares issued pursuant to the conversion of the French Qualified Restricted Stock Units may occur as soon as the shares are delivered to the Employee, subject to such Employee complying with the Holding Period for the French Qualified Restricted Stock Units vested before the second anniversary of the Grant Date. However, in no circumstances shares may be sold during the following French Closed Periods:</w:t>
      </w:r>
    </w:p>
    <w:p>
      <w:pPr>
        <w:spacing w:after="0" w:line="199" w:lineRule="exact"/>
        <w:rPr>
          <w:sz w:val="20"/>
          <w:szCs w:val="20"/>
          <w:color w:val="auto"/>
        </w:rPr>
      </w:pPr>
    </w:p>
    <w:p>
      <w:pPr>
        <w:ind w:left="440" w:hanging="432"/>
        <w:spacing w:after="0"/>
        <w:tabs>
          <w:tab w:leader="none" w:pos="4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within the 10 days before or after the publication of the annual accounts;</w:t>
      </w:r>
    </w:p>
    <w:p>
      <w:pPr>
        <w:spacing w:after="0" w:line="202" w:lineRule="exact"/>
        <w:rPr>
          <w:rFonts w:ascii="Arial" w:cs="Arial" w:eastAsia="Arial" w:hAnsi="Arial"/>
          <w:sz w:val="20"/>
          <w:szCs w:val="20"/>
          <w:color w:val="auto"/>
        </w:rPr>
      </w:pPr>
    </w:p>
    <w:p>
      <w:pPr>
        <w:ind w:left="600" w:hanging="592"/>
        <w:spacing w:after="0" w:line="241" w:lineRule="auto"/>
        <w:tabs>
          <w:tab w:leader="none" w:pos="45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These Closed Periods will apply to grant of French Qualified Restricted Stock Units as long as and to the extent such Closed Periods are applicable under French law.</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This Appendix will not affect the validity or enforceability of any other provision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APPLICABLE TO PARTICIPANTS IN CHINA SUBJECT TO SAFE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Capitalized terms used but not defined in this Appendix B are defined in the Schlumberger 2017 Omnibus Stock Incentive Plan, as may be amended (the “Plan”), and the Restricted Stock Unit award agreement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Introduction</w:t>
      </w:r>
      <w:r>
        <w:rPr>
          <w:rFonts w:ascii="Arial" w:cs="Arial" w:eastAsia="Arial" w:hAnsi="Arial"/>
          <w:sz w:val="20"/>
          <w:szCs w:val="20"/>
          <w:u w:val="single" w:color="auto"/>
          <w:color w:val="auto"/>
        </w:rPr>
        <w: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terms and conditions will apply to you to the extent that the Company, in its discretion, determines that your participation in the Plan is subject to exchange control restrictions in the People’s Republic of China (the “PRC”), as implemented by the PRC State Administration of Foreign Exchange (“SAFE”).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Vesting of RSUs</w:t>
      </w:r>
      <w:r>
        <w:rPr>
          <w:rFonts w:ascii="Arial" w:cs="Arial" w:eastAsia="Arial" w:hAnsi="Arial"/>
          <w:sz w:val="20"/>
          <w:szCs w:val="20"/>
          <w:color w:val="auto"/>
        </w:rPr>
        <w:t>. The following provision supplements Section 1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Unless and until the Company has obtained all necessary exchange control or other approvals from SAFE or its local counterpart (“SAFE Approval”) with respect to your Restricted Stock Units (“RSUs”), the shares of Common Stock represented by such RSUs will be issued to you as soon as administratively feasible after the Company has obtained SAFE Approval. The Company is under no obligation to issue shares of Common Stock if the Company has not obtained SAFE Approval.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Acceleration on Retirement</w:t>
      </w:r>
      <w:r>
        <w:rPr>
          <w:rFonts w:ascii="Arial" w:cs="Arial" w:eastAsia="Arial" w:hAnsi="Arial"/>
          <w:sz w:val="20"/>
          <w:szCs w:val="20"/>
          <w:color w:val="auto"/>
        </w:rPr>
        <w:t>. The following provision replaces Section 1(c) of the Agreement in its entirety:</w:t>
      </w:r>
    </w:p>
    <w:p>
      <w:pPr>
        <w:spacing w:after="0" w:line="202" w:lineRule="exact"/>
        <w:rPr>
          <w:sz w:val="20"/>
          <w:szCs w:val="20"/>
          <w:color w:val="auto"/>
        </w:rPr>
      </w:pPr>
    </w:p>
    <w:p>
      <w:pPr>
        <w:jc w:val="both"/>
        <w:ind w:firstLine="757"/>
        <w:spacing w:after="0" w:line="237" w:lineRule="auto"/>
        <w:tabs>
          <w:tab w:leader="none" w:pos="1018"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To allow the Company to comply with PRC exchange control restrictions, upon Termination of Employment from the Company and its Subsidiaries by reason of Employee’s Retirement (as defined in Section 11), the Restricted Stock Units will become fully vested, subject to the Company obtaining SAFE Approval before vesting of the Restricted Stock Units.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Settlement of RSUs and Sale of Shares</w:t>
      </w:r>
      <w:r>
        <w:rPr>
          <w:rFonts w:ascii="Arial" w:cs="Arial" w:eastAsia="Arial" w:hAnsi="Arial"/>
          <w:sz w:val="20"/>
          <w:szCs w:val="20"/>
          <w:color w:val="auto"/>
        </w:rPr>
        <w:t>. The following provision supplements Section 2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to the contrary in the Plan or this Agreement, you understand and agree that the Company may require any shares of Common Stock that you acquire from vesting of the RSUs to be immediately sold at vesting or, at the Company’s discretion, at a later time. The purpose of this is solely to allow the Company to comply with PRC exchange control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You understand and agree that any shares of Common Stock acquired by you under Plan must be sold by no later than ninety</w:t>
      </w:r>
    </w:p>
    <w:p>
      <w:pPr>
        <w:spacing w:after="0" w:line="4" w:lineRule="exact"/>
        <w:rPr>
          <w:sz w:val="20"/>
          <w:szCs w:val="20"/>
          <w:color w:val="auto"/>
        </w:rPr>
      </w:pPr>
    </w:p>
    <w:p>
      <w:pPr>
        <w:jc w:val="both"/>
        <w:ind w:firstLine="8"/>
        <w:spacing w:after="0" w:line="231" w:lineRule="auto"/>
        <w:tabs>
          <w:tab w:leader="none" w:pos="4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days after your Termination of Employment, or within any other such time frame as may be permitted by the Company or required by SAFE. Further, you understand that any shares of Common Stock acquired by you under the Plan that have not been sold within ninety (90) days of your termination of employment will be automatically sold by Fidelity (which is the Company's current designated broker) at the Company’s direction. For the sake of clarity, any references to Fidelity in this Appendix also refer to any other designated broker the Company may use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4" w:name="page75"/>
    <w:bookmarkEnd w:id="74"/>
    <w:p>
      <w:pPr>
        <w:jc w:val="both"/>
        <w:spacing w:after="0" w:line="241" w:lineRule="auto"/>
        <w:rPr>
          <w:sz w:val="20"/>
          <w:szCs w:val="20"/>
          <w:color w:val="auto"/>
        </w:rPr>
      </w:pPr>
      <w:r>
        <w:rPr>
          <w:rFonts w:ascii="Arial" w:cs="Arial" w:eastAsia="Arial" w:hAnsi="Arial"/>
          <w:sz w:val="20"/>
          <w:szCs w:val="20"/>
          <w:color w:val="auto"/>
        </w:rPr>
        <w:t>You further agree that the Company is authorized to instruct Fidelity to assist with the mandatory sale of the shares of Common Stock, and you expressly authorize Fidelity to complete the sale of the shares of Common Stock. Your acceptance of this Agreement constitutes your authorization for Fidelity to act on your behalf in the sale of the shares.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acknowledge that Fidelity is under no obligation to arrange for the sale of shares of Common Stock at any particular price. Upon the sale of the shares of Common Stock, the Company agrees to pay you the cash proceeds from the sale, less any brokerage fees or commissions, in accordance with applicable exchange control laws and regulations, and provided any liability for Tax-Related Items (as defined in Section 6 of the Agreement) has been satisfied.</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Due to fluctuations in the Company’s share price and the United States Dollar exchange rate between the date that shares are issued to you upon vesting of the RSUs and (if later) the date on which the shares of Common Stock are sold, the sale proceeds may be more or less than the fair market value of the shares of Common Stock on the date the shares are initially issued to you. This date is the relevant date for determining your tax liability. You understand and agree that the Company is not responsible for the amount of any loss you may incur, and that the Company assumes no liability for any fluctuation in the share price or United States Dollar exchange rate.</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further agree that any shares of Common Stock to be issued to you shall be deposited directly into your Fidelity account. You also agree that you may not transfer the deposited shares of Common Stock from your Fidelity account. This limitation will apply both to transfers to different accounts with Fidelity and to transfers to other brokerage firms. The limitation shall apply to all shares of Common Stock issued to you under the Plan, whether or not you continue to be employed by the Company, the Employer or any affiliate of the Company.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u w:val="single" w:color="auto"/>
          <w:color w:val="auto"/>
        </w:rPr>
        <w:t>Exchange Control Requirements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SAFE rules require that when you sell shares of Common Stock or receive any other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from the shares (</w:t>
      </w:r>
      <w:r>
        <w:rPr>
          <w:rFonts w:ascii="Arial" w:cs="Arial" w:eastAsia="Arial" w:hAnsi="Arial"/>
          <w:sz w:val="20"/>
          <w:szCs w:val="20"/>
          <w:i w:val="1"/>
          <w:iCs w:val="1"/>
          <w:color w:val="auto"/>
        </w:rPr>
        <w:t>e.g</w:t>
      </w:r>
      <w:r>
        <w:rPr>
          <w:rFonts w:ascii="Arial" w:cs="Arial" w:eastAsia="Arial" w:hAnsi="Arial"/>
          <w:sz w:val="20"/>
          <w:szCs w:val="20"/>
          <w:color w:val="auto"/>
        </w:rPr>
        <w:t>., dividends), all such funds must be immediately brought back (</w:t>
      </w:r>
      <w:r>
        <w:rPr>
          <w:rFonts w:ascii="Arial" w:cs="Arial" w:eastAsia="Arial" w:hAnsi="Arial"/>
          <w:sz w:val="20"/>
          <w:szCs w:val="20"/>
          <w:i w:val="1"/>
          <w:iCs w:val="1"/>
          <w:color w:val="auto"/>
        </w:rPr>
        <w:t>i.e.,</w:t>
      </w:r>
      <w:r>
        <w:rPr>
          <w:rFonts w:ascii="Arial" w:cs="Arial" w:eastAsia="Arial" w:hAnsi="Arial"/>
          <w:sz w:val="20"/>
          <w:szCs w:val="20"/>
          <w:color w:val="auto"/>
        </w:rPr>
        <w:t xml:space="preserve"> "repatriated") to China through a special exchange control account. To comply with this requirement, the Company will set up the special exchange control account and will facilitate the repatriation of the funds to China where the funds will be delivered to you. By accepting the RSUs, you acknowledge and agree that all funds received from your shares of Stock must be repatriated to China, and you hereby consent and agree that such funds may be transferred to the special exchange control account prior to being delivered to you.</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You understand that the sale proceeds (or other funds) may be paid to you in local currency. If the funds are paid in local currency, you acknowledge that neither the Company nor any affiliate is under an obligation to secure any particular currency conversion rate and that the Company (or any affiliate) may face delays in converting the funds to local currency due to exchange control requirements in China. You agree to bear any currency fluctuation risk between the time the shares of Common Stock are sold (or other funds are paid out) and the time the funds are converted into local currency and distributed to you.</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You further agree to comply with any other requirements that may be imposed by the Company in the future to facilitate compliance with exchange control requirements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u w:val="single" w:color="auto"/>
          <w:color w:val="auto"/>
        </w:rPr>
        <w:t>APPENDIX 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STATE AND COUNTRY-SPECIFIC APPENDICES FOR ATTACHMENT I</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Appendix C.1- U.S. State Law</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any of the U.S. states below, or transfers employment and/or residency after the Grant Date to one of the U.S. states below, then the following terms shall apply to the noncompete and nonsolicit restrictions in Sections 6 and 7 of Attachment I after the date on which Employee ceases to be employed by the Company Group for as long as Employee continues to work or reside in such state.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California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Sections 6 and 7(b) of Attachment I shall not apply to any Employee who primarily resides or works in, or transfers employment and/or residency after the Grant Date to California. For any Employee who primarily resides or works in California, any clause or agreement between Employee and the Company that restricts post-employment competition in California, including but not limited to Sections 6 and 7(b), are hereby rescinded and shall be deemed null and void.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Colorado</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Employee acknowledges that Employee was provided with a separate notice of Sections 6 and 7 of Attachment I at least 14 days before the earlier of (1) the effective date of this Agreement or (2) the Grant Date.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6 of Attachment I shall only apply to any Employee who primarily resides or works in, or transfers employment and/or residency after the Grant Date to Colorado and earns an amount of compensation equal to or greater than the threshold amount for “highly compensated workers” under Colorado law.</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7(b) of Attachment I shall only apply to any Employee who primarily resides or works in, or transfers employment and/or residency after the Grant Date to Colorado and earns an amount of compensation equal to or greater than 60% of the threshold amount for “highly compensated workers” under Colorado law.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Georgia</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Section 6 of Attachment I shall only apply to any Employee who primarily resides or works in, or transfers employment and/or residency after the Grant Date to Georgia and (i) customarily and regularly solicits customers or prospective customers for the Company Group, (ii) customarily and regularly engages in making sales or obtaining orders or contracts for products or services to be performed by others, (iii) has the authority to hire or fire other employees or particular weight is given to Employee’s suggestions and recommendations as to the hiring, firing, advancement, promotion, or any other change of status of other employees, or (iv) performs the duties of a “key employee” or professional under Georgia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Idaho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20"/>
          <w:szCs w:val="20"/>
          <w:color w:val="auto"/>
        </w:rPr>
        <w:t>Section 6 of Attachment I shall only apply to any Employee who primarily resides or works in, or transfers employment and/or residency after the Grant Date to Idaho and performs the duties of a “key employee” under Idaho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Illinois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Sections 6 and 7 of Attachment I shall only apply to any Employee who primarily resides or works in, or transfers employment and/or residency after the Grant Date to Illinois and: (i) whose actual or expected annualized rate of earnings exceeds the statutory amount set in the Illinois Freedom to Work Act 820 ILCS 90/10, as adjusted in accordance with the Illinois Freedom to Work Act and (ii) who was not laid off or furloughed due to COVID-19 or similar circumstances without appropriate compensation.</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Employee acknowledges that: (i) the Company has advised Employee that Employee has the right to consult with an attorney before executing this Agreement, and (ii) Employee was provided with a separate notice of Sections 6 and 7(b) of Attachment I at least 14 days before the earlier of (1) the effective date of this Agreement or (2) the Grant Date or Employee was provided with at least 14 days to review this Agreement. Employee further acknowledges that the Company is in compliance with this provision even if Employee voluntarily elects to sign this Agreement before the expiration of the 14-day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Louisiana</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For Employees who primarily reside or work in, or transfer employment and/or residency after the Grant Date to Louisiana, the Restricted Territory shall be as described below.</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Within the State of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Massachusetts</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Section 6 of Attachment I shall only apply to any Employee who primarily resides or works in, or transfers employment and/or residency after the Grant Date to Massachusetts and (i) is classified as exempt under the Fair Labor Standards Act, (ii) was not terminated without cause or laid off, (iii) who the Company Group pays on a pro-rata basis during the entirety of the restricted period following the date in which Employee ceases to be employed by the Company Group (but in no event longer than a one</w:t>
      </w:r>
    </w:p>
    <w:p>
      <w:pPr>
        <w:ind w:firstLine="8"/>
        <w:spacing w:after="0" w:line="239" w:lineRule="auto"/>
        <w:tabs>
          <w:tab w:leader="none" w:pos="32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year period) an amount equal to fifty percent (50%) of Employee’s highest annualized base salary paid by the Company Group within the two years preceding the date in which Employee ceases to be employed by the Company Group.</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Employee acknowledges that Employee was provided with this notice at least 10 days before the effective date of this Agreement. Employee acknowledges that Employee the Company has advised and hereby does advise Employee that Employee has the right to consult with an attorney of his or her choosing before executing this Agreement.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restriction in Section 6(b) of Attachment I shall be limited to the period of one (1) year following the date on which Employee ceases to be employed by the Company Group, unless Employee has breached his or her fiduciary duty to the Company Group or Employee has unlawfully taken, physically or electronically, property belonging to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7" w:name="page78"/>
    <w:bookmarkEnd w:id="77"/>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Nevada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 shall not apply to any Employee who primarily resides or works in, or transfers employment and/or residency after the Grant Date to Nevada and: (i) is paid solely on an hourly wage basis, exclusive of any tips or gratuities, or (ii) their termination was part of a reduction of force, reorganization, or similar restructuring of the Company Group (unless the Company Group pays Employee’s salary, benefits, or equivalent compensation, including severance pay, if any, during the restricted period).</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 shall not restrict Employee from providing a service to a former customer or client if (i) Employee did not solicit the former customer or client; (ii) the customer or client voluntarily chose to leave and sought Employee’s services; and (iii) Employee has otherwise complied with Section 6 of Attachment I regarding time, geographic area, and scope of the restrained activity, other than any limitation on providing services to a former customer or client of the Company Group who seeks the services of Employee without any contact instigated by Employee.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North Dakota</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Sections 6 and 7(b) of Attachment I shall not apply to any Employee who primarily resides or works in, or transfers employment and/or residency after the Grant Date to North Dakota.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Oklahoma</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Section 6 of Attachment I shall not apply to any Employee who primarily resides or works in, or transfers employment and/or residency after the Grant Date to Oklahoma.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C.2 - United Arab Emirates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the United Arab Emirates, or transfers employment and/or residency after the Grant Date to the United Arab Emirates, then the following terms shall apply to the noncompete and nonsolicit restrictions in Sections 6 and 7 of Attachment I after the date on which Employee ceases to be employed by the Company Group for as long as Employee continues to work or reside in such state.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Emirate of Dubai (including but not limited to the Dubai International Financial Centre) and the Emirate of Abu Dhabi (including but not limited to the Abu Dhabi Global Market).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clause in Section 6(b) of Attachment 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restriction in Section 7 of Attachment I shall be limited to the period of twelve (12) months following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rPr>
          <w:sz w:val="20"/>
          <w:szCs w:val="20"/>
          <w:color w:val="auto"/>
        </w:rPr>
      </w:pPr>
      <w:r>
        <w:rPr>
          <w:rFonts w:ascii="Arial" w:cs="Arial" w:eastAsia="Arial" w:hAnsi="Arial"/>
          <w:sz w:val="20"/>
          <w:szCs w:val="20"/>
          <w:color w:val="auto"/>
        </w:rPr>
        <w:t>The following clause in Section 7(a) of Attachment 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20"/>
          <w:szCs w:val="20"/>
          <w:b w:val="1"/>
          <w:bCs w:val="1"/>
          <w:u w:val="single" w:color="auto"/>
          <w:color w:val="auto"/>
        </w:rPr>
        <w:t>Appendix C.3 - Saudi Arabia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Saudi Arabia, or transfers employment and/or residency after the Grant Date to Saudi Arabia, then the following terms shall apply to the confidential information, noncompete and nonsolicit restrictions in Sections 3, 6 and 7 of Attachment I after the date on which Employee ceases to be employed by the Company Group for as long as Employee continues to work or reside in such state.</w:t>
      </w:r>
    </w:p>
    <w:p>
      <w:pPr>
        <w:spacing w:after="0" w:line="17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restriction in Section 3(c) of Attachment I shall only apply for 50 years following the termination of the Employee's employment.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Dhahran, Khobar, Dammam, Udhailiyahh, Khafji, or King Salman Energy Park (SPARK).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restriction in Section 7(a) of Attachment I shall be limited to employees, consultants, or contractors: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4" w:lineRule="exact"/>
        <w:rPr>
          <w:sz w:val="20"/>
          <w:szCs w:val="20"/>
          <w:color w:val="auto"/>
        </w:rPr>
      </w:pPr>
    </w:p>
    <w:p>
      <w:pPr>
        <w:ind w:left="1060" w:hanging="303"/>
        <w:spacing w:after="0"/>
        <w:tabs>
          <w:tab w:leader="none" w:pos="10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w:t>
      </w:r>
    </w:p>
    <w:p>
      <w:pPr>
        <w:spacing w:after="0" w:line="184" w:lineRule="exact"/>
        <w:rPr>
          <w:rFonts w:ascii="Arial" w:cs="Arial" w:eastAsia="Arial" w:hAnsi="Arial"/>
          <w:sz w:val="20"/>
          <w:szCs w:val="20"/>
          <w:color w:val="auto"/>
        </w:rPr>
      </w:pPr>
    </w:p>
    <w:p>
      <w:pPr>
        <w:ind w:left="1100" w:hanging="343"/>
        <w:spacing w:after="0"/>
        <w:tabs>
          <w:tab w:leader="none" w:pos="11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who worked in Employee’s business unit (Group); or</w:t>
      </w:r>
    </w:p>
    <w:p>
      <w:pPr>
        <w:spacing w:after="0" w:line="202" w:lineRule="exact"/>
        <w:rPr>
          <w:rFonts w:ascii="Arial" w:cs="Arial" w:eastAsia="Arial" w:hAnsi="Arial"/>
          <w:sz w:val="20"/>
          <w:szCs w:val="20"/>
          <w:color w:val="auto"/>
        </w:rPr>
      </w:pPr>
    </w:p>
    <w:p>
      <w:pPr>
        <w:ind w:left="1100" w:hanging="343"/>
        <w:spacing w:after="0"/>
        <w:tabs>
          <w:tab w:leader="none" w:pos="11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about whom Employee had access to confidential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jc w:val="both"/>
        <w:ind w:firstLine="8"/>
        <w:spacing w:after="0" w:line="241" w:lineRule="auto"/>
        <w:tabs>
          <w:tab w:leader="none" w:pos="29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who were engaged or employed by the Company or its Affiliates in Saudi Arabia on the date in which Employee ceases to be employed by the Company Group or was engaged or employed by the Company or its Affiliates in Saudi Arabia during the twelve (12)-month period immediately preceding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9" w:name="page80"/>
    <w:bookmarkEnd w:id="79"/>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96925" cy="651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796925" cy="6515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center"/>
        <w:spacing w:after="0" w:line="237" w:lineRule="auto"/>
        <w:rPr>
          <w:sz w:val="20"/>
          <w:szCs w:val="20"/>
          <w:color w:val="auto"/>
        </w:rPr>
      </w:pPr>
      <w:r>
        <w:rPr>
          <w:rFonts w:ascii="Arial" w:cs="Arial" w:eastAsia="Arial" w:hAnsi="Arial"/>
          <w:sz w:val="22"/>
          <w:szCs w:val="22"/>
          <w:b w:val="1"/>
          <w:bCs w:val="1"/>
          <w:color w:val="auto"/>
        </w:rPr>
        <w:t>20[ ] PERFORMANCE SHARE UNIT AWARD AGREEMENT (BASED ON FREE CASH FLOW MARGIN PERFORMANCE) under the</w:t>
      </w:r>
    </w:p>
    <w:p>
      <w:pPr>
        <w:spacing w:after="0" w:line="2"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SCHLUMBERGER 2017 OMNIBUS STOCK INCENTIVE PLAN</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u w:val="single" w:color="auto"/>
          <w:color w:val="auto"/>
        </w:rPr>
        <w:t>Includes Confidentiality, Intellectual Property, Non-Competition, and Non-Solicitation Provisions in Section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9 and Attachment II</w:t>
      </w:r>
      <w:r>
        <w:rPr>
          <w:rFonts w:ascii="Arial" w:cs="Arial" w:eastAsia="Arial" w:hAnsi="Arial"/>
          <w:sz w:val="22"/>
          <w:szCs w:val="22"/>
          <w:color w:val="auto"/>
        </w:rPr>
        <w:t>)</w:t>
      </w:r>
    </w:p>
    <w:p>
      <w:pPr>
        <w:spacing w:after="0" w:line="200" w:lineRule="exact"/>
        <w:rPr>
          <w:sz w:val="20"/>
          <w:szCs w:val="20"/>
          <w:color w:val="auto"/>
        </w:rPr>
      </w:pPr>
    </w:p>
    <w:p>
      <w:pPr>
        <w:spacing w:after="0" w:line="254" w:lineRule="exact"/>
        <w:rPr>
          <w:sz w:val="20"/>
          <w:szCs w:val="20"/>
          <w:color w:val="auto"/>
        </w:rPr>
      </w:pPr>
    </w:p>
    <w:tbl>
      <w:tblPr>
        <w:tblLayout w:type="fixed"/>
        <w:tblInd w:w="3280" w:type="dxa"/>
        <w:tblCellMar>
          <w:top w:w="0" w:type="dxa"/>
          <w:left w:w="0" w:type="dxa"/>
          <w:bottom w:w="0" w:type="dxa"/>
          <w:right w:w="0" w:type="dxa"/>
        </w:tblCellMar>
      </w:tblP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color w:val="auto"/>
              </w:rPr>
              <w:t>Performance Period: 20[</w:t>
            </w:r>
          </w:p>
        </w:tc>
        <w:tc>
          <w:tcPr>
            <w:tcW w:w="1920" w:type="dxa"/>
            <w:vAlign w:val="bottom"/>
          </w:tcPr>
          <w:p>
            <w:pPr>
              <w:ind w:left="220"/>
              <w:spacing w:after="0"/>
              <w:rPr>
                <w:sz w:val="20"/>
                <w:szCs w:val="20"/>
                <w:color w:val="auto"/>
              </w:rPr>
            </w:pPr>
            <w:r>
              <w:rPr>
                <w:rFonts w:ascii="Arial" w:cs="Arial" w:eastAsia="Arial" w:hAnsi="Arial"/>
                <w:sz w:val="22"/>
                <w:szCs w:val="22"/>
                <w:b w:val="1"/>
                <w:bCs w:val="1"/>
                <w:color w:val="auto"/>
              </w:rPr>
              <w:t>], 20[ ] and 20[ ]</w:t>
            </w:r>
          </w:p>
        </w:tc>
      </w:tr>
    </w:tbl>
    <w:p>
      <w:pPr>
        <w:spacing w:after="0" w:line="19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This Performance Share Unit Award Agreement (as may be amended, the “Agreement”) is granted to you (“Employee”) effective as of [ ], 20[ ] (the “Grant Date”) by Schlumberger Limited (the “Company”), pursuant to the Schlumberger 2017 Omnibus Stock Incentive Plan, as may be amended (the “Plan”).</w:t>
      </w:r>
    </w:p>
    <w:p>
      <w:pPr>
        <w:spacing w:after="0" w:line="170" w:lineRule="exact"/>
        <w:rPr>
          <w:sz w:val="20"/>
          <w:szCs w:val="20"/>
          <w:color w:val="auto"/>
        </w:rPr>
      </w:pPr>
    </w:p>
    <w:p>
      <w:pPr>
        <w:jc w:val="both"/>
        <w:ind w:firstLine="757"/>
        <w:spacing w:after="0" w:line="235" w:lineRule="auto"/>
        <w:tabs>
          <w:tab w:leader="none" w:pos="1018" w:val="left"/>
        </w:tabs>
        <w:numPr>
          <w:ilvl w:val="0"/>
          <w:numId w:val="109"/>
        </w:numPr>
        <w:rPr>
          <w:rFonts w:ascii="Arial" w:cs="Arial" w:eastAsia="Arial" w:hAnsi="Arial"/>
          <w:sz w:val="20"/>
          <w:szCs w:val="20"/>
          <w:color w:val="auto"/>
        </w:rPr>
      </w:pPr>
      <w:r>
        <w:rPr>
          <w:rFonts w:ascii="Arial" w:cs="Arial" w:eastAsia="Arial" w:hAnsi="Arial"/>
          <w:sz w:val="22"/>
          <w:szCs w:val="22"/>
          <w:u w:val="single" w:color="auto"/>
          <w:color w:val="auto"/>
        </w:rPr>
        <w:t>Award</w:t>
      </w:r>
      <w:r>
        <w:rPr>
          <w:rFonts w:ascii="Arial" w:cs="Arial" w:eastAsia="Arial" w:hAnsi="Arial"/>
          <w:sz w:val="22"/>
          <w:szCs w:val="22"/>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8" w:lineRule="exact"/>
        <w:rPr>
          <w:rFonts w:ascii="Arial" w:cs="Arial" w:eastAsia="Arial" w:hAnsi="Arial"/>
          <w:sz w:val="20"/>
          <w:szCs w:val="20"/>
          <w:color w:val="auto"/>
        </w:rPr>
      </w:pPr>
    </w:p>
    <w:p>
      <w:pPr>
        <w:ind w:firstLine="757"/>
        <w:spacing w:after="0" w:line="259" w:lineRule="auto"/>
        <w:tabs>
          <w:tab w:leader="none" w:pos="1018" w:val="left"/>
        </w:tabs>
        <w:numPr>
          <w:ilvl w:val="0"/>
          <w:numId w:val="109"/>
        </w:numPr>
        <w:rPr>
          <w:rFonts w:ascii="Arial" w:cs="Arial" w:eastAsia="Arial" w:hAnsi="Arial"/>
          <w:sz w:val="20"/>
          <w:szCs w:val="20"/>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 The period of time from and including January 1, 20[ ] to December 31, 20[ ] is the “Free Cash Flow Performance Period.” The Performance Share Units will vest as follows:</w:t>
      </w:r>
    </w:p>
    <w:p>
      <w:pPr>
        <w:spacing w:after="0" w:line="156" w:lineRule="exact"/>
        <w:rPr>
          <w:sz w:val="20"/>
          <w:szCs w:val="20"/>
          <w:color w:val="auto"/>
        </w:rPr>
      </w:pPr>
    </w:p>
    <w:p>
      <w:pPr>
        <w:jc w:val="both"/>
        <w:ind w:firstLine="757"/>
        <w:spacing w:after="0" w:line="246" w:lineRule="auto"/>
        <w:tabs>
          <w:tab w:leader="none" w:pos="1018" w:val="left"/>
        </w:tabs>
        <w:numPr>
          <w:ilvl w:val="0"/>
          <w:numId w:val="110"/>
        </w:numPr>
        <w:rPr>
          <w:rFonts w:ascii="Arial" w:cs="Arial" w:eastAsia="Arial" w:hAnsi="Arial"/>
          <w:sz w:val="19"/>
          <w:szCs w:val="19"/>
          <w:color w:val="auto"/>
        </w:rPr>
      </w:pPr>
      <w:r>
        <w:rPr>
          <w:rFonts w:ascii="Arial" w:cs="Arial" w:eastAsia="Arial" w:hAnsi="Arial"/>
          <w:sz w:val="21"/>
          <w:szCs w:val="21"/>
          <w:color w:val="auto"/>
        </w:rPr>
        <w:t>On the Friday following the first meeting of the Compensation Committee of the Board of Directors of the Company (the “Committee”) in 20[ ],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12(w)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59" w:lineRule="auto"/>
        <w:rPr>
          <w:sz w:val="20"/>
          <w:szCs w:val="20"/>
          <w:color w:val="auto"/>
        </w:rPr>
      </w:pPr>
      <w:r>
        <w:rPr>
          <w:rFonts w:ascii="Arial" w:cs="Arial" w:eastAsia="Arial" w:hAnsi="Arial"/>
          <w:sz w:val="22"/>
          <w:szCs w:val="22"/>
          <w:color w:val="auto"/>
        </w:rPr>
        <w:t>Employee has incurred a Termination of Employment, the cause of such termination or any related issue, and any such determination by the Committee or its delegate will be final and binding on all parties.</w:t>
      </w:r>
    </w:p>
    <w:p>
      <w:pPr>
        <w:spacing w:after="0" w:line="156" w:lineRule="exact"/>
        <w:rPr>
          <w:sz w:val="20"/>
          <w:szCs w:val="20"/>
          <w:color w:val="auto"/>
        </w:rPr>
      </w:pPr>
    </w:p>
    <w:p>
      <w:pPr>
        <w:jc w:val="both"/>
        <w:ind w:left="760" w:hanging="3"/>
        <w:spacing w:after="0"/>
        <w:tabs>
          <w:tab w:leader="none" w:pos="1029" w:val="left"/>
        </w:tabs>
        <w:numPr>
          <w:ilvl w:val="0"/>
          <w:numId w:val="111"/>
        </w:numPr>
        <w:rPr>
          <w:rFonts w:ascii="Arial" w:cs="Arial" w:eastAsia="Arial" w:hAnsi="Arial"/>
          <w:sz w:val="20"/>
          <w:szCs w:val="20"/>
          <w:color w:val="auto"/>
        </w:rPr>
      </w:pPr>
      <w:r>
        <w:rPr>
          <w:rFonts w:ascii="Arial" w:cs="Arial" w:eastAsia="Arial" w:hAnsi="Arial"/>
          <w:sz w:val="22"/>
          <w:szCs w:val="22"/>
          <w:color w:val="auto"/>
        </w:rPr>
        <w:t>(i) If Employee’s Termination of Employment occurs due to Retirement (as defined in Section 12(p) below), then the Performance Share Units will vest in accordance with Section 2(a) above as if Employee had remained continuously employed by the Company or any of its Subsidiaries from the Grant Date through the Vesting Date.</w:t>
      </w:r>
    </w:p>
    <w:p>
      <w:pPr>
        <w:spacing w:after="0" w:line="176" w:lineRule="exact"/>
        <w:rPr>
          <w:rFonts w:ascii="Arial" w:cs="Arial" w:eastAsia="Arial" w:hAnsi="Arial"/>
          <w:sz w:val="20"/>
          <w:szCs w:val="20"/>
          <w:color w:val="auto"/>
        </w:rPr>
      </w:pPr>
    </w:p>
    <w:p>
      <w:pPr>
        <w:jc w:val="both"/>
        <w:ind w:left="760" w:firstLine="745"/>
        <w:spacing w:after="0" w:line="248" w:lineRule="auto"/>
        <w:tabs>
          <w:tab w:leader="none" w:pos="1989" w:val="left"/>
        </w:tabs>
        <w:numPr>
          <w:ilvl w:val="1"/>
          <w:numId w:val="111"/>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Early Retirement (as defined in Section 12(i) below) or Special Retirement (as defined in Section 12(s) below, then, subject to the approval of (x) the Committee, if Employee is an executive officer of the Company at the time of Employee’s election to retire, or</w:t>
      </w:r>
    </w:p>
    <w:p>
      <w:pPr>
        <w:jc w:val="both"/>
        <w:ind w:left="760" w:hanging="3"/>
        <w:spacing w:after="0" w:line="234" w:lineRule="auto"/>
        <w:tabs>
          <w:tab w:leader="none" w:pos="110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Retirement Committee (as defined in Section 12(q)),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Vesting Date. Any approval under clauses (x) or (y) may be granted or withheld in the sole discretion of the Committee or the Retirement Committee, as applicable.</w:t>
      </w:r>
    </w:p>
    <w:p>
      <w:pPr>
        <w:spacing w:after="0" w:line="177" w:lineRule="exact"/>
        <w:rPr>
          <w:rFonts w:ascii="Arial" w:cs="Arial" w:eastAsia="Arial" w:hAnsi="Arial"/>
          <w:sz w:val="22"/>
          <w:szCs w:val="22"/>
          <w:color w:val="auto"/>
        </w:rPr>
      </w:pPr>
    </w:p>
    <w:p>
      <w:pPr>
        <w:jc w:val="both"/>
        <w:ind w:firstLine="757"/>
        <w:spacing w:after="0" w:line="245" w:lineRule="auto"/>
        <w:tabs>
          <w:tab w:leader="none" w:pos="1018" w:val="left"/>
        </w:tabs>
        <w:numPr>
          <w:ilvl w:val="0"/>
          <w:numId w:val="113"/>
        </w:numPr>
        <w:rPr>
          <w:rFonts w:ascii="Arial" w:cs="Arial" w:eastAsia="Arial" w:hAnsi="Arial"/>
          <w:sz w:val="20"/>
          <w:szCs w:val="20"/>
          <w:color w:val="auto"/>
        </w:rPr>
      </w:pPr>
      <w:r>
        <w:rPr>
          <w:rFonts w:ascii="Arial" w:cs="Arial" w:eastAsia="Arial" w:hAnsi="Arial"/>
          <w:sz w:val="22"/>
          <w:szCs w:val="22"/>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Vesting Date.</w:t>
      </w:r>
    </w:p>
    <w:p>
      <w:pPr>
        <w:spacing w:after="0" w:line="170" w:lineRule="exact"/>
        <w:rPr>
          <w:sz w:val="20"/>
          <w:szCs w:val="20"/>
          <w:color w:val="auto"/>
        </w:rPr>
      </w:pPr>
    </w:p>
    <w:p>
      <w:pPr>
        <w:jc w:val="both"/>
        <w:ind w:firstLine="757"/>
        <w:spacing w:after="0" w:line="238" w:lineRule="auto"/>
        <w:tabs>
          <w:tab w:leader="none" w:pos="1018" w:val="left"/>
        </w:tabs>
        <w:numPr>
          <w:ilvl w:val="0"/>
          <w:numId w:val="114"/>
        </w:numPr>
        <w:rPr>
          <w:rFonts w:ascii="Arial" w:cs="Arial" w:eastAsia="Arial" w:hAnsi="Arial"/>
          <w:sz w:val="20"/>
          <w:szCs w:val="20"/>
          <w:color w:val="auto"/>
        </w:rPr>
      </w:pPr>
      <w:r>
        <w:rPr>
          <w:rFonts w:ascii="Arial" w:cs="Arial" w:eastAsia="Arial" w:hAnsi="Arial"/>
          <w:sz w:val="22"/>
          <w:szCs w:val="22"/>
          <w:u w:val="single" w:color="auto"/>
          <w:color w:val="auto"/>
        </w:rPr>
        <w:t>Settlement of Performance Share Units</w:t>
      </w:r>
      <w:r>
        <w:rPr>
          <w:rFonts w:ascii="Arial" w:cs="Arial" w:eastAsia="Arial" w:hAnsi="Arial"/>
          <w:sz w:val="22"/>
          <w:szCs w:val="22"/>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76" w:lineRule="exact"/>
        <w:rPr>
          <w:rFonts w:ascii="Arial" w:cs="Arial" w:eastAsia="Arial" w:hAnsi="Arial"/>
          <w:sz w:val="20"/>
          <w:szCs w:val="20"/>
          <w:color w:val="auto"/>
        </w:rPr>
      </w:pPr>
    </w:p>
    <w:p>
      <w:pPr>
        <w:ind w:left="1020" w:hanging="263"/>
        <w:spacing w:after="0"/>
        <w:tabs>
          <w:tab w:leader="none" w:pos="1020" w:val="left"/>
        </w:tabs>
        <w:numPr>
          <w:ilvl w:val="0"/>
          <w:numId w:val="114"/>
        </w:numPr>
        <w:rPr>
          <w:rFonts w:ascii="Arial" w:cs="Arial" w:eastAsia="Arial" w:hAnsi="Arial"/>
          <w:sz w:val="20"/>
          <w:szCs w:val="20"/>
          <w:color w:val="auto"/>
        </w:rPr>
      </w:pP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36" w:lineRule="auto"/>
        <w:tabs>
          <w:tab w:leader="none" w:pos="1018" w:val="left"/>
        </w:tabs>
        <w:numPr>
          <w:ilvl w:val="0"/>
          <w:numId w:val="115"/>
        </w:numPr>
        <w:rPr>
          <w:rFonts w:ascii="Arial" w:cs="Arial" w:eastAsia="Arial" w:hAnsi="Arial"/>
          <w:sz w:val="20"/>
          <w:szCs w:val="20"/>
          <w:color w:val="auto"/>
        </w:rPr>
      </w:pPr>
      <w:r>
        <w:rPr>
          <w:rFonts w:ascii="Arial" w:cs="Arial" w:eastAsia="Arial" w:hAnsi="Arial"/>
          <w:sz w:val="22"/>
          <w:szCs w:val="22"/>
          <w:color w:val="auto"/>
        </w:rPr>
        <w:t>At any time during the Free Cash Flow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81" w:lineRule="exact"/>
        <w:rPr>
          <w:rFonts w:ascii="Arial" w:cs="Arial" w:eastAsia="Arial" w:hAnsi="Arial"/>
          <w:sz w:val="20"/>
          <w:szCs w:val="20"/>
          <w:color w:val="auto"/>
        </w:rPr>
      </w:pPr>
    </w:p>
    <w:p>
      <w:pPr>
        <w:jc w:val="both"/>
        <w:ind w:firstLine="757"/>
        <w:spacing w:after="0" w:line="262" w:lineRule="auto"/>
        <w:tabs>
          <w:tab w:leader="none" w:pos="1018" w:val="left"/>
        </w:tabs>
        <w:numPr>
          <w:ilvl w:val="0"/>
          <w:numId w:val="115"/>
        </w:numPr>
        <w:rPr>
          <w:rFonts w:ascii="Arial" w:cs="Arial" w:eastAsia="Arial" w:hAnsi="Arial"/>
          <w:sz w:val="19"/>
          <w:szCs w:val="19"/>
          <w:color w:val="auto"/>
        </w:rPr>
      </w:pPr>
      <w:r>
        <w:rPr>
          <w:rFonts w:ascii="Arial" w:cs="Arial" w:eastAsia="Arial" w:hAnsi="Arial"/>
          <w:sz w:val="21"/>
          <w:szCs w:val="21"/>
          <w:color w:val="auto"/>
        </w:rPr>
        <w:t>Notwithstanding any provision in this Agreement to the contrary, if at any time during the Free Cash Flow Performance Period and up to and including the Vesting Date, Employee engages in Detrimental Activity (as defined in Section 12(f) below), Employee will immediately and automatically forfeit all Performance Share Units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1" w:name="page82"/>
    <w:bookmarkEnd w:id="81"/>
    <w:p>
      <w:pPr>
        <w:jc w:val="both"/>
        <w:spacing w:after="0" w:line="245" w:lineRule="auto"/>
        <w:rPr>
          <w:sz w:val="20"/>
          <w:szCs w:val="20"/>
          <w:color w:val="auto"/>
        </w:rPr>
      </w:pPr>
      <w:r>
        <w:rPr>
          <w:rFonts w:ascii="Arial" w:cs="Arial" w:eastAsia="Arial" w:hAnsi="Arial"/>
          <w:sz w:val="22"/>
          <w:szCs w:val="22"/>
          <w:color w:val="auto"/>
        </w:rPr>
        <w:t>the payment of any consideration. Upon forfeiture, neither Employee nor any successors, heirs, assigns or legal representatives of Employee will thereafter have any further rights or interest in the unvested Performance Share Units.</w:t>
      </w:r>
    </w:p>
    <w:p>
      <w:pPr>
        <w:spacing w:after="0" w:line="170" w:lineRule="exact"/>
        <w:rPr>
          <w:sz w:val="20"/>
          <w:szCs w:val="20"/>
          <w:color w:val="auto"/>
        </w:rPr>
      </w:pPr>
    </w:p>
    <w:p>
      <w:pPr>
        <w:ind w:left="1020" w:hanging="263"/>
        <w:spacing w:after="0"/>
        <w:tabs>
          <w:tab w:leader="none" w:pos="1020" w:val="left"/>
        </w:tabs>
        <w:numPr>
          <w:ilvl w:val="0"/>
          <w:numId w:val="116"/>
        </w:numPr>
        <w:rPr>
          <w:rFonts w:ascii="Arial" w:cs="Arial" w:eastAsia="Arial" w:hAnsi="Arial"/>
          <w:sz w:val="20"/>
          <w:szCs w:val="20"/>
          <w:color w:val="auto"/>
        </w:rPr>
      </w:pP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36" w:lineRule="auto"/>
        <w:tabs>
          <w:tab w:leader="none" w:pos="1018" w:val="left"/>
        </w:tabs>
        <w:numPr>
          <w:ilvl w:val="0"/>
          <w:numId w:val="117"/>
        </w:numPr>
        <w:rPr>
          <w:rFonts w:ascii="Arial" w:cs="Arial" w:eastAsia="Arial" w:hAnsi="Arial"/>
          <w:sz w:val="20"/>
          <w:szCs w:val="20"/>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1" w:lineRule="exact"/>
        <w:rPr>
          <w:rFonts w:ascii="Arial" w:cs="Arial" w:eastAsia="Arial" w:hAnsi="Arial"/>
          <w:sz w:val="20"/>
          <w:szCs w:val="20"/>
          <w:color w:val="auto"/>
        </w:rPr>
      </w:pPr>
    </w:p>
    <w:p>
      <w:pPr>
        <w:jc w:val="both"/>
        <w:ind w:firstLine="757"/>
        <w:spacing w:after="0" w:line="236" w:lineRule="auto"/>
        <w:tabs>
          <w:tab w:leader="none" w:pos="1018" w:val="left"/>
        </w:tabs>
        <w:numPr>
          <w:ilvl w:val="0"/>
          <w:numId w:val="117"/>
        </w:numPr>
        <w:rPr>
          <w:rFonts w:ascii="Arial" w:cs="Arial" w:eastAsia="Arial" w:hAnsi="Arial"/>
          <w:sz w:val="20"/>
          <w:szCs w:val="20"/>
          <w:color w:val="auto"/>
        </w:rPr>
      </w:pPr>
      <w:r>
        <w:rPr>
          <w:rFonts w:ascii="Arial" w:cs="Arial" w:eastAsia="Arial" w:hAnsi="Arial"/>
          <w:sz w:val="22"/>
          <w:szCs w:val="22"/>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76" w:lineRule="exact"/>
        <w:rPr>
          <w:sz w:val="20"/>
          <w:szCs w:val="20"/>
          <w:color w:val="auto"/>
        </w:rPr>
      </w:pPr>
    </w:p>
    <w:p>
      <w:pPr>
        <w:jc w:val="both"/>
        <w:ind w:firstLine="757"/>
        <w:spacing w:after="0" w:line="245" w:lineRule="auto"/>
        <w:tabs>
          <w:tab w:leader="none" w:pos="1018" w:val="left"/>
        </w:tabs>
        <w:numPr>
          <w:ilvl w:val="0"/>
          <w:numId w:val="118"/>
        </w:numPr>
        <w:rPr>
          <w:rFonts w:ascii="Arial" w:cs="Arial" w:eastAsia="Arial" w:hAnsi="Arial"/>
          <w:sz w:val="20"/>
          <w:szCs w:val="20"/>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70" w:lineRule="exact"/>
        <w:rPr>
          <w:rFonts w:ascii="Arial" w:cs="Arial" w:eastAsia="Arial" w:hAnsi="Arial"/>
          <w:sz w:val="20"/>
          <w:szCs w:val="20"/>
          <w:color w:val="auto"/>
        </w:rPr>
      </w:pPr>
    </w:p>
    <w:p>
      <w:pPr>
        <w:ind w:left="1020" w:hanging="263"/>
        <w:spacing w:after="0"/>
        <w:tabs>
          <w:tab w:leader="none" w:pos="1020" w:val="left"/>
        </w:tabs>
        <w:numPr>
          <w:ilvl w:val="0"/>
          <w:numId w:val="118"/>
        </w:numPr>
        <w:rPr>
          <w:rFonts w:ascii="Arial" w:cs="Arial" w:eastAsia="Arial" w:hAnsi="Arial"/>
          <w:sz w:val="20"/>
          <w:szCs w:val="20"/>
          <w:color w:val="auto"/>
        </w:rPr>
      </w:pP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34" w:lineRule="auto"/>
        <w:tabs>
          <w:tab w:leader="none" w:pos="122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2" w:name="page83"/>
    <w:bookmarkEnd w:id="82"/>
    <w:p>
      <w:pPr>
        <w:jc w:val="both"/>
        <w:ind w:firstLine="757"/>
        <w:spacing w:after="0" w:line="234" w:lineRule="auto"/>
        <w:tabs>
          <w:tab w:leader="none" w:pos="130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83" w:lineRule="exact"/>
        <w:rPr>
          <w:rFonts w:ascii="Arial" w:cs="Arial" w:eastAsia="Arial" w:hAnsi="Arial"/>
          <w:sz w:val="22"/>
          <w:szCs w:val="22"/>
          <w:color w:val="auto"/>
        </w:rPr>
      </w:pPr>
    </w:p>
    <w:p>
      <w:pPr>
        <w:jc w:val="both"/>
        <w:ind w:firstLine="757"/>
        <w:spacing w:after="0" w:line="233" w:lineRule="auto"/>
        <w:tabs>
          <w:tab w:leader="none" w:pos="133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82" w:lineRule="exact"/>
        <w:rPr>
          <w:sz w:val="20"/>
          <w:szCs w:val="20"/>
          <w:color w:val="auto"/>
        </w:rPr>
      </w:pPr>
    </w:p>
    <w:p>
      <w:pPr>
        <w:jc w:val="both"/>
        <w:ind w:firstLine="757"/>
        <w:spacing w:after="0"/>
        <w:tabs>
          <w:tab w:leader="none" w:pos="1018" w:val="left"/>
        </w:tabs>
        <w:numPr>
          <w:ilvl w:val="0"/>
          <w:numId w:val="121"/>
        </w:numPr>
        <w:rPr>
          <w:rFonts w:ascii="Arial" w:cs="Arial" w:eastAsia="Arial" w:hAnsi="Arial"/>
          <w:sz w:val="20"/>
          <w:szCs w:val="20"/>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4" w:lineRule="exact"/>
        <w:rPr>
          <w:rFonts w:ascii="Arial" w:cs="Arial" w:eastAsia="Arial" w:hAnsi="Arial"/>
          <w:sz w:val="20"/>
          <w:szCs w:val="20"/>
          <w:color w:val="auto"/>
        </w:rPr>
      </w:pPr>
    </w:p>
    <w:p>
      <w:pPr>
        <w:ind w:left="1020" w:hanging="263"/>
        <w:spacing w:after="0"/>
        <w:tabs>
          <w:tab w:leader="none" w:pos="1020" w:val="left"/>
        </w:tabs>
        <w:numPr>
          <w:ilvl w:val="0"/>
          <w:numId w:val="121"/>
        </w:numPr>
        <w:rPr>
          <w:rFonts w:ascii="Arial" w:cs="Arial" w:eastAsia="Arial" w:hAnsi="Arial"/>
          <w:sz w:val="20"/>
          <w:szCs w:val="20"/>
          <w:color w:val="auto"/>
        </w:rPr>
      </w:pPr>
      <w:r>
        <w:rPr>
          <w:rFonts w:ascii="Arial" w:cs="Arial" w:eastAsia="Arial" w:hAnsi="Arial"/>
          <w:sz w:val="22"/>
          <w:szCs w:val="22"/>
          <w:u w:val="single" w:color="auto"/>
          <w:color w:val="auto"/>
        </w:rPr>
        <w:t>Confidential  Information,  Intellectual  Property  and  Noncompetition</w:t>
      </w:r>
      <w:r>
        <w:rPr>
          <w:rFonts w:ascii="Arial" w:cs="Arial" w:eastAsia="Arial" w:hAnsi="Arial"/>
          <w:sz w:val="22"/>
          <w:szCs w:val="22"/>
          <w:color w:val="auto"/>
        </w:rPr>
        <w:t xml:space="preserve">.  </w:t>
      </w:r>
      <w:r>
        <w:rPr>
          <w:rFonts w:ascii="Arial" w:cs="Arial" w:eastAsia="Arial" w:hAnsi="Arial"/>
          <w:sz w:val="22"/>
          <w:szCs w:val="22"/>
          <w:b w:val="1"/>
          <w:bCs w:val="1"/>
          <w:color w:val="auto"/>
        </w:rPr>
        <w:t>Employee  acknowledges  that</w:t>
      </w:r>
    </w:p>
    <w:p>
      <w:pPr>
        <w:spacing w:after="0" w:line="12" w:lineRule="exact"/>
        <w:rPr>
          <w:rFonts w:ascii="Arial" w:cs="Arial" w:eastAsia="Arial" w:hAnsi="Arial"/>
          <w:sz w:val="20"/>
          <w:szCs w:val="20"/>
          <w:color w:val="auto"/>
        </w:rPr>
      </w:pPr>
    </w:p>
    <w:p>
      <w:pPr>
        <w:jc w:val="both"/>
        <w:spacing w:after="0" w:line="234" w:lineRule="auto"/>
        <w:rPr>
          <w:rFonts w:ascii="Arial" w:cs="Arial" w:eastAsia="Arial" w:hAnsi="Arial"/>
          <w:sz w:val="20"/>
          <w:szCs w:val="20"/>
          <w:color w:val="auto"/>
        </w:rPr>
      </w:pPr>
      <w:r>
        <w:rPr>
          <w:rFonts w:ascii="Arial" w:cs="Arial" w:eastAsia="Arial" w:hAnsi="Arial"/>
          <w:sz w:val="22"/>
          <w:szCs w:val="22"/>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3" w:name="page84"/>
    <w:bookmarkEnd w:id="83"/>
    <w:p>
      <w:pPr>
        <w:jc w:val="both"/>
        <w:ind w:firstLine="749"/>
        <w:spacing w:after="0" w:line="248" w:lineRule="auto"/>
        <w:rPr>
          <w:sz w:val="20"/>
          <w:szCs w:val="20"/>
          <w:color w:val="auto"/>
        </w:rPr>
      </w:pPr>
      <w:r>
        <w:rPr>
          <w:rFonts w:ascii="Arial" w:cs="Arial" w:eastAsia="Arial" w:hAnsi="Arial"/>
          <w:sz w:val="20"/>
          <w:szCs w:val="20"/>
          <w:color w:val="auto"/>
        </w:rPr>
        <w:t>10.</w:t>
      </w:r>
      <w:r>
        <w:rPr>
          <w:rFonts w:ascii="Arial" w:cs="Arial" w:eastAsia="Arial" w:hAnsi="Arial"/>
          <w:sz w:val="21"/>
          <w:szCs w:val="21"/>
          <w:u w:val="single" w:color="auto"/>
          <w:color w:val="auto"/>
        </w:rPr>
        <w:t>Compliance with Securities Laws</w:t>
      </w:r>
      <w:r>
        <w:rPr>
          <w:rFonts w:ascii="Arial" w:cs="Arial" w:eastAsia="Arial" w:hAnsi="Arial"/>
          <w:sz w:val="20"/>
          <w:szCs w:val="20"/>
          <w:color w:val="auto"/>
        </w:rPr>
        <w:t xml:space="preserve"> </w:t>
      </w:r>
      <w:r>
        <w:rPr>
          <w:rFonts w:ascii="Arial" w:cs="Arial" w:eastAsia="Arial" w:hAnsi="Arial"/>
          <w:sz w:val="21"/>
          <w:szCs w:val="21"/>
          <w:color w:val="auto"/>
        </w:rPr>
        <w:t>. The Company will not be required to deliver any shares of Common</w:t>
      </w:r>
      <w:r>
        <w:rPr>
          <w:rFonts w:ascii="Arial" w:cs="Arial" w:eastAsia="Arial" w:hAnsi="Arial"/>
          <w:sz w:val="20"/>
          <w:szCs w:val="20"/>
          <w:color w:val="auto"/>
        </w:rPr>
        <w:t xml:space="preserve"> </w:t>
      </w:r>
      <w:r>
        <w:rPr>
          <w:rFonts w:ascii="Arial" w:cs="Arial" w:eastAsia="Arial" w:hAnsi="Arial"/>
          <w:sz w:val="21"/>
          <w:szCs w:val="21"/>
          <w:color w:val="auto"/>
        </w:rPr>
        <w:t>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w:t>
      </w:r>
      <w:r>
        <w:rPr>
          <w:rFonts w:ascii="Arial" w:cs="Arial" w:eastAsia="Arial" w:hAnsi="Arial"/>
          <w:sz w:val="21"/>
          <w:szCs w:val="21"/>
          <w:u w:val="single" w:color="auto"/>
          <w:color w:val="auto"/>
        </w:rPr>
        <w:t>Limitation of Rights</w:t>
      </w:r>
      <w:r>
        <w:rPr>
          <w:rFonts w:ascii="Arial" w:cs="Arial" w:eastAsia="Arial" w:hAnsi="Arial"/>
          <w:sz w:val="21"/>
          <w:szCs w:val="21"/>
          <w:color w:val="auto"/>
        </w:rPr>
        <w:t>. Nothing in this Agreement or the Plan may be construed to:</w:t>
      </w:r>
    </w:p>
    <w:p>
      <w:pPr>
        <w:spacing w:after="0" w:line="218" w:lineRule="exact"/>
        <w:rPr>
          <w:sz w:val="20"/>
          <w:szCs w:val="20"/>
          <w:color w:val="auto"/>
        </w:rPr>
      </w:pPr>
    </w:p>
    <w:p>
      <w:pPr>
        <w:ind w:firstLine="757"/>
        <w:spacing w:after="0" w:line="259" w:lineRule="auto"/>
        <w:tabs>
          <w:tab w:leader="none" w:pos="1018" w:val="left"/>
        </w:tabs>
        <w:numPr>
          <w:ilvl w:val="0"/>
          <w:numId w:val="122"/>
        </w:numPr>
        <w:rPr>
          <w:rFonts w:ascii="Arial" w:cs="Arial" w:eastAsia="Arial" w:hAnsi="Arial"/>
          <w:sz w:val="20"/>
          <w:szCs w:val="20"/>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56" w:lineRule="exact"/>
        <w:rPr>
          <w:rFonts w:ascii="Arial" w:cs="Arial" w:eastAsia="Arial" w:hAnsi="Arial"/>
          <w:sz w:val="20"/>
          <w:szCs w:val="20"/>
          <w:color w:val="auto"/>
        </w:rPr>
      </w:pPr>
    </w:p>
    <w:p>
      <w:pPr>
        <w:ind w:right="20" w:firstLine="757"/>
        <w:spacing w:after="0" w:line="259" w:lineRule="auto"/>
        <w:tabs>
          <w:tab w:leader="none" w:pos="1018" w:val="left"/>
        </w:tabs>
        <w:numPr>
          <w:ilvl w:val="0"/>
          <w:numId w:val="122"/>
        </w:numPr>
        <w:rPr>
          <w:rFonts w:ascii="Arial" w:cs="Arial" w:eastAsia="Arial" w:hAnsi="Arial"/>
          <w:sz w:val="20"/>
          <w:szCs w:val="20"/>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56" w:lineRule="exact"/>
        <w:rPr>
          <w:rFonts w:ascii="Arial" w:cs="Arial" w:eastAsia="Arial" w:hAnsi="Arial"/>
          <w:sz w:val="20"/>
          <w:szCs w:val="20"/>
          <w:color w:val="auto"/>
        </w:rPr>
      </w:pPr>
    </w:p>
    <w:p>
      <w:pPr>
        <w:ind w:firstLine="757"/>
        <w:spacing w:after="0" w:line="259" w:lineRule="auto"/>
        <w:tabs>
          <w:tab w:leader="none" w:pos="1018" w:val="left"/>
        </w:tabs>
        <w:numPr>
          <w:ilvl w:val="0"/>
          <w:numId w:val="122"/>
        </w:numPr>
        <w:rPr>
          <w:rFonts w:ascii="Arial" w:cs="Arial" w:eastAsia="Arial" w:hAnsi="Arial"/>
          <w:sz w:val="20"/>
          <w:szCs w:val="20"/>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12.</w:t>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18" w:lineRule="exact"/>
        <w:rPr>
          <w:sz w:val="20"/>
          <w:szCs w:val="20"/>
          <w:color w:val="auto"/>
        </w:rPr>
      </w:pPr>
    </w:p>
    <w:p>
      <w:pPr>
        <w:ind w:left="1020" w:hanging="263"/>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0"/>
          <w:szCs w:val="20"/>
          <w:color w:val="auto"/>
        </w:rPr>
      </w:pPr>
    </w:p>
    <w:p>
      <w:pPr>
        <w:jc w:val="both"/>
        <w:ind w:firstLine="757"/>
        <w:spacing w:after="0" w:line="234" w:lineRule="auto"/>
        <w:tabs>
          <w:tab w:leader="none" w:pos="1018" w:val="left"/>
        </w:tabs>
        <w:numPr>
          <w:ilvl w:val="0"/>
          <w:numId w:val="123"/>
        </w:numPr>
        <w:rPr>
          <w:rFonts w:ascii="Arial" w:cs="Arial" w:eastAsia="Arial" w:hAnsi="Arial"/>
          <w:sz w:val="20"/>
          <w:szCs w:val="20"/>
          <w:color w:val="auto"/>
        </w:rPr>
      </w:pPr>
      <w:r>
        <w:rPr>
          <w:rFonts w:ascii="Arial" w:cs="Arial" w:eastAsia="Arial" w:hAnsi="Arial"/>
          <w:sz w:val="22"/>
          <w:szCs w:val="22"/>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Vesting Date; (v) is determined to have engaged (whether or not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4" w:name="page85"/>
    <w:bookmarkEnd w:id="84"/>
    <w:p>
      <w:pPr>
        <w:jc w:val="both"/>
        <w:spacing w:after="0" w:line="236" w:lineRule="auto"/>
        <w:rPr>
          <w:sz w:val="20"/>
          <w:szCs w:val="20"/>
          <w:color w:val="auto"/>
        </w:rPr>
      </w:pPr>
      <w:r>
        <w:rPr>
          <w:rFonts w:ascii="Arial" w:cs="Arial" w:eastAsia="Arial" w:hAnsi="Arial"/>
          <w:sz w:val="22"/>
          <w:szCs w:val="22"/>
          <w:color w:val="auto"/>
        </w:rPr>
        <w:t>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82" w:lineRule="exact"/>
        <w:rPr>
          <w:sz w:val="20"/>
          <w:szCs w:val="20"/>
          <w:color w:val="auto"/>
        </w:rPr>
      </w:pPr>
    </w:p>
    <w:p>
      <w:pPr>
        <w:jc w:val="both"/>
        <w:ind w:firstLine="757"/>
        <w:spacing w:after="0" w:line="238" w:lineRule="auto"/>
        <w:tabs>
          <w:tab w:leader="none" w:pos="1106" w:val="left"/>
        </w:tabs>
        <w:numPr>
          <w:ilvl w:val="0"/>
          <w:numId w:val="124"/>
        </w:numPr>
        <w:rPr>
          <w:rFonts w:ascii="Arial" w:cs="Arial" w:eastAsia="Arial" w:hAnsi="Arial"/>
          <w:sz w:val="20"/>
          <w:szCs w:val="20"/>
          <w:color w:val="auto"/>
        </w:rPr>
      </w:pPr>
      <w:r>
        <w:rPr>
          <w:rFonts w:ascii="Arial" w:cs="Arial" w:eastAsia="Arial" w:hAnsi="Arial"/>
          <w:sz w:val="22"/>
          <w:szCs w:val="22"/>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clause (i) and this clause (ii), any and all of their parents, subsidiaries, affiliates, joint ventures, divisions, successors, or assigns.</w:t>
      </w:r>
    </w:p>
    <w:p>
      <w:pPr>
        <w:spacing w:after="0" w:line="176" w:lineRule="exact"/>
        <w:rPr>
          <w:rFonts w:ascii="Arial" w:cs="Arial" w:eastAsia="Arial" w:hAnsi="Arial"/>
          <w:sz w:val="20"/>
          <w:szCs w:val="20"/>
          <w:color w:val="auto"/>
        </w:rPr>
      </w:pPr>
    </w:p>
    <w:p>
      <w:pPr>
        <w:jc w:val="both"/>
        <w:ind w:firstLine="757"/>
        <w:spacing w:after="0" w:line="245" w:lineRule="auto"/>
        <w:tabs>
          <w:tab w:leader="none" w:pos="1018" w:val="left"/>
        </w:tabs>
        <w:numPr>
          <w:ilvl w:val="0"/>
          <w:numId w:val="124"/>
        </w:numPr>
        <w:rPr>
          <w:rFonts w:ascii="Arial" w:cs="Arial" w:eastAsia="Arial" w:hAnsi="Arial"/>
          <w:sz w:val="20"/>
          <w:szCs w:val="20"/>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0" w:lineRule="exact"/>
        <w:rPr>
          <w:rFonts w:ascii="Arial" w:cs="Arial" w:eastAsia="Arial" w:hAnsi="Arial"/>
          <w:sz w:val="20"/>
          <w:szCs w:val="20"/>
          <w:color w:val="auto"/>
        </w:rPr>
      </w:pPr>
    </w:p>
    <w:p>
      <w:pPr>
        <w:ind w:right="20" w:firstLine="757"/>
        <w:spacing w:after="0" w:line="259" w:lineRule="auto"/>
        <w:tabs>
          <w:tab w:leader="none" w:pos="1018" w:val="left"/>
        </w:tabs>
        <w:numPr>
          <w:ilvl w:val="0"/>
          <w:numId w:val="124"/>
        </w:numPr>
        <w:rPr>
          <w:rFonts w:ascii="Arial" w:cs="Arial" w:eastAsia="Arial" w:hAnsi="Arial"/>
          <w:sz w:val="20"/>
          <w:szCs w:val="20"/>
          <w:color w:val="auto"/>
        </w:rPr>
      </w:pPr>
      <w:r>
        <w:rPr>
          <w:rFonts w:ascii="Arial" w:cs="Arial" w:eastAsia="Arial" w:hAnsi="Arial"/>
          <w:sz w:val="22"/>
          <w:szCs w:val="22"/>
          <w:color w:val="auto"/>
        </w:rPr>
        <w:t>“Early Retirement” means Employee’s voluntary election to retire from employment with the Company and its Subsidiaries at any time after Employee has reached both the age of 50 and 20 years of service.</w:t>
      </w:r>
    </w:p>
    <w:p>
      <w:pPr>
        <w:spacing w:after="0" w:line="156" w:lineRule="exact"/>
        <w:rPr>
          <w:rFonts w:ascii="Arial" w:cs="Arial" w:eastAsia="Arial" w:hAnsi="Arial"/>
          <w:sz w:val="20"/>
          <w:szCs w:val="20"/>
          <w:color w:val="auto"/>
        </w:rPr>
      </w:pPr>
    </w:p>
    <w:p>
      <w:pPr>
        <w:ind w:left="1020" w:hanging="263"/>
        <w:spacing w:after="0"/>
        <w:tabs>
          <w:tab w:leader="none" w:pos="1020" w:val="left"/>
        </w:tabs>
        <w:numPr>
          <w:ilvl w:val="0"/>
          <w:numId w:val="124"/>
        </w:numPr>
        <w:rPr>
          <w:rFonts w:ascii="Arial" w:cs="Arial" w:eastAsia="Arial" w:hAnsi="Arial"/>
          <w:sz w:val="20"/>
          <w:szCs w:val="20"/>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0"/>
          <w:szCs w:val="20"/>
          <w:color w:val="auto"/>
        </w:rPr>
      </w:pPr>
    </w:p>
    <w:p>
      <w:pPr>
        <w:jc w:val="both"/>
        <w:ind w:firstLine="757"/>
        <w:spacing w:after="0" w:line="236" w:lineRule="auto"/>
        <w:tabs>
          <w:tab w:leader="none" w:pos="1018" w:val="left"/>
        </w:tabs>
        <w:numPr>
          <w:ilvl w:val="0"/>
          <w:numId w:val="124"/>
        </w:numPr>
        <w:rPr>
          <w:rFonts w:ascii="Arial" w:cs="Arial" w:eastAsia="Arial" w:hAnsi="Arial"/>
          <w:sz w:val="20"/>
          <w:szCs w:val="20"/>
          <w:color w:val="auto"/>
        </w:rPr>
      </w:pPr>
      <w:r>
        <w:rPr>
          <w:rFonts w:ascii="Arial" w:cs="Arial" w:eastAsia="Arial" w:hAnsi="Arial"/>
          <w:sz w:val="22"/>
          <w:szCs w:val="22"/>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81" w:lineRule="exact"/>
        <w:rPr>
          <w:rFonts w:ascii="Arial" w:cs="Arial" w:eastAsia="Arial" w:hAnsi="Arial"/>
          <w:sz w:val="20"/>
          <w:szCs w:val="20"/>
          <w:color w:val="auto"/>
        </w:rPr>
      </w:pPr>
    </w:p>
    <w:p>
      <w:pPr>
        <w:ind w:left="1020" w:hanging="263"/>
        <w:spacing w:after="0"/>
        <w:tabs>
          <w:tab w:leader="none" w:pos="1020" w:val="left"/>
        </w:tabs>
        <w:numPr>
          <w:ilvl w:val="0"/>
          <w:numId w:val="124"/>
        </w:numPr>
        <w:rPr>
          <w:rFonts w:ascii="Arial" w:cs="Arial" w:eastAsia="Arial" w:hAnsi="Arial"/>
          <w:sz w:val="20"/>
          <w:szCs w:val="20"/>
          <w:color w:val="auto"/>
        </w:rPr>
      </w:pPr>
      <w:r>
        <w:rPr>
          <w:rFonts w:ascii="Arial" w:cs="Arial" w:eastAsia="Arial" w:hAnsi="Arial"/>
          <w:sz w:val="22"/>
          <w:szCs w:val="22"/>
          <w:color w:val="auto"/>
        </w:rPr>
        <w:t>“Grant Date” is defined in the introduction.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w:t>
      </w:r>
      <w:r>
        <w:rPr>
          <w:rFonts w:ascii="Arial" w:cs="Arial" w:eastAsia="Arial" w:hAnsi="Arial"/>
          <w:sz w:val="21"/>
          <w:szCs w:val="21"/>
          <w:color w:val="auto"/>
        </w:rPr>
        <w:t>“Free Cash Flow Performance Period” is defined in Section 2.</w:t>
      </w:r>
    </w:p>
    <w:p>
      <w:pPr>
        <w:spacing w:after="0" w:line="218" w:lineRule="exact"/>
        <w:rPr>
          <w:sz w:val="20"/>
          <w:szCs w:val="20"/>
          <w:color w:val="auto"/>
        </w:rPr>
      </w:pPr>
    </w:p>
    <w:p>
      <w:pPr>
        <w:ind w:left="1020" w:hanging="263"/>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0"/>
          <w:szCs w:val="20"/>
          <w:color w:val="auto"/>
        </w:rPr>
      </w:pPr>
    </w:p>
    <w:p>
      <w:pPr>
        <w:ind w:firstLine="757"/>
        <w:spacing w:after="0" w:line="259" w:lineRule="auto"/>
        <w:tabs>
          <w:tab w:leader="none" w:pos="1018" w:val="left"/>
        </w:tabs>
        <w:numPr>
          <w:ilvl w:val="0"/>
          <w:numId w:val="125"/>
        </w:numPr>
        <w:rPr>
          <w:rFonts w:ascii="Arial" w:cs="Arial" w:eastAsia="Arial" w:hAnsi="Arial"/>
          <w:sz w:val="20"/>
          <w:szCs w:val="20"/>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5" w:name="page86"/>
    <w:bookmarkEnd w:id="85"/>
    <w:p>
      <w:pPr>
        <w:ind w:right="20" w:firstLine="757"/>
        <w:spacing w:after="0" w:line="259" w:lineRule="auto"/>
        <w:tabs>
          <w:tab w:leader="none" w:pos="1018" w:val="left"/>
        </w:tabs>
        <w:numPr>
          <w:ilvl w:val="0"/>
          <w:numId w:val="126"/>
        </w:numPr>
        <w:rPr>
          <w:rFonts w:ascii="Arial" w:cs="Arial" w:eastAsia="Arial" w:hAnsi="Arial"/>
          <w:sz w:val="20"/>
          <w:szCs w:val="20"/>
          <w:color w:val="auto"/>
        </w:rPr>
      </w:pPr>
      <w:r>
        <w:rPr>
          <w:rFonts w:ascii="Arial" w:cs="Arial" w:eastAsia="Arial" w:hAnsi="Arial"/>
          <w:sz w:val="22"/>
          <w:szCs w:val="22"/>
          <w:color w:val="auto"/>
        </w:rPr>
        <w:t>“Retirement Committee” means a committee consisting of Company’s Chief People Officer, the Director of HR Operations and the Director of Total Rewards.</w:t>
      </w:r>
    </w:p>
    <w:p>
      <w:pPr>
        <w:spacing w:after="0" w:line="156" w:lineRule="exact"/>
        <w:rPr>
          <w:rFonts w:ascii="Arial" w:cs="Arial" w:eastAsia="Arial" w:hAnsi="Arial"/>
          <w:sz w:val="20"/>
          <w:szCs w:val="20"/>
          <w:color w:val="auto"/>
        </w:rPr>
      </w:pPr>
    </w:p>
    <w:p>
      <w:pPr>
        <w:ind w:left="1020" w:hanging="263"/>
        <w:spacing w:after="0"/>
        <w:tabs>
          <w:tab w:leader="none" w:pos="1020" w:val="left"/>
        </w:tabs>
        <w:numPr>
          <w:ilvl w:val="0"/>
          <w:numId w:val="126"/>
        </w:numPr>
        <w:rPr>
          <w:rFonts w:ascii="Arial" w:cs="Arial" w:eastAsia="Arial" w:hAnsi="Arial"/>
          <w:sz w:val="20"/>
          <w:szCs w:val="20"/>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0"/>
          <w:szCs w:val="20"/>
          <w:color w:val="auto"/>
        </w:rPr>
      </w:pPr>
    </w:p>
    <w:p>
      <w:pPr>
        <w:ind w:right="20" w:firstLine="757"/>
        <w:spacing w:after="0" w:line="259" w:lineRule="auto"/>
        <w:tabs>
          <w:tab w:leader="none" w:pos="1018" w:val="left"/>
        </w:tabs>
        <w:numPr>
          <w:ilvl w:val="0"/>
          <w:numId w:val="126"/>
        </w:numPr>
        <w:rPr>
          <w:rFonts w:ascii="Arial" w:cs="Arial" w:eastAsia="Arial" w:hAnsi="Arial"/>
          <w:sz w:val="20"/>
          <w:szCs w:val="20"/>
          <w:color w:val="auto"/>
        </w:rPr>
      </w:pPr>
      <w:r>
        <w:rPr>
          <w:rFonts w:ascii="Arial" w:cs="Arial" w:eastAsia="Arial" w:hAnsi="Arial"/>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56" w:lineRule="exact"/>
        <w:rPr>
          <w:rFonts w:ascii="Arial" w:cs="Arial" w:eastAsia="Arial" w:hAnsi="Arial"/>
          <w:sz w:val="20"/>
          <w:szCs w:val="20"/>
          <w:color w:val="auto"/>
        </w:rPr>
      </w:pPr>
    </w:p>
    <w:p>
      <w:pPr>
        <w:jc w:val="both"/>
        <w:ind w:firstLine="757"/>
        <w:spacing w:after="0" w:line="238" w:lineRule="auto"/>
        <w:tabs>
          <w:tab w:leader="none" w:pos="1018" w:val="left"/>
        </w:tabs>
        <w:numPr>
          <w:ilvl w:val="0"/>
          <w:numId w:val="126"/>
        </w:numPr>
        <w:rPr>
          <w:rFonts w:ascii="Arial" w:cs="Arial" w:eastAsia="Arial" w:hAnsi="Arial"/>
          <w:sz w:val="20"/>
          <w:szCs w:val="20"/>
          <w:color w:val="auto"/>
        </w:rPr>
      </w:pPr>
      <w:r>
        <w:rPr>
          <w:rFonts w:ascii="Arial" w:cs="Arial" w:eastAsia="Arial" w:hAnsi="Arial"/>
          <w:sz w:val="22"/>
          <w:szCs w:val="22"/>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6" w:lineRule="exact"/>
        <w:rPr>
          <w:rFonts w:ascii="Arial" w:cs="Arial" w:eastAsia="Arial" w:hAnsi="Arial"/>
          <w:sz w:val="20"/>
          <w:szCs w:val="20"/>
          <w:color w:val="auto"/>
        </w:rPr>
      </w:pPr>
    </w:p>
    <w:p>
      <w:pPr>
        <w:ind w:left="1020" w:hanging="263"/>
        <w:spacing w:after="0"/>
        <w:tabs>
          <w:tab w:leader="none" w:pos="1020" w:val="left"/>
        </w:tabs>
        <w:numPr>
          <w:ilvl w:val="0"/>
          <w:numId w:val="126"/>
        </w:numPr>
        <w:rPr>
          <w:rFonts w:ascii="Arial" w:cs="Arial" w:eastAsia="Arial" w:hAnsi="Arial"/>
          <w:sz w:val="20"/>
          <w:szCs w:val="20"/>
          <w:color w:val="auto"/>
        </w:rPr>
      </w:pPr>
      <w:r>
        <w:rPr>
          <w:rFonts w:ascii="Arial" w:cs="Arial" w:eastAsia="Arial" w:hAnsi="Arial"/>
          <w:sz w:val="22"/>
          <w:szCs w:val="22"/>
          <w:color w:val="auto"/>
        </w:rPr>
        <w:t>“Tax Date” is defined in Section 7(b).</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26"/>
        </w:numPr>
        <w:rPr>
          <w:rFonts w:ascii="Arial" w:cs="Arial" w:eastAsia="Arial" w:hAnsi="Arial"/>
          <w:sz w:val="20"/>
          <w:szCs w:val="20"/>
          <w:color w:val="auto"/>
        </w:rPr>
      </w:pPr>
      <w:r>
        <w:rPr>
          <w:rFonts w:ascii="Arial" w:cs="Arial" w:eastAsia="Arial" w:hAnsi="Arial"/>
          <w:sz w:val="22"/>
          <w:szCs w:val="22"/>
          <w:color w:val="auto"/>
        </w:rPr>
        <w:t>“Tax-Related Items” is defined in Section 7(a).</w:t>
      </w:r>
    </w:p>
    <w:p>
      <w:pPr>
        <w:spacing w:after="0" w:line="20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(w)</w:t>
      </w:r>
      <w:r>
        <w:rPr>
          <w:rFonts w:ascii="Arial" w:cs="Arial" w:eastAsia="Arial" w:hAnsi="Arial"/>
          <w:sz w:val="21"/>
          <w:szCs w:val="21"/>
          <w:color w:val="auto"/>
        </w:rPr>
        <w:t>“Termination of Employment” means the voluntary or involuntary termination of Employee’s employment</w:t>
      </w:r>
      <w:r>
        <w:rPr>
          <w:rFonts w:ascii="Arial" w:cs="Arial" w:eastAsia="Arial" w:hAnsi="Arial"/>
          <w:sz w:val="20"/>
          <w:szCs w:val="20"/>
          <w:color w:val="auto"/>
        </w:rPr>
        <w:t xml:space="preserve"> </w:t>
      </w:r>
      <w:r>
        <w:rPr>
          <w:rFonts w:ascii="Arial" w:cs="Arial" w:eastAsia="Arial" w:hAnsi="Arial"/>
          <w:sz w:val="21"/>
          <w:szCs w:val="21"/>
          <w:color w:val="auto"/>
        </w:rPr>
        <w:t>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62" w:lineRule="exact"/>
        <w:rPr>
          <w:sz w:val="20"/>
          <w:szCs w:val="20"/>
          <w:color w:val="auto"/>
        </w:rPr>
      </w:pPr>
    </w:p>
    <w:p>
      <w:pPr>
        <w:ind w:left="1020" w:hanging="263"/>
        <w:spacing w:after="0"/>
        <w:tabs>
          <w:tab w:leader="none" w:pos="1020" w:val="left"/>
        </w:tabs>
        <w:numPr>
          <w:ilvl w:val="0"/>
          <w:numId w:val="127"/>
        </w:numPr>
        <w:rPr>
          <w:rFonts w:ascii="Arial" w:cs="Arial" w:eastAsia="Arial" w:hAnsi="Arial"/>
          <w:sz w:val="20"/>
          <w:szCs w:val="20"/>
          <w:color w:val="auto"/>
        </w:rPr>
      </w:pPr>
      <w:r>
        <w:rPr>
          <w:rFonts w:ascii="Arial" w:cs="Arial" w:eastAsia="Arial" w:hAnsi="Arial"/>
          <w:sz w:val="22"/>
          <w:szCs w:val="22"/>
          <w:color w:val="auto"/>
        </w:rPr>
        <w:t>“Transfer” is defined in Section 5(a).</w:t>
      </w:r>
    </w:p>
    <w:p>
      <w:pPr>
        <w:spacing w:after="0" w:line="206" w:lineRule="exact"/>
        <w:rPr>
          <w:rFonts w:ascii="Arial" w:cs="Arial" w:eastAsia="Arial" w:hAnsi="Arial"/>
          <w:sz w:val="20"/>
          <w:szCs w:val="20"/>
          <w:color w:val="auto"/>
        </w:rPr>
      </w:pPr>
    </w:p>
    <w:p>
      <w:pPr>
        <w:ind w:left="1080" w:hanging="323"/>
        <w:spacing w:after="0"/>
        <w:tabs>
          <w:tab w:leader="none" w:pos="1080" w:val="left"/>
        </w:tabs>
        <w:numPr>
          <w:ilvl w:val="0"/>
          <w:numId w:val="127"/>
        </w:numPr>
        <w:rPr>
          <w:rFonts w:ascii="Arial" w:cs="Arial" w:eastAsia="Arial" w:hAnsi="Arial"/>
          <w:sz w:val="20"/>
          <w:szCs w:val="20"/>
          <w:color w:val="auto"/>
        </w:rPr>
      </w:pPr>
      <w:r>
        <w:rPr>
          <w:rFonts w:ascii="Arial" w:cs="Arial" w:eastAsia="Arial" w:hAnsi="Arial"/>
          <w:sz w:val="22"/>
          <w:szCs w:val="22"/>
          <w:color w:val="auto"/>
        </w:rPr>
        <w:t>“Vesting Date” is defined in Section 2(a).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13.</w:t>
      </w: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18" w:lineRule="exact"/>
        <w:rPr>
          <w:sz w:val="20"/>
          <w:szCs w:val="20"/>
          <w:color w:val="auto"/>
        </w:rPr>
      </w:pPr>
    </w:p>
    <w:p>
      <w:pPr>
        <w:jc w:val="both"/>
        <w:ind w:firstLine="757"/>
        <w:spacing w:after="0" w:line="245" w:lineRule="auto"/>
        <w:tabs>
          <w:tab w:leader="none" w:pos="1018" w:val="left"/>
        </w:tabs>
        <w:numPr>
          <w:ilvl w:val="0"/>
          <w:numId w:val="128"/>
        </w:numPr>
        <w:rPr>
          <w:rFonts w:ascii="Arial" w:cs="Arial" w:eastAsia="Arial" w:hAnsi="Arial"/>
          <w:sz w:val="20"/>
          <w:szCs w:val="20"/>
          <w:color w:val="auto"/>
        </w:rPr>
      </w:pPr>
      <w:r>
        <w:rPr>
          <w:rFonts w:ascii="Arial" w:cs="Arial" w:eastAsia="Arial" w:hAnsi="Arial"/>
          <w:sz w:val="22"/>
          <w:szCs w:val="22"/>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70" w:lineRule="exact"/>
        <w:rPr>
          <w:rFonts w:ascii="Arial" w:cs="Arial" w:eastAsia="Arial" w:hAnsi="Arial"/>
          <w:sz w:val="20"/>
          <w:szCs w:val="20"/>
          <w:color w:val="auto"/>
        </w:rPr>
      </w:pPr>
    </w:p>
    <w:p>
      <w:pPr>
        <w:jc w:val="both"/>
        <w:ind w:firstLine="757"/>
        <w:spacing w:after="0"/>
        <w:tabs>
          <w:tab w:leader="none" w:pos="1018" w:val="left"/>
        </w:tabs>
        <w:numPr>
          <w:ilvl w:val="0"/>
          <w:numId w:val="128"/>
        </w:numPr>
        <w:rPr>
          <w:rFonts w:ascii="Arial" w:cs="Arial" w:eastAsia="Arial" w:hAnsi="Arial"/>
          <w:sz w:val="20"/>
          <w:szCs w:val="20"/>
          <w:color w:val="auto"/>
        </w:rPr>
      </w:pPr>
      <w:r>
        <w:rPr>
          <w:rFonts w:ascii="Arial" w:cs="Arial" w:eastAsia="Arial" w:hAnsi="Arial"/>
          <w:sz w:val="22"/>
          <w:szCs w:val="22"/>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6" w:lineRule="exact"/>
        <w:rPr>
          <w:rFonts w:ascii="Arial" w:cs="Arial" w:eastAsia="Arial" w:hAnsi="Arial"/>
          <w:sz w:val="20"/>
          <w:szCs w:val="20"/>
          <w:color w:val="auto"/>
        </w:rPr>
      </w:pPr>
    </w:p>
    <w:p>
      <w:pPr>
        <w:ind w:firstLine="757"/>
        <w:spacing w:after="0" w:line="259" w:lineRule="auto"/>
        <w:tabs>
          <w:tab w:leader="none" w:pos="1018" w:val="left"/>
        </w:tabs>
        <w:numPr>
          <w:ilvl w:val="0"/>
          <w:numId w:val="128"/>
        </w:numPr>
        <w:rPr>
          <w:rFonts w:ascii="Arial" w:cs="Arial" w:eastAsia="Arial" w:hAnsi="Arial"/>
          <w:sz w:val="20"/>
          <w:szCs w:val="20"/>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56" w:lineRule="exact"/>
        <w:rPr>
          <w:rFonts w:ascii="Arial" w:cs="Arial" w:eastAsia="Arial" w:hAnsi="Arial"/>
          <w:sz w:val="20"/>
          <w:szCs w:val="20"/>
          <w:color w:val="auto"/>
        </w:rPr>
      </w:pPr>
    </w:p>
    <w:p>
      <w:pPr>
        <w:jc w:val="both"/>
        <w:ind w:firstLine="757"/>
        <w:spacing w:after="0" w:line="245" w:lineRule="auto"/>
        <w:tabs>
          <w:tab w:leader="none" w:pos="1018" w:val="left"/>
        </w:tabs>
        <w:numPr>
          <w:ilvl w:val="0"/>
          <w:numId w:val="128"/>
        </w:numPr>
        <w:rPr>
          <w:rFonts w:ascii="Arial" w:cs="Arial" w:eastAsia="Arial" w:hAnsi="Arial"/>
          <w:sz w:val="20"/>
          <w:szCs w:val="20"/>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6" w:name="page87"/>
    <w:bookmarkEnd w:id="86"/>
    <w:p>
      <w:pPr>
        <w:jc w:val="both"/>
        <w:ind w:left="-8" w:firstLine="757"/>
        <w:spacing w:after="0" w:line="245" w:lineRule="auto"/>
        <w:tabs>
          <w:tab w:leader="none" w:pos="1010" w:val="left"/>
        </w:tabs>
        <w:numPr>
          <w:ilvl w:val="1"/>
          <w:numId w:val="129"/>
        </w:numPr>
        <w:rPr>
          <w:rFonts w:ascii="Arial" w:cs="Arial" w:eastAsia="Arial" w:hAnsi="Arial"/>
          <w:sz w:val="20"/>
          <w:szCs w:val="20"/>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0" w:lineRule="exact"/>
        <w:rPr>
          <w:rFonts w:ascii="Arial" w:cs="Arial" w:eastAsia="Arial" w:hAnsi="Arial"/>
          <w:sz w:val="20"/>
          <w:szCs w:val="20"/>
          <w:color w:val="auto"/>
        </w:rPr>
      </w:pPr>
    </w:p>
    <w:p>
      <w:pPr>
        <w:ind w:left="-8" w:right="20" w:firstLine="757"/>
        <w:spacing w:after="0" w:line="259" w:lineRule="auto"/>
        <w:tabs>
          <w:tab w:leader="none" w:pos="1010" w:val="left"/>
        </w:tabs>
        <w:numPr>
          <w:ilvl w:val="1"/>
          <w:numId w:val="129"/>
        </w:numPr>
        <w:rPr>
          <w:rFonts w:ascii="Arial" w:cs="Arial" w:eastAsia="Arial" w:hAnsi="Arial"/>
          <w:sz w:val="20"/>
          <w:szCs w:val="20"/>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56" w:lineRule="exact"/>
        <w:rPr>
          <w:rFonts w:ascii="Arial" w:cs="Arial" w:eastAsia="Arial" w:hAnsi="Arial"/>
          <w:sz w:val="20"/>
          <w:szCs w:val="20"/>
          <w:color w:val="auto"/>
        </w:rPr>
      </w:pPr>
    </w:p>
    <w:p>
      <w:pPr>
        <w:jc w:val="both"/>
        <w:ind w:left="-8" w:firstLine="757"/>
        <w:spacing w:after="0" w:line="246" w:lineRule="auto"/>
        <w:tabs>
          <w:tab w:leader="none" w:pos="1010" w:val="left"/>
        </w:tabs>
        <w:numPr>
          <w:ilvl w:val="1"/>
          <w:numId w:val="129"/>
        </w:numPr>
        <w:rPr>
          <w:rFonts w:ascii="Arial" w:cs="Arial" w:eastAsia="Arial" w:hAnsi="Arial"/>
          <w:sz w:val="19"/>
          <w:szCs w:val="19"/>
          <w:color w:val="auto"/>
        </w:rPr>
      </w:pPr>
      <w:r>
        <w:rPr>
          <w:rFonts w:ascii="Arial" w:cs="Arial" w:eastAsia="Arial" w:hAnsi="Arial"/>
          <w:sz w:val="21"/>
          <w:szCs w:val="21"/>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w:t>
      </w:r>
    </w:p>
    <w:p>
      <w:pPr>
        <w:spacing w:after="0" w:line="1" w:lineRule="exact"/>
        <w:rPr>
          <w:rFonts w:ascii="Arial" w:cs="Arial" w:eastAsia="Arial" w:hAnsi="Arial"/>
          <w:sz w:val="19"/>
          <w:szCs w:val="19"/>
          <w:color w:val="auto"/>
        </w:rPr>
      </w:pPr>
    </w:p>
    <w:p>
      <w:pPr>
        <w:jc w:val="both"/>
        <w:ind w:left="-8" w:firstLine="8"/>
        <w:spacing w:after="0" w:line="234" w:lineRule="auto"/>
        <w:tabs>
          <w:tab w:leader="none" w:pos="37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77" w:lineRule="exact"/>
        <w:rPr>
          <w:rFonts w:ascii="Arial" w:cs="Arial" w:eastAsia="Arial" w:hAnsi="Arial"/>
          <w:sz w:val="22"/>
          <w:szCs w:val="22"/>
          <w:color w:val="auto"/>
        </w:rPr>
      </w:pPr>
    </w:p>
    <w:p>
      <w:pPr>
        <w:jc w:val="both"/>
        <w:ind w:left="-8" w:firstLine="757"/>
        <w:spacing w:after="0" w:line="232" w:lineRule="auto"/>
        <w:tabs>
          <w:tab w:leader="none" w:pos="1010" w:val="left"/>
        </w:tabs>
        <w:numPr>
          <w:ilvl w:val="1"/>
          <w:numId w:val="130"/>
        </w:numPr>
        <w:rPr>
          <w:rFonts w:ascii="Arial" w:cs="Arial" w:eastAsia="Arial" w:hAnsi="Arial"/>
          <w:sz w:val="20"/>
          <w:szCs w:val="20"/>
          <w:color w:val="auto"/>
        </w:rPr>
      </w:pPr>
      <w:r>
        <w:rPr>
          <w:rFonts w:ascii="Arial" w:cs="Arial" w:eastAsia="Arial" w:hAnsi="Arial"/>
          <w:sz w:val="22"/>
          <w:szCs w:val="22"/>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927735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87" w:name="page88"/>
    <w:bookmarkEnd w:id="87"/>
    <w:p>
      <w:pPr>
        <w:jc w:val="both"/>
        <w:ind w:right="20"/>
        <w:spacing w:after="0" w:line="259" w:lineRule="auto"/>
        <w:rPr>
          <w:sz w:val="20"/>
          <w:szCs w:val="20"/>
          <w:color w:val="auto"/>
        </w:rPr>
      </w:pPr>
      <w:r>
        <w:rPr>
          <w:rFonts w:ascii="Arial" w:cs="Arial" w:eastAsia="Arial" w:hAnsi="Arial"/>
          <w:sz w:val="22"/>
          <w:szCs w:val="22"/>
          <w:color w:val="auto"/>
        </w:rPr>
        <w:t>DEMAND, ACTION, OR CAUSE OF ACTION ARISING OUT OF THIS AGREEMENT OR ANY ATTACHMENT THERETO.</w:t>
      </w:r>
    </w:p>
    <w:p>
      <w:pPr>
        <w:spacing w:after="0" w:line="15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14.</w:t>
      </w:r>
      <w:r>
        <w:rPr>
          <w:rFonts w:ascii="Arial" w:cs="Arial" w:eastAsia="Arial" w:hAnsi="Arial"/>
          <w:sz w:val="21"/>
          <w:szCs w:val="21"/>
          <w:u w:val="single" w:color="auto"/>
          <w:color w:val="auto"/>
        </w:rPr>
        <w:t>Clawback Policy</w:t>
      </w:r>
      <w:r>
        <w:rPr>
          <w:rFonts w:ascii="Arial" w:cs="Arial" w:eastAsia="Arial" w:hAnsi="Arial"/>
          <w:sz w:val="21"/>
          <w:szCs w:val="21"/>
          <w:color w:val="auto"/>
        </w:rPr>
        <w:t>. The Company’s policy on recoupment of performance-based bonuses, as amended from</w:t>
      </w:r>
      <w:r>
        <w:rPr>
          <w:rFonts w:ascii="Arial" w:cs="Arial" w:eastAsia="Arial" w:hAnsi="Arial"/>
          <w:sz w:val="20"/>
          <w:szCs w:val="20"/>
          <w:color w:val="auto"/>
        </w:rPr>
        <w:t xml:space="preserve"> </w:t>
      </w:r>
      <w:r>
        <w:rPr>
          <w:rFonts w:ascii="Arial" w:cs="Arial" w:eastAsia="Arial" w:hAnsi="Arial"/>
          <w:sz w:val="21"/>
          <w:szCs w:val="21"/>
          <w:color w:val="auto"/>
        </w:rPr>
        <w:t>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15.</w:t>
      </w:r>
      <w:r>
        <w:rPr>
          <w:rFonts w:ascii="Arial" w:cs="Arial" w:eastAsia="Arial" w:hAnsi="Arial"/>
          <w:sz w:val="21"/>
          <w:szCs w:val="21"/>
          <w:u w:val="single" w:color="auto"/>
          <w:color w:val="auto"/>
        </w:rPr>
        <w:t>Acceptance of Award</w:t>
      </w:r>
      <w:r>
        <w:rPr>
          <w:rFonts w:ascii="Arial" w:cs="Arial" w:eastAsia="Arial" w:hAnsi="Arial"/>
          <w:sz w:val="21"/>
          <w:szCs w:val="21"/>
          <w:color w:val="auto"/>
        </w:rPr>
        <w:t>. Employee is deemed to accept the award of Performance Share Units under this</w:t>
      </w:r>
      <w:r>
        <w:rPr>
          <w:rFonts w:ascii="Arial" w:cs="Arial" w:eastAsia="Arial" w:hAnsi="Arial"/>
          <w:sz w:val="20"/>
          <w:szCs w:val="20"/>
          <w:color w:val="auto"/>
        </w:rPr>
        <w:t xml:space="preserve"> </w:t>
      </w:r>
      <w:r>
        <w:rPr>
          <w:rFonts w:ascii="Arial" w:cs="Arial" w:eastAsia="Arial" w:hAnsi="Arial"/>
          <w:sz w:val="21"/>
          <w:szCs w:val="21"/>
          <w:color w:val="auto"/>
        </w:rPr>
        <w:t>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72" w:lineRule="exact"/>
        <w:rPr>
          <w:sz w:val="20"/>
          <w:szCs w:val="20"/>
          <w:color w:val="auto"/>
        </w:rPr>
      </w:pPr>
    </w:p>
    <w:p>
      <w:pPr>
        <w:jc w:val="both"/>
        <w:ind w:left="200" w:firstLine="749"/>
        <w:spacing w:after="0" w:line="251" w:lineRule="auto"/>
        <w:rPr>
          <w:sz w:val="20"/>
          <w:szCs w:val="20"/>
          <w:color w:val="auto"/>
        </w:rPr>
      </w:pPr>
      <w:r>
        <w:rPr>
          <w:rFonts w:ascii="Arial" w:cs="Arial" w:eastAsia="Arial" w:hAnsi="Arial"/>
          <w:sz w:val="20"/>
          <w:szCs w:val="20"/>
          <w:color w:val="auto"/>
        </w:rPr>
        <w:t>16.</w:t>
      </w:r>
      <w:r>
        <w:rPr>
          <w:rFonts w:ascii="Arial" w:cs="Arial" w:eastAsia="Arial" w:hAnsi="Arial"/>
          <w:sz w:val="21"/>
          <w:szCs w:val="21"/>
          <w:u w:val="single" w:color="auto"/>
          <w:color w:val="auto"/>
        </w:rPr>
        <w:t>Appendix.</w:t>
      </w:r>
      <w:r>
        <w:rPr>
          <w:rFonts w:ascii="Arial" w:cs="Arial" w:eastAsia="Arial" w:hAnsi="Arial"/>
          <w:sz w:val="20"/>
          <w:szCs w:val="20"/>
          <w:color w:val="auto"/>
        </w:rPr>
        <w:t xml:space="preserve"> </w:t>
      </w:r>
      <w:r>
        <w:rPr>
          <w:rFonts w:ascii="Arial" w:cs="Arial" w:eastAsia="Arial" w:hAnsi="Arial"/>
          <w:sz w:val="21"/>
          <w:szCs w:val="21"/>
          <w:color w:val="auto"/>
        </w:rPr>
        <w:t>Notwithstanding any provisions in this Agreement, the Restricted Stock Units shall be subject</w:t>
      </w:r>
      <w:r>
        <w:rPr>
          <w:rFonts w:ascii="Arial" w:cs="Arial" w:eastAsia="Arial" w:hAnsi="Arial"/>
          <w:sz w:val="20"/>
          <w:szCs w:val="20"/>
          <w:color w:val="auto"/>
        </w:rPr>
        <w:t xml:space="preserve"> </w:t>
      </w:r>
      <w:r>
        <w:rPr>
          <w:rFonts w:ascii="Arial" w:cs="Arial" w:eastAsia="Arial" w:hAnsi="Arial"/>
          <w:sz w:val="21"/>
          <w:szCs w:val="21"/>
          <w:color w:val="auto"/>
        </w:rPr>
        <w:t>to the additional terms and conditions for your country set forth in Appendix A and Appendix B attached hereto. Moreover, if you relocate to one of the countries included therein, the terms and conditions for such country will apply to you to the extent the Company determines that the application of such terms and conditions is necessary or advisable for legal or administrative reasons. Appendix A and Appendix B constitute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8" w:name="page89"/>
    <w:bookmarkEnd w:id="88"/>
    <w:p>
      <w:pPr>
        <w:jc w:val="center"/>
        <w:ind w:right="80"/>
        <w:spacing w:after="0"/>
        <w:rPr>
          <w:sz w:val="20"/>
          <w:szCs w:val="20"/>
          <w:color w:val="auto"/>
        </w:rPr>
      </w:pPr>
      <w:r>
        <w:rPr>
          <w:rFonts w:ascii="Arial" w:cs="Arial" w:eastAsia="Arial" w:hAnsi="Arial"/>
          <w:sz w:val="22"/>
          <w:szCs w:val="22"/>
          <w:b w:val="1"/>
          <w:bCs w:val="1"/>
          <w:color w:val="auto"/>
        </w:rPr>
        <w:t>ATTACHMENT I</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Performance Conditions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80" w:firstLine="749"/>
        <w:spacing w:after="0"/>
        <w:rPr>
          <w:sz w:val="20"/>
          <w:szCs w:val="20"/>
          <w:color w:val="auto"/>
        </w:rPr>
      </w:pPr>
      <w:r>
        <w:rPr>
          <w:rFonts w:ascii="Arial" w:cs="Arial" w:eastAsia="Arial" w:hAnsi="Arial"/>
          <w:sz w:val="22"/>
          <w:szCs w:val="22"/>
          <w:color w:val="auto"/>
        </w:rPr>
        <w:t>Subject to the provisions of the Agreement and this Attachment I, vesting of the Performance Share Units is conditioned upon the cumulative absolute free cash flow (“FCF”) generated by the Company from January 1, 20[ ] to December 31, 20[ ] as a percentage of cumulative revenue generated by the Company from January 1, 20[ ] to December 31, 20[ ].</w:t>
      </w:r>
    </w:p>
    <w:p>
      <w:pPr>
        <w:spacing w:after="0" w:line="176" w:lineRule="exact"/>
        <w:rPr>
          <w:sz w:val="20"/>
          <w:szCs w:val="20"/>
          <w:color w:val="auto"/>
        </w:rPr>
      </w:pPr>
    </w:p>
    <w:p>
      <w:pPr>
        <w:jc w:val="both"/>
        <w:ind w:right="80" w:firstLine="749"/>
        <w:spacing w:after="0" w:line="259" w:lineRule="auto"/>
        <w:rPr>
          <w:sz w:val="20"/>
          <w:szCs w:val="20"/>
          <w:color w:val="auto"/>
        </w:rPr>
      </w:pPr>
      <w:r>
        <w:rPr>
          <w:rFonts w:ascii="Arial" w:cs="Arial" w:eastAsia="Arial" w:hAnsi="Arial"/>
          <w:sz w:val="22"/>
          <w:szCs w:val="22"/>
          <w:color w:val="auto"/>
        </w:rPr>
        <w:t>“Free cash flow” is defined as the Company’s cash flow from operations, less capital expenditures, investments in Asset Performance Solutions (“APS”) projects, and exploration data costs capitalized.</w:t>
      </w:r>
    </w:p>
    <w:p>
      <w:pPr>
        <w:spacing w:after="0" w:line="154" w:lineRule="exact"/>
        <w:rPr>
          <w:sz w:val="20"/>
          <w:szCs w:val="20"/>
          <w:color w:val="auto"/>
        </w:rPr>
      </w:pPr>
    </w:p>
    <w:p>
      <w:pPr>
        <w:jc w:val="center"/>
        <w:ind w:left="740"/>
        <w:spacing w:after="0"/>
        <w:rPr>
          <w:sz w:val="20"/>
          <w:szCs w:val="20"/>
          <w:color w:val="auto"/>
        </w:rPr>
      </w:pPr>
      <w:r>
        <w:rPr>
          <w:rFonts w:ascii="Arial" w:cs="Arial" w:eastAsia="Arial" w:hAnsi="Arial"/>
          <w:sz w:val="22"/>
          <w:szCs w:val="22"/>
          <w:b w:val="1"/>
          <w:bCs w:val="1"/>
          <w:color w:val="auto"/>
        </w:rPr>
        <w:t>[Redacted]</w:t>
      </w:r>
    </w:p>
    <w:p>
      <w:pPr>
        <w:spacing w:after="0" w:line="208" w:lineRule="exact"/>
        <w:rPr>
          <w:sz w:val="20"/>
          <w:szCs w:val="20"/>
          <w:color w:val="auto"/>
        </w:rPr>
      </w:pPr>
    </w:p>
    <w:p>
      <w:pPr>
        <w:jc w:val="both"/>
        <w:ind w:right="80" w:firstLine="749"/>
        <w:spacing w:after="0" w:line="259" w:lineRule="auto"/>
        <w:rPr>
          <w:sz w:val="20"/>
          <w:szCs w:val="20"/>
          <w:color w:val="auto"/>
        </w:rPr>
      </w:pPr>
      <w:r>
        <w:rPr>
          <w:rFonts w:ascii="Arial" w:cs="Arial" w:eastAsia="Arial" w:hAnsi="Arial"/>
          <w:sz w:val="22"/>
          <w:szCs w:val="22"/>
          <w:color w:val="auto"/>
        </w:rPr>
        <w:t>The Committee has the discretion to adjust the free cash flow to take into account the effects of significant cash inflows or outflows that are not necessarily representative of the underlying business operations.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Performance/Payout</w:t>
      </w:r>
    </w:p>
    <w:p>
      <w:pPr>
        <w:spacing w:after="0" w:line="206" w:lineRule="exact"/>
        <w:rPr>
          <w:sz w:val="20"/>
          <w:szCs w:val="20"/>
          <w:color w:val="auto"/>
        </w:rPr>
      </w:pPr>
    </w:p>
    <w:p>
      <w:pPr>
        <w:jc w:val="both"/>
        <w:ind w:right="80" w:firstLine="749"/>
        <w:spacing w:after="0" w:line="245" w:lineRule="auto"/>
        <w:rPr>
          <w:sz w:val="20"/>
          <w:szCs w:val="20"/>
          <w:color w:val="auto"/>
        </w:rPr>
      </w:pPr>
      <w:r>
        <w:rPr>
          <w:rFonts w:ascii="Arial" w:cs="Arial" w:eastAsia="Arial" w:hAnsi="Arial"/>
          <w:sz w:val="22"/>
          <w:szCs w:val="22"/>
          <w:color w:val="auto"/>
        </w:rPr>
        <w:t>The number of Performance Share Units that will vest on the Vesting Date will be equal to the product of (i) the target Performance Share Units and (ii) the Payout Factor set forth below (with any fractional shares rounded up to the next whole share).</w:t>
      </w:r>
    </w:p>
    <w:p>
      <w:pPr>
        <w:spacing w:after="0" w:line="170" w:lineRule="exact"/>
        <w:rPr>
          <w:sz w:val="20"/>
          <w:szCs w:val="20"/>
          <w:color w:val="auto"/>
        </w:rPr>
      </w:pPr>
    </w:p>
    <w:p>
      <w:pPr>
        <w:jc w:val="both"/>
        <w:ind w:right="80" w:firstLine="749"/>
        <w:spacing w:after="0" w:line="251" w:lineRule="auto"/>
        <w:rPr>
          <w:sz w:val="20"/>
          <w:szCs w:val="20"/>
          <w:color w:val="auto"/>
        </w:rPr>
      </w:pPr>
      <w:r>
        <w:rPr>
          <w:rFonts w:ascii="Arial" w:cs="Arial" w:eastAsia="Arial" w:hAnsi="Arial"/>
          <w:sz w:val="21"/>
          <w:szCs w:val="21"/>
          <w:color w:val="auto"/>
        </w:rPr>
        <w:t>The FCF achieved by the Company over the Free Cash Flow Performance Period will be certified by the Committee. The Payout Factor for FCF achievement levels between points on this chart will be determined by linear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interpolation between the values listed. The maximum payout of Performance Share Units is [ ]% of the Targe Performance Share Units.</w:t>
      </w:r>
    </w:p>
    <w:p>
      <w:pPr>
        <w:spacing w:after="0" w:line="179"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5960" w:type="dxa"/>
            <w:vAlign w:val="bottom"/>
            <w:tcBorders>
              <w:top w:val="single" w:sz="8" w:color="auto"/>
              <w:left w:val="single" w:sz="8" w:color="auto"/>
              <w:right w:val="single" w:sz="8" w:color="auto"/>
            </w:tcBorders>
            <w:gridSpan w:val="2"/>
          </w:tcPr>
          <w:p>
            <w:pPr>
              <w:jc w:val="right"/>
              <w:ind w:right="881"/>
              <w:spacing w:after="0"/>
              <w:rPr>
                <w:sz w:val="20"/>
                <w:szCs w:val="20"/>
                <w:color w:val="auto"/>
              </w:rPr>
            </w:pPr>
            <w:r>
              <w:rPr>
                <w:rFonts w:ascii="Arial" w:cs="Arial" w:eastAsia="Arial" w:hAnsi="Arial"/>
                <w:sz w:val="20"/>
                <w:szCs w:val="20"/>
                <w:b w:val="1"/>
                <w:bCs w:val="1"/>
                <w:color w:val="auto"/>
              </w:rPr>
              <w:t>FCF as Percentage of Cumulative Revenue</w:t>
            </w:r>
          </w:p>
        </w:tc>
        <w:tc>
          <w:tcPr>
            <w:tcW w:w="5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8"/>
              </w:rPr>
              <w:t>Payout Factor for Vested Performance Share Units</w:t>
            </w:r>
          </w:p>
        </w:tc>
      </w:tr>
      <w:tr>
        <w:trPr>
          <w:trHeight w:val="314"/>
        </w:trPr>
        <w:tc>
          <w:tcPr>
            <w:tcW w:w="2920" w:type="dxa"/>
            <w:vAlign w:val="bottom"/>
            <w:tcBorders>
              <w:left w:val="single" w:sz="8" w:color="auto"/>
              <w:bottom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8"/>
              </w:rPr>
              <w:t>(before Relative TSR Adjustment)</w:t>
            </w:r>
          </w:p>
        </w:tc>
      </w:tr>
      <w:tr>
        <w:trPr>
          <w:trHeight w:val="238"/>
        </w:trPr>
        <w:tc>
          <w:tcPr>
            <w:tcW w:w="2920" w:type="dxa"/>
            <w:vAlign w:val="bottom"/>
            <w:tcBorders>
              <w:bottom w:val="single" w:sz="8" w:color="auto"/>
            </w:tcBorders>
          </w:tcPr>
          <w:p>
            <w:pPr>
              <w:jc w:val="center"/>
              <w:ind w:left="2601"/>
              <w:spacing w:after="0"/>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2681"/>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of Target</w:t>
            </w:r>
          </w:p>
        </w:tc>
      </w:tr>
      <w:tr>
        <w:trPr>
          <w:trHeight w:val="265"/>
        </w:trPr>
        <w:tc>
          <w:tcPr>
            <w:tcW w:w="2920" w:type="dxa"/>
            <w:vAlign w:val="bottom"/>
            <w:tcBorders>
              <w:bottom w:val="single" w:sz="8" w:color="auto"/>
            </w:tcBorders>
          </w:tcPr>
          <w:p>
            <w:pPr>
              <w:jc w:val="center"/>
              <w:ind w:left="2601"/>
              <w:spacing w:after="0"/>
              <w:rPr>
                <w:sz w:val="20"/>
                <w:szCs w:val="20"/>
                <w:color w:val="auto"/>
              </w:rPr>
            </w:pPr>
            <w:r>
              <w:rPr>
                <w:rFonts w:ascii="Arial" w:cs="Arial" w:eastAsia="Arial" w:hAnsi="Arial"/>
                <w:sz w:val="20"/>
                <w:szCs w:val="20"/>
                <w:color w:val="auto"/>
              </w:rPr>
              <w:t>[</w:t>
            </w:r>
          </w:p>
        </w:tc>
        <w:tc>
          <w:tcPr>
            <w:tcW w:w="3040" w:type="dxa"/>
            <w:vAlign w:val="bottom"/>
            <w:tcBorders>
              <w:bottom w:val="single" w:sz="8" w:color="auto"/>
              <w:right w:val="single" w:sz="8" w:color="auto"/>
            </w:tcBorders>
          </w:tcPr>
          <w:p>
            <w:pPr>
              <w:jc w:val="right"/>
              <w:ind w:right="2681"/>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of Target</w:t>
            </w:r>
          </w:p>
        </w:tc>
      </w:tr>
      <w:tr>
        <w:trPr>
          <w:trHeight w:val="264"/>
        </w:trPr>
        <w:tc>
          <w:tcPr>
            <w:tcW w:w="2920" w:type="dxa"/>
            <w:vAlign w:val="bottom"/>
            <w:tcBorders>
              <w:bottom w:val="single" w:sz="8" w:color="auto"/>
            </w:tcBorders>
          </w:tcPr>
          <w:p>
            <w:pPr>
              <w:jc w:val="center"/>
              <w:ind w:left="2581"/>
              <w:spacing w:after="0"/>
              <w:rPr>
                <w:sz w:val="20"/>
                <w:szCs w:val="20"/>
                <w:color w:val="auto"/>
              </w:rPr>
            </w:pPr>
            <w:r>
              <w:rPr>
                <w:rFonts w:ascii="Arial" w:cs="Arial" w:eastAsia="Arial" w:hAnsi="Arial"/>
                <w:sz w:val="20"/>
                <w:szCs w:val="20"/>
                <w:color w:val="auto"/>
                <w:w w:val="96"/>
              </w:rPr>
              <w:t>≥[</w:t>
            </w:r>
          </w:p>
        </w:tc>
        <w:tc>
          <w:tcPr>
            <w:tcW w:w="3040" w:type="dxa"/>
            <w:vAlign w:val="bottom"/>
            <w:tcBorders>
              <w:bottom w:val="single" w:sz="8" w:color="auto"/>
              <w:right w:val="single" w:sz="8" w:color="auto"/>
            </w:tcBorders>
          </w:tcPr>
          <w:p>
            <w:pPr>
              <w:jc w:val="right"/>
              <w:ind w:right="2641"/>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of Target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Interpretation</w:t>
      </w:r>
    </w:p>
    <w:p>
      <w:pPr>
        <w:spacing w:after="0" w:line="233" w:lineRule="exact"/>
        <w:rPr>
          <w:sz w:val="20"/>
          <w:szCs w:val="20"/>
          <w:color w:val="auto"/>
        </w:rPr>
      </w:pPr>
    </w:p>
    <w:p>
      <w:pPr>
        <w:jc w:val="both"/>
        <w:ind w:right="80"/>
        <w:spacing w:after="0" w:line="259" w:lineRule="auto"/>
        <w:rPr>
          <w:sz w:val="20"/>
          <w:szCs w:val="20"/>
          <w:color w:val="auto"/>
        </w:rPr>
      </w:pPr>
      <w:r>
        <w:rPr>
          <w:rFonts w:ascii="Arial" w:cs="Arial" w:eastAsia="Arial" w:hAnsi="Arial"/>
          <w:sz w:val="22"/>
          <w:szCs w:val="22"/>
          <w:color w:val="auto"/>
        </w:rPr>
        <w:t>In the event of any ambiguity or discrepancy in this Agreement (including this Attachment I), the determination of the Committee shall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407" w:right="259" w:bottom="1440" w:gutter="0" w:footer="0" w:header="0"/>
        </w:sectPr>
      </w:pPr>
    </w:p>
    <w:bookmarkStart w:id="89" w:name="page90"/>
    <w:bookmarkEnd w:id="89"/>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500380</wp:posOffset>
            </wp:positionV>
            <wp:extent cx="797560" cy="651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797560"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ATTACHMENT II</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17.</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1"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1"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7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57" w:lineRule="auto"/>
        <w:rPr>
          <w:sz w:val="20"/>
          <w:szCs w:val="20"/>
          <w:color w:val="auto"/>
        </w:rPr>
      </w:pPr>
      <w:r>
        <w:rPr>
          <w:rFonts w:ascii="Arial" w:cs="Arial" w:eastAsia="Arial" w:hAnsi="Arial"/>
          <w:sz w:val="20"/>
          <w:szCs w:val="20"/>
          <w:color w:val="auto"/>
        </w:rPr>
        <w:t>know-how, and developments, any derivative works and ideas whether or not patentable, and any other form of intellectual property.</w:t>
      </w:r>
    </w:p>
    <w:p>
      <w:pPr>
        <w:spacing w:after="0" w:line="155" w:lineRule="exact"/>
        <w:rPr>
          <w:sz w:val="20"/>
          <w:szCs w:val="20"/>
          <w:color w:val="auto"/>
        </w:rPr>
      </w:pPr>
    </w:p>
    <w:p>
      <w:pPr>
        <w:ind w:right="20" w:firstLine="749"/>
        <w:spacing w:after="0" w:line="257" w:lineRule="auto"/>
        <w:rPr>
          <w:sz w:val="20"/>
          <w:szCs w:val="20"/>
          <w:color w:val="auto"/>
        </w:rPr>
      </w:pPr>
      <w:r>
        <w:rPr>
          <w:rFonts w:ascii="Arial" w:cs="Arial" w:eastAsia="Arial" w:hAnsi="Arial"/>
          <w:sz w:val="20"/>
          <w:szCs w:val="20"/>
          <w:color w:val="auto"/>
        </w:rPr>
        <w:t>“Pre-existing Intellectual Property” is all Intellectual Property that was authored, conceived, developed, or reduced to practice by Employee before the term of Employee’s employment with the Company or any Affiliate began.</w:t>
      </w:r>
    </w:p>
    <w:p>
      <w:pPr>
        <w:spacing w:after="0" w:line="155" w:lineRule="exact"/>
        <w:rPr>
          <w:sz w:val="20"/>
          <w:szCs w:val="20"/>
          <w:color w:val="auto"/>
        </w:rPr>
      </w:pPr>
    </w:p>
    <w:p>
      <w:pPr>
        <w:jc w:val="both"/>
        <w:ind w:left="200" w:firstLine="561"/>
        <w:spacing w:after="0" w:line="237" w:lineRule="auto"/>
        <w:rPr>
          <w:sz w:val="20"/>
          <w:szCs w:val="20"/>
          <w:color w:val="auto"/>
        </w:rPr>
      </w:pPr>
      <w:r>
        <w:rPr>
          <w:rFonts w:ascii="Arial" w:cs="Arial" w:eastAsia="Arial" w:hAnsi="Arial"/>
          <w:sz w:val="20"/>
          <w:szCs w:val="20"/>
          <w:u w:val="single" w:color="auto"/>
          <w:color w:val="auto"/>
        </w:rPr>
        <w:t>Codes of Conduct</w:t>
      </w:r>
      <w:r>
        <w:rPr>
          <w:rFonts w:ascii="Arial" w:cs="Arial" w:eastAsia="Arial" w:hAnsi="Arial"/>
          <w:sz w:val="20"/>
          <w:szCs w:val="20"/>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1" w:name="page92"/>
    <w:bookmarkEnd w:id="91"/>
    <w:p>
      <w:pPr>
        <w:jc w:val="both"/>
        <w:spacing w:after="0" w:line="257" w:lineRule="auto"/>
        <w:rPr>
          <w:sz w:val="20"/>
          <w:szCs w:val="20"/>
          <w:color w:val="auto"/>
        </w:rPr>
      </w:pPr>
      <w:r>
        <w:rPr>
          <w:rFonts w:ascii="Arial" w:cs="Arial" w:eastAsia="Arial" w:hAnsi="Arial"/>
          <w:sz w:val="20"/>
          <w:szCs w:val="20"/>
          <w:color w:val="auto"/>
        </w:rPr>
        <w:t>accounts, Employee agrees to notify the Company and its Affiliates and make available the device and account to the Company for inspection and removal of the information.</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Disclosure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3"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1"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pertaining to Company Intellectual Property which the Company may, in its sole discretion, determine to obtain.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Assignment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3"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1"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7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3" w:name="page94"/>
    <w:bookmarkEnd w:id="93"/>
    <w:p>
      <w:pPr>
        <w:jc w:val="both"/>
        <w:spacing w:after="0" w:line="231" w:lineRule="auto"/>
        <w:rPr>
          <w:sz w:val="20"/>
          <w:szCs w:val="20"/>
          <w:color w:val="auto"/>
        </w:rPr>
      </w:pPr>
      <w:r>
        <w:rPr>
          <w:rFonts w:ascii="Arial" w:cs="Arial" w:eastAsia="Arial" w:hAnsi="Arial"/>
          <w:sz w:val="20"/>
          <w:szCs w:val="20"/>
          <w:color w:val="auto"/>
        </w:rPr>
        <w:t>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w:t>
      </w:r>
    </w:p>
    <w:p>
      <w:pPr>
        <w:spacing w:after="0" w:line="174"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w:t>
      </w:r>
    </w:p>
    <w:p>
      <w:pPr>
        <w:spacing w:after="0" w:line="1" w:lineRule="exact"/>
        <w:rPr>
          <w:sz w:val="20"/>
          <w:szCs w:val="20"/>
          <w:color w:val="auto"/>
        </w:rPr>
      </w:pPr>
    </w:p>
    <w:p>
      <w:pPr>
        <w:ind w:firstLine="8"/>
        <w:spacing w:after="0" w:line="239" w:lineRule="auto"/>
        <w:tabs>
          <w:tab w:leader="none" w:pos="30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 (2) who worked in Employee’s business unit (Group); or (3) about whom Employee had access to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information. In the event of breach by Employee, the specified period will be extended by the period of time of the breach.</w:t>
      </w:r>
    </w:p>
    <w:p>
      <w:pPr>
        <w:spacing w:after="0" w:line="20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Remedies for Employee’s Breach</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20"/>
          <w:szCs w:val="20"/>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Arial" w:cs="Arial" w:eastAsia="Arial" w:hAnsi="Arial"/>
          <w:sz w:val="20"/>
          <w:szCs w:val="20"/>
          <w:b w:val="1"/>
          <w:bCs w:val="1"/>
          <w:color w:val="auto"/>
        </w:rPr>
        <w:t>(i) recover from Employee the value of any portion of the Award that has</w:t>
      </w:r>
      <w:r>
        <w:rPr>
          <w:rFonts w:ascii="Arial" w:cs="Arial" w:eastAsia="Arial" w:hAnsi="Arial"/>
          <w:sz w:val="20"/>
          <w:szCs w:val="20"/>
          <w:color w:val="auto"/>
        </w:rPr>
        <w:t xml:space="preserve"> </w:t>
      </w:r>
      <w:r>
        <w:rPr>
          <w:rFonts w:ascii="Arial" w:cs="Arial" w:eastAsia="Arial" w:hAnsi="Arial"/>
          <w:sz w:val="20"/>
          <w:szCs w:val="20"/>
          <w:b w:val="1"/>
          <w:bCs w:val="1"/>
          <w:color w:val="auto"/>
        </w:rPr>
        <w:t>been paid or delivered; (ii) seek injunctive relief against Employee pursuant to the provisions of subsection (b) below;</w:t>
      </w:r>
    </w:p>
    <w:p>
      <w:pPr>
        <w:spacing w:after="0" w:line="1" w:lineRule="exact"/>
        <w:rPr>
          <w:sz w:val="20"/>
          <w:szCs w:val="20"/>
          <w:color w:val="auto"/>
        </w:rPr>
      </w:pPr>
    </w:p>
    <w:p>
      <w:pPr>
        <w:jc w:val="both"/>
        <w:ind w:firstLine="8"/>
        <w:spacing w:after="0" w:line="238" w:lineRule="auto"/>
        <w:tabs>
          <w:tab w:leader="none" w:pos="378"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6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Employee acknowledges that the remedies contained in the Attachment II for violation of this Attachment II are not the exclusive remedies that the Company or an Affiliate may pursue.</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5" w:name="page96"/>
    <w:bookmarkEnd w:id="95"/>
    <w:p>
      <w:pPr>
        <w:ind w:left="760"/>
        <w:spacing w:after="0"/>
        <w:rPr>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7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terms and conditions of this Attachment II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APPLICABLE TO PARTICIPANTS IN CHINA SUBJECT TO SAFE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Capitalized terms used but not defined in this Appendix B are defined in the Schlumberger 2017 Omnibus Stock Incentive Plan, as may be amended (the “Plan”), and the Restricted Stock Unit award agreement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Introduction</w:t>
      </w:r>
      <w:r>
        <w:rPr>
          <w:rFonts w:ascii="Arial" w:cs="Arial" w:eastAsia="Arial" w:hAnsi="Arial"/>
          <w:sz w:val="20"/>
          <w:szCs w:val="20"/>
          <w:u w:val="single" w:color="auto"/>
          <w:color w:val="auto"/>
        </w:rPr>
        <w: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terms and conditions will apply to you to the extent that the Company, in its discretion, determines that your participation in the Plan is subject to exchange control restrictions in the People’s Republic of China (the “PRC”), as implemented by the PRC State Administration of Foreign Exchange (“SAFE”).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Vesting of RSUs</w:t>
      </w:r>
      <w:r>
        <w:rPr>
          <w:rFonts w:ascii="Arial" w:cs="Arial" w:eastAsia="Arial" w:hAnsi="Arial"/>
          <w:sz w:val="20"/>
          <w:szCs w:val="20"/>
          <w:color w:val="auto"/>
        </w:rPr>
        <w:t>. The following provision supplements Section 1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Unless and until the Company has obtained all necessary exchange control or other approvals from SAFE or its local counterpart (“SAFE Approval”) with respect to your Restricted Stock Units (“RSUs”), the shares of Common Stock represented by such RSUs will be issued to you as soon as administratively feasible after the Company has obtained SAFE Approval. The Company is under no obligation to issue shares of Common Stock if the Company has not obtained SAFE Approval.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Acceleration on Retirement</w:t>
      </w:r>
      <w:r>
        <w:rPr>
          <w:rFonts w:ascii="Arial" w:cs="Arial" w:eastAsia="Arial" w:hAnsi="Arial"/>
          <w:sz w:val="20"/>
          <w:szCs w:val="20"/>
          <w:color w:val="auto"/>
        </w:rPr>
        <w:t>. The following provision replaces Section 1(c) of the Agreement in its entirety:</w:t>
      </w:r>
    </w:p>
    <w:p>
      <w:pPr>
        <w:spacing w:after="0" w:line="202" w:lineRule="exact"/>
        <w:rPr>
          <w:sz w:val="20"/>
          <w:szCs w:val="20"/>
          <w:color w:val="auto"/>
        </w:rPr>
      </w:pPr>
    </w:p>
    <w:p>
      <w:pPr>
        <w:jc w:val="both"/>
        <w:ind w:firstLine="757"/>
        <w:spacing w:after="0" w:line="237" w:lineRule="auto"/>
        <w:tabs>
          <w:tab w:leader="none" w:pos="1018"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To allow the Company to comply with PRC exchange control restrictions, upon Termination of Employment from the Company and its Subsidiaries by reason of Employee’s Retirement (as defined in Section 11), the Restricted Stock Units will become fully vested, subject to the Company obtaining SAFE Approval before vesting of the Restricted Stock Units.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Settlement of RSUs and Sale of Shares</w:t>
      </w:r>
      <w:r>
        <w:rPr>
          <w:rFonts w:ascii="Arial" w:cs="Arial" w:eastAsia="Arial" w:hAnsi="Arial"/>
          <w:sz w:val="20"/>
          <w:szCs w:val="20"/>
          <w:color w:val="auto"/>
        </w:rPr>
        <w:t>. The following provision supplements Section 2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to the contrary in the Plan or this Agreement, you understand and agree that the Company may require any shares of Common Stock that you acquire from vesting of the RSUs to be immediately sold at vesting or, at the Company’s discretion, at a later time. The purpose of this is solely to allow the Company to comply with PRC exchange control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You understand and agree that any shares of Common Stock acquired by you under Plan must be sold by no later than ninety</w:t>
      </w:r>
    </w:p>
    <w:p>
      <w:pPr>
        <w:spacing w:after="0" w:line="4" w:lineRule="exact"/>
        <w:rPr>
          <w:sz w:val="20"/>
          <w:szCs w:val="20"/>
          <w:color w:val="auto"/>
        </w:rPr>
      </w:pPr>
    </w:p>
    <w:p>
      <w:pPr>
        <w:jc w:val="both"/>
        <w:ind w:firstLine="8"/>
        <w:spacing w:after="0" w:line="231" w:lineRule="auto"/>
        <w:tabs>
          <w:tab w:leader="none" w:pos="4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days after your Termination of Employment, or within any other such time frame as may be permitted by the Company or required by SAFE. Further, you understand that any shares of Common Stock acquired by you under the Plan that have not been sold within ninety (90) days of your termination of employment will be automatically sold by Fidelity (which is the Company's current designated broker) at the Company’s direction. For the sake of clarity, any references to Fidelity in this Appendix also refer to any other designated broker the Company may use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7" w:name="page98"/>
    <w:bookmarkEnd w:id="97"/>
    <w:p>
      <w:pPr>
        <w:jc w:val="both"/>
        <w:spacing w:after="0" w:line="241" w:lineRule="auto"/>
        <w:rPr>
          <w:sz w:val="20"/>
          <w:szCs w:val="20"/>
          <w:color w:val="auto"/>
        </w:rPr>
      </w:pPr>
      <w:r>
        <w:rPr>
          <w:rFonts w:ascii="Arial" w:cs="Arial" w:eastAsia="Arial" w:hAnsi="Arial"/>
          <w:sz w:val="20"/>
          <w:szCs w:val="20"/>
          <w:color w:val="auto"/>
        </w:rPr>
        <w:t>You further agree that the Company is authorized to instruct Fidelity to assist with the mandatory sale of the shares of Common Stock, and you expressly authorize Fidelity to complete the sale of the shares of Common Stock. Your acceptance of this Agreement constitutes your authorization for Fidelity to act on your behalf in the sale of the shares.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acknowledge that Fidelity is under no obligation to arrange for the sale of shares of Common Stock at any particular price. Upon the sale of the shares of Common Stock, the Company agrees to pay you the cash proceeds from the sale, less any brokerage fees or commissions, in accordance with applicable exchange control laws and regulations, and provided any liability for Tax-Related Items (as defined in Section 6 of the Agreement) has been satisfied.</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Due to fluctuations in the Company’s share price and the United States Dollar exchange rate between the date that shares are issued to you upon vesting of the RSUs and (if later) the date on which the shares of Common Stock are sold, the sale proceeds may be more or less than the fair market value of the shares of Common Stock on the date the shares are initially issued to you. This date is the relevant date for determining your tax liability. You understand and agree that the Company is not responsible for the amount of any loss you may incur, and that the Company assumes no liability for any fluctuation in the share price or United States Dollar exchange rate.</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further agree that any shares of Common Stock to be issued to you shall be deposited directly into your Fidelity account. You also agree that you may not transfer the deposited shares of Common Stock from your Fidelity account. This limitation will apply both to transfers to different accounts with Fidelity and to transfers to other brokerage firms. The limitation shall apply to all shares of Common Stock issued to you under the Plan, whether or not you continue to be employed by the Company, the Employer or any affiliate of the Company.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u w:val="single" w:color="auto"/>
          <w:color w:val="auto"/>
        </w:rPr>
        <w:t>Exchange Control Requirements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SAFE rules require that when you sell shares of Common Stock or receive any other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from the shares (</w:t>
      </w:r>
      <w:r>
        <w:rPr>
          <w:rFonts w:ascii="Arial" w:cs="Arial" w:eastAsia="Arial" w:hAnsi="Arial"/>
          <w:sz w:val="20"/>
          <w:szCs w:val="20"/>
          <w:i w:val="1"/>
          <w:iCs w:val="1"/>
          <w:color w:val="auto"/>
        </w:rPr>
        <w:t>e.g</w:t>
      </w:r>
      <w:r>
        <w:rPr>
          <w:rFonts w:ascii="Arial" w:cs="Arial" w:eastAsia="Arial" w:hAnsi="Arial"/>
          <w:sz w:val="20"/>
          <w:szCs w:val="20"/>
          <w:color w:val="auto"/>
        </w:rPr>
        <w:t>., dividends), all such funds must be immediately brought back (</w:t>
      </w:r>
      <w:r>
        <w:rPr>
          <w:rFonts w:ascii="Arial" w:cs="Arial" w:eastAsia="Arial" w:hAnsi="Arial"/>
          <w:sz w:val="20"/>
          <w:szCs w:val="20"/>
          <w:i w:val="1"/>
          <w:iCs w:val="1"/>
          <w:color w:val="auto"/>
        </w:rPr>
        <w:t>i.e.,</w:t>
      </w:r>
      <w:r>
        <w:rPr>
          <w:rFonts w:ascii="Arial" w:cs="Arial" w:eastAsia="Arial" w:hAnsi="Arial"/>
          <w:sz w:val="20"/>
          <w:szCs w:val="20"/>
          <w:color w:val="auto"/>
        </w:rPr>
        <w:t xml:space="preserve"> "repatriated") to China through a special exchange control account. To comply with this requirement, the Company will set up the special exchange control account and will facilitate the repatriation of the funds to China where the funds will be delivered to you. By accepting the RSUs, you acknowledge and agree that all funds received from your shares of Stock must be repatriated to China, and you hereby consent and agree that such funds may be transferred to the special exchange control account prior to being delivered to you.</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You understand that the sale proceeds (or other funds) may be paid to you in local currency. If the funds are paid in local currency, you acknowledge that neither the Company nor any affiliate is under an obligation to secure any particular currency conversion rate and that the Company (or any affiliate) may face delays in converting the funds to local currency due to exchange control requirements in China. You agree to bear any currency fluctuation risk between the time the shares of Common Stock are sold (or other funds are paid out) and the time the funds are converted into local currency and distributed to you.</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You further agree to comply with any other requirements that may be imposed by the Company in the future to facilitate compliance with exchange control requirements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STATE AND COUNTRY-SPECIFIC APPENDICES FOR ATTACHMENT II</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Appendix B.1- U.S. State Law</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any of the U.S. states below, or transfers employment and/or residency after the Grant Date to one of the U.S. states below, then the following terms shall apply to the noncompete and nonsolicit restrictions in Sections 6 and 7 of Attachment II after the date on which Employee ceases to be employed by the Company Group for as long as Employee continues to work or reside in such state.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California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Sections 6 and 7(b) of Attachment II shall not apply to any Employee who primarily resides or works in, or transfers employment and/or residency after the Grant Date to California. For any Employee who primarily resides or works in California, any clause or agreement between Employee and the Company that restricts post-employment competition in California, including but not limited to Sections 6 and 7(b), are hereby rescinded and shall be deemed null and void.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Colorado</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Employee acknowledges that Employee was provided with a separate notice of Sections 6 and 7 of Attachment II at least 14 days before the earlier of (1) the effective date of this Agreement or (2) the Grant Date.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Colorado and earns an amount of compensation equal to or greater than the threshold amount for “highly compensated workers” under Colorado law.</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7(b) of Attachment II shall only apply to any Employee who primarily resides or works in, or transfers employment and/or residency after the Grant Date to Colorado and earns an amount of compensation equal to or greater than 60% of the threshold amount for “highly compensated workers” under Colorado law.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Georgia</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Georgia and (i) customarily and regularly solicits customers or prospective customers for the Company Group, (ii) customarily and regularly engages in making sales or obtaining orders or contracts for products or services to be performed by others, (iii) has the authority to hire or fire other employees or particular weight is given to Employee’s suggestions and recommendations as to the hiring, firing, advancement, promotion, or any other change of status of other employees, or (iv) performs the duties of a “key employee” or professional under Georgia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Idaho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Idaho and performs the duties of a “key employee” under Idaho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Illinois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Sections 6 and 7 of Attachment II shall only apply to any Employee who primarily resides or works in, or transfers employment and/or residency after the Grant Date to Illinois and: (i) whose actual or expected annualized rate of earnings exceeds the statutory amount set in the Illinois Freedom to Work Act 820 ILCS 90/10, as adjusted in accordance with the Illinois Freedom to Work Act and (ii) who was not laid off or furloughed due to COVID-19 or similar circumstances without appropriate compensation.</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Employee acknowledges that: (i) the Company has advised Employee that Employee has the right to consult with an attorney before executing this Agreement, and (ii) Employee was provided with a separate notice of Sections 6 and 7(b) of Attachment II at least 14 days before the earlier of (1) the effective date of this Agreement or (2) the Grant Date or Employee was provided with at least 14 days to review this Agreement. Employee further acknowledges that the Company is in compliance with this provision even if Employee voluntarily elects to sign this Agreement before the expiration of the 14-day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Louisiana</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For Employees who primarily reside or work in, or transfer employment and/or residency after the Grant Date to Louisiana, the Restricted Territory shall be as described below.</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Within the State of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Massachusetts</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Massachusetts and (i) is classified as exempt under the Fair Labor Standards Act, (ii) was not terminated without cause or laid off, (iii) who the Company Group pays on a pro-rata basis during the entirety of the restricted period following the date in which Employee ceases to be employed by the Company Group (but in no event longer than a one</w:t>
      </w:r>
    </w:p>
    <w:p>
      <w:pPr>
        <w:ind w:firstLine="8"/>
        <w:spacing w:after="0" w:line="239" w:lineRule="auto"/>
        <w:tabs>
          <w:tab w:leader="none" w:pos="322" w:val="left"/>
        </w:tabs>
        <w:numPr>
          <w:ilvl w:val="0"/>
          <w:numId w:val="135"/>
        </w:numPr>
        <w:rPr>
          <w:rFonts w:ascii="Arial" w:cs="Arial" w:eastAsia="Arial" w:hAnsi="Arial"/>
          <w:sz w:val="20"/>
          <w:szCs w:val="20"/>
          <w:color w:val="auto"/>
        </w:rPr>
      </w:pPr>
      <w:r>
        <w:rPr>
          <w:rFonts w:ascii="Arial" w:cs="Arial" w:eastAsia="Arial" w:hAnsi="Arial"/>
          <w:sz w:val="20"/>
          <w:szCs w:val="20"/>
          <w:color w:val="auto"/>
        </w:rPr>
        <w:t>year period) an amount equal to fifty percent (50%) of Employee’s highest annualized base salary paid by the Company Group within the two years preceding the date in which Employee ceases to be employed by the Company Group.</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Employee acknowledges that Employee was provided with this notice at least 10 days before the effective date of this Agreement. Employee acknowledges that Employee the Company has advised and hereby does advise Employee that Employee has the right to consult with an attorney of his or her choosing before executing this Agreement.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restriction in Section 6(b) of Attachment II shall be limited to the period of one (1) year following the date on which Employee ceases to be employed by the Company Group, unless Employee has breached his or her fiduciary duty to the Company Group or Employee has unlawfully taken, physically or electronically, property belonging to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0" w:name="page101"/>
    <w:bookmarkEnd w:id="100"/>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Nevada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II shall not apply to any Employee who primarily resides or works in, or transfers employment and/or residency after the Grant Date to Nevada and: (i) is paid solely on an hourly wage basis, exclusive of any tips or gratuities, or (ii) their termination was part of a reduction of force, reorganization, or similar restructuring of the Company Group (unless the Company Group pays Employee’s salary, benefits, or equivalent compensation, including severance pay, if any, during the restricted period).</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II shall not restrict Employee from providing a service to a former customer or client if (i) Employee did not solicit the former customer or client; (ii) the customer or client voluntarily chose to leave and sought Employee’s services; and (iii) Employee has otherwise complied with Section 6 of Attachment II regarding time, geographic area, and scope of the restrained activity, other than any limitation on providing services to a former customer or client of the Company Group who seeks the services of Employee without any contact instigated by Employee.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North Dakota</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Sections 6 and 7(b) of Attachment II shall not apply to any Employee who primarily resides or works in, or transfers employment and/or residency after the Grant Date to North Dakota.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Oklahoma</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Section 6 of Attachment II shall not apply to any Employee who primarily resides or works in, or transfers employment and/or residency after the Grant Date to Oklahoma.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B.2 - United Arab Emirates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the United Arab Emirates, or transfers employment and/or residency after the Grant Date to the United Arab Emirates, then the following terms shall apply to the noncompete and nonsolicit restrictions in Sections 6 and 7 of Attachment II after the date on which Employee ceases to be employed by the Company Group for as long as Employee continues to work or reside in such state.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Emirate of Dubai (including but not limited to the Dubai International Financial Centre) and the Emirate of Abu Dhabi (including but not limited to the Abu Dhabi Global Market).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clause in Section 6(b) of Attachment II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restriction in Section 7 of Attachment II shall be limited to the period of twelve (12) months following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The following clause in Section 7(a) of Attachment II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20"/>
          <w:szCs w:val="20"/>
          <w:b w:val="1"/>
          <w:bCs w:val="1"/>
          <w:u w:val="single" w:color="auto"/>
          <w:color w:val="auto"/>
        </w:rPr>
        <w:t>Appendix B.3 - Saudi Arabia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Saudi Arabia, or transfers employment and/or residency after the Grant Date to Saudi Arabia, then the following terms shall apply to the confidential information, noncompete and nonsolicit restrictions in Sections 3, 6 and 7 of Attachment II after the date on which Employee ceases to be employed by the Company Group for as long as Employee continues to work or reside in such state.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restriction in Section 3(c) of Attachment II shall only apply for 50 years following the termination of the Employee's employment.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Dhahran, Khobar, Dammam, Udhailiyahh, Khafji, or King Salman Energy Park (SPARK).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restriction in Section 7(a) of Attachment II shall be limited to employees, consultants, or contractors: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4" w:lineRule="exact"/>
        <w:rPr>
          <w:sz w:val="20"/>
          <w:szCs w:val="20"/>
          <w:color w:val="auto"/>
        </w:rPr>
      </w:pPr>
    </w:p>
    <w:p>
      <w:pPr>
        <w:ind w:left="1060" w:hanging="303"/>
        <w:spacing w:after="0"/>
        <w:tabs>
          <w:tab w:leader="none" w:pos="10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w:t>
      </w:r>
    </w:p>
    <w:p>
      <w:pPr>
        <w:spacing w:after="0" w:line="184" w:lineRule="exact"/>
        <w:rPr>
          <w:rFonts w:ascii="Arial" w:cs="Arial" w:eastAsia="Arial" w:hAnsi="Arial"/>
          <w:sz w:val="20"/>
          <w:szCs w:val="20"/>
          <w:color w:val="auto"/>
        </w:rPr>
      </w:pPr>
    </w:p>
    <w:p>
      <w:pPr>
        <w:ind w:left="1100" w:hanging="343"/>
        <w:spacing w:after="0"/>
        <w:tabs>
          <w:tab w:leader="none" w:pos="11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who worked in Employee’s business unit (Group); or</w:t>
      </w:r>
    </w:p>
    <w:p>
      <w:pPr>
        <w:spacing w:after="0" w:line="202" w:lineRule="exact"/>
        <w:rPr>
          <w:rFonts w:ascii="Arial" w:cs="Arial" w:eastAsia="Arial" w:hAnsi="Arial"/>
          <w:sz w:val="20"/>
          <w:szCs w:val="20"/>
          <w:color w:val="auto"/>
        </w:rPr>
      </w:pPr>
    </w:p>
    <w:p>
      <w:pPr>
        <w:ind w:left="1100" w:hanging="343"/>
        <w:spacing w:after="0"/>
        <w:tabs>
          <w:tab w:leader="none" w:pos="11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about whom Employee had access to confidential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jc w:val="both"/>
        <w:ind w:firstLine="8"/>
        <w:spacing w:after="0" w:line="241" w:lineRule="auto"/>
        <w:tabs>
          <w:tab w:leader="none" w:pos="29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who were engaged or employed by the Company or its Affiliates in Saudi Arabia on the date in which Employee ceases to be employed by the Company Group or was engaged or employed by the Company or its Affiliates in Saudi Arabia during the twelve (12)-month period immediately preceding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1430020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2" w:name="page103"/>
    <w:bookmarkEnd w:id="102"/>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500380</wp:posOffset>
            </wp:positionV>
            <wp:extent cx="796925" cy="651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796925" cy="6515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Exhibit 10.4</w:t>
      </w:r>
    </w:p>
    <w:p>
      <w:pPr>
        <w:spacing w:after="0" w:line="233" w:lineRule="exact"/>
        <w:rPr>
          <w:sz w:val="20"/>
          <w:szCs w:val="20"/>
          <w:color w:val="auto"/>
        </w:rPr>
      </w:pPr>
    </w:p>
    <w:p>
      <w:pPr>
        <w:jc w:val="center"/>
        <w:ind w:right="60"/>
        <w:spacing w:after="0" w:line="237" w:lineRule="auto"/>
        <w:rPr>
          <w:sz w:val="20"/>
          <w:szCs w:val="20"/>
          <w:color w:val="auto"/>
        </w:rPr>
      </w:pPr>
      <w:r>
        <w:rPr>
          <w:rFonts w:ascii="Arial" w:cs="Arial" w:eastAsia="Arial" w:hAnsi="Arial"/>
          <w:sz w:val="22"/>
          <w:szCs w:val="22"/>
          <w:b w:val="1"/>
          <w:bCs w:val="1"/>
          <w:color w:val="auto"/>
        </w:rPr>
        <w:t>20[ ] PERFORMANCE SHARE UNIT AWARD AGREEMENT (BASED ON RETURN ON CAPITAL EMPLOYED PERFORMANCE) under the</w:t>
      </w:r>
    </w:p>
    <w:p>
      <w:pPr>
        <w:spacing w:after="0" w:line="2"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SCHLUMBERGER 2017 OMNIBUS STOCK INCENTIVE PLAN</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u w:val="single" w:color="auto"/>
          <w:color w:val="auto"/>
        </w:rPr>
        <w:t>Includes Confidentiality, Intellectual Property, Non-Competition, and Non-Solicitation Provisions in Section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9 and Attachment II</w:t>
      </w:r>
      <w:r>
        <w:rPr>
          <w:rFonts w:ascii="Arial" w:cs="Arial" w:eastAsia="Arial" w:hAnsi="Arial"/>
          <w:sz w:val="22"/>
          <w:szCs w:val="22"/>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Period: 20[ ], 20[ ] and 20[ ]</w:t>
      </w:r>
    </w:p>
    <w:p>
      <w:pPr>
        <w:spacing w:after="0" w:line="2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This Performance Share Unit Award Agreement (as may be amended, the “Agreement”) is granted to you (“Employee”) effective as of [ ], 20[ ] (the “Grant Date”) by Schlumberger Limited (the “Company”), pursuant to the Schlumberger 2017 Omnibus Stock Incentive Plan, as may be amended (the “Plan”).</w:t>
      </w:r>
    </w:p>
    <w:p>
      <w:pPr>
        <w:spacing w:after="0" w:line="170" w:lineRule="exact"/>
        <w:rPr>
          <w:sz w:val="20"/>
          <w:szCs w:val="20"/>
          <w:color w:val="auto"/>
        </w:rPr>
      </w:pPr>
    </w:p>
    <w:p>
      <w:pPr>
        <w:jc w:val="both"/>
        <w:ind w:firstLine="757"/>
        <w:spacing w:after="0" w:line="235" w:lineRule="auto"/>
        <w:tabs>
          <w:tab w:leader="none" w:pos="1018" w:val="left"/>
        </w:tabs>
        <w:numPr>
          <w:ilvl w:val="0"/>
          <w:numId w:val="138"/>
        </w:numPr>
        <w:rPr>
          <w:rFonts w:ascii="Arial" w:cs="Arial" w:eastAsia="Arial" w:hAnsi="Arial"/>
          <w:sz w:val="20"/>
          <w:szCs w:val="20"/>
          <w:color w:val="auto"/>
        </w:rPr>
      </w:pPr>
      <w:r>
        <w:rPr>
          <w:rFonts w:ascii="Arial" w:cs="Arial" w:eastAsia="Arial" w:hAnsi="Arial"/>
          <w:sz w:val="22"/>
          <w:szCs w:val="22"/>
          <w:u w:val="single" w:color="auto"/>
          <w:color w:val="auto"/>
        </w:rPr>
        <w:t>Award</w:t>
      </w:r>
      <w:r>
        <w:rPr>
          <w:rFonts w:ascii="Arial" w:cs="Arial" w:eastAsia="Arial" w:hAnsi="Arial"/>
          <w:sz w:val="22"/>
          <w:szCs w:val="22"/>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8" w:lineRule="exact"/>
        <w:rPr>
          <w:rFonts w:ascii="Arial" w:cs="Arial" w:eastAsia="Arial" w:hAnsi="Arial"/>
          <w:sz w:val="20"/>
          <w:szCs w:val="20"/>
          <w:color w:val="auto"/>
        </w:rPr>
      </w:pPr>
    </w:p>
    <w:p>
      <w:pPr>
        <w:ind w:firstLine="757"/>
        <w:spacing w:after="0" w:line="259" w:lineRule="auto"/>
        <w:tabs>
          <w:tab w:leader="none" w:pos="1018" w:val="left"/>
        </w:tabs>
        <w:numPr>
          <w:ilvl w:val="0"/>
          <w:numId w:val="138"/>
        </w:numPr>
        <w:rPr>
          <w:rFonts w:ascii="Arial" w:cs="Arial" w:eastAsia="Arial" w:hAnsi="Arial"/>
          <w:sz w:val="20"/>
          <w:szCs w:val="20"/>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 The period of time from and including January 1, 20[ ] to December 31, 20[ ] is the “Performance Period.” The Performance Share Units will vest as follows:</w:t>
      </w:r>
    </w:p>
    <w:p>
      <w:pPr>
        <w:spacing w:after="0" w:line="156" w:lineRule="exact"/>
        <w:rPr>
          <w:sz w:val="20"/>
          <w:szCs w:val="20"/>
          <w:color w:val="auto"/>
        </w:rPr>
      </w:pPr>
    </w:p>
    <w:p>
      <w:pPr>
        <w:jc w:val="both"/>
        <w:ind w:firstLine="757"/>
        <w:spacing w:after="0" w:line="246" w:lineRule="auto"/>
        <w:tabs>
          <w:tab w:leader="none" w:pos="1018" w:val="left"/>
        </w:tabs>
        <w:numPr>
          <w:ilvl w:val="0"/>
          <w:numId w:val="139"/>
        </w:numPr>
        <w:rPr>
          <w:rFonts w:ascii="Arial" w:cs="Arial" w:eastAsia="Arial" w:hAnsi="Arial"/>
          <w:sz w:val="19"/>
          <w:szCs w:val="19"/>
          <w:color w:val="auto"/>
        </w:rPr>
      </w:pPr>
      <w:r>
        <w:rPr>
          <w:rFonts w:ascii="Arial" w:cs="Arial" w:eastAsia="Arial" w:hAnsi="Arial"/>
          <w:sz w:val="21"/>
          <w:szCs w:val="21"/>
          <w:color w:val="auto"/>
        </w:rPr>
        <w:t>On the Friday following the first meeting of the Compensation Committee of the Board of Directors of the Company (the “Committee”) in 20[ ] (the “First Committee Meeting”), or as soon thereafter as reasonably practicable (such date, the “initial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initial Vesting Date and has not experienced a Termination of Employment (as defined in Section 12(y) below) as of such date. If, immediately following the First Committee Meeting, not all companies comprising the ROCE Peer Group (as defined in Attachment I) have publicly disclosed the full-year financial information required to determine the number of shares of Common Stock earned, the Committee may elect, at its discretion, to award to Employee a specified percentage of the number of such shares initially determined to be earned. The percentage of shares initially issued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jc w:val="both"/>
        <w:spacing w:after="0" w:line="245" w:lineRule="auto"/>
        <w:rPr>
          <w:sz w:val="20"/>
          <w:szCs w:val="20"/>
          <w:color w:val="auto"/>
        </w:rPr>
      </w:pPr>
      <w:r>
        <w:rPr>
          <w:rFonts w:ascii="Arial" w:cs="Arial" w:eastAsia="Arial" w:hAnsi="Arial"/>
          <w:sz w:val="21"/>
          <w:szCs w:val="21"/>
          <w:color w:val="auto"/>
        </w:rPr>
        <w:t>Employee will be based on available reported results of the ROCE Peer Group as of the First Committee Meeting, and the issuance of such shares will occur as soon after the First Committee Meeting as administratively practicable. Any additional shares of Common Stock earned will be issued to Employee as soon as reasonably practicable following the public release by all ROCE Peer Group companies of the requisite full-year financial results necessary to determine the final number of shares earned. The date of the issuance of such additional shares will be a “subsequent Vesting Date” for purposes of this Agreement). Except as provided in Sections 2(b) and 2(c) below, if there is any Termination of Employment during the period from and between the Grant Date until and including the initial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77" w:lineRule="exact"/>
        <w:rPr>
          <w:sz w:val="20"/>
          <w:szCs w:val="20"/>
          <w:color w:val="auto"/>
        </w:rPr>
      </w:pPr>
    </w:p>
    <w:p>
      <w:pPr>
        <w:jc w:val="both"/>
        <w:ind w:left="760" w:hanging="3"/>
        <w:spacing w:after="0"/>
        <w:tabs>
          <w:tab w:leader="none" w:pos="1029" w:val="left"/>
        </w:tabs>
        <w:numPr>
          <w:ilvl w:val="0"/>
          <w:numId w:val="140"/>
        </w:numPr>
        <w:rPr>
          <w:rFonts w:ascii="Arial" w:cs="Arial" w:eastAsia="Arial" w:hAnsi="Arial"/>
          <w:sz w:val="20"/>
          <w:szCs w:val="20"/>
          <w:color w:val="auto"/>
        </w:rPr>
      </w:pPr>
      <w:r>
        <w:rPr>
          <w:rFonts w:ascii="Arial" w:cs="Arial" w:eastAsia="Arial" w:hAnsi="Arial"/>
          <w:sz w:val="22"/>
          <w:szCs w:val="22"/>
          <w:color w:val="auto"/>
        </w:rPr>
        <w:t>(i) If Employee’s Termination of Employment occurs due to Retirement (as defined in Section 12(q) below), then the Performance Share Units will vest in accordance with Section 2(a) above as if Employee had remained continuously employed by the Company or any of its Subsidiaries from the Grant Date through the initial Vesting Date.</w:t>
      </w:r>
    </w:p>
    <w:p>
      <w:pPr>
        <w:spacing w:after="0" w:line="176" w:lineRule="exact"/>
        <w:rPr>
          <w:rFonts w:ascii="Arial" w:cs="Arial" w:eastAsia="Arial" w:hAnsi="Arial"/>
          <w:sz w:val="20"/>
          <w:szCs w:val="20"/>
          <w:color w:val="auto"/>
        </w:rPr>
      </w:pPr>
    </w:p>
    <w:p>
      <w:pPr>
        <w:jc w:val="both"/>
        <w:ind w:left="760" w:firstLine="745"/>
        <w:spacing w:after="0" w:line="248" w:lineRule="auto"/>
        <w:tabs>
          <w:tab w:leader="none" w:pos="1989" w:val="left"/>
        </w:tabs>
        <w:numPr>
          <w:ilvl w:val="1"/>
          <w:numId w:val="140"/>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Early Retirement (as defined in Section 12(i) below) or Special Retirement (as defined in Section 12(t) below, then, subject to the approval of (x) the Committee, if Employee is an executive officer of the Company at the time of Employee’s election to retire, or</w:t>
      </w:r>
    </w:p>
    <w:p>
      <w:pPr>
        <w:jc w:val="both"/>
        <w:ind w:left="760" w:hanging="3"/>
        <w:spacing w:after="0" w:line="234" w:lineRule="auto"/>
        <w:tabs>
          <w:tab w:leader="none" w:pos="110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Retirement Committee (as defined in Section 12(r)),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initial Vesting Date. Any approval under clauses (x) or (y) may be granted or withheld in the sole discretion of the Committee or the Retirement Committee, as applicable.</w:t>
      </w:r>
    </w:p>
    <w:p>
      <w:pPr>
        <w:spacing w:after="0" w:line="177" w:lineRule="exact"/>
        <w:rPr>
          <w:rFonts w:ascii="Arial" w:cs="Arial" w:eastAsia="Arial" w:hAnsi="Arial"/>
          <w:sz w:val="22"/>
          <w:szCs w:val="22"/>
          <w:color w:val="auto"/>
        </w:rPr>
      </w:pPr>
    </w:p>
    <w:p>
      <w:pPr>
        <w:jc w:val="both"/>
        <w:ind w:firstLine="757"/>
        <w:spacing w:after="0" w:line="245" w:lineRule="auto"/>
        <w:tabs>
          <w:tab w:leader="none" w:pos="1018" w:val="left"/>
        </w:tabs>
        <w:numPr>
          <w:ilvl w:val="0"/>
          <w:numId w:val="142"/>
        </w:numPr>
        <w:rPr>
          <w:rFonts w:ascii="Arial" w:cs="Arial" w:eastAsia="Arial" w:hAnsi="Arial"/>
          <w:sz w:val="20"/>
          <w:szCs w:val="20"/>
          <w:color w:val="auto"/>
        </w:rPr>
      </w:pPr>
      <w:r>
        <w:rPr>
          <w:rFonts w:ascii="Arial" w:cs="Arial" w:eastAsia="Arial" w:hAnsi="Arial"/>
          <w:sz w:val="22"/>
          <w:szCs w:val="22"/>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initial Vesting Date.</w:t>
      </w:r>
    </w:p>
    <w:p>
      <w:pPr>
        <w:spacing w:after="0" w:line="170" w:lineRule="exact"/>
        <w:rPr>
          <w:sz w:val="20"/>
          <w:szCs w:val="20"/>
          <w:color w:val="auto"/>
        </w:rPr>
      </w:pPr>
    </w:p>
    <w:p>
      <w:pPr>
        <w:jc w:val="both"/>
        <w:ind w:firstLine="757"/>
        <w:spacing w:after="0" w:line="251" w:lineRule="auto"/>
        <w:tabs>
          <w:tab w:leader="none" w:pos="1018" w:val="left"/>
        </w:tabs>
        <w:numPr>
          <w:ilvl w:val="0"/>
          <w:numId w:val="143"/>
        </w:numPr>
        <w:rPr>
          <w:rFonts w:ascii="Arial" w:cs="Arial" w:eastAsia="Arial" w:hAnsi="Arial"/>
          <w:sz w:val="19"/>
          <w:szCs w:val="19"/>
          <w:color w:val="auto"/>
        </w:rPr>
      </w:pPr>
      <w:r>
        <w:rPr>
          <w:rFonts w:ascii="Arial" w:cs="Arial" w:eastAsia="Arial" w:hAnsi="Arial"/>
          <w:sz w:val="21"/>
          <w:szCs w:val="21"/>
          <w:u w:val="single" w:color="auto"/>
          <w:color w:val="auto"/>
        </w:rPr>
        <w:t>Settlement of Performance Share Units</w:t>
      </w:r>
      <w:r>
        <w:rPr>
          <w:rFonts w:ascii="Arial" w:cs="Arial" w:eastAsia="Arial" w:hAnsi="Arial"/>
          <w:sz w:val="21"/>
          <w:szCs w:val="21"/>
          <w:color w:val="auto"/>
        </w:rPr>
        <w:t xml:space="preserve">. Subject to Section 2(a) above, payment of vested Performance Share Units will be made in shares of Common Stock as soon as administratively practicable, but in no event later than 2-1/2 months following the end of the initial Vesting Date (the date of any such payment, the “Settlement Date”);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Committee may, in its sole and absolute discretion, settle the vested Performance Share</w:t>
      </w:r>
      <w:r>
        <w:rPr>
          <w:rFonts w:ascii="Arial" w:cs="Arial" w:eastAsia="Arial" w:hAnsi="Arial"/>
          <w:sz w:val="21"/>
          <w:szCs w:val="21"/>
          <w:i w:val="1"/>
          <w:iCs w:val="1"/>
          <w:color w:val="auto"/>
        </w:rPr>
        <w:t xml:space="preserve"> </w:t>
      </w:r>
      <w:r>
        <w:rPr>
          <w:rFonts w:ascii="Arial" w:cs="Arial" w:eastAsia="Arial" w:hAnsi="Arial"/>
          <w:sz w:val="21"/>
          <w:szCs w:val="21"/>
          <w:color w:val="auto"/>
        </w:rPr>
        <w:t>Units in cash based on the Fair Market Value of the shares of Common Stock on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4" w:name="page105"/>
    <w:bookmarkEnd w:id="104"/>
    <w:p>
      <w:pPr>
        <w:ind w:left="263" w:hanging="263"/>
        <w:spacing w:after="0"/>
        <w:tabs>
          <w:tab w:leader="none" w:pos="263" w:val="left"/>
        </w:tabs>
        <w:numPr>
          <w:ilvl w:val="0"/>
          <w:numId w:val="144"/>
        </w:numPr>
        <w:rPr>
          <w:rFonts w:ascii="Arial" w:cs="Arial" w:eastAsia="Arial" w:hAnsi="Arial"/>
          <w:sz w:val="20"/>
          <w:szCs w:val="20"/>
          <w:color w:val="auto"/>
        </w:rPr>
      </w:pP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left="-757" w:firstLine="757"/>
        <w:spacing w:after="0" w:line="236" w:lineRule="auto"/>
        <w:tabs>
          <w:tab w:leader="none" w:pos="261" w:val="left"/>
        </w:tabs>
        <w:numPr>
          <w:ilvl w:val="0"/>
          <w:numId w:val="145"/>
        </w:numPr>
        <w:rPr>
          <w:rFonts w:ascii="Arial" w:cs="Arial" w:eastAsia="Arial" w:hAnsi="Arial"/>
          <w:sz w:val="20"/>
          <w:szCs w:val="20"/>
          <w:color w:val="auto"/>
        </w:rPr>
      </w:pPr>
      <w:r>
        <w:rPr>
          <w:rFonts w:ascii="Arial" w:cs="Arial" w:eastAsia="Arial" w:hAnsi="Arial"/>
          <w:sz w:val="22"/>
          <w:szCs w:val="22"/>
          <w:color w:val="auto"/>
        </w:rPr>
        <w:t>At any time during the Performance Period and up to and including the initial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81" w:lineRule="exact"/>
        <w:rPr>
          <w:rFonts w:ascii="Arial" w:cs="Arial" w:eastAsia="Arial" w:hAnsi="Arial"/>
          <w:sz w:val="20"/>
          <w:szCs w:val="20"/>
          <w:color w:val="auto"/>
        </w:rPr>
      </w:pPr>
    </w:p>
    <w:p>
      <w:pPr>
        <w:jc w:val="both"/>
        <w:ind w:left="-757" w:firstLine="757"/>
        <w:spacing w:after="0" w:line="236" w:lineRule="auto"/>
        <w:tabs>
          <w:tab w:leader="none" w:pos="261" w:val="left"/>
        </w:tabs>
        <w:numPr>
          <w:ilvl w:val="0"/>
          <w:numId w:val="145"/>
        </w:numPr>
        <w:rPr>
          <w:rFonts w:ascii="Arial" w:cs="Arial" w:eastAsia="Arial" w:hAnsi="Arial"/>
          <w:sz w:val="20"/>
          <w:szCs w:val="20"/>
          <w:color w:val="auto"/>
        </w:rPr>
      </w:pPr>
      <w:r>
        <w:rPr>
          <w:rFonts w:ascii="Arial" w:cs="Arial" w:eastAsia="Arial" w:hAnsi="Arial"/>
          <w:sz w:val="22"/>
          <w:szCs w:val="22"/>
          <w:color w:val="auto"/>
        </w:rPr>
        <w:t>Notwithstanding any provision in this Agreement to the contrary, if at any time during the Performance Period and up to and including the subsequent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82" w:lineRule="exact"/>
        <w:rPr>
          <w:sz w:val="20"/>
          <w:szCs w:val="20"/>
          <w:color w:val="auto"/>
        </w:rPr>
      </w:pPr>
    </w:p>
    <w:p>
      <w:pPr>
        <w:ind w:left="263" w:hanging="263"/>
        <w:spacing w:after="0"/>
        <w:tabs>
          <w:tab w:leader="none" w:pos="263" w:val="left"/>
        </w:tabs>
        <w:numPr>
          <w:ilvl w:val="0"/>
          <w:numId w:val="146"/>
        </w:numPr>
        <w:rPr>
          <w:rFonts w:ascii="Arial" w:cs="Arial" w:eastAsia="Arial" w:hAnsi="Arial"/>
          <w:sz w:val="20"/>
          <w:szCs w:val="20"/>
          <w:color w:val="auto"/>
        </w:rPr>
      </w:pP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left="-757" w:firstLine="757"/>
        <w:spacing w:after="0" w:line="236" w:lineRule="auto"/>
        <w:tabs>
          <w:tab w:leader="none" w:pos="261" w:val="left"/>
        </w:tabs>
        <w:numPr>
          <w:ilvl w:val="0"/>
          <w:numId w:val="147"/>
        </w:numPr>
        <w:rPr>
          <w:rFonts w:ascii="Arial" w:cs="Arial" w:eastAsia="Arial" w:hAnsi="Arial"/>
          <w:sz w:val="20"/>
          <w:szCs w:val="20"/>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1" w:lineRule="exact"/>
        <w:rPr>
          <w:rFonts w:ascii="Arial" w:cs="Arial" w:eastAsia="Arial" w:hAnsi="Arial"/>
          <w:sz w:val="20"/>
          <w:szCs w:val="20"/>
          <w:color w:val="auto"/>
        </w:rPr>
      </w:pPr>
    </w:p>
    <w:p>
      <w:pPr>
        <w:jc w:val="both"/>
        <w:ind w:left="-757" w:firstLine="757"/>
        <w:spacing w:after="0" w:line="236" w:lineRule="auto"/>
        <w:tabs>
          <w:tab w:leader="none" w:pos="261" w:val="left"/>
        </w:tabs>
        <w:numPr>
          <w:ilvl w:val="0"/>
          <w:numId w:val="147"/>
        </w:numPr>
        <w:rPr>
          <w:rFonts w:ascii="Arial" w:cs="Arial" w:eastAsia="Arial" w:hAnsi="Arial"/>
          <w:sz w:val="20"/>
          <w:szCs w:val="20"/>
          <w:color w:val="auto"/>
        </w:rPr>
      </w:pPr>
      <w:r>
        <w:rPr>
          <w:rFonts w:ascii="Arial" w:cs="Arial" w:eastAsia="Arial" w:hAnsi="Arial"/>
          <w:sz w:val="22"/>
          <w:szCs w:val="22"/>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76" w:lineRule="exact"/>
        <w:rPr>
          <w:sz w:val="20"/>
          <w:szCs w:val="20"/>
          <w:color w:val="auto"/>
        </w:rPr>
      </w:pPr>
    </w:p>
    <w:p>
      <w:pPr>
        <w:jc w:val="both"/>
        <w:ind w:left="-757" w:firstLine="757"/>
        <w:spacing w:after="0" w:line="245" w:lineRule="auto"/>
        <w:tabs>
          <w:tab w:leader="none" w:pos="261" w:val="left"/>
        </w:tabs>
        <w:numPr>
          <w:ilvl w:val="0"/>
          <w:numId w:val="148"/>
        </w:numPr>
        <w:rPr>
          <w:rFonts w:ascii="Arial" w:cs="Arial" w:eastAsia="Arial" w:hAnsi="Arial"/>
          <w:sz w:val="20"/>
          <w:szCs w:val="20"/>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70" w:lineRule="exact"/>
        <w:rPr>
          <w:rFonts w:ascii="Arial" w:cs="Arial" w:eastAsia="Arial" w:hAnsi="Arial"/>
          <w:sz w:val="20"/>
          <w:szCs w:val="20"/>
          <w:color w:val="auto"/>
        </w:rPr>
      </w:pPr>
    </w:p>
    <w:p>
      <w:pPr>
        <w:ind w:left="263" w:hanging="263"/>
        <w:spacing w:after="0"/>
        <w:tabs>
          <w:tab w:leader="none" w:pos="263" w:val="left"/>
        </w:tabs>
        <w:numPr>
          <w:ilvl w:val="0"/>
          <w:numId w:val="148"/>
        </w:numPr>
        <w:rPr>
          <w:rFonts w:ascii="Arial" w:cs="Arial" w:eastAsia="Arial" w:hAnsi="Arial"/>
          <w:sz w:val="20"/>
          <w:szCs w:val="20"/>
          <w:color w:val="auto"/>
        </w:rPr>
      </w:pP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ind w:left="-757" w:right="20" w:firstLine="757"/>
        <w:spacing w:after="0" w:line="259" w:lineRule="auto"/>
        <w:tabs>
          <w:tab w:leader="none" w:pos="47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Regardless of any action the Company takes with respect to any or all income tax (including foreign, federal, state and local taxes), social insurance, payroll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994410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9" w:right="339" w:bottom="1440" w:gutter="0" w:footer="0" w:header="0"/>
        </w:sectPr>
      </w:pPr>
    </w:p>
    <w:bookmarkStart w:id="105" w:name="page106"/>
    <w:bookmarkEnd w:id="105"/>
    <w:p>
      <w:pPr>
        <w:jc w:val="both"/>
        <w:spacing w:after="0" w:line="234" w:lineRule="auto"/>
        <w:rPr>
          <w:sz w:val="20"/>
          <w:szCs w:val="20"/>
          <w:color w:val="auto"/>
        </w:rPr>
      </w:pPr>
      <w:r>
        <w:rPr>
          <w:rFonts w:ascii="Arial" w:cs="Arial" w:eastAsia="Arial" w:hAnsi="Arial"/>
          <w:sz w:val="22"/>
          <w:szCs w:val="22"/>
          <w:color w:val="auto"/>
        </w:rPr>
        <w:t>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80" w:lineRule="exact"/>
        <w:rPr>
          <w:sz w:val="20"/>
          <w:szCs w:val="20"/>
          <w:color w:val="auto"/>
        </w:rPr>
      </w:pPr>
    </w:p>
    <w:p>
      <w:pPr>
        <w:jc w:val="both"/>
        <w:ind w:firstLine="757"/>
        <w:spacing w:after="0" w:line="234" w:lineRule="auto"/>
        <w:tabs>
          <w:tab w:leader="none" w:pos="122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83" w:lineRule="exact"/>
        <w:rPr>
          <w:rFonts w:ascii="Arial" w:cs="Arial" w:eastAsia="Arial" w:hAnsi="Arial"/>
          <w:sz w:val="22"/>
          <w:szCs w:val="22"/>
          <w:color w:val="auto"/>
        </w:rPr>
      </w:pPr>
    </w:p>
    <w:p>
      <w:pPr>
        <w:jc w:val="both"/>
        <w:ind w:firstLine="757"/>
        <w:spacing w:after="0" w:line="233" w:lineRule="auto"/>
        <w:tabs>
          <w:tab w:leader="none" w:pos="122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82" w:lineRule="exact"/>
        <w:rPr>
          <w:sz w:val="20"/>
          <w:szCs w:val="20"/>
          <w:color w:val="auto"/>
        </w:rPr>
      </w:pPr>
    </w:p>
    <w:p>
      <w:pPr>
        <w:jc w:val="both"/>
        <w:ind w:firstLine="757"/>
        <w:spacing w:after="0"/>
        <w:tabs>
          <w:tab w:leader="none" w:pos="1018" w:val="left"/>
        </w:tabs>
        <w:numPr>
          <w:ilvl w:val="0"/>
          <w:numId w:val="151"/>
        </w:numPr>
        <w:rPr>
          <w:rFonts w:ascii="Arial" w:cs="Arial" w:eastAsia="Arial" w:hAnsi="Arial"/>
          <w:sz w:val="20"/>
          <w:szCs w:val="20"/>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6" w:name="page107"/>
    <w:bookmarkEnd w:id="106"/>
    <w:p>
      <w:pPr>
        <w:ind w:left="1020" w:hanging="263"/>
        <w:spacing w:after="0"/>
        <w:tabs>
          <w:tab w:leader="none" w:pos="1020" w:val="left"/>
        </w:tabs>
        <w:numPr>
          <w:ilvl w:val="0"/>
          <w:numId w:val="152"/>
        </w:numPr>
        <w:rPr>
          <w:rFonts w:ascii="Arial" w:cs="Arial" w:eastAsia="Arial" w:hAnsi="Arial"/>
          <w:sz w:val="20"/>
          <w:szCs w:val="20"/>
          <w:color w:val="auto"/>
        </w:rPr>
      </w:pPr>
      <w:r>
        <w:rPr>
          <w:rFonts w:ascii="Arial" w:cs="Arial" w:eastAsia="Arial" w:hAnsi="Arial"/>
          <w:sz w:val="22"/>
          <w:szCs w:val="22"/>
          <w:u w:val="single" w:color="auto"/>
          <w:color w:val="auto"/>
        </w:rPr>
        <w:t>Confidential  Information,  Intellectual  Property  and  Noncompetition</w:t>
      </w:r>
      <w:r>
        <w:rPr>
          <w:rFonts w:ascii="Arial" w:cs="Arial" w:eastAsia="Arial" w:hAnsi="Arial"/>
          <w:sz w:val="22"/>
          <w:szCs w:val="22"/>
          <w:color w:val="auto"/>
        </w:rPr>
        <w:t xml:space="preserve">.  </w:t>
      </w:r>
      <w:r>
        <w:rPr>
          <w:rFonts w:ascii="Arial" w:cs="Arial" w:eastAsia="Arial" w:hAnsi="Arial"/>
          <w:sz w:val="22"/>
          <w:szCs w:val="22"/>
          <w:b w:val="1"/>
          <w:bCs w:val="1"/>
          <w:color w:val="auto"/>
        </w:rPr>
        <w:t>Employee  acknowledges  that</w:t>
      </w:r>
    </w:p>
    <w:p>
      <w:pPr>
        <w:spacing w:after="0" w:line="12" w:lineRule="exact"/>
        <w:rPr>
          <w:rFonts w:ascii="Arial" w:cs="Arial" w:eastAsia="Arial" w:hAnsi="Arial"/>
          <w:sz w:val="20"/>
          <w:szCs w:val="20"/>
          <w:color w:val="auto"/>
        </w:rPr>
      </w:pPr>
    </w:p>
    <w:p>
      <w:pPr>
        <w:jc w:val="both"/>
        <w:spacing w:after="0" w:line="234" w:lineRule="auto"/>
        <w:rPr>
          <w:rFonts w:ascii="Arial" w:cs="Arial" w:eastAsia="Arial" w:hAnsi="Arial"/>
          <w:sz w:val="20"/>
          <w:szCs w:val="20"/>
          <w:color w:val="auto"/>
        </w:rPr>
      </w:pPr>
      <w:r>
        <w:rPr>
          <w:rFonts w:ascii="Arial" w:cs="Arial" w:eastAsia="Arial" w:hAnsi="Arial"/>
          <w:sz w:val="22"/>
          <w:szCs w:val="22"/>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10.</w:t>
      </w:r>
      <w:r>
        <w:rPr>
          <w:rFonts w:ascii="Arial" w:cs="Arial" w:eastAsia="Arial" w:hAnsi="Arial"/>
          <w:sz w:val="21"/>
          <w:szCs w:val="21"/>
          <w:u w:val="single" w:color="auto"/>
          <w:color w:val="auto"/>
        </w:rPr>
        <w:t>Compliance with Securities Laws</w:t>
      </w:r>
      <w:r>
        <w:rPr>
          <w:rFonts w:ascii="Arial" w:cs="Arial" w:eastAsia="Arial" w:hAnsi="Arial"/>
          <w:sz w:val="20"/>
          <w:szCs w:val="20"/>
          <w:color w:val="auto"/>
        </w:rPr>
        <w:t xml:space="preserve"> </w:t>
      </w:r>
      <w:r>
        <w:rPr>
          <w:rFonts w:ascii="Arial" w:cs="Arial" w:eastAsia="Arial" w:hAnsi="Arial"/>
          <w:sz w:val="21"/>
          <w:szCs w:val="21"/>
          <w:color w:val="auto"/>
        </w:rPr>
        <w:t>. The Company will not be required to deliver any shares of Common</w:t>
      </w:r>
      <w:r>
        <w:rPr>
          <w:rFonts w:ascii="Arial" w:cs="Arial" w:eastAsia="Arial" w:hAnsi="Arial"/>
          <w:sz w:val="20"/>
          <w:szCs w:val="20"/>
          <w:color w:val="auto"/>
        </w:rPr>
        <w:t xml:space="preserve"> </w:t>
      </w:r>
      <w:r>
        <w:rPr>
          <w:rFonts w:ascii="Arial" w:cs="Arial" w:eastAsia="Arial" w:hAnsi="Arial"/>
          <w:sz w:val="21"/>
          <w:szCs w:val="21"/>
          <w:color w:val="auto"/>
        </w:rPr>
        <w:t>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w:t>
      </w:r>
      <w:r>
        <w:rPr>
          <w:rFonts w:ascii="Arial" w:cs="Arial" w:eastAsia="Arial" w:hAnsi="Arial"/>
          <w:sz w:val="21"/>
          <w:szCs w:val="21"/>
          <w:u w:val="single" w:color="auto"/>
          <w:color w:val="auto"/>
        </w:rPr>
        <w:t>Limitation of Rights</w:t>
      </w:r>
      <w:r>
        <w:rPr>
          <w:rFonts w:ascii="Arial" w:cs="Arial" w:eastAsia="Arial" w:hAnsi="Arial"/>
          <w:sz w:val="21"/>
          <w:szCs w:val="21"/>
          <w:color w:val="auto"/>
        </w:rPr>
        <w:t>. Nothing in this Agreement or the Plan may be construed to:</w:t>
      </w:r>
    </w:p>
    <w:p>
      <w:pPr>
        <w:spacing w:after="0" w:line="218" w:lineRule="exact"/>
        <w:rPr>
          <w:sz w:val="20"/>
          <w:szCs w:val="20"/>
          <w:color w:val="auto"/>
        </w:rPr>
      </w:pPr>
    </w:p>
    <w:p>
      <w:pPr>
        <w:ind w:firstLine="757"/>
        <w:spacing w:after="0" w:line="259" w:lineRule="auto"/>
        <w:tabs>
          <w:tab w:leader="none" w:pos="1018" w:val="left"/>
        </w:tabs>
        <w:numPr>
          <w:ilvl w:val="0"/>
          <w:numId w:val="153"/>
        </w:numPr>
        <w:rPr>
          <w:rFonts w:ascii="Arial" w:cs="Arial" w:eastAsia="Arial" w:hAnsi="Arial"/>
          <w:sz w:val="20"/>
          <w:szCs w:val="20"/>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56" w:lineRule="exact"/>
        <w:rPr>
          <w:rFonts w:ascii="Arial" w:cs="Arial" w:eastAsia="Arial" w:hAnsi="Arial"/>
          <w:sz w:val="20"/>
          <w:szCs w:val="20"/>
          <w:color w:val="auto"/>
        </w:rPr>
      </w:pPr>
    </w:p>
    <w:p>
      <w:pPr>
        <w:ind w:right="20" w:firstLine="757"/>
        <w:spacing w:after="0" w:line="259" w:lineRule="auto"/>
        <w:tabs>
          <w:tab w:leader="none" w:pos="1018" w:val="left"/>
        </w:tabs>
        <w:numPr>
          <w:ilvl w:val="0"/>
          <w:numId w:val="153"/>
        </w:numPr>
        <w:rPr>
          <w:rFonts w:ascii="Arial" w:cs="Arial" w:eastAsia="Arial" w:hAnsi="Arial"/>
          <w:sz w:val="20"/>
          <w:szCs w:val="20"/>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56" w:lineRule="exact"/>
        <w:rPr>
          <w:rFonts w:ascii="Arial" w:cs="Arial" w:eastAsia="Arial" w:hAnsi="Arial"/>
          <w:sz w:val="20"/>
          <w:szCs w:val="20"/>
          <w:color w:val="auto"/>
        </w:rPr>
      </w:pPr>
    </w:p>
    <w:p>
      <w:pPr>
        <w:ind w:firstLine="757"/>
        <w:spacing w:after="0" w:line="259" w:lineRule="auto"/>
        <w:tabs>
          <w:tab w:leader="none" w:pos="1018" w:val="left"/>
        </w:tabs>
        <w:numPr>
          <w:ilvl w:val="0"/>
          <w:numId w:val="153"/>
        </w:numPr>
        <w:rPr>
          <w:rFonts w:ascii="Arial" w:cs="Arial" w:eastAsia="Arial" w:hAnsi="Arial"/>
          <w:sz w:val="20"/>
          <w:szCs w:val="20"/>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12.</w:t>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18" w:lineRule="exact"/>
        <w:rPr>
          <w:sz w:val="20"/>
          <w:szCs w:val="20"/>
          <w:color w:val="auto"/>
        </w:rPr>
      </w:pPr>
    </w:p>
    <w:p>
      <w:pPr>
        <w:ind w:left="1020" w:hanging="263"/>
        <w:spacing w:after="0"/>
        <w:tabs>
          <w:tab w:leader="none" w:pos="1020" w:val="left"/>
        </w:tabs>
        <w:numPr>
          <w:ilvl w:val="0"/>
          <w:numId w:val="154"/>
        </w:numPr>
        <w:rPr>
          <w:rFonts w:ascii="Arial" w:cs="Arial" w:eastAsia="Arial" w:hAnsi="Arial"/>
          <w:sz w:val="20"/>
          <w:szCs w:val="20"/>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54"/>
        </w:numPr>
        <w:rPr>
          <w:rFonts w:ascii="Arial" w:cs="Arial" w:eastAsia="Arial" w:hAnsi="Arial"/>
          <w:sz w:val="20"/>
          <w:szCs w:val="20"/>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54"/>
        </w:numPr>
        <w:rPr>
          <w:rFonts w:ascii="Arial" w:cs="Arial" w:eastAsia="Arial" w:hAnsi="Arial"/>
          <w:sz w:val="20"/>
          <w:szCs w:val="20"/>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54"/>
        </w:numPr>
        <w:rPr>
          <w:rFonts w:ascii="Arial" w:cs="Arial" w:eastAsia="Arial" w:hAnsi="Arial"/>
          <w:sz w:val="20"/>
          <w:szCs w:val="20"/>
          <w:color w:val="auto"/>
        </w:rPr>
      </w:pPr>
      <w:r>
        <w:rPr>
          <w:rFonts w:ascii="Arial" w:cs="Arial" w:eastAsia="Arial" w:hAnsi="Arial"/>
          <w:sz w:val="22"/>
          <w:szCs w:val="22"/>
          <w:color w:val="auto"/>
        </w:rPr>
        <w:t>“Common Stock” is defined in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7" w:name="page108"/>
    <w:bookmarkEnd w:id="107"/>
    <w:p>
      <w:pPr>
        <w:ind w:left="263" w:hanging="263"/>
        <w:spacing w:after="0"/>
        <w:tabs>
          <w:tab w:leader="none" w:pos="263" w:val="left"/>
        </w:tabs>
        <w:numPr>
          <w:ilvl w:val="0"/>
          <w:numId w:val="155"/>
        </w:numPr>
        <w:rPr>
          <w:rFonts w:ascii="Arial" w:cs="Arial" w:eastAsia="Arial" w:hAnsi="Arial"/>
          <w:sz w:val="20"/>
          <w:szCs w:val="20"/>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0"/>
          <w:szCs w:val="20"/>
          <w:color w:val="auto"/>
        </w:rPr>
      </w:pPr>
    </w:p>
    <w:p>
      <w:pPr>
        <w:jc w:val="both"/>
        <w:ind w:left="-757" w:firstLine="757"/>
        <w:spacing w:after="0" w:line="233" w:lineRule="auto"/>
        <w:tabs>
          <w:tab w:leader="none" w:pos="261" w:val="left"/>
        </w:tabs>
        <w:numPr>
          <w:ilvl w:val="0"/>
          <w:numId w:val="155"/>
        </w:numPr>
        <w:rPr>
          <w:rFonts w:ascii="Arial" w:cs="Arial" w:eastAsia="Arial" w:hAnsi="Arial"/>
          <w:sz w:val="20"/>
          <w:szCs w:val="20"/>
          <w:color w:val="auto"/>
        </w:rPr>
      </w:pPr>
      <w:r>
        <w:rPr>
          <w:rFonts w:ascii="Arial" w:cs="Arial" w:eastAsia="Arial" w:hAnsi="Arial"/>
          <w:sz w:val="22"/>
          <w:szCs w:val="22"/>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subsequent Vesting Date; (v) is determined to have engaged (whether or not prior to 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77" w:lineRule="exact"/>
        <w:rPr>
          <w:rFonts w:ascii="Arial" w:cs="Arial" w:eastAsia="Arial" w:hAnsi="Arial"/>
          <w:sz w:val="20"/>
          <w:szCs w:val="20"/>
          <w:color w:val="auto"/>
        </w:rPr>
      </w:pPr>
    </w:p>
    <w:p>
      <w:pPr>
        <w:jc w:val="both"/>
        <w:ind w:left="-757" w:firstLine="757"/>
        <w:spacing w:after="0" w:line="238" w:lineRule="auto"/>
        <w:tabs>
          <w:tab w:leader="none" w:pos="349" w:val="left"/>
        </w:tabs>
        <w:numPr>
          <w:ilvl w:val="0"/>
          <w:numId w:val="155"/>
        </w:numPr>
        <w:rPr>
          <w:rFonts w:ascii="Arial" w:cs="Arial" w:eastAsia="Arial" w:hAnsi="Arial"/>
          <w:sz w:val="20"/>
          <w:szCs w:val="20"/>
          <w:color w:val="auto"/>
        </w:rPr>
      </w:pPr>
      <w:r>
        <w:rPr>
          <w:rFonts w:ascii="Arial" w:cs="Arial" w:eastAsia="Arial" w:hAnsi="Arial"/>
          <w:sz w:val="22"/>
          <w:szCs w:val="22"/>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(i) and (ii) above, any and all of their parents, subsidiaries, affiliates, joint ventures, divisions, successors, or assigns.</w:t>
      </w:r>
    </w:p>
    <w:p>
      <w:pPr>
        <w:spacing w:after="0" w:line="176" w:lineRule="exact"/>
        <w:rPr>
          <w:rFonts w:ascii="Arial" w:cs="Arial" w:eastAsia="Arial" w:hAnsi="Arial"/>
          <w:sz w:val="20"/>
          <w:szCs w:val="20"/>
          <w:color w:val="auto"/>
        </w:rPr>
      </w:pPr>
    </w:p>
    <w:p>
      <w:pPr>
        <w:jc w:val="both"/>
        <w:ind w:left="-757" w:firstLine="757"/>
        <w:spacing w:after="0" w:line="245" w:lineRule="auto"/>
        <w:tabs>
          <w:tab w:leader="none" w:pos="261" w:val="left"/>
        </w:tabs>
        <w:numPr>
          <w:ilvl w:val="0"/>
          <w:numId w:val="155"/>
        </w:numPr>
        <w:rPr>
          <w:rFonts w:ascii="Arial" w:cs="Arial" w:eastAsia="Arial" w:hAnsi="Arial"/>
          <w:sz w:val="20"/>
          <w:szCs w:val="20"/>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0" w:lineRule="exact"/>
        <w:rPr>
          <w:rFonts w:ascii="Arial" w:cs="Arial" w:eastAsia="Arial" w:hAnsi="Arial"/>
          <w:sz w:val="20"/>
          <w:szCs w:val="20"/>
          <w:color w:val="auto"/>
        </w:rPr>
      </w:pPr>
    </w:p>
    <w:p>
      <w:pPr>
        <w:ind w:left="-757" w:right="20" w:firstLine="757"/>
        <w:spacing w:after="0" w:line="259" w:lineRule="auto"/>
        <w:tabs>
          <w:tab w:leader="none" w:pos="261" w:val="left"/>
        </w:tabs>
        <w:numPr>
          <w:ilvl w:val="0"/>
          <w:numId w:val="155"/>
        </w:numPr>
        <w:rPr>
          <w:rFonts w:ascii="Arial" w:cs="Arial" w:eastAsia="Arial" w:hAnsi="Arial"/>
          <w:sz w:val="20"/>
          <w:szCs w:val="20"/>
          <w:color w:val="auto"/>
        </w:rPr>
      </w:pPr>
      <w:r>
        <w:rPr>
          <w:rFonts w:ascii="Arial" w:cs="Arial" w:eastAsia="Arial" w:hAnsi="Arial"/>
          <w:sz w:val="22"/>
          <w:szCs w:val="22"/>
          <w:color w:val="auto"/>
        </w:rPr>
        <w:t>“Early Retirement” means Employee’s voluntary election to retire from employment with the Company and its Subsidiaries at any time after Employee has reached both the age of 50 and 20 years of service.</w:t>
      </w:r>
    </w:p>
    <w:p>
      <w:pPr>
        <w:spacing w:after="0" w:line="156" w:lineRule="exact"/>
        <w:rPr>
          <w:rFonts w:ascii="Arial" w:cs="Arial" w:eastAsia="Arial" w:hAnsi="Arial"/>
          <w:sz w:val="20"/>
          <w:szCs w:val="20"/>
          <w:color w:val="auto"/>
        </w:rPr>
      </w:pPr>
    </w:p>
    <w:p>
      <w:pPr>
        <w:ind w:left="263" w:hanging="263"/>
        <w:spacing w:after="0"/>
        <w:tabs>
          <w:tab w:leader="none" w:pos="263" w:val="left"/>
        </w:tabs>
        <w:numPr>
          <w:ilvl w:val="0"/>
          <w:numId w:val="155"/>
        </w:numPr>
        <w:rPr>
          <w:rFonts w:ascii="Arial" w:cs="Arial" w:eastAsia="Arial" w:hAnsi="Arial"/>
          <w:sz w:val="20"/>
          <w:szCs w:val="20"/>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0"/>
          <w:szCs w:val="20"/>
          <w:color w:val="auto"/>
        </w:rPr>
      </w:pPr>
    </w:p>
    <w:p>
      <w:pPr>
        <w:jc w:val="both"/>
        <w:ind w:left="-757" w:firstLine="757"/>
        <w:spacing w:after="0"/>
        <w:tabs>
          <w:tab w:leader="none" w:pos="261" w:val="left"/>
        </w:tabs>
        <w:numPr>
          <w:ilvl w:val="0"/>
          <w:numId w:val="155"/>
        </w:numPr>
        <w:rPr>
          <w:rFonts w:ascii="Arial" w:cs="Arial" w:eastAsia="Arial" w:hAnsi="Arial"/>
          <w:sz w:val="20"/>
          <w:szCs w:val="20"/>
          <w:color w:val="auto"/>
        </w:rPr>
      </w:pPr>
      <w:r>
        <w:rPr>
          <w:rFonts w:ascii="Arial" w:cs="Arial" w:eastAsia="Arial" w:hAnsi="Arial"/>
          <w:sz w:val="22"/>
          <w:szCs w:val="22"/>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1007745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9" w:right="339" w:bottom="1440" w:gutter="0" w:footer="0" w:header="0"/>
        </w:sectPr>
      </w:pPr>
    </w:p>
    <w:bookmarkStart w:id="108" w:name="page109"/>
    <w:bookmarkEnd w:id="108"/>
    <w:p>
      <w:pPr>
        <w:spacing w:after="0" w:line="259" w:lineRule="auto"/>
        <w:rPr>
          <w:sz w:val="20"/>
          <w:szCs w:val="20"/>
          <w:color w:val="auto"/>
        </w:rPr>
      </w:pPr>
      <w:r>
        <w:rPr>
          <w:rFonts w:ascii="Arial" w:cs="Arial" w:eastAsia="Arial" w:hAnsi="Arial"/>
          <w:sz w:val="22"/>
          <w:szCs w:val="22"/>
          <w:color w:val="auto"/>
        </w:rPr>
        <w:t>sales were effected on one or more of the exchanges on which the shares of Common Stock were traded will be the Fair Market Value.</w:t>
      </w:r>
    </w:p>
    <w:p>
      <w:pPr>
        <w:spacing w:after="0" w:line="156" w:lineRule="exact"/>
        <w:rPr>
          <w:sz w:val="20"/>
          <w:szCs w:val="20"/>
          <w:color w:val="auto"/>
        </w:rPr>
      </w:pPr>
    </w:p>
    <w:p>
      <w:pPr>
        <w:ind w:left="1020" w:hanging="263"/>
        <w:spacing w:after="0"/>
        <w:tabs>
          <w:tab w:leader="none" w:pos="1020" w:val="left"/>
        </w:tabs>
        <w:numPr>
          <w:ilvl w:val="0"/>
          <w:numId w:val="156"/>
        </w:numPr>
        <w:rPr>
          <w:rFonts w:ascii="Arial" w:cs="Arial" w:eastAsia="Arial" w:hAnsi="Arial"/>
          <w:sz w:val="20"/>
          <w:szCs w:val="20"/>
          <w:color w:val="auto"/>
        </w:rPr>
      </w:pPr>
      <w:r>
        <w:rPr>
          <w:rFonts w:ascii="Arial" w:cs="Arial" w:eastAsia="Arial" w:hAnsi="Arial"/>
          <w:sz w:val="22"/>
          <w:szCs w:val="22"/>
          <w:color w:val="auto"/>
        </w:rPr>
        <w:t>“Grant Date” is defined in the introduction.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w:t>
      </w:r>
      <w:r>
        <w:rPr>
          <w:rFonts w:ascii="Arial" w:cs="Arial" w:eastAsia="Arial" w:hAnsi="Arial"/>
          <w:sz w:val="21"/>
          <w:szCs w:val="21"/>
          <w:color w:val="auto"/>
        </w:rPr>
        <w:t>“initial Vesting Date” is defined in Section 2(a).</w:t>
      </w:r>
    </w:p>
    <w:p>
      <w:pPr>
        <w:spacing w:after="0" w:line="218" w:lineRule="exact"/>
        <w:rPr>
          <w:sz w:val="20"/>
          <w:szCs w:val="20"/>
          <w:color w:val="auto"/>
        </w:rPr>
      </w:pPr>
    </w:p>
    <w:p>
      <w:pPr>
        <w:ind w:left="1020" w:hanging="263"/>
        <w:spacing w:after="0"/>
        <w:tabs>
          <w:tab w:leader="none" w:pos="1020" w:val="left"/>
        </w:tabs>
        <w:numPr>
          <w:ilvl w:val="0"/>
          <w:numId w:val="157"/>
        </w:numPr>
        <w:rPr>
          <w:rFonts w:ascii="Arial" w:cs="Arial" w:eastAsia="Arial" w:hAnsi="Arial"/>
          <w:sz w:val="20"/>
          <w:szCs w:val="20"/>
          <w:color w:val="auto"/>
        </w:rPr>
      </w:pPr>
      <w:r>
        <w:rPr>
          <w:rFonts w:ascii="Arial" w:cs="Arial" w:eastAsia="Arial" w:hAnsi="Arial"/>
          <w:sz w:val="22"/>
          <w:szCs w:val="22"/>
          <w:color w:val="auto"/>
        </w:rPr>
        <w:t>“Performance Period” is defined in Section 2.</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57"/>
        </w:numPr>
        <w:rPr>
          <w:rFonts w:ascii="Arial" w:cs="Arial" w:eastAsia="Arial" w:hAnsi="Arial"/>
          <w:sz w:val="20"/>
          <w:szCs w:val="20"/>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57"/>
        </w:numPr>
        <w:rPr>
          <w:rFonts w:ascii="Arial" w:cs="Arial" w:eastAsia="Arial" w:hAnsi="Arial"/>
          <w:sz w:val="20"/>
          <w:szCs w:val="20"/>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0"/>
          <w:szCs w:val="20"/>
          <w:color w:val="auto"/>
        </w:rPr>
      </w:pPr>
    </w:p>
    <w:p>
      <w:pPr>
        <w:ind w:firstLine="757"/>
        <w:spacing w:after="0" w:line="259" w:lineRule="auto"/>
        <w:tabs>
          <w:tab w:leader="none" w:pos="1018" w:val="left"/>
        </w:tabs>
        <w:numPr>
          <w:ilvl w:val="0"/>
          <w:numId w:val="157"/>
        </w:numPr>
        <w:rPr>
          <w:rFonts w:ascii="Arial" w:cs="Arial" w:eastAsia="Arial" w:hAnsi="Arial"/>
          <w:sz w:val="20"/>
          <w:szCs w:val="20"/>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156" w:lineRule="exact"/>
        <w:rPr>
          <w:rFonts w:ascii="Arial" w:cs="Arial" w:eastAsia="Arial" w:hAnsi="Arial"/>
          <w:sz w:val="20"/>
          <w:szCs w:val="20"/>
          <w:color w:val="auto"/>
        </w:rPr>
      </w:pPr>
    </w:p>
    <w:p>
      <w:pPr>
        <w:ind w:firstLine="757"/>
        <w:spacing w:after="0" w:line="259" w:lineRule="auto"/>
        <w:tabs>
          <w:tab w:leader="none" w:pos="1018" w:val="left"/>
        </w:tabs>
        <w:numPr>
          <w:ilvl w:val="0"/>
          <w:numId w:val="157"/>
        </w:numPr>
        <w:rPr>
          <w:rFonts w:ascii="Arial" w:cs="Arial" w:eastAsia="Arial" w:hAnsi="Arial"/>
          <w:sz w:val="20"/>
          <w:szCs w:val="20"/>
          <w:color w:val="auto"/>
        </w:rPr>
      </w:pPr>
      <w:r>
        <w:rPr>
          <w:rFonts w:ascii="Arial" w:cs="Arial" w:eastAsia="Arial" w:hAnsi="Arial"/>
          <w:sz w:val="22"/>
          <w:szCs w:val="22"/>
          <w:color w:val="auto"/>
        </w:rPr>
        <w:t>“Retirement Committee” means a committee consisting of the Company’s Chief People Officer, the Director of HR Operations and the Director of Total Rewards. “Settlement Date” is defined in Section 3.</w:t>
      </w:r>
    </w:p>
    <w:p>
      <w:pPr>
        <w:spacing w:after="0" w:line="156" w:lineRule="exact"/>
        <w:rPr>
          <w:rFonts w:ascii="Arial" w:cs="Arial" w:eastAsia="Arial" w:hAnsi="Arial"/>
          <w:sz w:val="20"/>
          <w:szCs w:val="20"/>
          <w:color w:val="auto"/>
        </w:rPr>
      </w:pPr>
    </w:p>
    <w:p>
      <w:pPr>
        <w:ind w:right="20" w:firstLine="757"/>
        <w:spacing w:after="0" w:line="259" w:lineRule="auto"/>
        <w:tabs>
          <w:tab w:leader="none" w:pos="1018" w:val="left"/>
        </w:tabs>
        <w:numPr>
          <w:ilvl w:val="0"/>
          <w:numId w:val="157"/>
        </w:numPr>
        <w:rPr>
          <w:rFonts w:ascii="Arial" w:cs="Arial" w:eastAsia="Arial" w:hAnsi="Arial"/>
          <w:sz w:val="20"/>
          <w:szCs w:val="20"/>
          <w:color w:val="auto"/>
        </w:rPr>
      </w:pPr>
      <w:r>
        <w:rPr>
          <w:rFonts w:ascii="Arial" w:cs="Arial" w:eastAsia="Arial" w:hAnsi="Arial"/>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56" w:lineRule="exact"/>
        <w:rPr>
          <w:rFonts w:ascii="Arial" w:cs="Arial" w:eastAsia="Arial" w:hAnsi="Arial"/>
          <w:sz w:val="20"/>
          <w:szCs w:val="20"/>
          <w:color w:val="auto"/>
        </w:rPr>
      </w:pPr>
    </w:p>
    <w:p>
      <w:pPr>
        <w:ind w:left="1020" w:hanging="263"/>
        <w:spacing w:after="0"/>
        <w:tabs>
          <w:tab w:leader="none" w:pos="1020" w:val="left"/>
        </w:tabs>
        <w:numPr>
          <w:ilvl w:val="0"/>
          <w:numId w:val="157"/>
        </w:numPr>
        <w:rPr>
          <w:rFonts w:ascii="Arial" w:cs="Arial" w:eastAsia="Arial" w:hAnsi="Arial"/>
          <w:sz w:val="20"/>
          <w:szCs w:val="20"/>
          <w:color w:val="auto"/>
        </w:rPr>
      </w:pPr>
      <w:r>
        <w:rPr>
          <w:rFonts w:ascii="Arial" w:cs="Arial" w:eastAsia="Arial" w:hAnsi="Arial"/>
          <w:sz w:val="22"/>
          <w:szCs w:val="22"/>
          <w:color w:val="auto"/>
        </w:rPr>
        <w:t>“subsequent Vesting Date” is defined in Section 2(a).</w:t>
      </w:r>
    </w:p>
    <w:p>
      <w:pPr>
        <w:spacing w:after="0" w:line="206" w:lineRule="exact"/>
        <w:rPr>
          <w:rFonts w:ascii="Arial" w:cs="Arial" w:eastAsia="Arial" w:hAnsi="Arial"/>
          <w:sz w:val="20"/>
          <w:szCs w:val="20"/>
          <w:color w:val="auto"/>
        </w:rPr>
      </w:pPr>
    </w:p>
    <w:p>
      <w:pPr>
        <w:jc w:val="both"/>
        <w:ind w:firstLine="757"/>
        <w:spacing w:after="0" w:line="238" w:lineRule="auto"/>
        <w:tabs>
          <w:tab w:leader="none" w:pos="1018" w:val="left"/>
        </w:tabs>
        <w:numPr>
          <w:ilvl w:val="0"/>
          <w:numId w:val="157"/>
        </w:numPr>
        <w:rPr>
          <w:rFonts w:ascii="Arial" w:cs="Arial" w:eastAsia="Arial" w:hAnsi="Arial"/>
          <w:sz w:val="20"/>
          <w:szCs w:val="20"/>
          <w:color w:val="auto"/>
        </w:rPr>
      </w:pPr>
      <w:r>
        <w:rPr>
          <w:rFonts w:ascii="Arial" w:cs="Arial" w:eastAsia="Arial" w:hAnsi="Arial"/>
          <w:sz w:val="22"/>
          <w:szCs w:val="22"/>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6" w:lineRule="exact"/>
        <w:rPr>
          <w:rFonts w:ascii="Arial" w:cs="Arial" w:eastAsia="Arial" w:hAnsi="Arial"/>
          <w:sz w:val="20"/>
          <w:szCs w:val="20"/>
          <w:color w:val="auto"/>
        </w:rPr>
      </w:pPr>
    </w:p>
    <w:p>
      <w:pPr>
        <w:ind w:left="1020" w:hanging="263"/>
        <w:spacing w:after="0"/>
        <w:tabs>
          <w:tab w:leader="none" w:pos="1020" w:val="left"/>
        </w:tabs>
        <w:numPr>
          <w:ilvl w:val="0"/>
          <w:numId w:val="157"/>
        </w:numPr>
        <w:rPr>
          <w:rFonts w:ascii="Arial" w:cs="Arial" w:eastAsia="Arial" w:hAnsi="Arial"/>
          <w:sz w:val="20"/>
          <w:szCs w:val="20"/>
          <w:color w:val="auto"/>
        </w:rPr>
      </w:pPr>
      <w:r>
        <w:rPr>
          <w:rFonts w:ascii="Arial" w:cs="Arial" w:eastAsia="Arial" w:hAnsi="Arial"/>
          <w:sz w:val="22"/>
          <w:szCs w:val="22"/>
          <w:color w:val="auto"/>
        </w:rPr>
        <w:t>“Tax Date” is defined in Section 7(b).</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w:t>
      </w:r>
      <w:r>
        <w:rPr>
          <w:rFonts w:ascii="Arial" w:cs="Arial" w:eastAsia="Arial" w:hAnsi="Arial"/>
          <w:sz w:val="21"/>
          <w:szCs w:val="21"/>
          <w:color w:val="auto"/>
        </w:rPr>
        <w:t>“Tax-Related Items” is defined in Section 7(a).</w:t>
      </w:r>
    </w:p>
    <w:p>
      <w:pPr>
        <w:spacing w:after="0" w:line="218" w:lineRule="exact"/>
        <w:rPr>
          <w:sz w:val="20"/>
          <w:szCs w:val="20"/>
          <w:color w:val="auto"/>
        </w:rPr>
      </w:pPr>
    </w:p>
    <w:p>
      <w:pPr>
        <w:jc w:val="both"/>
        <w:ind w:firstLine="757"/>
        <w:spacing w:after="0"/>
        <w:tabs>
          <w:tab w:leader="none" w:pos="1018" w:val="left"/>
        </w:tabs>
        <w:numPr>
          <w:ilvl w:val="0"/>
          <w:numId w:val="158"/>
        </w:numPr>
        <w:rPr>
          <w:rFonts w:ascii="Arial" w:cs="Arial" w:eastAsia="Arial" w:hAnsi="Arial"/>
          <w:sz w:val="20"/>
          <w:szCs w:val="20"/>
          <w:color w:val="auto"/>
        </w:rPr>
      </w:pPr>
      <w:r>
        <w:rPr>
          <w:rFonts w:ascii="Arial" w:cs="Arial" w:eastAsia="Arial" w:hAnsi="Arial"/>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76" w:lineRule="exact"/>
        <w:rPr>
          <w:rFonts w:ascii="Arial" w:cs="Arial" w:eastAsia="Arial" w:hAnsi="Arial"/>
          <w:sz w:val="20"/>
          <w:szCs w:val="20"/>
          <w:color w:val="auto"/>
        </w:rPr>
      </w:pPr>
    </w:p>
    <w:p>
      <w:pPr>
        <w:ind w:left="1020" w:hanging="263"/>
        <w:spacing w:after="0"/>
        <w:tabs>
          <w:tab w:leader="none" w:pos="1020" w:val="left"/>
        </w:tabs>
        <w:numPr>
          <w:ilvl w:val="0"/>
          <w:numId w:val="158"/>
        </w:numPr>
        <w:rPr>
          <w:rFonts w:ascii="Arial" w:cs="Arial" w:eastAsia="Arial" w:hAnsi="Arial"/>
          <w:sz w:val="20"/>
          <w:szCs w:val="20"/>
          <w:color w:val="auto"/>
        </w:rPr>
      </w:pPr>
      <w:r>
        <w:rPr>
          <w:rFonts w:ascii="Arial" w:cs="Arial" w:eastAsia="Arial" w:hAnsi="Arial"/>
          <w:sz w:val="22"/>
          <w:szCs w:val="22"/>
          <w:color w:val="auto"/>
        </w:rPr>
        <w:t>“Transfer” is defined in Section 5(a).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13.</w:t>
      </w: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9" w:name="page110"/>
    <w:bookmarkEnd w:id="109"/>
    <w:p>
      <w:pPr>
        <w:jc w:val="both"/>
        <w:ind w:left="-8" w:firstLine="757"/>
        <w:spacing w:after="0" w:line="245" w:lineRule="auto"/>
        <w:tabs>
          <w:tab w:leader="none" w:pos="1010" w:val="left"/>
        </w:tabs>
        <w:numPr>
          <w:ilvl w:val="1"/>
          <w:numId w:val="159"/>
        </w:numPr>
        <w:rPr>
          <w:rFonts w:ascii="Arial" w:cs="Arial" w:eastAsia="Arial" w:hAnsi="Arial"/>
          <w:sz w:val="20"/>
          <w:szCs w:val="20"/>
          <w:color w:val="auto"/>
        </w:rPr>
      </w:pPr>
      <w:r>
        <w:rPr>
          <w:rFonts w:ascii="Arial" w:cs="Arial" w:eastAsia="Arial" w:hAnsi="Arial"/>
          <w:sz w:val="22"/>
          <w:szCs w:val="22"/>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70" w:lineRule="exact"/>
        <w:rPr>
          <w:rFonts w:ascii="Arial" w:cs="Arial" w:eastAsia="Arial" w:hAnsi="Arial"/>
          <w:sz w:val="20"/>
          <w:szCs w:val="20"/>
          <w:color w:val="auto"/>
        </w:rPr>
      </w:pPr>
    </w:p>
    <w:p>
      <w:pPr>
        <w:jc w:val="both"/>
        <w:ind w:left="-8" w:firstLine="757"/>
        <w:spacing w:after="0"/>
        <w:tabs>
          <w:tab w:leader="none" w:pos="1010" w:val="left"/>
        </w:tabs>
        <w:numPr>
          <w:ilvl w:val="1"/>
          <w:numId w:val="159"/>
        </w:numPr>
        <w:rPr>
          <w:rFonts w:ascii="Arial" w:cs="Arial" w:eastAsia="Arial" w:hAnsi="Arial"/>
          <w:sz w:val="20"/>
          <w:szCs w:val="20"/>
          <w:color w:val="auto"/>
        </w:rPr>
      </w:pPr>
      <w:r>
        <w:rPr>
          <w:rFonts w:ascii="Arial" w:cs="Arial" w:eastAsia="Arial" w:hAnsi="Arial"/>
          <w:sz w:val="22"/>
          <w:szCs w:val="22"/>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6" w:lineRule="exact"/>
        <w:rPr>
          <w:rFonts w:ascii="Arial" w:cs="Arial" w:eastAsia="Arial" w:hAnsi="Arial"/>
          <w:sz w:val="20"/>
          <w:szCs w:val="20"/>
          <w:color w:val="auto"/>
        </w:rPr>
      </w:pPr>
    </w:p>
    <w:p>
      <w:pPr>
        <w:ind w:left="-8" w:firstLine="757"/>
        <w:spacing w:after="0" w:line="259" w:lineRule="auto"/>
        <w:tabs>
          <w:tab w:leader="none" w:pos="1010" w:val="left"/>
        </w:tabs>
        <w:numPr>
          <w:ilvl w:val="1"/>
          <w:numId w:val="159"/>
        </w:numPr>
        <w:rPr>
          <w:rFonts w:ascii="Arial" w:cs="Arial" w:eastAsia="Arial" w:hAnsi="Arial"/>
          <w:sz w:val="20"/>
          <w:szCs w:val="20"/>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56" w:lineRule="exact"/>
        <w:rPr>
          <w:rFonts w:ascii="Arial" w:cs="Arial" w:eastAsia="Arial" w:hAnsi="Arial"/>
          <w:sz w:val="20"/>
          <w:szCs w:val="20"/>
          <w:color w:val="auto"/>
        </w:rPr>
      </w:pPr>
    </w:p>
    <w:p>
      <w:pPr>
        <w:jc w:val="both"/>
        <w:ind w:left="-8" w:firstLine="757"/>
        <w:spacing w:after="0" w:line="245" w:lineRule="auto"/>
        <w:tabs>
          <w:tab w:leader="none" w:pos="1010" w:val="left"/>
        </w:tabs>
        <w:numPr>
          <w:ilvl w:val="1"/>
          <w:numId w:val="159"/>
        </w:numPr>
        <w:rPr>
          <w:rFonts w:ascii="Arial" w:cs="Arial" w:eastAsia="Arial" w:hAnsi="Arial"/>
          <w:sz w:val="20"/>
          <w:szCs w:val="20"/>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0" w:lineRule="exact"/>
        <w:rPr>
          <w:rFonts w:ascii="Arial" w:cs="Arial" w:eastAsia="Arial" w:hAnsi="Arial"/>
          <w:sz w:val="20"/>
          <w:szCs w:val="20"/>
          <w:color w:val="auto"/>
        </w:rPr>
      </w:pPr>
    </w:p>
    <w:p>
      <w:pPr>
        <w:jc w:val="both"/>
        <w:ind w:left="-8" w:firstLine="757"/>
        <w:spacing w:after="0" w:line="245" w:lineRule="auto"/>
        <w:tabs>
          <w:tab w:leader="none" w:pos="1010" w:val="left"/>
        </w:tabs>
        <w:numPr>
          <w:ilvl w:val="1"/>
          <w:numId w:val="159"/>
        </w:numPr>
        <w:rPr>
          <w:rFonts w:ascii="Arial" w:cs="Arial" w:eastAsia="Arial" w:hAnsi="Arial"/>
          <w:sz w:val="20"/>
          <w:szCs w:val="20"/>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0" w:lineRule="exact"/>
        <w:rPr>
          <w:rFonts w:ascii="Arial" w:cs="Arial" w:eastAsia="Arial" w:hAnsi="Arial"/>
          <w:sz w:val="20"/>
          <w:szCs w:val="20"/>
          <w:color w:val="auto"/>
        </w:rPr>
      </w:pPr>
    </w:p>
    <w:p>
      <w:pPr>
        <w:ind w:left="-8" w:right="20" w:firstLine="757"/>
        <w:spacing w:after="0" w:line="259" w:lineRule="auto"/>
        <w:tabs>
          <w:tab w:leader="none" w:pos="1010" w:val="left"/>
        </w:tabs>
        <w:numPr>
          <w:ilvl w:val="1"/>
          <w:numId w:val="159"/>
        </w:numPr>
        <w:rPr>
          <w:rFonts w:ascii="Arial" w:cs="Arial" w:eastAsia="Arial" w:hAnsi="Arial"/>
          <w:sz w:val="20"/>
          <w:szCs w:val="20"/>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56" w:lineRule="exact"/>
        <w:rPr>
          <w:rFonts w:ascii="Arial" w:cs="Arial" w:eastAsia="Arial" w:hAnsi="Arial"/>
          <w:sz w:val="20"/>
          <w:szCs w:val="20"/>
          <w:color w:val="auto"/>
        </w:rPr>
      </w:pPr>
    </w:p>
    <w:p>
      <w:pPr>
        <w:jc w:val="both"/>
        <w:ind w:left="-8" w:firstLine="757"/>
        <w:spacing w:after="0" w:line="246" w:lineRule="auto"/>
        <w:tabs>
          <w:tab w:leader="none" w:pos="1010" w:val="left"/>
        </w:tabs>
        <w:numPr>
          <w:ilvl w:val="1"/>
          <w:numId w:val="159"/>
        </w:numPr>
        <w:rPr>
          <w:rFonts w:ascii="Arial" w:cs="Arial" w:eastAsia="Arial" w:hAnsi="Arial"/>
          <w:sz w:val="19"/>
          <w:szCs w:val="19"/>
          <w:color w:val="auto"/>
        </w:rPr>
      </w:pPr>
      <w:r>
        <w:rPr>
          <w:rFonts w:ascii="Arial" w:cs="Arial" w:eastAsia="Arial" w:hAnsi="Arial"/>
          <w:sz w:val="21"/>
          <w:szCs w:val="21"/>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w:t>
      </w:r>
    </w:p>
    <w:p>
      <w:pPr>
        <w:spacing w:after="0" w:line="1" w:lineRule="exact"/>
        <w:rPr>
          <w:rFonts w:ascii="Arial" w:cs="Arial" w:eastAsia="Arial" w:hAnsi="Arial"/>
          <w:sz w:val="19"/>
          <w:szCs w:val="19"/>
          <w:color w:val="auto"/>
        </w:rPr>
      </w:pPr>
    </w:p>
    <w:p>
      <w:pPr>
        <w:jc w:val="both"/>
        <w:ind w:left="-8" w:firstLine="8"/>
        <w:spacing w:after="0" w:line="234" w:lineRule="auto"/>
        <w:tabs>
          <w:tab w:leader="none" w:pos="37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77" w:lineRule="exact"/>
        <w:rPr>
          <w:rFonts w:ascii="Arial" w:cs="Arial" w:eastAsia="Arial" w:hAnsi="Arial"/>
          <w:sz w:val="22"/>
          <w:szCs w:val="22"/>
          <w:color w:val="auto"/>
        </w:rPr>
      </w:pPr>
    </w:p>
    <w:p>
      <w:pPr>
        <w:jc w:val="both"/>
        <w:ind w:left="-8" w:firstLine="757"/>
        <w:spacing w:after="0" w:line="249" w:lineRule="auto"/>
        <w:tabs>
          <w:tab w:leader="none" w:pos="1010" w:val="left"/>
        </w:tabs>
        <w:numPr>
          <w:ilvl w:val="1"/>
          <w:numId w:val="160"/>
        </w:numPr>
        <w:rPr>
          <w:rFonts w:ascii="Arial" w:cs="Arial" w:eastAsia="Arial" w:hAnsi="Arial"/>
          <w:sz w:val="19"/>
          <w:szCs w:val="19"/>
          <w:color w:val="auto"/>
        </w:rPr>
      </w:pPr>
      <w:r>
        <w:rPr>
          <w:rFonts w:ascii="Arial" w:cs="Arial" w:eastAsia="Arial" w:hAnsi="Arial"/>
          <w:sz w:val="21"/>
          <w:szCs w:val="21"/>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1003935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10" w:name="page111"/>
    <w:bookmarkEnd w:id="110"/>
    <w:p>
      <w:pPr>
        <w:jc w:val="both"/>
        <w:spacing w:after="0" w:line="233" w:lineRule="auto"/>
        <w:rPr>
          <w:sz w:val="20"/>
          <w:szCs w:val="20"/>
          <w:color w:val="auto"/>
        </w:rPr>
      </w:pPr>
      <w:r>
        <w:rPr>
          <w:rFonts w:ascii="Arial" w:cs="Arial" w:eastAsia="Arial" w:hAnsi="Arial"/>
          <w:sz w:val="22"/>
          <w:szCs w:val="22"/>
          <w:color w:val="auto"/>
        </w:rPr>
        <w:t>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7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14.</w:t>
      </w:r>
      <w:r>
        <w:rPr>
          <w:rFonts w:ascii="Arial" w:cs="Arial" w:eastAsia="Arial" w:hAnsi="Arial"/>
          <w:sz w:val="21"/>
          <w:szCs w:val="21"/>
          <w:u w:val="single" w:color="auto"/>
          <w:color w:val="auto"/>
        </w:rPr>
        <w:t>Clawback Policy</w:t>
      </w:r>
      <w:r>
        <w:rPr>
          <w:rFonts w:ascii="Arial" w:cs="Arial" w:eastAsia="Arial" w:hAnsi="Arial"/>
          <w:sz w:val="21"/>
          <w:szCs w:val="21"/>
          <w:color w:val="auto"/>
        </w:rPr>
        <w:t>. The Company’s policy on recoupment of performance-based bonuses, as amended from</w:t>
      </w:r>
      <w:r>
        <w:rPr>
          <w:rFonts w:ascii="Arial" w:cs="Arial" w:eastAsia="Arial" w:hAnsi="Arial"/>
          <w:sz w:val="20"/>
          <w:szCs w:val="20"/>
          <w:color w:val="auto"/>
        </w:rPr>
        <w:t xml:space="preserve"> </w:t>
      </w:r>
      <w:r>
        <w:rPr>
          <w:rFonts w:ascii="Arial" w:cs="Arial" w:eastAsia="Arial" w:hAnsi="Arial"/>
          <w:sz w:val="21"/>
          <w:szCs w:val="21"/>
          <w:color w:val="auto"/>
        </w:rPr>
        <w:t>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15.</w:t>
      </w:r>
      <w:r>
        <w:rPr>
          <w:rFonts w:ascii="Arial" w:cs="Arial" w:eastAsia="Arial" w:hAnsi="Arial"/>
          <w:sz w:val="21"/>
          <w:szCs w:val="21"/>
          <w:u w:val="single" w:color="auto"/>
          <w:color w:val="auto"/>
        </w:rPr>
        <w:t>Acceptance of Award</w:t>
      </w:r>
      <w:r>
        <w:rPr>
          <w:rFonts w:ascii="Arial" w:cs="Arial" w:eastAsia="Arial" w:hAnsi="Arial"/>
          <w:sz w:val="21"/>
          <w:szCs w:val="21"/>
          <w:color w:val="auto"/>
        </w:rPr>
        <w:t>. Employee is deemed to accept the award of Performance Share Units under this</w:t>
      </w:r>
      <w:r>
        <w:rPr>
          <w:rFonts w:ascii="Arial" w:cs="Arial" w:eastAsia="Arial" w:hAnsi="Arial"/>
          <w:sz w:val="20"/>
          <w:szCs w:val="20"/>
          <w:color w:val="auto"/>
        </w:rPr>
        <w:t xml:space="preserve"> </w:t>
      </w:r>
      <w:r>
        <w:rPr>
          <w:rFonts w:ascii="Arial" w:cs="Arial" w:eastAsia="Arial" w:hAnsi="Arial"/>
          <w:sz w:val="21"/>
          <w:szCs w:val="21"/>
          <w:color w:val="auto"/>
        </w:rPr>
        <w:t>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16.</w:t>
      </w:r>
      <w:r>
        <w:rPr>
          <w:rFonts w:ascii="Arial" w:cs="Arial" w:eastAsia="Arial" w:hAnsi="Arial"/>
          <w:sz w:val="21"/>
          <w:szCs w:val="21"/>
          <w:u w:val="single" w:color="auto"/>
          <w:color w:val="auto"/>
        </w:rPr>
        <w:t>Appendix.</w:t>
      </w:r>
      <w:r>
        <w:rPr>
          <w:rFonts w:ascii="Arial" w:cs="Arial" w:eastAsia="Arial" w:hAnsi="Arial"/>
          <w:sz w:val="20"/>
          <w:szCs w:val="20"/>
          <w:color w:val="auto"/>
        </w:rPr>
        <w:t xml:space="preserve"> </w:t>
      </w:r>
      <w:r>
        <w:rPr>
          <w:rFonts w:ascii="Arial" w:cs="Arial" w:eastAsia="Arial" w:hAnsi="Arial"/>
          <w:sz w:val="21"/>
          <w:szCs w:val="21"/>
          <w:color w:val="auto"/>
        </w:rPr>
        <w:t>Notwithstanding any provisions in this Agreement, the Restricted Stock Units shall be subject to</w:t>
      </w:r>
      <w:r>
        <w:rPr>
          <w:rFonts w:ascii="Arial" w:cs="Arial" w:eastAsia="Arial" w:hAnsi="Arial"/>
          <w:sz w:val="20"/>
          <w:szCs w:val="20"/>
          <w:color w:val="auto"/>
        </w:rPr>
        <w:t xml:space="preserve"> </w:t>
      </w:r>
      <w:r>
        <w:rPr>
          <w:rFonts w:ascii="Arial" w:cs="Arial" w:eastAsia="Arial" w:hAnsi="Arial"/>
          <w:sz w:val="21"/>
          <w:szCs w:val="21"/>
          <w:color w:val="auto"/>
        </w:rPr>
        <w:t>the additional terms and conditions for your country set forth in Appendix A and Appendix B attached hereto. Moreover, if you relocate to one of the countries included therein, the terms and conditions for such country will apply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1157605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1" w:name="page112"/>
    <w:bookmarkEnd w:id="111"/>
    <w:p>
      <w:pPr>
        <w:spacing w:after="0" w:line="259" w:lineRule="auto"/>
        <w:rPr>
          <w:sz w:val="20"/>
          <w:szCs w:val="20"/>
          <w:color w:val="auto"/>
        </w:rPr>
      </w:pPr>
      <w:r>
        <w:rPr>
          <w:rFonts w:ascii="Arial" w:cs="Arial" w:eastAsia="Arial" w:hAnsi="Arial"/>
          <w:sz w:val="22"/>
          <w:szCs w:val="22"/>
          <w:color w:val="auto"/>
        </w:rPr>
        <w:t>to the extent the Company determines that the application of such terms and conditions is necessary or advisable for legal or administrative reasons. Appendix A and Appendix B constitute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1423035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ATTACHMENT 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Conditions</w:t>
      </w:r>
    </w:p>
    <w:p>
      <w:pPr>
        <w:spacing w:after="0" w:line="191" w:lineRule="exact"/>
        <w:rPr>
          <w:sz w:val="20"/>
          <w:szCs w:val="20"/>
          <w:color w:val="auto"/>
        </w:rPr>
      </w:pPr>
    </w:p>
    <w:p>
      <w:pPr>
        <w:ind w:right="20" w:firstLine="749"/>
        <w:spacing w:after="0" w:line="257" w:lineRule="auto"/>
        <w:rPr>
          <w:sz w:val="20"/>
          <w:szCs w:val="20"/>
          <w:color w:val="auto"/>
        </w:rPr>
      </w:pPr>
      <w:r>
        <w:rPr>
          <w:rFonts w:ascii="Arial" w:cs="Arial" w:eastAsia="Arial" w:hAnsi="Arial"/>
          <w:sz w:val="20"/>
          <w:szCs w:val="20"/>
          <w:color w:val="auto"/>
        </w:rPr>
        <w:t>Subject to the provisions of the Agreement and this Attachment I, vesting of the Performance Share Units is conditioned upon the delta between:</w:t>
      </w:r>
    </w:p>
    <w:p>
      <w:pPr>
        <w:spacing w:after="0" w:line="155" w:lineRule="exact"/>
        <w:rPr>
          <w:sz w:val="20"/>
          <w:szCs w:val="20"/>
          <w:color w:val="auto"/>
        </w:rPr>
      </w:pPr>
    </w:p>
    <w:p>
      <w:pPr>
        <w:ind w:firstLine="757"/>
        <w:spacing w:after="0" w:line="257" w:lineRule="auto"/>
        <w:tabs>
          <w:tab w:leader="none" w:pos="1068" w:val="left"/>
        </w:tabs>
        <w:numPr>
          <w:ilvl w:val="0"/>
          <w:numId w:val="161"/>
        </w:numPr>
        <w:rPr>
          <w:rFonts w:ascii="Arial" w:cs="Arial" w:eastAsia="Arial" w:hAnsi="Arial"/>
          <w:sz w:val="20"/>
          <w:szCs w:val="20"/>
          <w:color w:val="auto"/>
        </w:rPr>
      </w:pPr>
      <w:r>
        <w:rPr>
          <w:rFonts w:ascii="Arial" w:cs="Arial" w:eastAsia="Arial" w:hAnsi="Arial"/>
          <w:sz w:val="20"/>
          <w:szCs w:val="20"/>
          <w:color w:val="auto"/>
        </w:rPr>
        <w:t>Schlumberger’s average annual return on capital employed (as further described below, “ROCE”) over the three-year performance period beginning on January 1, 20[ ] and ending on December 31, 20[ ] (the “Performance Period”), and</w:t>
      </w:r>
    </w:p>
    <w:p>
      <w:pPr>
        <w:spacing w:after="0" w:line="155" w:lineRule="exact"/>
        <w:rPr>
          <w:rFonts w:ascii="Arial" w:cs="Arial" w:eastAsia="Arial" w:hAnsi="Arial"/>
          <w:sz w:val="20"/>
          <w:szCs w:val="20"/>
          <w:color w:val="auto"/>
        </w:rPr>
      </w:pPr>
    </w:p>
    <w:p>
      <w:pPr>
        <w:ind w:right="20" w:firstLine="757"/>
        <w:spacing w:after="0" w:line="257" w:lineRule="auto"/>
        <w:tabs>
          <w:tab w:leader="none" w:pos="104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average annual ROCE of the following companies taken together (collectively, the “ROCE Peer Group”) over the Performance Period: [ ], [ ], [ ] and [ ],</w:t>
      </w:r>
    </w:p>
    <w:p>
      <w:pPr>
        <w:spacing w:after="0" w:line="15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In both (a) and (b), ROCE is calculated with appropriate adjustments for material mergers, acquisitions and dispositions, in the year in which they take place.</w:t>
      </w:r>
    </w:p>
    <w:p>
      <w:pPr>
        <w:spacing w:after="0" w:line="153"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[Redacted]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Definitions</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“ROCE” is equal to the sum of (i) income from continuing operations, before charges and credits, and (ii) the after-tax impact of net interest expense, divided by the sum of (x) the average quarterly equity, including noncontrolling interests, and (y) the average quarterly net debt.</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Schlumberger’s “average annual ROCE” means the average of the three annual ROCE achievements during the Performance Period. The ROCE Peer Group’s “average annual ROCE” means the average of the three annual ROCE achievements during the Performance Period for the ROCE Peer Group as a whole.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Performance/Payout</w:t>
      </w:r>
    </w:p>
    <w:p>
      <w:pPr>
        <w:spacing w:after="0" w:line="21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The number of Performance Share Units that will vest will be equal to the product of (i) the target Performance Share Units and (ii) the Payout Factor (with any fractional shares rounded up to the next whole share).</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average annual ROCE achieved by the Company over the Performance Period, and the average annual ROCE achieved by the ROCE Peer Group over the Performance Period, will be certified by the Committee. The Committee has discretion to cap the ROCE payout at 100% based on any material write down attributed to management decisions.</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Committee is authorized to vest the number of Performance Share Units at the Payout Factor based on Table 1 below. The Payout Factor for ROCE achievement levels between points on this chart will be determined by linear interpolation between the values listed. The maximum payout of Performance Share Units is [ ]% of the Target Performance Share Units.</w:t>
      </w:r>
    </w:p>
    <w:p>
      <w:pPr>
        <w:spacing w:after="0" w:line="169"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Table 1</w:t>
      </w:r>
    </w:p>
    <w:p>
      <w:pPr>
        <w:spacing w:after="0" w:line="202"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(Applicable if conditions for Turbo Effect (as described below) are not met)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40" w:type="dxa"/>
            <w:vAlign w:val="bottom"/>
            <w:tcBorders>
              <w:right w:val="single" w:sz="8" w:color="auto"/>
            </w:tcBorders>
          </w:tcPr>
          <w:p>
            <w:pPr>
              <w:spacing w:after="0"/>
              <w:rPr>
                <w:sz w:val="24"/>
                <w:szCs w:val="24"/>
                <w:color w:val="auto"/>
              </w:rPr>
            </w:pPr>
          </w:p>
        </w:tc>
        <w:tc>
          <w:tcPr>
            <w:tcW w:w="5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ROCE Delta (bps)</w:t>
            </w:r>
          </w:p>
        </w:tc>
        <w:tc>
          <w:tcPr>
            <w:tcW w:w="518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0"/>
                <w:szCs w:val="20"/>
                <w:b w:val="1"/>
                <w:bCs w:val="1"/>
                <w:color w:val="auto"/>
              </w:rPr>
              <w:t>Payout Factor for Vested Performance Share Units</w:t>
            </w:r>
          </w:p>
        </w:tc>
      </w:tr>
      <w:tr>
        <w:trPr>
          <w:trHeight w:val="244"/>
        </w:trPr>
        <w:tc>
          <w:tcPr>
            <w:tcW w:w="140" w:type="dxa"/>
            <w:vAlign w:val="bottom"/>
            <w:tcBorders>
              <w:right w:val="single" w:sz="8" w:color="auto"/>
            </w:tcBorders>
          </w:tcPr>
          <w:p>
            <w:pPr>
              <w:spacing w:after="0"/>
              <w:rPr>
                <w:sz w:val="21"/>
                <w:szCs w:val="21"/>
                <w:color w:val="auto"/>
              </w:rPr>
            </w:pPr>
          </w:p>
        </w:tc>
        <w:tc>
          <w:tcPr>
            <w:tcW w:w="5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Less than or equal to [ ] bps</w:t>
            </w:r>
          </w:p>
        </w:tc>
        <w:tc>
          <w:tcPr>
            <w:tcW w:w="5180" w:type="dxa"/>
            <w:vAlign w:val="bottom"/>
            <w:tcBorders>
              <w:bottom w:val="single" w:sz="8" w:color="auto"/>
              <w:right w:val="single" w:sz="8" w:color="auto"/>
            </w:tcBorders>
          </w:tcPr>
          <w:p>
            <w:pPr>
              <w:ind w:left="1960"/>
              <w:spacing w:after="0"/>
              <w:rPr>
                <w:sz w:val="20"/>
                <w:szCs w:val="20"/>
                <w:color w:val="auto"/>
              </w:rPr>
            </w:pPr>
            <w:r>
              <w:rPr>
                <w:rFonts w:ascii="Arial" w:cs="Arial" w:eastAsia="Arial" w:hAnsi="Arial"/>
                <w:sz w:val="20"/>
                <w:szCs w:val="20"/>
                <w:color w:val="auto"/>
              </w:rPr>
              <w:t>[ ]% of Target</w:t>
            </w:r>
          </w:p>
        </w:tc>
      </w:tr>
      <w:tr>
        <w:trPr>
          <w:trHeight w:val="1407"/>
        </w:trPr>
        <w:tc>
          <w:tcPr>
            <w:tcW w:w="1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3" w:name="page114"/>
    <w:bookmarkEnd w:id="113"/>
    <w:tbl>
      <w:tblPr>
        <w:tblLayout w:type="fixed"/>
        <w:tblInd w:w="130" w:type="dxa"/>
        <w:tblCellMar>
          <w:top w:w="0" w:type="dxa"/>
          <w:left w:w="0" w:type="dxa"/>
          <w:bottom w:w="0" w:type="dxa"/>
          <w:right w:w="0" w:type="dxa"/>
        </w:tblCellMar>
      </w:tblPr>
      <w:tr>
        <w:trPr>
          <w:trHeight w:val="301"/>
        </w:trPr>
        <w:tc>
          <w:tcPr>
            <w:tcW w:w="5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Equal to [ ] bps</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 of Target</w:t>
            </w:r>
          </w:p>
        </w:tc>
      </w:tr>
      <w:tr>
        <w:trPr>
          <w:trHeight w:val="246"/>
        </w:trPr>
        <w:tc>
          <w:tcPr>
            <w:tcW w:w="5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Greater than or equal to [ ] bps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 of Target</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 for Potential Turbo Effect</w:t>
      </w:r>
    </w:p>
    <w:p>
      <w:pPr>
        <w:spacing w:after="0" w:line="204" w:lineRule="exact"/>
        <w:rPr>
          <w:sz w:val="20"/>
          <w:szCs w:val="20"/>
          <w:color w:val="auto"/>
        </w:rPr>
      </w:pPr>
    </w:p>
    <w:p>
      <w:pPr>
        <w:ind w:right="40" w:firstLine="440"/>
        <w:spacing w:after="0" w:line="233" w:lineRule="auto"/>
        <w:rPr>
          <w:sz w:val="20"/>
          <w:szCs w:val="20"/>
          <w:color w:val="auto"/>
        </w:rPr>
      </w:pPr>
      <w:r>
        <w:rPr>
          <w:rFonts w:ascii="Arial" w:cs="Arial" w:eastAsia="Arial" w:hAnsi="Arial"/>
          <w:sz w:val="20"/>
          <w:szCs w:val="20"/>
          <w:color w:val="auto"/>
        </w:rPr>
        <w:t>In the event that (i) the annual ROCE achieved by the Company for the 20[ ] calendar year is greater than [ ]% and (ii) the ROCE Delta is greater than [ ] bps, then the “Turbo Effect” will be applicable, and the Committee is authorized to vest the number of Performance Share Units at the Payout Factor based on Table 2 below in lieu of Table 1. The Payout Factor for ROCE achievement levels between points on this chart will be determined by linear interpolation between the values listed. The maximum payout of Performance Share Units will remain [ ]% of the Target Performance Share Units, even if determined after applying the Turbo Effect.</w:t>
      </w:r>
    </w:p>
    <w:p>
      <w:pPr>
        <w:spacing w:after="0" w:line="170"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Table 2</w:t>
      </w:r>
    </w:p>
    <w:p>
      <w:pPr>
        <w:spacing w:after="0" w:line="202"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(Applicable if conditions for Turbo Effect are met)</w:t>
      </w:r>
    </w:p>
    <w:p>
      <w:pPr>
        <w:spacing w:after="0" w:line="6" w:lineRule="exact"/>
        <w:rPr>
          <w:sz w:val="20"/>
          <w:szCs w:val="20"/>
          <w:color w:val="auto"/>
        </w:rPr>
      </w:pPr>
    </w:p>
    <w:tbl>
      <w:tblPr>
        <w:tblLayout w:type="fixed"/>
        <w:tblInd w:w="130" w:type="dxa"/>
        <w:tblCellMar>
          <w:top w:w="0" w:type="dxa"/>
          <w:left w:w="0" w:type="dxa"/>
          <w:bottom w:w="0" w:type="dxa"/>
          <w:right w:w="0" w:type="dxa"/>
        </w:tblCellMar>
      </w:tblPr>
      <w:tr>
        <w:trPr>
          <w:trHeight w:val="283"/>
        </w:trPr>
        <w:tc>
          <w:tcPr>
            <w:tcW w:w="5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ROCE Delta (bps)</w:t>
            </w:r>
          </w:p>
        </w:tc>
        <w:tc>
          <w:tcPr>
            <w:tcW w:w="516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20"/>
                <w:szCs w:val="20"/>
                <w:b w:val="1"/>
                <w:bCs w:val="1"/>
                <w:color w:val="auto"/>
              </w:rPr>
              <w:t>Payout Factor for Vested Performance Share Units</w:t>
            </w:r>
          </w:p>
        </w:tc>
      </w:tr>
      <w:tr>
        <w:trPr>
          <w:trHeight w:val="244"/>
        </w:trPr>
        <w:tc>
          <w:tcPr>
            <w:tcW w:w="5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Equal to [ ] bps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 of Target</w:t>
            </w:r>
          </w:p>
        </w:tc>
      </w:tr>
      <w:tr>
        <w:trPr>
          <w:trHeight w:val="262"/>
        </w:trPr>
        <w:tc>
          <w:tcPr>
            <w:tcW w:w="5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Greater than or equal to [ ] bps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 of Target</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effect of the potential enhancement from the Turbo Effect is illustrated in the chart below.</w:t>
      </w:r>
    </w:p>
    <w:p>
      <w:pPr>
        <w:spacing w:after="0" w:line="200"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[Redacted]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Interpretation</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In the event of any ambiguity or discrepancy in this Agreement (including this Attachment I), the determination of the Committee shall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4" w:name="page115"/>
    <w:bookmarkEnd w:id="114"/>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500380</wp:posOffset>
            </wp:positionV>
            <wp:extent cx="796925" cy="651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796925" cy="6515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Exhibit 10.4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II</w:t>
      </w:r>
    </w:p>
    <w:p>
      <w:pPr>
        <w:jc w:val="center"/>
        <w:ind w:right="-19"/>
        <w:spacing w:after="0" w:line="230" w:lineRule="auto"/>
        <w:rPr>
          <w:sz w:val="20"/>
          <w:szCs w:val="20"/>
          <w:color w:val="auto"/>
        </w:rPr>
      </w:pPr>
      <w:r>
        <w:rPr>
          <w:rFonts w:ascii="Arial" w:cs="Arial" w:eastAsia="Arial" w:hAnsi="Arial"/>
          <w:sz w:val="22"/>
          <w:szCs w:val="22"/>
          <w:b w:val="1"/>
          <w:bCs w:val="1"/>
          <w:color w:val="auto"/>
        </w:rPr>
        <w:t>Confidential Information, Intellectual Property,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17.</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1"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1"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7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57" w:lineRule="auto"/>
        <w:rPr>
          <w:sz w:val="20"/>
          <w:szCs w:val="20"/>
          <w:color w:val="auto"/>
        </w:rPr>
      </w:pPr>
      <w:r>
        <w:rPr>
          <w:rFonts w:ascii="Arial" w:cs="Arial" w:eastAsia="Arial" w:hAnsi="Arial"/>
          <w:sz w:val="20"/>
          <w:szCs w:val="20"/>
          <w:color w:val="auto"/>
        </w:rPr>
        <w:t>know-how, and developments, any derivative works and ideas whether or not patentable, and any other form of intellectual property.</w:t>
      </w:r>
    </w:p>
    <w:p>
      <w:pPr>
        <w:spacing w:after="0" w:line="155" w:lineRule="exact"/>
        <w:rPr>
          <w:sz w:val="20"/>
          <w:szCs w:val="20"/>
          <w:color w:val="auto"/>
        </w:rPr>
      </w:pPr>
    </w:p>
    <w:p>
      <w:pPr>
        <w:ind w:right="20" w:firstLine="749"/>
        <w:spacing w:after="0" w:line="257" w:lineRule="auto"/>
        <w:rPr>
          <w:sz w:val="20"/>
          <w:szCs w:val="20"/>
          <w:color w:val="auto"/>
        </w:rPr>
      </w:pPr>
      <w:r>
        <w:rPr>
          <w:rFonts w:ascii="Arial" w:cs="Arial" w:eastAsia="Arial" w:hAnsi="Arial"/>
          <w:sz w:val="20"/>
          <w:szCs w:val="20"/>
          <w:color w:val="auto"/>
        </w:rPr>
        <w:t>“Pre-existing Intellectual Property” is all Intellectual Property that was authored, conceived, developed, or reduced to practice by Employee before the term of Employee’s employment with the Company or any Affiliate began.</w:t>
      </w:r>
    </w:p>
    <w:p>
      <w:pPr>
        <w:spacing w:after="0" w:line="155" w:lineRule="exact"/>
        <w:rPr>
          <w:sz w:val="20"/>
          <w:szCs w:val="20"/>
          <w:color w:val="auto"/>
        </w:rPr>
      </w:pPr>
    </w:p>
    <w:p>
      <w:pPr>
        <w:jc w:val="both"/>
        <w:ind w:left="200" w:firstLine="561"/>
        <w:spacing w:after="0" w:line="237" w:lineRule="auto"/>
        <w:rPr>
          <w:sz w:val="20"/>
          <w:szCs w:val="20"/>
          <w:color w:val="auto"/>
        </w:rPr>
      </w:pPr>
      <w:r>
        <w:rPr>
          <w:rFonts w:ascii="Arial" w:cs="Arial" w:eastAsia="Arial" w:hAnsi="Arial"/>
          <w:sz w:val="20"/>
          <w:szCs w:val="20"/>
          <w:u w:val="single" w:color="auto"/>
          <w:color w:val="auto"/>
        </w:rPr>
        <w:t>Codes of Conduct</w:t>
      </w:r>
      <w:r>
        <w:rPr>
          <w:rFonts w:ascii="Arial" w:cs="Arial" w:eastAsia="Arial" w:hAnsi="Arial"/>
          <w:sz w:val="20"/>
          <w:szCs w:val="20"/>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6" w:name="page117"/>
    <w:bookmarkEnd w:id="116"/>
    <w:p>
      <w:pPr>
        <w:jc w:val="both"/>
        <w:spacing w:after="0" w:line="257" w:lineRule="auto"/>
        <w:rPr>
          <w:sz w:val="20"/>
          <w:szCs w:val="20"/>
          <w:color w:val="auto"/>
        </w:rPr>
      </w:pPr>
      <w:r>
        <w:rPr>
          <w:rFonts w:ascii="Arial" w:cs="Arial" w:eastAsia="Arial" w:hAnsi="Arial"/>
          <w:sz w:val="20"/>
          <w:szCs w:val="20"/>
          <w:color w:val="auto"/>
        </w:rPr>
        <w:t>accounts, Employee agrees to notify the Company and its Affiliates and make available the device and account to the Company for inspection and removal of the information.</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Disclosure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3"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1"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pertaining to Company Intellectual Property which the Company may, in its sole discretion, determine to obtain.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Assignment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3"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1"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7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8" w:name="page119"/>
    <w:bookmarkEnd w:id="118"/>
    <w:p>
      <w:pPr>
        <w:jc w:val="both"/>
        <w:spacing w:after="0" w:line="231" w:lineRule="auto"/>
        <w:rPr>
          <w:sz w:val="20"/>
          <w:szCs w:val="20"/>
          <w:color w:val="auto"/>
        </w:rPr>
      </w:pPr>
      <w:r>
        <w:rPr>
          <w:rFonts w:ascii="Arial" w:cs="Arial" w:eastAsia="Arial" w:hAnsi="Arial"/>
          <w:sz w:val="20"/>
          <w:szCs w:val="20"/>
          <w:color w:val="auto"/>
        </w:rPr>
        <w:t>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w:t>
      </w:r>
    </w:p>
    <w:p>
      <w:pPr>
        <w:spacing w:after="0" w:line="174"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w:t>
      </w:r>
    </w:p>
    <w:p>
      <w:pPr>
        <w:spacing w:after="0" w:line="1" w:lineRule="exact"/>
        <w:rPr>
          <w:sz w:val="20"/>
          <w:szCs w:val="20"/>
          <w:color w:val="auto"/>
        </w:rPr>
      </w:pPr>
    </w:p>
    <w:p>
      <w:pPr>
        <w:ind w:firstLine="8"/>
        <w:spacing w:after="0" w:line="239" w:lineRule="auto"/>
        <w:tabs>
          <w:tab w:leader="none" w:pos="30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 (2) who worked in Employee’s business unit (Group); or (3) about whom Employee had access to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information. In the event of breach by Employee, the specified period will be extended by the period of time of the breach.</w:t>
      </w:r>
    </w:p>
    <w:p>
      <w:pPr>
        <w:spacing w:after="0" w:line="20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Remedies for Employee’s Breach</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20"/>
          <w:szCs w:val="20"/>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Arial" w:cs="Arial" w:eastAsia="Arial" w:hAnsi="Arial"/>
          <w:sz w:val="20"/>
          <w:szCs w:val="20"/>
          <w:b w:val="1"/>
          <w:bCs w:val="1"/>
          <w:color w:val="auto"/>
        </w:rPr>
        <w:t>(i) recover from Employee the value of any portion of the Award that has</w:t>
      </w:r>
      <w:r>
        <w:rPr>
          <w:rFonts w:ascii="Arial" w:cs="Arial" w:eastAsia="Arial" w:hAnsi="Arial"/>
          <w:sz w:val="20"/>
          <w:szCs w:val="20"/>
          <w:color w:val="auto"/>
        </w:rPr>
        <w:t xml:space="preserve"> </w:t>
      </w:r>
      <w:r>
        <w:rPr>
          <w:rFonts w:ascii="Arial" w:cs="Arial" w:eastAsia="Arial" w:hAnsi="Arial"/>
          <w:sz w:val="20"/>
          <w:szCs w:val="20"/>
          <w:b w:val="1"/>
          <w:bCs w:val="1"/>
          <w:color w:val="auto"/>
        </w:rPr>
        <w:t>been paid or delivered; (ii) seek injunctive relief against Employee pursuant to the provisions of subsection (b) below;</w:t>
      </w:r>
    </w:p>
    <w:p>
      <w:pPr>
        <w:spacing w:after="0" w:line="1" w:lineRule="exact"/>
        <w:rPr>
          <w:sz w:val="20"/>
          <w:szCs w:val="20"/>
          <w:color w:val="auto"/>
        </w:rPr>
      </w:pPr>
    </w:p>
    <w:p>
      <w:pPr>
        <w:jc w:val="both"/>
        <w:ind w:firstLine="8"/>
        <w:spacing w:after="0" w:line="238" w:lineRule="auto"/>
        <w:tabs>
          <w:tab w:leader="none" w:pos="378"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6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Employee acknowledges that the remedies contained in the Attachment II for violation of this Attachment II are not the exclusive remedies that the Company or an Affiliate may pursue.</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0" w:name="page121"/>
    <w:bookmarkEnd w:id="120"/>
    <w:p>
      <w:pPr>
        <w:ind w:left="760"/>
        <w:spacing w:after="0"/>
        <w:rPr>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7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terms and conditions of this Attachment II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APPLICABLE TO PARTICIPANTS IN CHINA SUBJECT TO SAFE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Capitalized terms used but not defined in this Appendix B are defined in the Schlumberger 2017 Omnibus Stock Incentive Plan, as may be amended (the “Plan”), and the Restricted Stock Unit award agreement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Introduction</w:t>
      </w:r>
      <w:r>
        <w:rPr>
          <w:rFonts w:ascii="Arial" w:cs="Arial" w:eastAsia="Arial" w:hAnsi="Arial"/>
          <w:sz w:val="20"/>
          <w:szCs w:val="20"/>
          <w:u w:val="single" w:color="auto"/>
          <w:color w:val="auto"/>
        </w:rPr>
        <w: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terms and conditions will apply to you to the extent that the Company, in its discretion, determines that your participation in the Plan is subject to exchange control restrictions in the People’s Republic of China (the “PRC”), as implemented by the PRC State Administration of Foreign Exchange (“SAFE”).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Vesting of RSUs</w:t>
      </w:r>
      <w:r>
        <w:rPr>
          <w:rFonts w:ascii="Arial" w:cs="Arial" w:eastAsia="Arial" w:hAnsi="Arial"/>
          <w:sz w:val="20"/>
          <w:szCs w:val="20"/>
          <w:color w:val="auto"/>
        </w:rPr>
        <w:t>. The following provision supplements Section 1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Unless and until the Company has obtained all necessary exchange control or other approvals from SAFE or its local counterpart (“SAFE Approval”) with respect to your Restricted Stock Units (“RSUs”), the shares of Common Stock represented by such RSUs will be issued to you as soon as administratively feasible after the Company has obtained SAFE Approval. The Company is under no obligation to issue shares of Common Stock if the Company has not obtained SAFE Approval.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Acceleration on Retirement</w:t>
      </w:r>
      <w:r>
        <w:rPr>
          <w:rFonts w:ascii="Arial" w:cs="Arial" w:eastAsia="Arial" w:hAnsi="Arial"/>
          <w:sz w:val="20"/>
          <w:szCs w:val="20"/>
          <w:color w:val="auto"/>
        </w:rPr>
        <w:t>. The following provision replaces Section 1(c) of the Agreement in its entirety:</w:t>
      </w:r>
    </w:p>
    <w:p>
      <w:pPr>
        <w:spacing w:after="0" w:line="202" w:lineRule="exact"/>
        <w:rPr>
          <w:sz w:val="20"/>
          <w:szCs w:val="20"/>
          <w:color w:val="auto"/>
        </w:rPr>
      </w:pPr>
    </w:p>
    <w:p>
      <w:pPr>
        <w:jc w:val="both"/>
        <w:ind w:firstLine="757"/>
        <w:spacing w:after="0" w:line="237" w:lineRule="auto"/>
        <w:tabs>
          <w:tab w:leader="none" w:pos="1018"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To allow the Company to comply with PRC exchange control restrictions, upon Termination of Employment from the Company and its Subsidiaries by reason of Employee’s Retirement (as defined in Section 11), the Restricted Stock Units will become fully vested, subject to the Company obtaining SAFE Approval before vesting of the Restricted Stock Units.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Settlement of RSUs and Sale of Shares</w:t>
      </w:r>
      <w:r>
        <w:rPr>
          <w:rFonts w:ascii="Arial" w:cs="Arial" w:eastAsia="Arial" w:hAnsi="Arial"/>
          <w:sz w:val="20"/>
          <w:szCs w:val="20"/>
          <w:color w:val="auto"/>
        </w:rPr>
        <w:t>. The following provision supplements Section 2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to the contrary in the Plan or this Agreement, you understand and agree that the Company may require any shares of Common Stock that you acquire from vesting of the RSUs to be immediately sold at vesting or, at the Company’s discretion, at a later time. The purpose of this is solely to allow the Company to comply with PRC exchange control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You understand and agree that any shares of Common Stock acquired by you under Plan must be sold by no later than ninety</w:t>
      </w:r>
    </w:p>
    <w:p>
      <w:pPr>
        <w:spacing w:after="0" w:line="4" w:lineRule="exact"/>
        <w:rPr>
          <w:sz w:val="20"/>
          <w:szCs w:val="20"/>
          <w:color w:val="auto"/>
        </w:rPr>
      </w:pPr>
    </w:p>
    <w:p>
      <w:pPr>
        <w:jc w:val="both"/>
        <w:ind w:firstLine="8"/>
        <w:spacing w:after="0" w:line="231" w:lineRule="auto"/>
        <w:tabs>
          <w:tab w:leader="none" w:pos="42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days after your Termination of Employment, or within any other such time frame as may be permitted by the Company or required by SAFE. Further, you understand that any shares of Common Stock acquired by you under the Plan that have not been sold within ninety (90) days of your termination of employment will be automatically sold by Fidelity (which is the Company's current designated broker) at the Company’s direction. For the sake of clarity, any references to Fidelity in this Appendix also refer to any other designated broker the Company may use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2" w:name="page123"/>
    <w:bookmarkEnd w:id="122"/>
    <w:p>
      <w:pPr>
        <w:jc w:val="both"/>
        <w:spacing w:after="0" w:line="241" w:lineRule="auto"/>
        <w:rPr>
          <w:sz w:val="20"/>
          <w:szCs w:val="20"/>
          <w:color w:val="auto"/>
        </w:rPr>
      </w:pPr>
      <w:r>
        <w:rPr>
          <w:rFonts w:ascii="Arial" w:cs="Arial" w:eastAsia="Arial" w:hAnsi="Arial"/>
          <w:sz w:val="20"/>
          <w:szCs w:val="20"/>
          <w:color w:val="auto"/>
        </w:rPr>
        <w:t>You further agree that the Company is authorized to instruct Fidelity to assist with the mandatory sale of the shares of Common Stock, and you expressly authorize Fidelity to complete the sale of the shares of Common Stock. Your acceptance of this Agreement constitutes your authorization for Fidelity to act on your behalf in the sale of the shares.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acknowledge that Fidelity is under no obligation to arrange for the sale of shares of Common Stock at any particular price. Upon the sale of the shares of Common Stock, the Company agrees to pay you the cash proceeds from the sale, less any brokerage fees or commissions, in accordance with applicable exchange control laws and regulations, and provided any liability for Tax-Related Items (as defined in Section 6 of the Agreement) has been satisfied.</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Due to fluctuations in the Company’s share price and the United States Dollar exchange rate between the date that shares are issued to you upon vesting of the RSUs and (if later) the date on which the shares of Common Stock are sold, the sale proceeds may be more or less than the fair market value of the shares of Common Stock on the date the shares are initially issued to you. This date is the relevant date for determining your tax liability. You understand and agree that the Company is not responsible for the amount of any loss you may incur, and that the Company assumes no liability for any fluctuation in the share price or United States Dollar exchange rate.</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further agree that any shares of Common Stock to be issued to you shall be deposited directly into your Fidelity account. You also agree that you may not transfer the deposited shares of Common Stock from your Fidelity account. This limitation will apply both to transfers to different accounts with Fidelity and to transfers to other brokerage firms. The limitation shall apply to all shares of Common Stock issued to you under the Plan, whether or not you continue to be employed by the Company, the Employer or any affiliate of the Company.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u w:val="single" w:color="auto"/>
          <w:color w:val="auto"/>
        </w:rPr>
        <w:t>Exchange Control Requirements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SAFE rules require that when you sell shares of Common Stock or receive any other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from the shares (</w:t>
      </w:r>
      <w:r>
        <w:rPr>
          <w:rFonts w:ascii="Arial" w:cs="Arial" w:eastAsia="Arial" w:hAnsi="Arial"/>
          <w:sz w:val="20"/>
          <w:szCs w:val="20"/>
          <w:i w:val="1"/>
          <w:iCs w:val="1"/>
          <w:color w:val="auto"/>
        </w:rPr>
        <w:t>e.g</w:t>
      </w:r>
      <w:r>
        <w:rPr>
          <w:rFonts w:ascii="Arial" w:cs="Arial" w:eastAsia="Arial" w:hAnsi="Arial"/>
          <w:sz w:val="20"/>
          <w:szCs w:val="20"/>
          <w:color w:val="auto"/>
        </w:rPr>
        <w:t>., dividends), all such funds must be immediately brought back (</w:t>
      </w:r>
      <w:r>
        <w:rPr>
          <w:rFonts w:ascii="Arial" w:cs="Arial" w:eastAsia="Arial" w:hAnsi="Arial"/>
          <w:sz w:val="20"/>
          <w:szCs w:val="20"/>
          <w:i w:val="1"/>
          <w:iCs w:val="1"/>
          <w:color w:val="auto"/>
        </w:rPr>
        <w:t>i.e.,</w:t>
      </w:r>
      <w:r>
        <w:rPr>
          <w:rFonts w:ascii="Arial" w:cs="Arial" w:eastAsia="Arial" w:hAnsi="Arial"/>
          <w:sz w:val="20"/>
          <w:szCs w:val="20"/>
          <w:color w:val="auto"/>
        </w:rPr>
        <w:t xml:space="preserve"> "repatriated") to China through a special exchange control account. To comply with this requirement, the Company will set up the special exchange control account and will facilitate the repatriation of the funds to China where the funds will be delivered to you. By accepting the RSUs, you acknowledge and agree that all funds received from your shares of Stock must be repatriated to China, and you hereby consent and agree that such funds may be transferred to the special exchange control account prior to being delivered to you.</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You understand that the sale proceeds (or other funds) may be paid to you in local currency. If the funds are paid in local currency, you acknowledge that neither the Company nor any affiliate is under an obligation to secure any particular currency conversion rate and that the Company (or any affiliate) may face delays in converting the funds to local currency due to exchange control requirements in China. You agree to bear any currency fluctuation risk between the time the shares of Common Stock are sold (or other funds are paid out) and the time the funds are converted into local currency and distributed to you.</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You further agree to comply with any other requirements that may be imposed by the Company in the future to facilitate compliance with exchange control requirements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STATE AND COUNTRY-SPECIFIC APPENDICES FOR ATTACHMENT II</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Appendix B.1- U.S. State Law</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any of the U.S. states below, or transfers employment and/or residency after the Grant Date to one of the U.S. states below, then the following terms shall apply to the noncompete and nonsolicit restrictions in Sections 6 and 7 of Attachment II after the date on which Employee ceases to be employed by the Company Group for as long as Employee continues to work or reside in such state.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California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Sections 6 and 7(b) of Attachment II shall not apply to any Employee who primarily resides or works in, or transfers employment and/or residency after the Grant Date to California. For any Employee who primarily resides or works in California, any clause or agreement between Employee and the Company that restricts post-employment competition in California, including but not limited to Sections 6 and 7(b), are hereby rescinded and shall be deemed null and void.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Colorado</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Employee acknowledges that Employee was provided with a separate notice of Sections 6 and 7 of Attachment II at least 14 days before the earlier of (1) the effective date of this Agreement or (2) the Grant Date.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Colorado and earns an amount of compensation equal to or greater than the threshold amount for “highly compensated workers” under Colorado law.</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7(b) of Attachment II shall only apply to any Employee who primarily resides or works in, or transfers employment and/or residency after the Grant Date to Colorado and earns an amount of compensation equal to or greater than 60% of the threshold amount for “highly compensated workers” under Colorado law.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Georgia</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Georgia and (i) customarily and regularly solicits customers or prospective customers for the Company Group, (ii) customarily and regularly engages in making sales or obtaining orders or contracts for products or services to be performed by others, (iii) has the authority to hire or fire other employees or particular weight is given to Employee’s suggestions and recommendations as to the hiring, firing, advancement, promotion, or any other change of status of other employees, or (iv) performs the duties of a “key employee” or professional under Georgia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Idaho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4" w:name="page125"/>
    <w:bookmarkEnd w:id="124"/>
    <w:p>
      <w:pPr>
        <w:jc w:val="both"/>
        <w:spacing w:after="0" w:line="257"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Idaho and performs the duties of a “key employee” under Idaho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Illinois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Sections 6 and 7 of Attachment II shall only apply to any Employee who primarily resides or works in, or transfers employment and/or residency after the Grant Date to Illinois and: (i) whose actual or expected annualized rate of earnings exceeds the statutory amount set in the Illinois Freedom to Work Act 820 ILCS 90/10, as adjusted in accordance with the Illinois Freedom to Work Act and (ii) who was not laid off or furloughed due to COVID-19 or similar circumstances without appropriate compensation.</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Employee acknowledges that: (i) the Company has advised Employee that Employee has the right to consult with an attorney before executing this Agreement, and (ii) Employee was provided with a separate notice of Sections 6 and 7(b) of Attachment II at least 14 days before the earlier of (1) the effective date of this Agreement or (2) the Grant Date or Employee was provided with at least 14 days to review this Agreement. Employee further acknowledges that the Company is in compliance with this provision even if Employee voluntarily elects to sign this Agreement before the expiration of the 14-day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Louisiana</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For Employees who primarily reside or work in, or transfer employment and/or residency after the Grant Date to Louisiana, the Restricted Territory shall be as described below.</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Within the State of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Massachusetts</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Massachusetts and (i) is classified as exempt under the Fair Labor Standards Act, (ii) was not terminated without cause or laid off, (iii) who the Company Group pays on a pro-rata basis during the entirety of the restricted period following the date in which Employee ceases to be employed by the Company Group (but in no event longer than a one</w:t>
      </w:r>
    </w:p>
    <w:p>
      <w:pPr>
        <w:ind w:firstLine="8"/>
        <w:spacing w:after="0" w:line="239" w:lineRule="auto"/>
        <w:tabs>
          <w:tab w:leader="none" w:pos="322" w:val="left"/>
        </w:tabs>
        <w:numPr>
          <w:ilvl w:val="0"/>
          <w:numId w:val="166"/>
        </w:numPr>
        <w:rPr>
          <w:rFonts w:ascii="Arial" w:cs="Arial" w:eastAsia="Arial" w:hAnsi="Arial"/>
          <w:sz w:val="20"/>
          <w:szCs w:val="20"/>
          <w:color w:val="auto"/>
        </w:rPr>
      </w:pPr>
      <w:r>
        <w:rPr>
          <w:rFonts w:ascii="Arial" w:cs="Arial" w:eastAsia="Arial" w:hAnsi="Arial"/>
          <w:sz w:val="20"/>
          <w:szCs w:val="20"/>
          <w:color w:val="auto"/>
        </w:rPr>
        <w:t>year period) an amount equal to fifty percent (50%) of Employee’s highest annualized base salary paid by the Company Group within the two years preceding the date in which Employee ceases to be employed by the Company Group.</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Employee acknowledges that Employee was provided with this notice at least 10 days before the effective date of this Agreement. Employee acknowledges that Employee the Company has advised and hereby does advise Employee that Employee has the right to consult with an attorney of his or her choosing before executing this Agreement.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restriction in Section 6(b) of Attachment II shall be limited to the period of one (1) year following the date on which Employee ceases to be employed by the Company Group, unless Employee has breached his or her fiduciary duty to the Company Group or Employee has unlawfully taken, physically or electronically, property belonging to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5" w:name="page126"/>
    <w:bookmarkEnd w:id="125"/>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Nevada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II shall not apply to any Employee who primarily resides or works in, or transfers employment and/or residency after the Grant Date to Nevada and: (i) is paid solely on an hourly wage basis, exclusive of any tips or gratuities, or (ii) their termination was part of a reduction of force, reorganization, or similar restructuring of the Company Group (unless the Company Group pays Employee’s salary, benefits, or equivalent compensation, including severance pay, if any, during the restricted period).</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II shall not restrict Employee from providing a service to a former customer or client if (i) Employee did not solicit the former customer or client; (ii) the customer or client voluntarily chose to leave and sought Employee’s services; and (iii) Employee has otherwise complied with Section 6 of Attachment II regarding time, geographic area, and scope of the restrained activity, other than any limitation on providing services to a former customer or client of the Company Group who seeks the services of Employee without any contact instigated by Employee.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North Dakota</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Sections 6 and 7(b) of Attachment II shall not apply to any Employee who primarily resides or works in, or transfers employment and/or residency after the Grant Date to North Dakota.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Oklahoma</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Section 6 of Attachment II shall not apply to any Employee who primarily resides or works in, or transfers employment and/or residency after the Grant Date to Oklahoma.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B.2 - United Arab Emirates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the United Arab Emirates, or transfers employment and/or residency after the Grant Date to the United Arab Emirates, then the following terms shall apply to the noncompete and nonsolicit restrictions in Sections 6 and 7 of Attachment II after the date on which Employee ceases to be employed by the Company Group for as long as Employee continues to work or reside in such state.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Emirate of Dubai (including but not limited to the Dubai International Financial Centre) and the Emirate of Abu Dhabi (including but not limited to the Abu Dhabi Global Market).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clause in Section 6(b) of Attachment II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restriction in Section 7 of Attachment II shall be limited to the period of twelve (12) months following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The following clause in Section 7(a) of Attachment II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20"/>
          <w:szCs w:val="20"/>
          <w:b w:val="1"/>
          <w:bCs w:val="1"/>
          <w:u w:val="single" w:color="auto"/>
          <w:color w:val="auto"/>
        </w:rPr>
        <w:t>Appendix B.3 - Saudi Arabia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Saudi Arabia, or transfers employment and/or residency after the Grant Date to Saudi Arabia, then the following terms shall apply to the confidential information, noncompete and nonsolicit restrictions in Sections 3, 6 and 7 of Attachment II after the date on which Employee ceases to be employed by the Company Group for as long as Employee continues to work or reside in such state.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restriction in Section 3(c) of Attachment II shall only apply for 50 years following the termination of the Employee's employment.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Dhahran, Khobar, Dammam, Udhailiyahh, Khafji, or King Salman Energy Park (SPARK).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restriction in Section 7(a) of Attachment II shall be limited to employees, consultants, or contractors: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4" w:lineRule="exact"/>
        <w:rPr>
          <w:sz w:val="20"/>
          <w:szCs w:val="20"/>
          <w:color w:val="auto"/>
        </w:rPr>
      </w:pPr>
    </w:p>
    <w:p>
      <w:pPr>
        <w:ind w:left="1060" w:hanging="303"/>
        <w:spacing w:after="0"/>
        <w:tabs>
          <w:tab w:leader="none" w:pos="106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w:t>
      </w:r>
    </w:p>
    <w:p>
      <w:pPr>
        <w:spacing w:after="0" w:line="184" w:lineRule="exact"/>
        <w:rPr>
          <w:rFonts w:ascii="Arial" w:cs="Arial" w:eastAsia="Arial" w:hAnsi="Arial"/>
          <w:sz w:val="20"/>
          <w:szCs w:val="20"/>
          <w:color w:val="auto"/>
        </w:rPr>
      </w:pPr>
    </w:p>
    <w:p>
      <w:pPr>
        <w:ind w:left="1100" w:hanging="343"/>
        <w:spacing w:after="0"/>
        <w:tabs>
          <w:tab w:leader="none" w:pos="11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who worked in Employee’s business unit (Group); or</w:t>
      </w:r>
    </w:p>
    <w:p>
      <w:pPr>
        <w:spacing w:after="0" w:line="202" w:lineRule="exact"/>
        <w:rPr>
          <w:rFonts w:ascii="Arial" w:cs="Arial" w:eastAsia="Arial" w:hAnsi="Arial"/>
          <w:sz w:val="20"/>
          <w:szCs w:val="20"/>
          <w:color w:val="auto"/>
        </w:rPr>
      </w:pPr>
    </w:p>
    <w:p>
      <w:pPr>
        <w:ind w:left="1100" w:hanging="343"/>
        <w:spacing w:after="0"/>
        <w:tabs>
          <w:tab w:leader="none" w:pos="11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about whom Employee had access to confidential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jc w:val="both"/>
        <w:ind w:firstLine="8"/>
        <w:spacing w:after="0" w:line="241" w:lineRule="auto"/>
        <w:tabs>
          <w:tab w:leader="none" w:pos="29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who were engaged or employed by the Company or its Affiliates in Saudi Arabia on the date in which Employee ceases to be employed by the Company Group or was engaged or employed by the Company or its Affiliates in Saudi Arabia during the twelve (12)-month period immediately preceding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1584325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7" w:name="page128"/>
    <w:bookmarkEnd w:id="127"/>
    <w:p>
      <w:pPr>
        <w:spacing w:after="0" w:line="3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96925" cy="651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796925" cy="6515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Exhibit 10.5</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 ] PERFORMANCE SHARE UNIT AWARD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(BASED ON RELATIVE TSR PERFORMANCE)</w:t>
      </w:r>
    </w:p>
    <w:p>
      <w:pPr>
        <w:jc w:val="center"/>
        <w:spacing w:after="0" w:line="230" w:lineRule="auto"/>
        <w:rPr>
          <w:sz w:val="20"/>
          <w:szCs w:val="20"/>
          <w:color w:val="auto"/>
        </w:rPr>
      </w:pPr>
      <w:r>
        <w:rPr>
          <w:rFonts w:ascii="Arial" w:cs="Arial" w:eastAsia="Arial" w:hAnsi="Arial"/>
          <w:sz w:val="22"/>
          <w:szCs w:val="22"/>
          <w:b w:val="1"/>
          <w:bCs w:val="1"/>
          <w:color w:val="auto"/>
        </w:rPr>
        <w:t>under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2017 OMNIBUS STOCK INCENTIVE PLAN</w:t>
      </w:r>
    </w:p>
    <w:p>
      <w:pPr>
        <w:spacing w:after="0" w:line="213" w:lineRule="exact"/>
        <w:rPr>
          <w:sz w:val="20"/>
          <w:szCs w:val="20"/>
          <w:color w:val="auto"/>
        </w:rPr>
      </w:pPr>
    </w:p>
    <w:p>
      <w:pPr>
        <w:jc w:val="center"/>
        <w:ind w:right="60"/>
        <w:spacing w:after="0" w:line="27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u w:val="single" w:color="auto"/>
          <w:color w:val="auto"/>
        </w:rPr>
        <w:t>Includes Confidentiality, Intellectual Property, Non-Competition, and Non-Solicitation Provisions in Section</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9 and Attachment II</w:t>
      </w:r>
      <w:r>
        <w:rPr>
          <w:rFonts w:ascii="Arial" w:cs="Arial" w:eastAsia="Arial" w:hAnsi="Arial"/>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Period: 20[ ], 20[ ] and 20[ ]</w:t>
      </w:r>
    </w:p>
    <w:p>
      <w:pPr>
        <w:spacing w:after="0" w:line="2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This Performance Share Unit Award Agreement (as may be amended, the “Agreement”) is granted to you (“Employee”) effective as of [ ], 20[ ] (the “Grant Date”) by Schlumberger Limited (the “Company”), pursuant to the Schlumberger 2017 Omnibus Stock Incentive Plan, as may be amended (the “Plan”).</w:t>
      </w:r>
    </w:p>
    <w:p>
      <w:pPr>
        <w:spacing w:after="0" w:line="170" w:lineRule="exact"/>
        <w:rPr>
          <w:sz w:val="20"/>
          <w:szCs w:val="20"/>
          <w:color w:val="auto"/>
        </w:rPr>
      </w:pPr>
    </w:p>
    <w:p>
      <w:pPr>
        <w:jc w:val="both"/>
        <w:ind w:firstLine="757"/>
        <w:spacing w:after="0" w:line="235" w:lineRule="auto"/>
        <w:tabs>
          <w:tab w:leader="none" w:pos="1018" w:val="left"/>
        </w:tabs>
        <w:numPr>
          <w:ilvl w:val="0"/>
          <w:numId w:val="169"/>
        </w:numPr>
        <w:rPr>
          <w:rFonts w:ascii="Arial" w:cs="Arial" w:eastAsia="Arial" w:hAnsi="Arial"/>
          <w:sz w:val="20"/>
          <w:szCs w:val="20"/>
          <w:color w:val="auto"/>
        </w:rPr>
      </w:pPr>
      <w:r>
        <w:rPr>
          <w:rFonts w:ascii="Arial" w:cs="Arial" w:eastAsia="Arial" w:hAnsi="Arial"/>
          <w:sz w:val="22"/>
          <w:szCs w:val="22"/>
          <w:u w:val="single" w:color="auto"/>
          <w:color w:val="auto"/>
        </w:rPr>
        <w:t>Award</w:t>
      </w:r>
      <w:r>
        <w:rPr>
          <w:rFonts w:ascii="Arial" w:cs="Arial" w:eastAsia="Arial" w:hAnsi="Arial"/>
          <w:sz w:val="22"/>
          <w:szCs w:val="22"/>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8" w:lineRule="exact"/>
        <w:rPr>
          <w:rFonts w:ascii="Arial" w:cs="Arial" w:eastAsia="Arial" w:hAnsi="Arial"/>
          <w:sz w:val="20"/>
          <w:szCs w:val="20"/>
          <w:color w:val="auto"/>
        </w:rPr>
      </w:pPr>
    </w:p>
    <w:p>
      <w:pPr>
        <w:ind w:firstLine="757"/>
        <w:spacing w:after="0" w:line="259" w:lineRule="auto"/>
        <w:tabs>
          <w:tab w:leader="none" w:pos="1018" w:val="left"/>
        </w:tabs>
        <w:numPr>
          <w:ilvl w:val="0"/>
          <w:numId w:val="169"/>
        </w:numPr>
        <w:rPr>
          <w:rFonts w:ascii="Arial" w:cs="Arial" w:eastAsia="Arial" w:hAnsi="Arial"/>
          <w:sz w:val="20"/>
          <w:szCs w:val="20"/>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 The period of time from and including January [ ], 20[ ] to December 31, 20[ ] is the “Performance Period.” The Performance Share Units will vest as follows:</w:t>
      </w:r>
    </w:p>
    <w:p>
      <w:pPr>
        <w:spacing w:after="0" w:line="156" w:lineRule="exact"/>
        <w:rPr>
          <w:sz w:val="20"/>
          <w:szCs w:val="20"/>
          <w:color w:val="auto"/>
        </w:rPr>
      </w:pPr>
    </w:p>
    <w:p>
      <w:pPr>
        <w:jc w:val="both"/>
        <w:ind w:firstLine="757"/>
        <w:spacing w:after="0" w:line="246" w:lineRule="auto"/>
        <w:tabs>
          <w:tab w:leader="none" w:pos="1018" w:val="left"/>
        </w:tabs>
        <w:numPr>
          <w:ilvl w:val="0"/>
          <w:numId w:val="170"/>
        </w:numPr>
        <w:rPr>
          <w:rFonts w:ascii="Arial" w:cs="Arial" w:eastAsia="Arial" w:hAnsi="Arial"/>
          <w:sz w:val="19"/>
          <w:szCs w:val="19"/>
          <w:color w:val="auto"/>
        </w:rPr>
      </w:pPr>
      <w:r>
        <w:rPr>
          <w:rFonts w:ascii="Arial" w:cs="Arial" w:eastAsia="Arial" w:hAnsi="Arial"/>
          <w:sz w:val="21"/>
          <w:szCs w:val="21"/>
          <w:color w:val="auto"/>
        </w:rPr>
        <w:t>On the Friday following the first meeting of the Compensation Committee of the Board of Directors of the Company (the “Committee”) in 20[ ],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12(w)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59" w:lineRule="auto"/>
        <w:rPr>
          <w:sz w:val="20"/>
          <w:szCs w:val="20"/>
          <w:color w:val="auto"/>
        </w:rPr>
      </w:pPr>
      <w:r>
        <w:rPr>
          <w:rFonts w:ascii="Arial" w:cs="Arial" w:eastAsia="Arial" w:hAnsi="Arial"/>
          <w:sz w:val="22"/>
          <w:szCs w:val="22"/>
          <w:color w:val="auto"/>
        </w:rPr>
        <w:t>Employee has incurred a Termination of Employment, the cause of such termination or any related issue, and any such determination by the Committee or its delegate will be final and binding on all parties.</w:t>
      </w:r>
    </w:p>
    <w:p>
      <w:pPr>
        <w:spacing w:after="0" w:line="156" w:lineRule="exact"/>
        <w:rPr>
          <w:sz w:val="20"/>
          <w:szCs w:val="20"/>
          <w:color w:val="auto"/>
        </w:rPr>
      </w:pPr>
    </w:p>
    <w:p>
      <w:pPr>
        <w:jc w:val="both"/>
        <w:ind w:left="760" w:hanging="3"/>
        <w:spacing w:after="0"/>
        <w:tabs>
          <w:tab w:leader="none" w:pos="1029" w:val="left"/>
        </w:tabs>
        <w:numPr>
          <w:ilvl w:val="0"/>
          <w:numId w:val="171"/>
        </w:numPr>
        <w:rPr>
          <w:rFonts w:ascii="Arial" w:cs="Arial" w:eastAsia="Arial" w:hAnsi="Arial"/>
          <w:sz w:val="20"/>
          <w:szCs w:val="20"/>
          <w:color w:val="auto"/>
        </w:rPr>
      </w:pPr>
      <w:r>
        <w:rPr>
          <w:rFonts w:ascii="Arial" w:cs="Arial" w:eastAsia="Arial" w:hAnsi="Arial"/>
          <w:sz w:val="22"/>
          <w:szCs w:val="22"/>
          <w:color w:val="auto"/>
        </w:rPr>
        <w:t>(i) If Employee’s Termination of Employment occurs due to Retirement (as defined in Section 12(p) below), then the Performance Share Units will vest in accordance with Section 2(a) above as if Employee had remained continuously employed by the Company or any of its Subsidiaries from the Grant Date through the Vesting Date.</w:t>
      </w:r>
    </w:p>
    <w:p>
      <w:pPr>
        <w:spacing w:after="0" w:line="176" w:lineRule="exact"/>
        <w:rPr>
          <w:rFonts w:ascii="Arial" w:cs="Arial" w:eastAsia="Arial" w:hAnsi="Arial"/>
          <w:sz w:val="20"/>
          <w:szCs w:val="20"/>
          <w:color w:val="auto"/>
        </w:rPr>
      </w:pPr>
    </w:p>
    <w:p>
      <w:pPr>
        <w:jc w:val="both"/>
        <w:ind w:left="760" w:firstLine="745"/>
        <w:spacing w:after="0" w:line="248" w:lineRule="auto"/>
        <w:tabs>
          <w:tab w:leader="none" w:pos="1989" w:val="left"/>
        </w:tabs>
        <w:numPr>
          <w:ilvl w:val="1"/>
          <w:numId w:val="171"/>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Early Retirement (as defined in Section 12(i) below) or Special Retirement (as defined in Section 12(s) below, then, subject to the approval of (x) the Committee, if Employee is an executive officer of the Company at the time of Employee’s election to retire, or</w:t>
      </w:r>
    </w:p>
    <w:p>
      <w:pPr>
        <w:jc w:val="both"/>
        <w:ind w:left="760" w:hanging="3"/>
        <w:spacing w:after="0" w:line="234" w:lineRule="auto"/>
        <w:tabs>
          <w:tab w:leader="none" w:pos="1103"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Retirement Committee (as defined in Section 12(q)),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Vesting Date. Any approval under clauses (x) or (y) may be granted or withheld in the sole discretion of the Committee or the Retirement Committee, as applicable.</w:t>
      </w:r>
    </w:p>
    <w:p>
      <w:pPr>
        <w:spacing w:after="0" w:line="177" w:lineRule="exact"/>
        <w:rPr>
          <w:rFonts w:ascii="Arial" w:cs="Arial" w:eastAsia="Arial" w:hAnsi="Arial"/>
          <w:sz w:val="22"/>
          <w:szCs w:val="22"/>
          <w:color w:val="auto"/>
        </w:rPr>
      </w:pPr>
    </w:p>
    <w:p>
      <w:pPr>
        <w:jc w:val="both"/>
        <w:ind w:firstLine="757"/>
        <w:spacing w:after="0" w:line="245" w:lineRule="auto"/>
        <w:tabs>
          <w:tab w:leader="none" w:pos="1018" w:val="left"/>
        </w:tabs>
        <w:numPr>
          <w:ilvl w:val="0"/>
          <w:numId w:val="173"/>
        </w:numPr>
        <w:rPr>
          <w:rFonts w:ascii="Arial" w:cs="Arial" w:eastAsia="Arial" w:hAnsi="Arial"/>
          <w:sz w:val="20"/>
          <w:szCs w:val="20"/>
          <w:color w:val="auto"/>
        </w:rPr>
      </w:pPr>
      <w:r>
        <w:rPr>
          <w:rFonts w:ascii="Arial" w:cs="Arial" w:eastAsia="Arial" w:hAnsi="Arial"/>
          <w:sz w:val="22"/>
          <w:szCs w:val="22"/>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Vesting Date.</w:t>
      </w:r>
    </w:p>
    <w:p>
      <w:pPr>
        <w:spacing w:after="0" w:line="170" w:lineRule="exact"/>
        <w:rPr>
          <w:sz w:val="20"/>
          <w:szCs w:val="20"/>
          <w:color w:val="auto"/>
        </w:rPr>
      </w:pPr>
    </w:p>
    <w:p>
      <w:pPr>
        <w:jc w:val="both"/>
        <w:ind w:firstLine="757"/>
        <w:spacing w:after="0" w:line="238" w:lineRule="auto"/>
        <w:tabs>
          <w:tab w:leader="none" w:pos="1018" w:val="left"/>
        </w:tabs>
        <w:numPr>
          <w:ilvl w:val="0"/>
          <w:numId w:val="174"/>
        </w:numPr>
        <w:rPr>
          <w:rFonts w:ascii="Arial" w:cs="Arial" w:eastAsia="Arial" w:hAnsi="Arial"/>
          <w:sz w:val="20"/>
          <w:szCs w:val="20"/>
          <w:color w:val="auto"/>
        </w:rPr>
      </w:pPr>
      <w:r>
        <w:rPr>
          <w:rFonts w:ascii="Arial" w:cs="Arial" w:eastAsia="Arial" w:hAnsi="Arial"/>
          <w:sz w:val="22"/>
          <w:szCs w:val="22"/>
          <w:u w:val="single" w:color="auto"/>
          <w:color w:val="auto"/>
        </w:rPr>
        <w:t>Settlement of Performance Share Units</w:t>
      </w:r>
      <w:r>
        <w:rPr>
          <w:rFonts w:ascii="Arial" w:cs="Arial" w:eastAsia="Arial" w:hAnsi="Arial"/>
          <w:sz w:val="22"/>
          <w:szCs w:val="22"/>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76" w:lineRule="exact"/>
        <w:rPr>
          <w:rFonts w:ascii="Arial" w:cs="Arial" w:eastAsia="Arial" w:hAnsi="Arial"/>
          <w:sz w:val="20"/>
          <w:szCs w:val="20"/>
          <w:color w:val="auto"/>
        </w:rPr>
      </w:pPr>
    </w:p>
    <w:p>
      <w:pPr>
        <w:ind w:left="1020" w:hanging="263"/>
        <w:spacing w:after="0"/>
        <w:tabs>
          <w:tab w:leader="none" w:pos="1020" w:val="left"/>
        </w:tabs>
        <w:numPr>
          <w:ilvl w:val="0"/>
          <w:numId w:val="174"/>
        </w:numPr>
        <w:rPr>
          <w:rFonts w:ascii="Arial" w:cs="Arial" w:eastAsia="Arial" w:hAnsi="Arial"/>
          <w:sz w:val="20"/>
          <w:szCs w:val="20"/>
          <w:color w:val="auto"/>
        </w:rPr>
      </w:pP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38" w:lineRule="auto"/>
        <w:tabs>
          <w:tab w:leader="none" w:pos="1018" w:val="left"/>
        </w:tabs>
        <w:numPr>
          <w:ilvl w:val="0"/>
          <w:numId w:val="175"/>
        </w:numPr>
        <w:rPr>
          <w:rFonts w:ascii="Arial" w:cs="Arial" w:eastAsia="Arial" w:hAnsi="Arial"/>
          <w:sz w:val="20"/>
          <w:szCs w:val="20"/>
          <w:color w:val="auto"/>
        </w:rPr>
      </w:pPr>
      <w:r>
        <w:rPr>
          <w:rFonts w:ascii="Arial" w:cs="Arial" w:eastAsia="Arial" w:hAnsi="Arial"/>
          <w:sz w:val="22"/>
          <w:szCs w:val="22"/>
          <w:color w:val="auto"/>
        </w:rPr>
        <w:t>At any time during the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6" w:lineRule="exact"/>
        <w:rPr>
          <w:rFonts w:ascii="Arial" w:cs="Arial" w:eastAsia="Arial" w:hAnsi="Arial"/>
          <w:sz w:val="20"/>
          <w:szCs w:val="20"/>
          <w:color w:val="auto"/>
        </w:rPr>
      </w:pPr>
    </w:p>
    <w:p>
      <w:pPr>
        <w:jc w:val="both"/>
        <w:ind w:firstLine="757"/>
        <w:spacing w:after="0" w:line="262" w:lineRule="auto"/>
        <w:tabs>
          <w:tab w:leader="none" w:pos="1018" w:val="left"/>
        </w:tabs>
        <w:numPr>
          <w:ilvl w:val="0"/>
          <w:numId w:val="175"/>
        </w:numPr>
        <w:rPr>
          <w:rFonts w:ascii="Arial" w:cs="Arial" w:eastAsia="Arial" w:hAnsi="Arial"/>
          <w:sz w:val="19"/>
          <w:szCs w:val="19"/>
          <w:color w:val="auto"/>
        </w:rPr>
      </w:pPr>
      <w:r>
        <w:rPr>
          <w:rFonts w:ascii="Arial" w:cs="Arial" w:eastAsia="Arial" w:hAnsi="Arial"/>
          <w:sz w:val="21"/>
          <w:szCs w:val="21"/>
          <w:color w:val="auto"/>
        </w:rPr>
        <w:t>Notwithstanding any provision in this Agreement to the contrary, if at any time during the Performance Period and up to and including the Vesting Date, Employee engages in Detrimental Activity (as defined in Section 12(f) below), Employee will immediately and automatically forfeit all Performance Share Units without the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9" w:name="page130"/>
    <w:bookmarkEnd w:id="129"/>
    <w:p>
      <w:pPr>
        <w:ind w:right="20"/>
        <w:spacing w:after="0" w:line="259" w:lineRule="auto"/>
        <w:rPr>
          <w:sz w:val="20"/>
          <w:szCs w:val="20"/>
          <w:color w:val="auto"/>
        </w:rPr>
      </w:pPr>
      <w:r>
        <w:rPr>
          <w:rFonts w:ascii="Arial" w:cs="Arial" w:eastAsia="Arial" w:hAnsi="Arial"/>
          <w:sz w:val="22"/>
          <w:szCs w:val="22"/>
          <w:color w:val="auto"/>
        </w:rPr>
        <w:t>any consideration. Upon forfeiture, neither Employee nor any successors, heirs, assigns or legal representatives of Employee will thereafter have any further rights or interest in the unvested Performance Share Units.</w:t>
      </w:r>
    </w:p>
    <w:p>
      <w:pPr>
        <w:spacing w:after="0" w:line="156" w:lineRule="exact"/>
        <w:rPr>
          <w:sz w:val="20"/>
          <w:szCs w:val="20"/>
          <w:color w:val="auto"/>
        </w:rPr>
      </w:pPr>
    </w:p>
    <w:p>
      <w:pPr>
        <w:ind w:left="1020" w:hanging="263"/>
        <w:spacing w:after="0"/>
        <w:tabs>
          <w:tab w:leader="none" w:pos="1020" w:val="left"/>
        </w:tabs>
        <w:numPr>
          <w:ilvl w:val="0"/>
          <w:numId w:val="176"/>
        </w:numPr>
        <w:rPr>
          <w:rFonts w:ascii="Arial" w:cs="Arial" w:eastAsia="Arial" w:hAnsi="Arial"/>
          <w:sz w:val="20"/>
          <w:szCs w:val="20"/>
          <w:color w:val="auto"/>
        </w:rPr>
      </w:pP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36" w:lineRule="auto"/>
        <w:tabs>
          <w:tab w:leader="none" w:pos="1018" w:val="left"/>
        </w:tabs>
        <w:numPr>
          <w:ilvl w:val="0"/>
          <w:numId w:val="177"/>
        </w:numPr>
        <w:rPr>
          <w:rFonts w:ascii="Arial" w:cs="Arial" w:eastAsia="Arial" w:hAnsi="Arial"/>
          <w:sz w:val="20"/>
          <w:szCs w:val="20"/>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1" w:lineRule="exact"/>
        <w:rPr>
          <w:rFonts w:ascii="Arial" w:cs="Arial" w:eastAsia="Arial" w:hAnsi="Arial"/>
          <w:sz w:val="20"/>
          <w:szCs w:val="20"/>
          <w:color w:val="auto"/>
        </w:rPr>
      </w:pPr>
    </w:p>
    <w:p>
      <w:pPr>
        <w:jc w:val="both"/>
        <w:ind w:firstLine="757"/>
        <w:spacing w:after="0" w:line="236" w:lineRule="auto"/>
        <w:tabs>
          <w:tab w:leader="none" w:pos="1018" w:val="left"/>
        </w:tabs>
        <w:numPr>
          <w:ilvl w:val="0"/>
          <w:numId w:val="177"/>
        </w:numPr>
        <w:rPr>
          <w:rFonts w:ascii="Arial" w:cs="Arial" w:eastAsia="Arial" w:hAnsi="Arial"/>
          <w:sz w:val="20"/>
          <w:szCs w:val="20"/>
          <w:color w:val="auto"/>
        </w:rPr>
      </w:pPr>
      <w:r>
        <w:rPr>
          <w:rFonts w:ascii="Arial" w:cs="Arial" w:eastAsia="Arial" w:hAnsi="Arial"/>
          <w:sz w:val="22"/>
          <w:szCs w:val="22"/>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76" w:lineRule="exact"/>
        <w:rPr>
          <w:sz w:val="20"/>
          <w:szCs w:val="20"/>
          <w:color w:val="auto"/>
        </w:rPr>
      </w:pPr>
    </w:p>
    <w:p>
      <w:pPr>
        <w:jc w:val="both"/>
        <w:ind w:firstLine="757"/>
        <w:spacing w:after="0" w:line="245" w:lineRule="auto"/>
        <w:tabs>
          <w:tab w:leader="none" w:pos="1018" w:val="left"/>
        </w:tabs>
        <w:numPr>
          <w:ilvl w:val="0"/>
          <w:numId w:val="178"/>
        </w:numPr>
        <w:rPr>
          <w:rFonts w:ascii="Arial" w:cs="Arial" w:eastAsia="Arial" w:hAnsi="Arial"/>
          <w:sz w:val="20"/>
          <w:szCs w:val="20"/>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70" w:lineRule="exact"/>
        <w:rPr>
          <w:rFonts w:ascii="Arial" w:cs="Arial" w:eastAsia="Arial" w:hAnsi="Arial"/>
          <w:sz w:val="20"/>
          <w:szCs w:val="20"/>
          <w:color w:val="auto"/>
        </w:rPr>
      </w:pPr>
    </w:p>
    <w:p>
      <w:pPr>
        <w:ind w:left="1020" w:hanging="263"/>
        <w:spacing w:after="0"/>
        <w:tabs>
          <w:tab w:leader="none" w:pos="1020" w:val="left"/>
        </w:tabs>
        <w:numPr>
          <w:ilvl w:val="0"/>
          <w:numId w:val="178"/>
        </w:numPr>
        <w:rPr>
          <w:rFonts w:ascii="Arial" w:cs="Arial" w:eastAsia="Arial" w:hAnsi="Arial"/>
          <w:sz w:val="20"/>
          <w:szCs w:val="20"/>
          <w:color w:val="auto"/>
        </w:rPr>
      </w:pP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34" w:lineRule="auto"/>
        <w:tabs>
          <w:tab w:leader="none" w:pos="122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0" w:name="page131"/>
    <w:bookmarkEnd w:id="130"/>
    <w:p>
      <w:pPr>
        <w:jc w:val="both"/>
        <w:ind w:firstLine="757"/>
        <w:spacing w:after="0" w:line="234" w:lineRule="auto"/>
        <w:tabs>
          <w:tab w:leader="none" w:pos="130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83" w:lineRule="exact"/>
        <w:rPr>
          <w:rFonts w:ascii="Arial" w:cs="Arial" w:eastAsia="Arial" w:hAnsi="Arial"/>
          <w:sz w:val="22"/>
          <w:szCs w:val="22"/>
          <w:color w:val="auto"/>
        </w:rPr>
      </w:pPr>
    </w:p>
    <w:p>
      <w:pPr>
        <w:jc w:val="both"/>
        <w:ind w:firstLine="757"/>
        <w:spacing w:after="0" w:line="233" w:lineRule="auto"/>
        <w:tabs>
          <w:tab w:leader="none" w:pos="133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82" w:lineRule="exact"/>
        <w:rPr>
          <w:sz w:val="20"/>
          <w:szCs w:val="20"/>
          <w:color w:val="auto"/>
        </w:rPr>
      </w:pPr>
    </w:p>
    <w:p>
      <w:pPr>
        <w:jc w:val="both"/>
        <w:ind w:firstLine="757"/>
        <w:spacing w:after="0"/>
        <w:tabs>
          <w:tab w:leader="none" w:pos="1018" w:val="left"/>
        </w:tabs>
        <w:numPr>
          <w:ilvl w:val="0"/>
          <w:numId w:val="181"/>
        </w:numPr>
        <w:rPr>
          <w:rFonts w:ascii="Arial" w:cs="Arial" w:eastAsia="Arial" w:hAnsi="Arial"/>
          <w:sz w:val="20"/>
          <w:szCs w:val="20"/>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4" w:lineRule="exact"/>
        <w:rPr>
          <w:rFonts w:ascii="Arial" w:cs="Arial" w:eastAsia="Arial" w:hAnsi="Arial"/>
          <w:sz w:val="20"/>
          <w:szCs w:val="20"/>
          <w:color w:val="auto"/>
        </w:rPr>
      </w:pPr>
    </w:p>
    <w:p>
      <w:pPr>
        <w:ind w:left="1020" w:hanging="263"/>
        <w:spacing w:after="0"/>
        <w:tabs>
          <w:tab w:leader="none" w:pos="1020" w:val="left"/>
        </w:tabs>
        <w:numPr>
          <w:ilvl w:val="0"/>
          <w:numId w:val="181"/>
        </w:numPr>
        <w:rPr>
          <w:rFonts w:ascii="Arial" w:cs="Arial" w:eastAsia="Arial" w:hAnsi="Arial"/>
          <w:sz w:val="20"/>
          <w:szCs w:val="20"/>
          <w:color w:val="auto"/>
        </w:rPr>
      </w:pPr>
      <w:r>
        <w:rPr>
          <w:rFonts w:ascii="Arial" w:cs="Arial" w:eastAsia="Arial" w:hAnsi="Arial"/>
          <w:sz w:val="22"/>
          <w:szCs w:val="22"/>
          <w:u w:val="single" w:color="auto"/>
          <w:color w:val="auto"/>
        </w:rPr>
        <w:t>Confidential  Information,  Intellectual  Property  and  Noncompetition</w:t>
      </w:r>
      <w:r>
        <w:rPr>
          <w:rFonts w:ascii="Arial" w:cs="Arial" w:eastAsia="Arial" w:hAnsi="Arial"/>
          <w:sz w:val="22"/>
          <w:szCs w:val="22"/>
          <w:color w:val="auto"/>
        </w:rPr>
        <w:t xml:space="preserve">.  </w:t>
      </w:r>
      <w:r>
        <w:rPr>
          <w:rFonts w:ascii="Arial" w:cs="Arial" w:eastAsia="Arial" w:hAnsi="Arial"/>
          <w:sz w:val="22"/>
          <w:szCs w:val="22"/>
          <w:b w:val="1"/>
          <w:bCs w:val="1"/>
          <w:color w:val="auto"/>
        </w:rPr>
        <w:t>Employee  acknowledges  that</w:t>
      </w:r>
    </w:p>
    <w:p>
      <w:pPr>
        <w:spacing w:after="0" w:line="12" w:lineRule="exact"/>
        <w:rPr>
          <w:rFonts w:ascii="Arial" w:cs="Arial" w:eastAsia="Arial" w:hAnsi="Arial"/>
          <w:sz w:val="20"/>
          <w:szCs w:val="20"/>
          <w:color w:val="auto"/>
        </w:rPr>
      </w:pPr>
    </w:p>
    <w:p>
      <w:pPr>
        <w:jc w:val="both"/>
        <w:spacing w:after="0" w:line="234" w:lineRule="auto"/>
        <w:rPr>
          <w:rFonts w:ascii="Arial" w:cs="Arial" w:eastAsia="Arial" w:hAnsi="Arial"/>
          <w:sz w:val="20"/>
          <w:szCs w:val="20"/>
          <w:color w:val="auto"/>
        </w:rPr>
      </w:pPr>
      <w:r>
        <w:rPr>
          <w:rFonts w:ascii="Arial" w:cs="Arial" w:eastAsia="Arial" w:hAnsi="Arial"/>
          <w:sz w:val="22"/>
          <w:szCs w:val="22"/>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1" w:name="page132"/>
    <w:bookmarkEnd w:id="131"/>
    <w:p>
      <w:pPr>
        <w:jc w:val="both"/>
        <w:ind w:firstLine="749"/>
        <w:spacing w:after="0" w:line="248" w:lineRule="auto"/>
        <w:rPr>
          <w:sz w:val="20"/>
          <w:szCs w:val="20"/>
          <w:color w:val="auto"/>
        </w:rPr>
      </w:pPr>
      <w:r>
        <w:rPr>
          <w:rFonts w:ascii="Arial" w:cs="Arial" w:eastAsia="Arial" w:hAnsi="Arial"/>
          <w:sz w:val="20"/>
          <w:szCs w:val="20"/>
          <w:color w:val="auto"/>
        </w:rPr>
        <w:t>10.</w:t>
      </w:r>
      <w:r>
        <w:rPr>
          <w:rFonts w:ascii="Arial" w:cs="Arial" w:eastAsia="Arial" w:hAnsi="Arial"/>
          <w:sz w:val="21"/>
          <w:szCs w:val="21"/>
          <w:u w:val="single" w:color="auto"/>
          <w:color w:val="auto"/>
        </w:rPr>
        <w:t>Compliance with Securities Laws</w:t>
      </w:r>
      <w:r>
        <w:rPr>
          <w:rFonts w:ascii="Arial" w:cs="Arial" w:eastAsia="Arial" w:hAnsi="Arial"/>
          <w:sz w:val="20"/>
          <w:szCs w:val="20"/>
          <w:color w:val="auto"/>
        </w:rPr>
        <w:t xml:space="preserve"> </w:t>
      </w:r>
      <w:r>
        <w:rPr>
          <w:rFonts w:ascii="Arial" w:cs="Arial" w:eastAsia="Arial" w:hAnsi="Arial"/>
          <w:sz w:val="21"/>
          <w:szCs w:val="21"/>
          <w:color w:val="auto"/>
        </w:rPr>
        <w:t>. The Company will not be required to deliver any shares of Common</w:t>
      </w:r>
      <w:r>
        <w:rPr>
          <w:rFonts w:ascii="Arial" w:cs="Arial" w:eastAsia="Arial" w:hAnsi="Arial"/>
          <w:sz w:val="20"/>
          <w:szCs w:val="20"/>
          <w:color w:val="auto"/>
        </w:rPr>
        <w:t xml:space="preserve"> </w:t>
      </w:r>
      <w:r>
        <w:rPr>
          <w:rFonts w:ascii="Arial" w:cs="Arial" w:eastAsia="Arial" w:hAnsi="Arial"/>
          <w:sz w:val="21"/>
          <w:szCs w:val="21"/>
          <w:color w:val="auto"/>
        </w:rPr>
        <w:t>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w:t>
      </w:r>
      <w:r>
        <w:rPr>
          <w:rFonts w:ascii="Arial" w:cs="Arial" w:eastAsia="Arial" w:hAnsi="Arial"/>
          <w:sz w:val="21"/>
          <w:szCs w:val="21"/>
          <w:u w:val="single" w:color="auto"/>
          <w:color w:val="auto"/>
        </w:rPr>
        <w:t>Limitation of Rights</w:t>
      </w:r>
      <w:r>
        <w:rPr>
          <w:rFonts w:ascii="Arial" w:cs="Arial" w:eastAsia="Arial" w:hAnsi="Arial"/>
          <w:sz w:val="21"/>
          <w:szCs w:val="21"/>
          <w:color w:val="auto"/>
        </w:rPr>
        <w:t>. Nothing in this Agreement or the Plan may be construed to:</w:t>
      </w:r>
    </w:p>
    <w:p>
      <w:pPr>
        <w:spacing w:after="0" w:line="218" w:lineRule="exact"/>
        <w:rPr>
          <w:sz w:val="20"/>
          <w:szCs w:val="20"/>
          <w:color w:val="auto"/>
        </w:rPr>
      </w:pPr>
    </w:p>
    <w:p>
      <w:pPr>
        <w:ind w:firstLine="757"/>
        <w:spacing w:after="0" w:line="259" w:lineRule="auto"/>
        <w:tabs>
          <w:tab w:leader="none" w:pos="1018" w:val="left"/>
        </w:tabs>
        <w:numPr>
          <w:ilvl w:val="0"/>
          <w:numId w:val="182"/>
        </w:numPr>
        <w:rPr>
          <w:rFonts w:ascii="Arial" w:cs="Arial" w:eastAsia="Arial" w:hAnsi="Arial"/>
          <w:sz w:val="20"/>
          <w:szCs w:val="20"/>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56" w:lineRule="exact"/>
        <w:rPr>
          <w:rFonts w:ascii="Arial" w:cs="Arial" w:eastAsia="Arial" w:hAnsi="Arial"/>
          <w:sz w:val="20"/>
          <w:szCs w:val="20"/>
          <w:color w:val="auto"/>
        </w:rPr>
      </w:pPr>
    </w:p>
    <w:p>
      <w:pPr>
        <w:ind w:right="20" w:firstLine="757"/>
        <w:spacing w:after="0" w:line="259" w:lineRule="auto"/>
        <w:tabs>
          <w:tab w:leader="none" w:pos="1018" w:val="left"/>
        </w:tabs>
        <w:numPr>
          <w:ilvl w:val="0"/>
          <w:numId w:val="182"/>
        </w:numPr>
        <w:rPr>
          <w:rFonts w:ascii="Arial" w:cs="Arial" w:eastAsia="Arial" w:hAnsi="Arial"/>
          <w:sz w:val="20"/>
          <w:szCs w:val="20"/>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56" w:lineRule="exact"/>
        <w:rPr>
          <w:rFonts w:ascii="Arial" w:cs="Arial" w:eastAsia="Arial" w:hAnsi="Arial"/>
          <w:sz w:val="20"/>
          <w:szCs w:val="20"/>
          <w:color w:val="auto"/>
        </w:rPr>
      </w:pPr>
    </w:p>
    <w:p>
      <w:pPr>
        <w:ind w:firstLine="757"/>
        <w:spacing w:after="0" w:line="259" w:lineRule="auto"/>
        <w:tabs>
          <w:tab w:leader="none" w:pos="1018" w:val="left"/>
        </w:tabs>
        <w:numPr>
          <w:ilvl w:val="0"/>
          <w:numId w:val="182"/>
        </w:numPr>
        <w:rPr>
          <w:rFonts w:ascii="Arial" w:cs="Arial" w:eastAsia="Arial" w:hAnsi="Arial"/>
          <w:sz w:val="20"/>
          <w:szCs w:val="20"/>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12.</w:t>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18" w:lineRule="exact"/>
        <w:rPr>
          <w:sz w:val="20"/>
          <w:szCs w:val="20"/>
          <w:color w:val="auto"/>
        </w:rPr>
      </w:pPr>
    </w:p>
    <w:p>
      <w:pPr>
        <w:ind w:left="1020" w:hanging="263"/>
        <w:spacing w:after="0"/>
        <w:tabs>
          <w:tab w:leader="none" w:pos="1020" w:val="left"/>
        </w:tabs>
        <w:numPr>
          <w:ilvl w:val="0"/>
          <w:numId w:val="183"/>
        </w:numPr>
        <w:rPr>
          <w:rFonts w:ascii="Arial" w:cs="Arial" w:eastAsia="Arial" w:hAnsi="Arial"/>
          <w:sz w:val="20"/>
          <w:szCs w:val="20"/>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83"/>
        </w:numPr>
        <w:rPr>
          <w:rFonts w:ascii="Arial" w:cs="Arial" w:eastAsia="Arial" w:hAnsi="Arial"/>
          <w:sz w:val="20"/>
          <w:szCs w:val="20"/>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83"/>
        </w:numPr>
        <w:rPr>
          <w:rFonts w:ascii="Arial" w:cs="Arial" w:eastAsia="Arial" w:hAnsi="Arial"/>
          <w:sz w:val="20"/>
          <w:szCs w:val="20"/>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83"/>
        </w:numPr>
        <w:rPr>
          <w:rFonts w:ascii="Arial" w:cs="Arial" w:eastAsia="Arial" w:hAnsi="Arial"/>
          <w:sz w:val="20"/>
          <w:szCs w:val="20"/>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83"/>
        </w:numPr>
        <w:rPr>
          <w:rFonts w:ascii="Arial" w:cs="Arial" w:eastAsia="Arial" w:hAnsi="Arial"/>
          <w:sz w:val="20"/>
          <w:szCs w:val="20"/>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0"/>
          <w:szCs w:val="20"/>
          <w:color w:val="auto"/>
        </w:rPr>
      </w:pPr>
    </w:p>
    <w:p>
      <w:pPr>
        <w:jc w:val="both"/>
        <w:ind w:firstLine="757"/>
        <w:spacing w:after="0" w:line="234" w:lineRule="auto"/>
        <w:tabs>
          <w:tab w:leader="none" w:pos="1018" w:val="left"/>
        </w:tabs>
        <w:numPr>
          <w:ilvl w:val="0"/>
          <w:numId w:val="183"/>
        </w:numPr>
        <w:rPr>
          <w:rFonts w:ascii="Arial" w:cs="Arial" w:eastAsia="Arial" w:hAnsi="Arial"/>
          <w:sz w:val="20"/>
          <w:szCs w:val="20"/>
          <w:color w:val="auto"/>
        </w:rPr>
      </w:pPr>
      <w:r>
        <w:rPr>
          <w:rFonts w:ascii="Arial" w:cs="Arial" w:eastAsia="Arial" w:hAnsi="Arial"/>
          <w:sz w:val="22"/>
          <w:szCs w:val="22"/>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Vesting Date; (v) is determined to have engaged (whether or not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2" w:name="page133"/>
    <w:bookmarkEnd w:id="132"/>
    <w:p>
      <w:pPr>
        <w:jc w:val="both"/>
        <w:spacing w:after="0" w:line="236" w:lineRule="auto"/>
        <w:rPr>
          <w:sz w:val="20"/>
          <w:szCs w:val="20"/>
          <w:color w:val="auto"/>
        </w:rPr>
      </w:pPr>
      <w:r>
        <w:rPr>
          <w:rFonts w:ascii="Arial" w:cs="Arial" w:eastAsia="Arial" w:hAnsi="Arial"/>
          <w:sz w:val="22"/>
          <w:szCs w:val="22"/>
          <w:color w:val="auto"/>
        </w:rPr>
        <w:t>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82" w:lineRule="exact"/>
        <w:rPr>
          <w:sz w:val="20"/>
          <w:szCs w:val="20"/>
          <w:color w:val="auto"/>
        </w:rPr>
      </w:pPr>
    </w:p>
    <w:p>
      <w:pPr>
        <w:jc w:val="both"/>
        <w:ind w:firstLine="757"/>
        <w:spacing w:after="0" w:line="238" w:lineRule="auto"/>
        <w:tabs>
          <w:tab w:leader="none" w:pos="1018" w:val="left"/>
        </w:tabs>
        <w:numPr>
          <w:ilvl w:val="0"/>
          <w:numId w:val="184"/>
        </w:numPr>
        <w:rPr>
          <w:rFonts w:ascii="Arial" w:cs="Arial" w:eastAsia="Arial" w:hAnsi="Arial"/>
          <w:sz w:val="20"/>
          <w:szCs w:val="20"/>
          <w:color w:val="auto"/>
        </w:rPr>
      </w:pPr>
      <w:r>
        <w:rPr>
          <w:rFonts w:ascii="Arial" w:cs="Arial" w:eastAsia="Arial" w:hAnsi="Arial"/>
          <w:sz w:val="22"/>
          <w:szCs w:val="22"/>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clause (i) and this clause (ii), any and all of their parents, subsidiaries, affiliates, joint ventures, divisions, successors, or assigns.</w:t>
      </w:r>
    </w:p>
    <w:p>
      <w:pPr>
        <w:spacing w:after="0" w:line="176" w:lineRule="exact"/>
        <w:rPr>
          <w:rFonts w:ascii="Arial" w:cs="Arial" w:eastAsia="Arial" w:hAnsi="Arial"/>
          <w:sz w:val="20"/>
          <w:szCs w:val="20"/>
          <w:color w:val="auto"/>
        </w:rPr>
      </w:pPr>
    </w:p>
    <w:p>
      <w:pPr>
        <w:jc w:val="both"/>
        <w:ind w:firstLine="757"/>
        <w:spacing w:after="0" w:line="245" w:lineRule="auto"/>
        <w:tabs>
          <w:tab w:leader="none" w:pos="1018" w:val="left"/>
        </w:tabs>
        <w:numPr>
          <w:ilvl w:val="0"/>
          <w:numId w:val="184"/>
        </w:numPr>
        <w:rPr>
          <w:rFonts w:ascii="Arial" w:cs="Arial" w:eastAsia="Arial" w:hAnsi="Arial"/>
          <w:sz w:val="20"/>
          <w:szCs w:val="20"/>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0" w:lineRule="exact"/>
        <w:rPr>
          <w:rFonts w:ascii="Arial" w:cs="Arial" w:eastAsia="Arial" w:hAnsi="Arial"/>
          <w:sz w:val="20"/>
          <w:szCs w:val="20"/>
          <w:color w:val="auto"/>
        </w:rPr>
      </w:pPr>
    </w:p>
    <w:p>
      <w:pPr>
        <w:ind w:right="20" w:firstLine="757"/>
        <w:spacing w:after="0" w:line="259" w:lineRule="auto"/>
        <w:tabs>
          <w:tab w:leader="none" w:pos="1018" w:val="left"/>
        </w:tabs>
        <w:numPr>
          <w:ilvl w:val="0"/>
          <w:numId w:val="184"/>
        </w:numPr>
        <w:rPr>
          <w:rFonts w:ascii="Arial" w:cs="Arial" w:eastAsia="Arial" w:hAnsi="Arial"/>
          <w:sz w:val="20"/>
          <w:szCs w:val="20"/>
          <w:color w:val="auto"/>
        </w:rPr>
      </w:pPr>
      <w:r>
        <w:rPr>
          <w:rFonts w:ascii="Arial" w:cs="Arial" w:eastAsia="Arial" w:hAnsi="Arial"/>
          <w:sz w:val="22"/>
          <w:szCs w:val="22"/>
          <w:color w:val="auto"/>
        </w:rPr>
        <w:t>“Early Retirement” means Employee’s voluntary election to retire from employment with the Company and its Subsidiaries at any time after Employee has reached both the age of 50 and 20 years of service.</w:t>
      </w:r>
    </w:p>
    <w:p>
      <w:pPr>
        <w:spacing w:after="0" w:line="156" w:lineRule="exact"/>
        <w:rPr>
          <w:rFonts w:ascii="Arial" w:cs="Arial" w:eastAsia="Arial" w:hAnsi="Arial"/>
          <w:sz w:val="20"/>
          <w:szCs w:val="20"/>
          <w:color w:val="auto"/>
        </w:rPr>
      </w:pPr>
    </w:p>
    <w:p>
      <w:pPr>
        <w:ind w:left="1020" w:hanging="263"/>
        <w:spacing w:after="0"/>
        <w:tabs>
          <w:tab w:leader="none" w:pos="1020" w:val="left"/>
        </w:tabs>
        <w:numPr>
          <w:ilvl w:val="0"/>
          <w:numId w:val="184"/>
        </w:numPr>
        <w:rPr>
          <w:rFonts w:ascii="Arial" w:cs="Arial" w:eastAsia="Arial" w:hAnsi="Arial"/>
          <w:sz w:val="20"/>
          <w:szCs w:val="20"/>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0"/>
          <w:szCs w:val="20"/>
          <w:color w:val="auto"/>
        </w:rPr>
      </w:pPr>
    </w:p>
    <w:p>
      <w:pPr>
        <w:jc w:val="both"/>
        <w:ind w:firstLine="757"/>
        <w:spacing w:after="0" w:line="236" w:lineRule="auto"/>
        <w:tabs>
          <w:tab w:leader="none" w:pos="1018" w:val="left"/>
        </w:tabs>
        <w:numPr>
          <w:ilvl w:val="0"/>
          <w:numId w:val="184"/>
        </w:numPr>
        <w:rPr>
          <w:rFonts w:ascii="Arial" w:cs="Arial" w:eastAsia="Arial" w:hAnsi="Arial"/>
          <w:sz w:val="20"/>
          <w:szCs w:val="20"/>
          <w:color w:val="auto"/>
        </w:rPr>
      </w:pPr>
      <w:r>
        <w:rPr>
          <w:rFonts w:ascii="Arial" w:cs="Arial" w:eastAsia="Arial" w:hAnsi="Arial"/>
          <w:sz w:val="22"/>
          <w:szCs w:val="22"/>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81" w:lineRule="exact"/>
        <w:rPr>
          <w:rFonts w:ascii="Arial" w:cs="Arial" w:eastAsia="Arial" w:hAnsi="Arial"/>
          <w:sz w:val="20"/>
          <w:szCs w:val="20"/>
          <w:color w:val="auto"/>
        </w:rPr>
      </w:pPr>
    </w:p>
    <w:p>
      <w:pPr>
        <w:ind w:left="1020" w:hanging="263"/>
        <w:spacing w:after="0"/>
        <w:tabs>
          <w:tab w:leader="none" w:pos="1020" w:val="left"/>
        </w:tabs>
        <w:numPr>
          <w:ilvl w:val="0"/>
          <w:numId w:val="184"/>
        </w:numPr>
        <w:rPr>
          <w:rFonts w:ascii="Arial" w:cs="Arial" w:eastAsia="Arial" w:hAnsi="Arial"/>
          <w:sz w:val="20"/>
          <w:szCs w:val="20"/>
          <w:color w:val="auto"/>
        </w:rPr>
      </w:pPr>
      <w:r>
        <w:rPr>
          <w:rFonts w:ascii="Arial" w:cs="Arial" w:eastAsia="Arial" w:hAnsi="Arial"/>
          <w:sz w:val="22"/>
          <w:szCs w:val="22"/>
          <w:color w:val="auto"/>
        </w:rPr>
        <w:t>“Grant Date” is defined in the introduction.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w:t>
      </w:r>
      <w:r>
        <w:rPr>
          <w:rFonts w:ascii="Arial" w:cs="Arial" w:eastAsia="Arial" w:hAnsi="Arial"/>
          <w:sz w:val="21"/>
          <w:szCs w:val="21"/>
          <w:color w:val="auto"/>
        </w:rPr>
        <w:t>“Performance Period” is defined in Section 2.</w:t>
      </w:r>
    </w:p>
    <w:p>
      <w:pPr>
        <w:spacing w:after="0" w:line="218" w:lineRule="exact"/>
        <w:rPr>
          <w:sz w:val="20"/>
          <w:szCs w:val="20"/>
          <w:color w:val="auto"/>
        </w:rPr>
      </w:pPr>
    </w:p>
    <w:p>
      <w:pPr>
        <w:ind w:left="1020" w:hanging="263"/>
        <w:spacing w:after="0"/>
        <w:tabs>
          <w:tab w:leader="none" w:pos="1020" w:val="left"/>
        </w:tabs>
        <w:numPr>
          <w:ilvl w:val="0"/>
          <w:numId w:val="185"/>
        </w:numPr>
        <w:rPr>
          <w:rFonts w:ascii="Arial" w:cs="Arial" w:eastAsia="Arial" w:hAnsi="Arial"/>
          <w:sz w:val="20"/>
          <w:szCs w:val="20"/>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85"/>
        </w:numPr>
        <w:rPr>
          <w:rFonts w:ascii="Arial" w:cs="Arial" w:eastAsia="Arial" w:hAnsi="Arial"/>
          <w:sz w:val="20"/>
          <w:szCs w:val="20"/>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0"/>
          <w:szCs w:val="20"/>
          <w:color w:val="auto"/>
        </w:rPr>
      </w:pPr>
    </w:p>
    <w:p>
      <w:pPr>
        <w:ind w:firstLine="757"/>
        <w:spacing w:after="0" w:line="259" w:lineRule="auto"/>
        <w:tabs>
          <w:tab w:leader="none" w:pos="1018" w:val="left"/>
        </w:tabs>
        <w:numPr>
          <w:ilvl w:val="0"/>
          <w:numId w:val="185"/>
        </w:numPr>
        <w:rPr>
          <w:rFonts w:ascii="Arial" w:cs="Arial" w:eastAsia="Arial" w:hAnsi="Arial"/>
          <w:sz w:val="20"/>
          <w:szCs w:val="20"/>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3" w:name="page134"/>
    <w:bookmarkEnd w:id="133"/>
    <w:p>
      <w:pPr>
        <w:ind w:firstLine="757"/>
        <w:spacing w:after="0" w:line="259" w:lineRule="auto"/>
        <w:tabs>
          <w:tab w:leader="none" w:pos="1018" w:val="left"/>
        </w:tabs>
        <w:numPr>
          <w:ilvl w:val="0"/>
          <w:numId w:val="186"/>
        </w:numPr>
        <w:rPr>
          <w:rFonts w:ascii="Arial" w:cs="Arial" w:eastAsia="Arial" w:hAnsi="Arial"/>
          <w:sz w:val="20"/>
          <w:szCs w:val="20"/>
          <w:color w:val="auto"/>
        </w:rPr>
      </w:pPr>
      <w:r>
        <w:rPr>
          <w:rFonts w:ascii="Arial" w:cs="Arial" w:eastAsia="Arial" w:hAnsi="Arial"/>
          <w:sz w:val="22"/>
          <w:szCs w:val="22"/>
          <w:color w:val="auto"/>
        </w:rPr>
        <w:t>“Retirement Committee” means a committee consisting of the Company’s Chief People Officer, the Director of HR Operations and the Director of Total Rewards.</w:t>
      </w:r>
    </w:p>
    <w:p>
      <w:pPr>
        <w:spacing w:after="0" w:line="156" w:lineRule="exact"/>
        <w:rPr>
          <w:rFonts w:ascii="Arial" w:cs="Arial" w:eastAsia="Arial" w:hAnsi="Arial"/>
          <w:sz w:val="20"/>
          <w:szCs w:val="20"/>
          <w:color w:val="auto"/>
        </w:rPr>
      </w:pPr>
    </w:p>
    <w:p>
      <w:pPr>
        <w:ind w:left="1020" w:hanging="263"/>
        <w:spacing w:after="0"/>
        <w:tabs>
          <w:tab w:leader="none" w:pos="1020" w:val="left"/>
        </w:tabs>
        <w:numPr>
          <w:ilvl w:val="0"/>
          <w:numId w:val="186"/>
        </w:numPr>
        <w:rPr>
          <w:rFonts w:ascii="Arial" w:cs="Arial" w:eastAsia="Arial" w:hAnsi="Arial"/>
          <w:sz w:val="20"/>
          <w:szCs w:val="20"/>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0"/>
          <w:szCs w:val="20"/>
          <w:color w:val="auto"/>
        </w:rPr>
      </w:pPr>
    </w:p>
    <w:p>
      <w:pPr>
        <w:ind w:right="20" w:firstLine="757"/>
        <w:spacing w:after="0" w:line="259" w:lineRule="auto"/>
        <w:tabs>
          <w:tab w:leader="none" w:pos="1018" w:val="left"/>
        </w:tabs>
        <w:numPr>
          <w:ilvl w:val="0"/>
          <w:numId w:val="186"/>
        </w:numPr>
        <w:rPr>
          <w:rFonts w:ascii="Arial" w:cs="Arial" w:eastAsia="Arial" w:hAnsi="Arial"/>
          <w:sz w:val="20"/>
          <w:szCs w:val="20"/>
          <w:color w:val="auto"/>
        </w:rPr>
      </w:pPr>
      <w:r>
        <w:rPr>
          <w:rFonts w:ascii="Arial" w:cs="Arial" w:eastAsia="Arial" w:hAnsi="Arial"/>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56" w:lineRule="exact"/>
        <w:rPr>
          <w:rFonts w:ascii="Arial" w:cs="Arial" w:eastAsia="Arial" w:hAnsi="Arial"/>
          <w:sz w:val="20"/>
          <w:szCs w:val="20"/>
          <w:color w:val="auto"/>
        </w:rPr>
      </w:pPr>
    </w:p>
    <w:p>
      <w:pPr>
        <w:jc w:val="both"/>
        <w:ind w:firstLine="757"/>
        <w:spacing w:after="0" w:line="238" w:lineRule="auto"/>
        <w:tabs>
          <w:tab w:leader="none" w:pos="1018" w:val="left"/>
        </w:tabs>
        <w:numPr>
          <w:ilvl w:val="0"/>
          <w:numId w:val="186"/>
        </w:numPr>
        <w:rPr>
          <w:rFonts w:ascii="Arial" w:cs="Arial" w:eastAsia="Arial" w:hAnsi="Arial"/>
          <w:sz w:val="20"/>
          <w:szCs w:val="20"/>
          <w:color w:val="auto"/>
        </w:rPr>
      </w:pPr>
      <w:r>
        <w:rPr>
          <w:rFonts w:ascii="Arial" w:cs="Arial" w:eastAsia="Arial" w:hAnsi="Arial"/>
          <w:sz w:val="22"/>
          <w:szCs w:val="22"/>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6" w:lineRule="exact"/>
        <w:rPr>
          <w:rFonts w:ascii="Arial" w:cs="Arial" w:eastAsia="Arial" w:hAnsi="Arial"/>
          <w:sz w:val="20"/>
          <w:szCs w:val="20"/>
          <w:color w:val="auto"/>
        </w:rPr>
      </w:pPr>
    </w:p>
    <w:p>
      <w:pPr>
        <w:ind w:left="1020" w:hanging="263"/>
        <w:spacing w:after="0"/>
        <w:tabs>
          <w:tab w:leader="none" w:pos="1020" w:val="left"/>
        </w:tabs>
        <w:numPr>
          <w:ilvl w:val="0"/>
          <w:numId w:val="186"/>
        </w:numPr>
        <w:rPr>
          <w:rFonts w:ascii="Arial" w:cs="Arial" w:eastAsia="Arial" w:hAnsi="Arial"/>
          <w:sz w:val="20"/>
          <w:szCs w:val="20"/>
          <w:color w:val="auto"/>
        </w:rPr>
      </w:pPr>
      <w:r>
        <w:rPr>
          <w:rFonts w:ascii="Arial" w:cs="Arial" w:eastAsia="Arial" w:hAnsi="Arial"/>
          <w:sz w:val="22"/>
          <w:szCs w:val="22"/>
          <w:color w:val="auto"/>
        </w:rPr>
        <w:t>“Tax Date” is defined in Section 7(b).</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86"/>
        </w:numPr>
        <w:rPr>
          <w:rFonts w:ascii="Arial" w:cs="Arial" w:eastAsia="Arial" w:hAnsi="Arial"/>
          <w:sz w:val="20"/>
          <w:szCs w:val="20"/>
          <w:color w:val="auto"/>
        </w:rPr>
      </w:pPr>
      <w:r>
        <w:rPr>
          <w:rFonts w:ascii="Arial" w:cs="Arial" w:eastAsia="Arial" w:hAnsi="Arial"/>
          <w:sz w:val="22"/>
          <w:szCs w:val="22"/>
          <w:color w:val="auto"/>
        </w:rPr>
        <w:t>“Tax-Related Items” is defined in Section 7(a).</w:t>
      </w:r>
    </w:p>
    <w:p>
      <w:pPr>
        <w:spacing w:after="0" w:line="20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(w)</w:t>
      </w:r>
      <w:r>
        <w:rPr>
          <w:rFonts w:ascii="Arial" w:cs="Arial" w:eastAsia="Arial" w:hAnsi="Arial"/>
          <w:sz w:val="21"/>
          <w:szCs w:val="21"/>
          <w:color w:val="auto"/>
        </w:rPr>
        <w:t>“Termination of Employment” means the voluntary or involuntary termination of Employee’s employment</w:t>
      </w:r>
      <w:r>
        <w:rPr>
          <w:rFonts w:ascii="Arial" w:cs="Arial" w:eastAsia="Arial" w:hAnsi="Arial"/>
          <w:sz w:val="20"/>
          <w:szCs w:val="20"/>
          <w:color w:val="auto"/>
        </w:rPr>
        <w:t xml:space="preserve"> </w:t>
      </w:r>
      <w:r>
        <w:rPr>
          <w:rFonts w:ascii="Arial" w:cs="Arial" w:eastAsia="Arial" w:hAnsi="Arial"/>
          <w:sz w:val="21"/>
          <w:szCs w:val="21"/>
          <w:color w:val="auto"/>
        </w:rPr>
        <w:t>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62" w:lineRule="exact"/>
        <w:rPr>
          <w:sz w:val="20"/>
          <w:szCs w:val="20"/>
          <w:color w:val="auto"/>
        </w:rPr>
      </w:pPr>
    </w:p>
    <w:p>
      <w:pPr>
        <w:ind w:left="1020" w:hanging="263"/>
        <w:spacing w:after="0"/>
        <w:tabs>
          <w:tab w:leader="none" w:pos="1020" w:val="left"/>
        </w:tabs>
        <w:numPr>
          <w:ilvl w:val="0"/>
          <w:numId w:val="187"/>
        </w:numPr>
        <w:rPr>
          <w:rFonts w:ascii="Arial" w:cs="Arial" w:eastAsia="Arial" w:hAnsi="Arial"/>
          <w:sz w:val="20"/>
          <w:szCs w:val="20"/>
          <w:color w:val="auto"/>
        </w:rPr>
      </w:pPr>
      <w:r>
        <w:rPr>
          <w:rFonts w:ascii="Arial" w:cs="Arial" w:eastAsia="Arial" w:hAnsi="Arial"/>
          <w:sz w:val="22"/>
          <w:szCs w:val="22"/>
          <w:color w:val="auto"/>
        </w:rPr>
        <w:t>“Transfer” is defined in Section 5(a).</w:t>
      </w:r>
    </w:p>
    <w:p>
      <w:pPr>
        <w:spacing w:after="0" w:line="206" w:lineRule="exact"/>
        <w:rPr>
          <w:rFonts w:ascii="Arial" w:cs="Arial" w:eastAsia="Arial" w:hAnsi="Arial"/>
          <w:sz w:val="20"/>
          <w:szCs w:val="20"/>
          <w:color w:val="auto"/>
        </w:rPr>
      </w:pPr>
    </w:p>
    <w:p>
      <w:pPr>
        <w:ind w:left="1020" w:hanging="263"/>
        <w:spacing w:after="0"/>
        <w:tabs>
          <w:tab w:leader="none" w:pos="1020" w:val="left"/>
        </w:tabs>
        <w:numPr>
          <w:ilvl w:val="0"/>
          <w:numId w:val="187"/>
        </w:numPr>
        <w:rPr>
          <w:rFonts w:ascii="Arial" w:cs="Arial" w:eastAsia="Arial" w:hAnsi="Arial"/>
          <w:sz w:val="20"/>
          <w:szCs w:val="20"/>
          <w:color w:val="auto"/>
        </w:rPr>
      </w:pPr>
      <w:r>
        <w:rPr>
          <w:rFonts w:ascii="Arial" w:cs="Arial" w:eastAsia="Arial" w:hAnsi="Arial"/>
          <w:sz w:val="22"/>
          <w:szCs w:val="22"/>
          <w:color w:val="auto"/>
        </w:rPr>
        <w:t>“Vesting Date” is defined in Section 2(a).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13.</w:t>
      </w: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18" w:lineRule="exact"/>
        <w:rPr>
          <w:sz w:val="20"/>
          <w:szCs w:val="20"/>
          <w:color w:val="auto"/>
        </w:rPr>
      </w:pPr>
    </w:p>
    <w:p>
      <w:pPr>
        <w:jc w:val="both"/>
        <w:ind w:firstLine="757"/>
        <w:spacing w:after="0" w:line="245" w:lineRule="auto"/>
        <w:tabs>
          <w:tab w:leader="none" w:pos="1018" w:val="left"/>
        </w:tabs>
        <w:numPr>
          <w:ilvl w:val="0"/>
          <w:numId w:val="188"/>
        </w:numPr>
        <w:rPr>
          <w:rFonts w:ascii="Arial" w:cs="Arial" w:eastAsia="Arial" w:hAnsi="Arial"/>
          <w:sz w:val="20"/>
          <w:szCs w:val="20"/>
          <w:color w:val="auto"/>
        </w:rPr>
      </w:pPr>
      <w:r>
        <w:rPr>
          <w:rFonts w:ascii="Arial" w:cs="Arial" w:eastAsia="Arial" w:hAnsi="Arial"/>
          <w:sz w:val="22"/>
          <w:szCs w:val="22"/>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70" w:lineRule="exact"/>
        <w:rPr>
          <w:rFonts w:ascii="Arial" w:cs="Arial" w:eastAsia="Arial" w:hAnsi="Arial"/>
          <w:sz w:val="20"/>
          <w:szCs w:val="20"/>
          <w:color w:val="auto"/>
        </w:rPr>
      </w:pPr>
    </w:p>
    <w:p>
      <w:pPr>
        <w:jc w:val="both"/>
        <w:ind w:firstLine="757"/>
        <w:spacing w:after="0"/>
        <w:tabs>
          <w:tab w:leader="none" w:pos="1018" w:val="left"/>
        </w:tabs>
        <w:numPr>
          <w:ilvl w:val="0"/>
          <w:numId w:val="188"/>
        </w:numPr>
        <w:rPr>
          <w:rFonts w:ascii="Arial" w:cs="Arial" w:eastAsia="Arial" w:hAnsi="Arial"/>
          <w:sz w:val="20"/>
          <w:szCs w:val="20"/>
          <w:color w:val="auto"/>
        </w:rPr>
      </w:pPr>
      <w:r>
        <w:rPr>
          <w:rFonts w:ascii="Arial" w:cs="Arial" w:eastAsia="Arial" w:hAnsi="Arial"/>
          <w:sz w:val="22"/>
          <w:szCs w:val="22"/>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6" w:lineRule="exact"/>
        <w:rPr>
          <w:rFonts w:ascii="Arial" w:cs="Arial" w:eastAsia="Arial" w:hAnsi="Arial"/>
          <w:sz w:val="20"/>
          <w:szCs w:val="20"/>
          <w:color w:val="auto"/>
        </w:rPr>
      </w:pPr>
    </w:p>
    <w:p>
      <w:pPr>
        <w:ind w:firstLine="757"/>
        <w:spacing w:after="0" w:line="259" w:lineRule="auto"/>
        <w:tabs>
          <w:tab w:leader="none" w:pos="1018" w:val="left"/>
        </w:tabs>
        <w:numPr>
          <w:ilvl w:val="0"/>
          <w:numId w:val="188"/>
        </w:numPr>
        <w:rPr>
          <w:rFonts w:ascii="Arial" w:cs="Arial" w:eastAsia="Arial" w:hAnsi="Arial"/>
          <w:sz w:val="20"/>
          <w:szCs w:val="20"/>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56" w:lineRule="exact"/>
        <w:rPr>
          <w:rFonts w:ascii="Arial" w:cs="Arial" w:eastAsia="Arial" w:hAnsi="Arial"/>
          <w:sz w:val="20"/>
          <w:szCs w:val="20"/>
          <w:color w:val="auto"/>
        </w:rPr>
      </w:pPr>
    </w:p>
    <w:p>
      <w:pPr>
        <w:jc w:val="both"/>
        <w:ind w:firstLine="757"/>
        <w:spacing w:after="0" w:line="245" w:lineRule="auto"/>
        <w:tabs>
          <w:tab w:leader="none" w:pos="1018" w:val="left"/>
        </w:tabs>
        <w:numPr>
          <w:ilvl w:val="0"/>
          <w:numId w:val="188"/>
        </w:numPr>
        <w:rPr>
          <w:rFonts w:ascii="Arial" w:cs="Arial" w:eastAsia="Arial" w:hAnsi="Arial"/>
          <w:sz w:val="20"/>
          <w:szCs w:val="20"/>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4" w:name="page135"/>
    <w:bookmarkEnd w:id="134"/>
    <w:p>
      <w:pPr>
        <w:jc w:val="both"/>
        <w:ind w:left="-8" w:firstLine="757"/>
        <w:spacing w:after="0" w:line="245" w:lineRule="auto"/>
        <w:tabs>
          <w:tab w:leader="none" w:pos="1010" w:val="left"/>
        </w:tabs>
        <w:numPr>
          <w:ilvl w:val="1"/>
          <w:numId w:val="189"/>
        </w:numPr>
        <w:rPr>
          <w:rFonts w:ascii="Arial" w:cs="Arial" w:eastAsia="Arial" w:hAnsi="Arial"/>
          <w:sz w:val="20"/>
          <w:szCs w:val="20"/>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0" w:lineRule="exact"/>
        <w:rPr>
          <w:rFonts w:ascii="Arial" w:cs="Arial" w:eastAsia="Arial" w:hAnsi="Arial"/>
          <w:sz w:val="20"/>
          <w:szCs w:val="20"/>
          <w:color w:val="auto"/>
        </w:rPr>
      </w:pPr>
    </w:p>
    <w:p>
      <w:pPr>
        <w:ind w:left="-8" w:right="20" w:firstLine="757"/>
        <w:spacing w:after="0" w:line="259" w:lineRule="auto"/>
        <w:tabs>
          <w:tab w:leader="none" w:pos="1010" w:val="left"/>
        </w:tabs>
        <w:numPr>
          <w:ilvl w:val="1"/>
          <w:numId w:val="189"/>
        </w:numPr>
        <w:rPr>
          <w:rFonts w:ascii="Arial" w:cs="Arial" w:eastAsia="Arial" w:hAnsi="Arial"/>
          <w:sz w:val="20"/>
          <w:szCs w:val="20"/>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56" w:lineRule="exact"/>
        <w:rPr>
          <w:rFonts w:ascii="Arial" w:cs="Arial" w:eastAsia="Arial" w:hAnsi="Arial"/>
          <w:sz w:val="20"/>
          <w:szCs w:val="20"/>
          <w:color w:val="auto"/>
        </w:rPr>
      </w:pPr>
    </w:p>
    <w:p>
      <w:pPr>
        <w:jc w:val="both"/>
        <w:ind w:left="-8" w:firstLine="757"/>
        <w:spacing w:after="0" w:line="246" w:lineRule="auto"/>
        <w:tabs>
          <w:tab w:leader="none" w:pos="1010" w:val="left"/>
        </w:tabs>
        <w:numPr>
          <w:ilvl w:val="1"/>
          <w:numId w:val="189"/>
        </w:numPr>
        <w:rPr>
          <w:rFonts w:ascii="Arial" w:cs="Arial" w:eastAsia="Arial" w:hAnsi="Arial"/>
          <w:sz w:val="19"/>
          <w:szCs w:val="19"/>
          <w:color w:val="auto"/>
        </w:rPr>
      </w:pPr>
      <w:r>
        <w:rPr>
          <w:rFonts w:ascii="Arial" w:cs="Arial" w:eastAsia="Arial" w:hAnsi="Arial"/>
          <w:sz w:val="21"/>
          <w:szCs w:val="21"/>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w:t>
      </w:r>
    </w:p>
    <w:p>
      <w:pPr>
        <w:spacing w:after="0" w:line="1" w:lineRule="exact"/>
        <w:rPr>
          <w:rFonts w:ascii="Arial" w:cs="Arial" w:eastAsia="Arial" w:hAnsi="Arial"/>
          <w:sz w:val="19"/>
          <w:szCs w:val="19"/>
          <w:color w:val="auto"/>
        </w:rPr>
      </w:pPr>
    </w:p>
    <w:p>
      <w:pPr>
        <w:jc w:val="both"/>
        <w:ind w:left="-8" w:firstLine="8"/>
        <w:spacing w:after="0" w:line="234" w:lineRule="auto"/>
        <w:tabs>
          <w:tab w:leader="none" w:pos="37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77" w:lineRule="exact"/>
        <w:rPr>
          <w:rFonts w:ascii="Arial" w:cs="Arial" w:eastAsia="Arial" w:hAnsi="Arial"/>
          <w:sz w:val="22"/>
          <w:szCs w:val="22"/>
          <w:color w:val="auto"/>
        </w:rPr>
      </w:pPr>
    </w:p>
    <w:p>
      <w:pPr>
        <w:jc w:val="both"/>
        <w:ind w:left="-8" w:firstLine="757"/>
        <w:spacing w:after="0" w:line="232" w:lineRule="auto"/>
        <w:tabs>
          <w:tab w:leader="none" w:pos="1010" w:val="left"/>
        </w:tabs>
        <w:numPr>
          <w:ilvl w:val="1"/>
          <w:numId w:val="190"/>
        </w:numPr>
        <w:rPr>
          <w:rFonts w:ascii="Arial" w:cs="Arial" w:eastAsia="Arial" w:hAnsi="Arial"/>
          <w:sz w:val="20"/>
          <w:szCs w:val="20"/>
          <w:color w:val="auto"/>
        </w:rPr>
      </w:pPr>
      <w:r>
        <w:rPr>
          <w:rFonts w:ascii="Arial" w:cs="Arial" w:eastAsia="Arial" w:hAnsi="Arial"/>
          <w:sz w:val="22"/>
          <w:szCs w:val="22"/>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927735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35" w:name="page136"/>
    <w:bookmarkEnd w:id="135"/>
    <w:p>
      <w:pPr>
        <w:jc w:val="both"/>
        <w:ind w:right="20"/>
        <w:spacing w:after="0" w:line="259" w:lineRule="auto"/>
        <w:rPr>
          <w:sz w:val="20"/>
          <w:szCs w:val="20"/>
          <w:color w:val="auto"/>
        </w:rPr>
      </w:pPr>
      <w:r>
        <w:rPr>
          <w:rFonts w:ascii="Arial" w:cs="Arial" w:eastAsia="Arial" w:hAnsi="Arial"/>
          <w:sz w:val="22"/>
          <w:szCs w:val="22"/>
          <w:color w:val="auto"/>
        </w:rPr>
        <w:t>DEMAND, ACTION, OR CAUSE OF ACTION ARISING OUT OF THIS AGREEMENT OR ANY ATTACHMENT THERETO.</w:t>
      </w:r>
    </w:p>
    <w:p>
      <w:pPr>
        <w:spacing w:after="0" w:line="15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14.</w:t>
      </w:r>
      <w:r>
        <w:rPr>
          <w:rFonts w:ascii="Arial" w:cs="Arial" w:eastAsia="Arial" w:hAnsi="Arial"/>
          <w:sz w:val="21"/>
          <w:szCs w:val="21"/>
          <w:u w:val="single" w:color="auto"/>
          <w:color w:val="auto"/>
        </w:rPr>
        <w:t>Clawback Policy</w:t>
      </w:r>
      <w:r>
        <w:rPr>
          <w:rFonts w:ascii="Arial" w:cs="Arial" w:eastAsia="Arial" w:hAnsi="Arial"/>
          <w:sz w:val="21"/>
          <w:szCs w:val="21"/>
          <w:color w:val="auto"/>
        </w:rPr>
        <w:t>. The Company’s policy on recoupment of performance-based bonuses, as amended from</w:t>
      </w:r>
      <w:r>
        <w:rPr>
          <w:rFonts w:ascii="Arial" w:cs="Arial" w:eastAsia="Arial" w:hAnsi="Arial"/>
          <w:sz w:val="20"/>
          <w:szCs w:val="20"/>
          <w:color w:val="auto"/>
        </w:rPr>
        <w:t xml:space="preserve"> </w:t>
      </w:r>
      <w:r>
        <w:rPr>
          <w:rFonts w:ascii="Arial" w:cs="Arial" w:eastAsia="Arial" w:hAnsi="Arial"/>
          <w:sz w:val="21"/>
          <w:szCs w:val="21"/>
          <w:color w:val="auto"/>
        </w:rPr>
        <w:t>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15.</w:t>
      </w:r>
      <w:r>
        <w:rPr>
          <w:rFonts w:ascii="Arial" w:cs="Arial" w:eastAsia="Arial" w:hAnsi="Arial"/>
          <w:sz w:val="21"/>
          <w:szCs w:val="21"/>
          <w:u w:val="single" w:color="auto"/>
          <w:color w:val="auto"/>
        </w:rPr>
        <w:t>Acceptance of Award</w:t>
      </w:r>
      <w:r>
        <w:rPr>
          <w:rFonts w:ascii="Arial" w:cs="Arial" w:eastAsia="Arial" w:hAnsi="Arial"/>
          <w:sz w:val="21"/>
          <w:szCs w:val="21"/>
          <w:color w:val="auto"/>
        </w:rPr>
        <w:t>. Employee is deemed to accept the award of Performance Share Units under this</w:t>
      </w:r>
      <w:r>
        <w:rPr>
          <w:rFonts w:ascii="Arial" w:cs="Arial" w:eastAsia="Arial" w:hAnsi="Arial"/>
          <w:sz w:val="20"/>
          <w:szCs w:val="20"/>
          <w:color w:val="auto"/>
        </w:rPr>
        <w:t xml:space="preserve"> </w:t>
      </w:r>
      <w:r>
        <w:rPr>
          <w:rFonts w:ascii="Arial" w:cs="Arial" w:eastAsia="Arial" w:hAnsi="Arial"/>
          <w:sz w:val="21"/>
          <w:szCs w:val="21"/>
          <w:color w:val="auto"/>
        </w:rPr>
        <w:t>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72" w:lineRule="exact"/>
        <w:rPr>
          <w:sz w:val="20"/>
          <w:szCs w:val="20"/>
          <w:color w:val="auto"/>
        </w:rPr>
      </w:pPr>
    </w:p>
    <w:p>
      <w:pPr>
        <w:jc w:val="both"/>
        <w:ind w:left="200" w:firstLine="749"/>
        <w:spacing w:after="0" w:line="251" w:lineRule="auto"/>
        <w:rPr>
          <w:sz w:val="20"/>
          <w:szCs w:val="20"/>
          <w:color w:val="auto"/>
        </w:rPr>
      </w:pPr>
      <w:r>
        <w:rPr>
          <w:rFonts w:ascii="Arial" w:cs="Arial" w:eastAsia="Arial" w:hAnsi="Arial"/>
          <w:sz w:val="20"/>
          <w:szCs w:val="20"/>
          <w:color w:val="auto"/>
        </w:rPr>
        <w:t>16.</w:t>
      </w:r>
      <w:r>
        <w:rPr>
          <w:rFonts w:ascii="Arial" w:cs="Arial" w:eastAsia="Arial" w:hAnsi="Arial"/>
          <w:sz w:val="21"/>
          <w:szCs w:val="21"/>
          <w:u w:val="single" w:color="auto"/>
          <w:color w:val="auto"/>
        </w:rPr>
        <w:t>Appendix.</w:t>
      </w:r>
      <w:r>
        <w:rPr>
          <w:rFonts w:ascii="Arial" w:cs="Arial" w:eastAsia="Arial" w:hAnsi="Arial"/>
          <w:sz w:val="20"/>
          <w:szCs w:val="20"/>
          <w:color w:val="auto"/>
        </w:rPr>
        <w:t xml:space="preserve"> </w:t>
      </w:r>
      <w:r>
        <w:rPr>
          <w:rFonts w:ascii="Arial" w:cs="Arial" w:eastAsia="Arial" w:hAnsi="Arial"/>
          <w:sz w:val="21"/>
          <w:szCs w:val="21"/>
          <w:color w:val="auto"/>
        </w:rPr>
        <w:t>Notwithstanding any provisions in this Agreement, the Restricted Stock Units shall be subject</w:t>
      </w:r>
      <w:r>
        <w:rPr>
          <w:rFonts w:ascii="Arial" w:cs="Arial" w:eastAsia="Arial" w:hAnsi="Arial"/>
          <w:sz w:val="20"/>
          <w:szCs w:val="20"/>
          <w:color w:val="auto"/>
        </w:rPr>
        <w:t xml:space="preserve"> </w:t>
      </w:r>
      <w:r>
        <w:rPr>
          <w:rFonts w:ascii="Arial" w:cs="Arial" w:eastAsia="Arial" w:hAnsi="Arial"/>
          <w:sz w:val="21"/>
          <w:szCs w:val="21"/>
          <w:color w:val="auto"/>
        </w:rPr>
        <w:t>to the additional terms and conditions for your country set forth in Appendix A and Appendix B attached hereto. Moreover, if you relocate to one of the countries included therein, the terms and conditions for such country will apply to you to the extent the Company determines that the application of such terms and conditions is necessary or advisable for legal or administrative reasons. Appendix A and Appendix B constitute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1191260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ATTACHMENT 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Conditions</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Subject to the provisions of the Agreement and this Attachment I, vesting of the Performance Share Units is conditioned upon the Company’s achievement of certain performance conditions as set forth herein. At the conclusion of the Performance Period, the Committee will certify the Company’s cumulative TSR (as defined below) over the Performance Period and determine the Company’s Relative TSR Percentile Rank (as defined below).</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Definitions</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“Total Shareholder Return” or “TSR” means the cumulative rate of return reflecting price appreciation plus reinvestment of dividends and the compounding effect of dividends paid on reinvested dividends. The Committee will utilize Standard &amp; Poor’s Compustat Database (or any successor database), or such other database or method as the Committee determines is appropriate in its discretion, to calculate any company’s TSR. The share price appreciation will be measured by the difference between the share price at the beginning of the Performance Period, which is calculated based on a 20-trading day closing price average for the first 20 days of the performance period and the last 20 days at the end of the Performance Period.</w:t>
      </w:r>
    </w:p>
    <w:p>
      <w:pPr>
        <w:spacing w:after="0" w:line="176" w:lineRule="exact"/>
        <w:rPr>
          <w:sz w:val="20"/>
          <w:szCs w:val="20"/>
          <w:color w:val="auto"/>
        </w:rPr>
      </w:pPr>
    </w:p>
    <w:p>
      <w:pPr>
        <w:jc w:val="both"/>
        <w:ind w:firstLine="480"/>
        <w:spacing w:after="0" w:line="229" w:lineRule="auto"/>
        <w:rPr>
          <w:sz w:val="20"/>
          <w:szCs w:val="20"/>
          <w:color w:val="auto"/>
        </w:rPr>
      </w:pPr>
      <w:r>
        <w:rPr>
          <w:rFonts w:ascii="Arial" w:cs="Arial" w:eastAsia="Arial" w:hAnsi="Arial"/>
          <w:sz w:val="22"/>
          <w:szCs w:val="22"/>
          <w:color w:val="auto"/>
        </w:rPr>
        <w:t>“Relative TSR Percentile Rank” means the percentile rank of the TSRs among the Peer Group Members (as defined below) for the Performance Period. The Company’s Relative TSR Percentile Rank will be calculated by first determining the percentile rank of the Peer Group Members, excluding the Company, ranked from highest to lowest according to each such company’s cumulative TSR over the Performance Period. Then, if the Company’s TSR is equal to or exceeds the highest TSR among the Peer Group Members, the Company’s percentile will be equal to 100</w:t>
      </w:r>
      <w:r>
        <w:rPr>
          <w:rFonts w:ascii="Arial" w:cs="Arial" w:eastAsia="Arial" w:hAnsi="Arial"/>
          <w:sz w:val="28"/>
          <w:szCs w:val="28"/>
          <w:color w:val="auto"/>
          <w:vertAlign w:val="superscript"/>
        </w:rPr>
        <w:t>th</w:t>
      </w:r>
      <w:r>
        <w:rPr>
          <w:rFonts w:ascii="Arial" w:cs="Arial" w:eastAsia="Arial" w:hAnsi="Arial"/>
          <w:sz w:val="22"/>
          <w:szCs w:val="22"/>
          <w:color w:val="auto"/>
        </w:rPr>
        <w:t>. If the Company’s TSR is equal to or below the lowest TSR among the Peer Group Members, the Company’s percentile will be equal to zero. Otherwise, the Company’s Relative TSR Percentile Rank will be determined based on interpolation as set forth below.</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22"/>
          <w:szCs w:val="22"/>
          <w:color w:val="auto"/>
        </w:rPr>
        <w:t>“Peer Group Members” means the following comparators:</w:t>
      </w:r>
    </w:p>
    <w:p>
      <w:pPr>
        <w:spacing w:after="0" w:line="200" w:lineRule="exact"/>
        <w:rPr>
          <w:sz w:val="20"/>
          <w:szCs w:val="20"/>
          <w:color w:val="auto"/>
        </w:rPr>
      </w:pPr>
    </w:p>
    <w:p>
      <w:pPr>
        <w:spacing w:after="0" w:line="274"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[Redacted]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Performance/Payout</w:t>
      </w:r>
    </w:p>
    <w:p>
      <w:pPr>
        <w:spacing w:after="0" w:line="200" w:lineRule="exact"/>
        <w:rPr>
          <w:sz w:val="20"/>
          <w:szCs w:val="20"/>
          <w:color w:val="auto"/>
        </w:rPr>
      </w:pPr>
    </w:p>
    <w:p>
      <w:pPr>
        <w:spacing w:after="0" w:line="27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number of Performance Share Units that will vest on the Vesting Date will be equal to the product of (i) the target Performance Share Units and (ii) the Payout Factor for the Performance Period, determined using the performance/payout matrix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1192530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7" w:name="page138"/>
    <w:bookmarkEnd w:id="137"/>
    <w:tbl>
      <w:tblPr>
        <w:tblLayout w:type="fixed"/>
        <w:tblInd w:w="120" w:type="dxa"/>
        <w:tblCellMar>
          <w:top w:w="0" w:type="dxa"/>
          <w:left w:w="0" w:type="dxa"/>
          <w:bottom w:w="0" w:type="dxa"/>
          <w:right w:w="0" w:type="dxa"/>
        </w:tblCellMar>
      </w:tblPr>
      <w:tr>
        <w:trPr>
          <w:trHeight w:val="297"/>
        </w:trPr>
        <w:tc>
          <w:tcPr>
            <w:tcW w:w="3240" w:type="dxa"/>
            <w:vAlign w:val="bottom"/>
          </w:tcPr>
          <w:p>
            <w:pPr>
              <w:ind w:left="800"/>
              <w:spacing w:after="0"/>
              <w:rPr>
                <w:sz w:val="20"/>
                <w:szCs w:val="20"/>
                <w:color w:val="auto"/>
              </w:rPr>
            </w:pPr>
            <w:r>
              <w:rPr>
                <w:rFonts w:ascii="Arial" w:cs="Arial" w:eastAsia="Arial" w:hAnsi="Arial"/>
                <w:sz w:val="22"/>
                <w:szCs w:val="22"/>
                <w:b w:val="1"/>
                <w:bCs w:val="1"/>
                <w:color w:val="auto"/>
              </w:rPr>
              <w:t>Performance Level</w:t>
            </w:r>
          </w:p>
        </w:tc>
        <w:tc>
          <w:tcPr>
            <w:tcW w:w="620" w:type="dxa"/>
            <w:vAlign w:val="bottom"/>
          </w:tcPr>
          <w:p>
            <w:pPr>
              <w:spacing w:after="0"/>
              <w:rPr>
                <w:sz w:val="24"/>
                <w:szCs w:val="24"/>
                <w:color w:val="auto"/>
              </w:rPr>
            </w:pPr>
          </w:p>
        </w:tc>
        <w:tc>
          <w:tcPr>
            <w:tcW w:w="3380" w:type="dxa"/>
            <w:vAlign w:val="bottom"/>
          </w:tcPr>
          <w:p>
            <w:pPr>
              <w:ind w:left="140"/>
              <w:spacing w:after="0"/>
              <w:rPr>
                <w:sz w:val="20"/>
                <w:szCs w:val="20"/>
                <w:color w:val="auto"/>
              </w:rPr>
            </w:pPr>
            <w:r>
              <w:rPr>
                <w:rFonts w:ascii="Arial" w:cs="Arial" w:eastAsia="Arial" w:hAnsi="Arial"/>
                <w:sz w:val="22"/>
                <w:szCs w:val="22"/>
                <w:b w:val="1"/>
                <w:bCs w:val="1"/>
                <w:color w:val="auto"/>
              </w:rPr>
              <w:t>Relative TSR Percentile Rank</w:t>
            </w:r>
          </w:p>
        </w:tc>
        <w:tc>
          <w:tcPr>
            <w:tcW w:w="3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2"/>
                <w:szCs w:val="22"/>
                <w:b w:val="1"/>
                <w:bCs w:val="1"/>
                <w:color w:val="auto"/>
              </w:rPr>
              <w:t>Payout Factor</w:t>
            </w:r>
          </w:p>
        </w:tc>
      </w:tr>
      <w:tr>
        <w:trPr>
          <w:trHeight w:val="461"/>
        </w:trPr>
        <w:tc>
          <w:tcPr>
            <w:tcW w:w="3240" w:type="dxa"/>
            <w:vAlign w:val="bottom"/>
          </w:tcPr>
          <w:p>
            <w:pPr>
              <w:spacing w:after="0"/>
              <w:rPr>
                <w:sz w:val="20"/>
                <w:szCs w:val="20"/>
                <w:color w:val="auto"/>
              </w:rPr>
            </w:pPr>
            <w:r>
              <w:rPr>
                <w:rFonts w:ascii="Arial" w:cs="Arial" w:eastAsia="Arial" w:hAnsi="Arial"/>
                <w:sz w:val="22"/>
                <w:szCs w:val="22"/>
                <w:color w:val="auto"/>
              </w:rPr>
              <w:t>Maximum</w:t>
            </w:r>
          </w:p>
        </w:tc>
        <w:tc>
          <w:tcPr>
            <w:tcW w:w="620" w:type="dxa"/>
            <w:vAlign w:val="bottom"/>
          </w:tcPr>
          <w:p>
            <w:pPr>
              <w:ind w:left="500"/>
              <w:spacing w:after="0"/>
              <w:rPr>
                <w:sz w:val="20"/>
                <w:szCs w:val="20"/>
                <w:color w:val="auto"/>
              </w:rPr>
            </w:pPr>
            <w:r>
              <w:rPr>
                <w:rFonts w:ascii="Arial" w:cs="Arial" w:eastAsia="Arial" w:hAnsi="Arial"/>
                <w:sz w:val="22"/>
                <w:szCs w:val="22"/>
                <w:color w:val="auto"/>
              </w:rPr>
              <w:t>[</w:t>
            </w:r>
          </w:p>
        </w:tc>
        <w:tc>
          <w:tcPr>
            <w:tcW w:w="3380" w:type="dxa"/>
            <w:vAlign w:val="bottom"/>
          </w:tcPr>
          <w:p>
            <w:pPr>
              <w:ind w:left="60"/>
              <w:spacing w:after="0"/>
              <w:rPr>
                <w:sz w:val="20"/>
                <w:szCs w:val="20"/>
                <w:color w:val="auto"/>
              </w:rPr>
            </w:pPr>
            <w:r>
              <w:rPr>
                <w:rFonts w:ascii="Arial" w:cs="Arial" w:eastAsia="Arial" w:hAnsi="Arial"/>
                <w:sz w:val="22"/>
                <w:szCs w:val="22"/>
                <w:color w:val="auto"/>
              </w:rPr>
              <w:t>] percentile</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2360" w:type="dxa"/>
            <w:vAlign w:val="bottom"/>
          </w:tcPr>
          <w:p>
            <w:pPr>
              <w:jc w:val="right"/>
              <w:ind w:right="1952"/>
              <w:spacing w:after="0"/>
              <w:rPr>
                <w:sz w:val="20"/>
                <w:szCs w:val="20"/>
                <w:color w:val="auto"/>
              </w:rPr>
            </w:pPr>
            <w:r>
              <w:rPr>
                <w:rFonts w:ascii="Arial" w:cs="Arial" w:eastAsia="Arial" w:hAnsi="Arial"/>
                <w:sz w:val="22"/>
                <w:szCs w:val="22"/>
                <w:color w:val="auto"/>
              </w:rPr>
              <w:t>]%</w:t>
            </w:r>
          </w:p>
        </w:tc>
      </w:tr>
      <w:tr>
        <w:trPr>
          <w:trHeight w:val="472"/>
        </w:trPr>
        <w:tc>
          <w:tcPr>
            <w:tcW w:w="3240" w:type="dxa"/>
            <w:vAlign w:val="bottom"/>
          </w:tcPr>
          <w:p>
            <w:pPr>
              <w:spacing w:after="0"/>
              <w:rPr>
                <w:sz w:val="20"/>
                <w:szCs w:val="20"/>
                <w:color w:val="auto"/>
              </w:rPr>
            </w:pPr>
            <w:r>
              <w:rPr>
                <w:rFonts w:ascii="Arial" w:cs="Arial" w:eastAsia="Arial" w:hAnsi="Arial"/>
                <w:sz w:val="22"/>
                <w:szCs w:val="22"/>
                <w:color w:val="auto"/>
              </w:rPr>
              <w:t>Target</w:t>
            </w:r>
          </w:p>
        </w:tc>
        <w:tc>
          <w:tcPr>
            <w:tcW w:w="620" w:type="dxa"/>
            <w:vAlign w:val="bottom"/>
          </w:tcPr>
          <w:p>
            <w:pPr>
              <w:ind w:left="500"/>
              <w:spacing w:after="0"/>
              <w:rPr>
                <w:sz w:val="20"/>
                <w:szCs w:val="20"/>
                <w:color w:val="auto"/>
              </w:rPr>
            </w:pPr>
            <w:r>
              <w:rPr>
                <w:rFonts w:ascii="Arial" w:cs="Arial" w:eastAsia="Arial" w:hAnsi="Arial"/>
                <w:sz w:val="22"/>
                <w:szCs w:val="22"/>
                <w:color w:val="auto"/>
              </w:rPr>
              <w:t>[</w:t>
            </w:r>
          </w:p>
        </w:tc>
        <w:tc>
          <w:tcPr>
            <w:tcW w:w="3380" w:type="dxa"/>
            <w:vAlign w:val="bottom"/>
          </w:tcPr>
          <w:p>
            <w:pPr>
              <w:ind w:left="60"/>
              <w:spacing w:after="0"/>
              <w:rPr>
                <w:sz w:val="20"/>
                <w:szCs w:val="20"/>
                <w:color w:val="auto"/>
              </w:rPr>
            </w:pPr>
            <w:r>
              <w:rPr>
                <w:rFonts w:ascii="Arial" w:cs="Arial" w:eastAsia="Arial" w:hAnsi="Arial"/>
                <w:sz w:val="22"/>
                <w:szCs w:val="22"/>
                <w:color w:val="auto"/>
              </w:rPr>
              <w:t>] percentile</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2360" w:type="dxa"/>
            <w:vAlign w:val="bottom"/>
          </w:tcPr>
          <w:p>
            <w:pPr>
              <w:jc w:val="right"/>
              <w:ind w:right="1952"/>
              <w:spacing w:after="0"/>
              <w:rPr>
                <w:sz w:val="20"/>
                <w:szCs w:val="20"/>
                <w:color w:val="auto"/>
              </w:rPr>
            </w:pPr>
            <w:r>
              <w:rPr>
                <w:rFonts w:ascii="Arial" w:cs="Arial" w:eastAsia="Arial" w:hAnsi="Arial"/>
                <w:sz w:val="22"/>
                <w:szCs w:val="22"/>
                <w:color w:val="auto"/>
              </w:rPr>
              <w:t>]%</w:t>
            </w:r>
          </w:p>
        </w:tc>
      </w:tr>
      <w:tr>
        <w:trPr>
          <w:trHeight w:val="473"/>
        </w:trPr>
        <w:tc>
          <w:tcPr>
            <w:tcW w:w="3240" w:type="dxa"/>
            <w:vAlign w:val="bottom"/>
          </w:tcPr>
          <w:p>
            <w:pPr>
              <w:spacing w:after="0"/>
              <w:rPr>
                <w:sz w:val="20"/>
                <w:szCs w:val="20"/>
                <w:color w:val="auto"/>
              </w:rPr>
            </w:pPr>
            <w:r>
              <w:rPr>
                <w:rFonts w:ascii="Arial" w:cs="Arial" w:eastAsia="Arial" w:hAnsi="Arial"/>
                <w:sz w:val="22"/>
                <w:szCs w:val="22"/>
                <w:color w:val="auto"/>
              </w:rPr>
              <w:t>Threshold</w:t>
            </w:r>
          </w:p>
        </w:tc>
        <w:tc>
          <w:tcPr>
            <w:tcW w:w="620" w:type="dxa"/>
            <w:vAlign w:val="bottom"/>
          </w:tcPr>
          <w:p>
            <w:pPr>
              <w:ind w:left="500"/>
              <w:spacing w:after="0"/>
              <w:rPr>
                <w:sz w:val="20"/>
                <w:szCs w:val="20"/>
                <w:color w:val="auto"/>
              </w:rPr>
            </w:pPr>
            <w:r>
              <w:rPr>
                <w:rFonts w:ascii="Arial" w:cs="Arial" w:eastAsia="Arial" w:hAnsi="Arial"/>
                <w:sz w:val="22"/>
                <w:szCs w:val="22"/>
                <w:color w:val="auto"/>
              </w:rPr>
              <w:t>[</w:t>
            </w:r>
          </w:p>
        </w:tc>
        <w:tc>
          <w:tcPr>
            <w:tcW w:w="3380" w:type="dxa"/>
            <w:vAlign w:val="bottom"/>
          </w:tcPr>
          <w:p>
            <w:pPr>
              <w:ind w:left="60"/>
              <w:spacing w:after="0"/>
              <w:rPr>
                <w:sz w:val="20"/>
                <w:szCs w:val="20"/>
                <w:color w:val="auto"/>
              </w:rPr>
            </w:pPr>
            <w:r>
              <w:rPr>
                <w:rFonts w:ascii="Arial" w:cs="Arial" w:eastAsia="Arial" w:hAnsi="Arial"/>
                <w:sz w:val="22"/>
                <w:szCs w:val="22"/>
                <w:color w:val="auto"/>
              </w:rPr>
              <w:t>] percentile</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2360" w:type="dxa"/>
            <w:vAlign w:val="bottom"/>
          </w:tcPr>
          <w:p>
            <w:pPr>
              <w:jc w:val="right"/>
              <w:ind w:right="1952"/>
              <w:spacing w:after="0"/>
              <w:rPr>
                <w:sz w:val="20"/>
                <w:szCs w:val="20"/>
                <w:color w:val="auto"/>
              </w:rPr>
            </w:pPr>
            <w:r>
              <w:rPr>
                <w:rFonts w:ascii="Arial" w:cs="Arial" w:eastAsia="Arial" w:hAnsi="Arial"/>
                <w:sz w:val="22"/>
                <w:szCs w:val="22"/>
                <w:color w:val="auto"/>
              </w:rPr>
              <w:t>]%</w:t>
            </w:r>
          </w:p>
        </w:tc>
      </w:tr>
      <w:tr>
        <w:trPr>
          <w:trHeight w:val="473"/>
        </w:trPr>
        <w:tc>
          <w:tcPr>
            <w:tcW w:w="3240" w:type="dxa"/>
            <w:vAlign w:val="bottom"/>
          </w:tcPr>
          <w:p>
            <w:pPr>
              <w:spacing w:after="0"/>
              <w:rPr>
                <w:sz w:val="20"/>
                <w:szCs w:val="20"/>
                <w:color w:val="auto"/>
              </w:rPr>
            </w:pPr>
            <w:r>
              <w:rPr>
                <w:rFonts w:ascii="Arial" w:cs="Arial" w:eastAsia="Arial" w:hAnsi="Arial"/>
                <w:sz w:val="22"/>
                <w:szCs w:val="22"/>
                <w:color w:val="auto"/>
              </w:rPr>
              <w:t>Below Threshold</w:t>
            </w:r>
          </w:p>
        </w:tc>
        <w:tc>
          <w:tcPr>
            <w:tcW w:w="4000" w:type="dxa"/>
            <w:vAlign w:val="bottom"/>
            <w:gridSpan w:val="2"/>
          </w:tcPr>
          <w:p>
            <w:pPr>
              <w:ind w:left="500"/>
              <w:spacing w:after="0"/>
              <w:rPr>
                <w:sz w:val="20"/>
                <w:szCs w:val="20"/>
                <w:color w:val="auto"/>
              </w:rPr>
            </w:pPr>
            <w:r>
              <w:rPr>
                <w:rFonts w:ascii="Arial" w:cs="Arial" w:eastAsia="Arial" w:hAnsi="Arial"/>
                <w:sz w:val="22"/>
                <w:szCs w:val="22"/>
                <w:color w:val="auto"/>
              </w:rPr>
              <w:t>Below [ ] percentile</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2360" w:type="dxa"/>
            <w:vAlign w:val="bottom"/>
          </w:tcPr>
          <w:p>
            <w:pPr>
              <w:jc w:val="right"/>
              <w:ind w:right="195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-1373505</wp:posOffset>
            </wp:positionV>
            <wp:extent cx="7134225" cy="15106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34225" cy="151066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60" w:firstLine="1229"/>
        <w:spacing w:after="0" w:line="255" w:lineRule="auto"/>
        <w:rPr>
          <w:sz w:val="20"/>
          <w:szCs w:val="20"/>
          <w:color w:val="auto"/>
        </w:rPr>
      </w:pPr>
      <w:r>
        <w:rPr>
          <w:rFonts w:ascii="Arial" w:cs="Arial" w:eastAsia="Arial" w:hAnsi="Arial"/>
          <w:sz w:val="21"/>
          <w:szCs w:val="21"/>
          <w:color w:val="auto"/>
        </w:rPr>
        <w:t xml:space="preserve">As demonstrated in the chart below, to the extent the Relative TSR Percentile Rank for the Performance Period is between specified performance levels, the portion of the target Performance Share Units that will vest will be determined using straight line interpolation;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that the maximum number of Performance Share Units that may become vested for the Performance Period will not exceed [ ]% of the target Performance Share Units.</w:t>
      </w:r>
    </w:p>
    <w:p>
      <w:pPr>
        <w:spacing w:after="0" w:line="200" w:lineRule="exact"/>
        <w:rPr>
          <w:sz w:val="20"/>
          <w:szCs w:val="20"/>
          <w:color w:val="auto"/>
        </w:rPr>
      </w:pPr>
    </w:p>
    <w:p>
      <w:pPr>
        <w:spacing w:after="0" w:line="230"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[Redacted]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Peer Group Companies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Unless the Committee determines otherwise in its discretion, then if, at any time during the Performance</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213" w:lineRule="exact"/>
        <w:rPr>
          <w:sz w:val="20"/>
          <w:szCs w:val="20"/>
          <w:color w:val="auto"/>
        </w:rPr>
      </w:pPr>
    </w:p>
    <w:p>
      <w:pPr>
        <w:jc w:val="both"/>
        <w:ind w:left="1140" w:hanging="383"/>
        <w:spacing w:after="0" w:line="236" w:lineRule="auto"/>
        <w:tabs>
          <w:tab w:leader="none" w:pos="1140" w:val="left"/>
        </w:tabs>
        <w:numPr>
          <w:ilvl w:val="0"/>
          <w:numId w:val="191"/>
        </w:numPr>
        <w:rPr>
          <w:rFonts w:ascii="Times New Roman" w:cs="Times New Roman" w:eastAsia="Times New Roman" w:hAnsi="Times New Roman"/>
          <w:sz w:val="22"/>
          <w:szCs w:val="22"/>
          <w:color w:val="auto"/>
        </w:rPr>
      </w:pPr>
      <w:r>
        <w:rPr>
          <w:rFonts w:ascii="Arial" w:cs="Arial" w:eastAsia="Arial" w:hAnsi="Arial"/>
          <w:sz w:val="22"/>
          <w:szCs w:val="22"/>
          <w:color w:val="auto"/>
        </w:rPr>
        <w:t>any Peer Group Member files for bankruptcy protection or ceases to be listed on a U.S. national exchange due to the failure to meet applicable listing requirements, then such member will be treated as having achieved the lowest possible Total Shareholder Return and Relative TSR Percentile Rank;</w:t>
      </w:r>
    </w:p>
    <w:p>
      <w:pPr>
        <w:spacing w:after="0" w:line="1" w:lineRule="exact"/>
        <w:rPr>
          <w:rFonts w:ascii="Times New Roman" w:cs="Times New Roman" w:eastAsia="Times New Roman" w:hAnsi="Times New Roman"/>
          <w:sz w:val="22"/>
          <w:szCs w:val="22"/>
          <w:color w:val="auto"/>
        </w:rPr>
      </w:pPr>
    </w:p>
    <w:p>
      <w:pPr>
        <w:jc w:val="both"/>
        <w:ind w:left="1140" w:hanging="383"/>
        <w:spacing w:after="0" w:line="230" w:lineRule="auto"/>
        <w:tabs>
          <w:tab w:leader="none" w:pos="1140" w:val="left"/>
        </w:tabs>
        <w:numPr>
          <w:ilvl w:val="0"/>
          <w:numId w:val="191"/>
        </w:numPr>
        <w:rPr>
          <w:rFonts w:ascii="Times New Roman" w:cs="Times New Roman" w:eastAsia="Times New Roman" w:hAnsi="Times New Roman"/>
          <w:sz w:val="22"/>
          <w:szCs w:val="22"/>
          <w:color w:val="auto"/>
        </w:rPr>
      </w:pPr>
      <w:r>
        <w:rPr>
          <w:rFonts w:ascii="Arial" w:cs="Arial" w:eastAsia="Arial" w:hAnsi="Arial"/>
          <w:sz w:val="22"/>
          <w:szCs w:val="22"/>
          <w:color w:val="auto"/>
        </w:rPr>
        <w:t>any Peer Group Member is acquired by, or completes a merger or other combination with, or has sold all or substantially all of its assets to, another Peer Group Member, the acquiring or surviving member, as applicable, will be included in the Relative TSR Percentile Rank, and the acquired or non-surviving member, as applicable, will not be included in the Relative TSR Percentile Rank for any of the Performance Period; or</w:t>
      </w:r>
    </w:p>
    <w:p>
      <w:pPr>
        <w:spacing w:after="0" w:line="1" w:lineRule="exact"/>
        <w:rPr>
          <w:rFonts w:ascii="Times New Roman" w:cs="Times New Roman" w:eastAsia="Times New Roman" w:hAnsi="Times New Roman"/>
          <w:sz w:val="22"/>
          <w:szCs w:val="22"/>
          <w:color w:val="auto"/>
        </w:rPr>
      </w:pPr>
    </w:p>
    <w:p>
      <w:pPr>
        <w:jc w:val="both"/>
        <w:ind w:left="1140" w:hanging="383"/>
        <w:spacing w:after="0" w:line="230" w:lineRule="auto"/>
        <w:tabs>
          <w:tab w:leader="none" w:pos="1140" w:val="left"/>
        </w:tabs>
        <w:numPr>
          <w:ilvl w:val="0"/>
          <w:numId w:val="191"/>
        </w:numPr>
        <w:rPr>
          <w:rFonts w:ascii="Times New Roman" w:cs="Times New Roman" w:eastAsia="Times New Roman" w:hAnsi="Times New Roman"/>
          <w:sz w:val="22"/>
          <w:szCs w:val="22"/>
          <w:color w:val="auto"/>
        </w:rPr>
      </w:pPr>
      <w:r>
        <w:rPr>
          <w:rFonts w:ascii="Arial" w:cs="Arial" w:eastAsia="Arial" w:hAnsi="Arial"/>
          <w:sz w:val="22"/>
          <w:szCs w:val="22"/>
          <w:color w:val="auto"/>
        </w:rPr>
        <w:t>any Peer Group Member is acquired by, or completes a merger or other combination with, or has sold all or substantially all of its assets to, an entity that is not a Peer Group Member, and the Peer Group Member is not the surviving publicly-traded entity following the transaction, then neither (i) the acquirer or surviving entity, as applicable, nor (ii) the acquired or non-surviving member, as applicable, will be included in the Relative TSR Percentile Rank.</w:t>
      </w:r>
    </w:p>
    <w:p>
      <w:pPr>
        <w:spacing w:after="0" w:line="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1"/>
        </w:numPr>
        <w:rPr>
          <w:rFonts w:ascii="Times New Roman" w:cs="Times New Roman" w:eastAsia="Times New Roman" w:hAnsi="Times New Roman"/>
          <w:sz w:val="22"/>
          <w:szCs w:val="22"/>
          <w:color w:val="auto"/>
        </w:rPr>
      </w:pPr>
      <w:r>
        <w:rPr>
          <w:rFonts w:ascii="Arial" w:cs="Arial" w:eastAsia="Arial" w:hAnsi="Arial"/>
          <w:sz w:val="22"/>
          <w:szCs w:val="22"/>
          <w:color w:val="auto"/>
        </w:rPr>
        <w:t>If more than two companies are removed, the [ ] individual companies will become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38" w:name="page139"/>
    <w:bookmarkEnd w:id="138"/>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Interpretation</w:t>
      </w: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In the event of any ambiguity or discrepancy in this Agreement (including this Attachment I), the determination of the Committee shall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96925" cy="6515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796925" cy="6515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Exhibit 10.5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II</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17.</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1"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1"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7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57" w:lineRule="auto"/>
        <w:rPr>
          <w:sz w:val="20"/>
          <w:szCs w:val="20"/>
          <w:color w:val="auto"/>
        </w:rPr>
      </w:pPr>
      <w:r>
        <w:rPr>
          <w:rFonts w:ascii="Arial" w:cs="Arial" w:eastAsia="Arial" w:hAnsi="Arial"/>
          <w:sz w:val="20"/>
          <w:szCs w:val="20"/>
          <w:color w:val="auto"/>
        </w:rPr>
        <w:t>routines and methodology, documentation, systems, enhancements or modifications thereto, know-how, and developments, any derivative works and ideas whether or not patentable, and any other form of intellectual property.</w:t>
      </w:r>
    </w:p>
    <w:p>
      <w:pPr>
        <w:spacing w:after="0" w:line="155" w:lineRule="exact"/>
        <w:rPr>
          <w:sz w:val="20"/>
          <w:szCs w:val="20"/>
          <w:color w:val="auto"/>
        </w:rPr>
      </w:pPr>
    </w:p>
    <w:p>
      <w:pPr>
        <w:ind w:right="20" w:firstLine="749"/>
        <w:spacing w:after="0" w:line="257" w:lineRule="auto"/>
        <w:rPr>
          <w:sz w:val="20"/>
          <w:szCs w:val="20"/>
          <w:color w:val="auto"/>
        </w:rPr>
      </w:pPr>
      <w:r>
        <w:rPr>
          <w:rFonts w:ascii="Arial" w:cs="Arial" w:eastAsia="Arial" w:hAnsi="Arial"/>
          <w:sz w:val="20"/>
          <w:szCs w:val="20"/>
          <w:color w:val="auto"/>
        </w:rPr>
        <w:t>“Pre-existing Intellectual Property” is all Intellectual Property that was authored, conceived, developed, or reduced to practice by Employee before the term of Employee’s employment with the Company or any Affiliate began.</w:t>
      </w:r>
    </w:p>
    <w:p>
      <w:pPr>
        <w:spacing w:after="0" w:line="155" w:lineRule="exact"/>
        <w:rPr>
          <w:sz w:val="20"/>
          <w:szCs w:val="20"/>
          <w:color w:val="auto"/>
        </w:rPr>
      </w:pPr>
    </w:p>
    <w:p>
      <w:pPr>
        <w:jc w:val="both"/>
        <w:ind w:left="200" w:firstLine="561"/>
        <w:spacing w:after="0" w:line="237" w:lineRule="auto"/>
        <w:rPr>
          <w:sz w:val="20"/>
          <w:szCs w:val="20"/>
          <w:color w:val="auto"/>
        </w:rPr>
      </w:pPr>
      <w:r>
        <w:rPr>
          <w:rFonts w:ascii="Arial" w:cs="Arial" w:eastAsia="Arial" w:hAnsi="Arial"/>
          <w:sz w:val="20"/>
          <w:szCs w:val="20"/>
          <w:u w:val="single" w:color="auto"/>
          <w:color w:val="auto"/>
        </w:rPr>
        <w:t>Codes of Conduct</w:t>
      </w:r>
      <w:r>
        <w:rPr>
          <w:rFonts w:ascii="Arial" w:cs="Arial" w:eastAsia="Arial" w:hAnsi="Arial"/>
          <w:sz w:val="20"/>
          <w:szCs w:val="20"/>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1" w:name="page142"/>
    <w:bookmarkEnd w:id="141"/>
    <w:p>
      <w:pPr>
        <w:jc w:val="both"/>
        <w:spacing w:after="0" w:line="257" w:lineRule="auto"/>
        <w:rPr>
          <w:sz w:val="20"/>
          <w:szCs w:val="20"/>
          <w:color w:val="auto"/>
        </w:rPr>
      </w:pPr>
      <w:r>
        <w:rPr>
          <w:rFonts w:ascii="Arial" w:cs="Arial" w:eastAsia="Arial" w:hAnsi="Arial"/>
          <w:sz w:val="20"/>
          <w:szCs w:val="20"/>
          <w:color w:val="auto"/>
        </w:rPr>
        <w:t>accounts, Employee agrees to notify the Company and its Affiliates and make available the device and account to the Company for inspection and removal of the information.</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Disclosure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3"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1"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916305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2" w:name="page143"/>
    <w:bookmarkEnd w:id="142"/>
    <w:p>
      <w:pPr>
        <w:ind w:left="760"/>
        <w:spacing w:after="0"/>
        <w:rPr>
          <w:sz w:val="20"/>
          <w:szCs w:val="20"/>
          <w:color w:val="auto"/>
        </w:rPr>
      </w:pPr>
      <w:r>
        <w:rPr>
          <w:rFonts w:ascii="Arial" w:cs="Arial" w:eastAsia="Arial" w:hAnsi="Arial"/>
          <w:sz w:val="20"/>
          <w:szCs w:val="20"/>
          <w:u w:val="single" w:color="auto"/>
          <w:color w:val="auto"/>
        </w:rPr>
        <w:t>Assignment of Intellectual Property</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3"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1"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71"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3" w:name="page144"/>
    <w:bookmarkEnd w:id="143"/>
    <w:p>
      <w:pPr>
        <w:jc w:val="both"/>
        <w:spacing w:after="0" w:line="234" w:lineRule="auto"/>
        <w:rPr>
          <w:sz w:val="20"/>
          <w:szCs w:val="20"/>
          <w:color w:val="auto"/>
        </w:rPr>
      </w:pPr>
      <w:r>
        <w:rPr>
          <w:rFonts w:ascii="Arial" w:cs="Arial" w:eastAsia="Arial" w:hAnsi="Arial"/>
          <w:sz w:val="20"/>
          <w:szCs w:val="20"/>
          <w:color w:val="auto"/>
        </w:rPr>
        <w:t>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w:t>
      </w:r>
    </w:p>
    <w:p>
      <w:pPr>
        <w:spacing w:after="0" w:line="174"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w:t>
      </w:r>
    </w:p>
    <w:p>
      <w:pPr>
        <w:spacing w:after="0" w:line="1" w:lineRule="exact"/>
        <w:rPr>
          <w:sz w:val="20"/>
          <w:szCs w:val="20"/>
          <w:color w:val="auto"/>
        </w:rPr>
      </w:pPr>
    </w:p>
    <w:p>
      <w:pPr>
        <w:jc w:val="both"/>
        <w:ind w:firstLine="8"/>
        <w:spacing w:after="0" w:line="234" w:lineRule="auto"/>
        <w:tabs>
          <w:tab w:leader="none" w:pos="302" w:val="left"/>
        </w:tabs>
        <w:numPr>
          <w:ilvl w:val="0"/>
          <w:numId w:val="192"/>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73" w:lineRule="exact"/>
        <w:rPr>
          <w:sz w:val="20"/>
          <w:szCs w:val="20"/>
          <w:color w:val="auto"/>
        </w:rPr>
      </w:pPr>
    </w:p>
    <w:p>
      <w:pPr>
        <w:ind w:firstLine="749"/>
        <w:spacing w:after="0" w:line="257" w:lineRule="auto"/>
        <w:rPr>
          <w:sz w:val="20"/>
          <w:szCs w:val="20"/>
          <w:color w:val="auto"/>
        </w:rPr>
      </w:pPr>
      <w:r>
        <w:rPr>
          <w:rFonts w:ascii="Arial" w:cs="Arial" w:eastAsia="Arial" w:hAnsi="Arial"/>
          <w:sz w:val="20"/>
          <w:szCs w:val="20"/>
          <w:color w:val="auto"/>
        </w:rPr>
        <w:t>While employed by the Company and its Affiliates, and during the 18-month period after employment with the Company and its Affiliates ends, Employee will not, directly or indirectly,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4" w:name="page145"/>
    <w:bookmarkEnd w:id="144"/>
    <w:p>
      <w:pPr>
        <w:jc w:val="both"/>
        <w:spacing w:after="0" w:line="233" w:lineRule="auto"/>
        <w:rPr>
          <w:sz w:val="20"/>
          <w:szCs w:val="20"/>
          <w:color w:val="auto"/>
        </w:rPr>
      </w:pPr>
      <w:r>
        <w:rPr>
          <w:rFonts w:ascii="Arial" w:cs="Arial" w:eastAsia="Arial" w:hAnsi="Arial"/>
          <w:sz w:val="20"/>
          <w:szCs w:val="20"/>
          <w:color w:val="auto"/>
        </w:rPr>
        <w:t>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Remedies for Employee’s Breach</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20"/>
          <w:szCs w:val="20"/>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Arial" w:cs="Arial" w:eastAsia="Arial" w:hAnsi="Arial"/>
          <w:sz w:val="20"/>
          <w:szCs w:val="20"/>
          <w:b w:val="1"/>
          <w:bCs w:val="1"/>
          <w:color w:val="auto"/>
        </w:rPr>
        <w:t>(i) recover from Employee the value of any portion of the Award that has</w:t>
      </w:r>
      <w:r>
        <w:rPr>
          <w:rFonts w:ascii="Arial" w:cs="Arial" w:eastAsia="Arial" w:hAnsi="Arial"/>
          <w:sz w:val="20"/>
          <w:szCs w:val="20"/>
          <w:color w:val="auto"/>
        </w:rPr>
        <w:t xml:space="preserve"> </w:t>
      </w:r>
      <w:r>
        <w:rPr>
          <w:rFonts w:ascii="Arial" w:cs="Arial" w:eastAsia="Arial" w:hAnsi="Arial"/>
          <w:sz w:val="20"/>
          <w:szCs w:val="20"/>
          <w:b w:val="1"/>
          <w:bCs w:val="1"/>
          <w:color w:val="auto"/>
        </w:rPr>
        <w:t>been paid or delivered; (ii) seek injunctive relief against Employee pursuant to the provisions of subsection (b) below;</w:t>
      </w:r>
    </w:p>
    <w:p>
      <w:pPr>
        <w:spacing w:after="0" w:line="1" w:lineRule="exact"/>
        <w:rPr>
          <w:sz w:val="20"/>
          <w:szCs w:val="20"/>
          <w:color w:val="auto"/>
        </w:rPr>
      </w:pPr>
    </w:p>
    <w:p>
      <w:pPr>
        <w:jc w:val="both"/>
        <w:ind w:firstLine="8"/>
        <w:spacing w:after="0" w:line="238" w:lineRule="auto"/>
        <w:tabs>
          <w:tab w:leader="none" w:pos="378" w:val="left"/>
        </w:tabs>
        <w:numPr>
          <w:ilvl w:val="0"/>
          <w:numId w:val="193"/>
        </w:numPr>
        <w:rPr>
          <w:rFonts w:ascii="Arial" w:cs="Arial" w:eastAsia="Arial" w:hAnsi="Arial"/>
          <w:sz w:val="20"/>
          <w:szCs w:val="20"/>
          <w:b w:val="1"/>
          <w:bCs w:val="1"/>
          <w:color w:val="auto"/>
        </w:rPr>
      </w:pPr>
      <w:r>
        <w:rPr>
          <w:rFonts w:ascii="Arial" w:cs="Arial" w:eastAsia="Arial" w:hAnsi="Arial"/>
          <w:sz w:val="20"/>
          <w:szCs w:val="20"/>
          <w:b w:val="1"/>
          <w:bCs w:val="1"/>
          <w:color w:val="auto"/>
        </w:rPr>
        <w:t>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6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Employee acknowledges that the remedies contained in the Attachment II for violation of this Attachment II are not the exclusive remedies that the Company or an Affiliate may pursue.</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5" w:name="page146"/>
    <w:bookmarkEnd w:id="145"/>
    <w:p>
      <w:pPr>
        <w:jc w:val="both"/>
        <w:spacing w:after="0" w:line="257" w:lineRule="auto"/>
        <w:rPr>
          <w:sz w:val="20"/>
          <w:szCs w:val="20"/>
          <w:color w:val="auto"/>
        </w:rPr>
      </w:pPr>
      <w:r>
        <w:rPr>
          <w:rFonts w:ascii="Arial" w:cs="Arial" w:eastAsia="Arial" w:hAnsi="Arial"/>
          <w:sz w:val="20"/>
          <w:szCs w:val="20"/>
          <w:color w:val="auto"/>
        </w:rPr>
        <w:t>Employee’s duties for the Company or its Affiliates. Employee agrees not to enter into any agreement, whether oral or written, in conflict with this Attachment II.</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7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terms and conditions of this Attachment II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APPLICABLE TO PARTICIPANTS IN CHINA SUBJECT TO SAFE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Capitalized terms used but not defined in this Appendix B are defined in the Schlumberger 2017 Omnibus Stock Incentive Plan, as may be amended (the “Plan”), and the Restricted Stock Unit award agreement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Introduction</w:t>
      </w:r>
      <w:r>
        <w:rPr>
          <w:rFonts w:ascii="Arial" w:cs="Arial" w:eastAsia="Arial" w:hAnsi="Arial"/>
          <w:sz w:val="20"/>
          <w:szCs w:val="20"/>
          <w:u w:val="single" w:color="auto"/>
          <w:color w:val="auto"/>
        </w:rPr>
        <w:t>.</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terms and conditions will apply to you to the extent that the Company, in its discretion, determines that your participation in the Plan is subject to exchange control restrictions in the People’s Republic of China (the “PRC”), as implemented by the PRC State Administration of Foreign Exchange (“SAFE”).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Vesting of RSUs</w:t>
      </w:r>
      <w:r>
        <w:rPr>
          <w:rFonts w:ascii="Arial" w:cs="Arial" w:eastAsia="Arial" w:hAnsi="Arial"/>
          <w:sz w:val="20"/>
          <w:szCs w:val="20"/>
          <w:color w:val="auto"/>
        </w:rPr>
        <w:t>. The following provision supplements Section 1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Unless and until the Company has obtained all necessary exchange control or other approvals from SAFE or its local counterpart (“SAFE Approval”) with respect to your Restricted Stock Units (“RSUs”), the shares of Common Stock represented by such RSUs will be issued to you as soon as administratively feasible after the Company has obtained SAFE Approval. The Company is under no obligation to issue shares of Common Stock if the Company has not obtained SAFE Approval.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Acceleration on Retirement</w:t>
      </w:r>
      <w:r>
        <w:rPr>
          <w:rFonts w:ascii="Arial" w:cs="Arial" w:eastAsia="Arial" w:hAnsi="Arial"/>
          <w:sz w:val="20"/>
          <w:szCs w:val="20"/>
          <w:color w:val="auto"/>
        </w:rPr>
        <w:t>. The following provision replaces Section 1(c) of the Agreement in its entirety:</w:t>
      </w:r>
    </w:p>
    <w:p>
      <w:pPr>
        <w:spacing w:after="0" w:line="202" w:lineRule="exact"/>
        <w:rPr>
          <w:sz w:val="20"/>
          <w:szCs w:val="20"/>
          <w:color w:val="auto"/>
        </w:rPr>
      </w:pPr>
    </w:p>
    <w:p>
      <w:pPr>
        <w:jc w:val="both"/>
        <w:ind w:firstLine="757"/>
        <w:spacing w:after="0" w:line="237" w:lineRule="auto"/>
        <w:tabs>
          <w:tab w:leader="none" w:pos="1018"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To allow the Company to comply with PRC exchange control restrictions, upon Termination of Employment from the Company and its Subsidiaries by reason of Employee’s Retirement (as defined in Section 11), the Restricted Stock Units will become fully vested, subject to the Company obtaining SAFE Approval before vesting of the Restricted Stock Units.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Settlement of RSUs and Sale of Shares</w:t>
      </w:r>
      <w:r>
        <w:rPr>
          <w:rFonts w:ascii="Arial" w:cs="Arial" w:eastAsia="Arial" w:hAnsi="Arial"/>
          <w:sz w:val="20"/>
          <w:szCs w:val="20"/>
          <w:color w:val="auto"/>
        </w:rPr>
        <w:t>. The following provision supplements Section 2 of the Agreement: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to the contrary in the Plan or this Agreement, you understand and agree that the Company may require any shares of Common Stock that you acquire from vesting of the RSUs to be immediately sold at vesting or, at the Company’s discretion, at a later time. The purpose of this is solely to allow the Company to comply with PRC exchange control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You understand and agree that any shares of Common Stock acquired by you under Plan must be sold by no later than ninety</w:t>
      </w:r>
    </w:p>
    <w:p>
      <w:pPr>
        <w:spacing w:after="0" w:line="4" w:lineRule="exact"/>
        <w:rPr>
          <w:sz w:val="20"/>
          <w:szCs w:val="20"/>
          <w:color w:val="auto"/>
        </w:rPr>
      </w:pPr>
    </w:p>
    <w:p>
      <w:pPr>
        <w:jc w:val="both"/>
        <w:ind w:firstLine="8"/>
        <w:spacing w:after="0" w:line="231" w:lineRule="auto"/>
        <w:tabs>
          <w:tab w:leader="none" w:pos="42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days after your Termination of Employment, or within any other such time frame as may be permitted by the Company or required by SAFE. Further, you understand that any shares of Common Stock acquired by you under the Plan that have not been sold within ninety (90) days of your termination of employment will be automatically sold by Fidelity (which is the Company's current designated broker) at the Company’s direction. For the sake of clarity, any references to Fidelity in this Appendix also refer to any other designated broker the Company may use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7" w:name="page148"/>
    <w:bookmarkEnd w:id="147"/>
    <w:p>
      <w:pPr>
        <w:jc w:val="both"/>
        <w:spacing w:after="0" w:line="241" w:lineRule="auto"/>
        <w:rPr>
          <w:sz w:val="20"/>
          <w:szCs w:val="20"/>
          <w:color w:val="auto"/>
        </w:rPr>
      </w:pPr>
      <w:r>
        <w:rPr>
          <w:rFonts w:ascii="Arial" w:cs="Arial" w:eastAsia="Arial" w:hAnsi="Arial"/>
          <w:sz w:val="20"/>
          <w:szCs w:val="20"/>
          <w:color w:val="auto"/>
        </w:rPr>
        <w:t>You further agree that the Company is authorized to instruct Fidelity to assist with the mandatory sale of the shares of Common Stock, and you expressly authorize Fidelity to complete the sale of the shares of Common Stock. Your acceptance of this Agreement constitutes your authorization for Fidelity to act on your behalf in the sale of the shares.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acknowledge that Fidelity is under no obligation to arrange for the sale of shares of Common Stock at any particular price. Upon the sale of the shares of Common Stock, the Company agrees to pay you the cash proceeds from the sale, less any brokerage fees or commissions, in accordance with applicable exchange control laws and regulations, and provided any liability for Tax-Related Items (as defined in Section 6 of the Agreement) has been satisfied.</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Due to fluctuations in the Company’s share price and the United States Dollar exchange rate between the date that shares are issued to you upon vesting of the RSUs and (if later) the date on which the shares of Common Stock are sold, the sale proceeds may be more or less than the fair market value of the shares of Common Stock on the date the shares are initially issued to you. This date is the relevant date for determining your tax liability. You understand and agree that the Company is not responsible for the amount of any loss you may incur, and that the Company assumes no liability for any fluctuation in the share price or United States Dollar exchange rate.</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further agree that any shares of Common Stock to be issued to you shall be deposited directly into your Fidelity account. You also agree that you may not transfer the deposited shares of Common Stock from your Fidelity account. This limitation will apply both to transfers to different accounts with Fidelity and to transfers to other brokerage firms. The limitation shall apply to all shares of Common Stock issued to you under the Plan, whether or not you continue to be employed by the Company, the Employer or any affiliate of the Company.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u w:val="single" w:color="auto"/>
          <w:color w:val="auto"/>
        </w:rPr>
        <w:t>Exchange Control Requirements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SAFE rules require that when you sell shares of Common Stock or receive any other cash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payments from the shares (</w:t>
      </w:r>
      <w:r>
        <w:rPr>
          <w:rFonts w:ascii="Arial" w:cs="Arial" w:eastAsia="Arial" w:hAnsi="Arial"/>
          <w:sz w:val="20"/>
          <w:szCs w:val="20"/>
          <w:i w:val="1"/>
          <w:iCs w:val="1"/>
          <w:color w:val="auto"/>
        </w:rPr>
        <w:t>e.g</w:t>
      </w:r>
      <w:r>
        <w:rPr>
          <w:rFonts w:ascii="Arial" w:cs="Arial" w:eastAsia="Arial" w:hAnsi="Arial"/>
          <w:sz w:val="20"/>
          <w:szCs w:val="20"/>
          <w:color w:val="auto"/>
        </w:rPr>
        <w:t>., dividends), all such funds must be immediately brought back (</w:t>
      </w:r>
      <w:r>
        <w:rPr>
          <w:rFonts w:ascii="Arial" w:cs="Arial" w:eastAsia="Arial" w:hAnsi="Arial"/>
          <w:sz w:val="20"/>
          <w:szCs w:val="20"/>
          <w:i w:val="1"/>
          <w:iCs w:val="1"/>
          <w:color w:val="auto"/>
        </w:rPr>
        <w:t>i.e.,</w:t>
      </w:r>
      <w:r>
        <w:rPr>
          <w:rFonts w:ascii="Arial" w:cs="Arial" w:eastAsia="Arial" w:hAnsi="Arial"/>
          <w:sz w:val="20"/>
          <w:szCs w:val="20"/>
          <w:color w:val="auto"/>
        </w:rPr>
        <w:t xml:space="preserve"> "repatriated") to China through a special exchange control account. To comply with this requirement, the Company will set up the special exchange control account and will facilitate the repatriation of the funds to China where the funds will be delivered to you. By accepting the RSUs, you acknowledge and agree that all funds received from your shares of Stock must be repatriated to China, and you hereby consent and agree that such funds may be transferred to the special exchange control account prior to being delivered to you.</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You understand that the sale proceeds (or other funds) may be paid to you in local currency. If the funds are paid in local currency, you acknowledge that neither the Company nor any affiliate is under an obligation to secure any particular currency conversion rate and that the Company (or any affiliate) may face delays in converting the funds to local currency due to exchange control requirements in China. You agree to bear any currency fluctuation risk between the time the shares of Common Stock are sold (or other funds are paid out) and the time the funds are converted into local currency and distributed to you.</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You further agree to comply with any other requirements that may be imposed by the Company in the future to facilitate compliance with exchange control requirements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STATE AND COUNTRY-SPECIFIC APPENDICES FOR ATTACHMENT II</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u w:val="single" w:color="auto"/>
          <w:color w:val="auto"/>
        </w:rPr>
        <w:t>Appendix B.1- U.S. State Law</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any of the U.S. states below, or transfers employment and/or residency after the Grant Date to one of the U.S. states below, then the following terms shall apply to the noncompete and nonsolicit restrictions in Sections 6 and 7 of Attachment II after the date on which Employee ceases to be employed by the Company Group for as long as Employee continues to work or reside in such state.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California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Sections 6 and 7(b) of Attachment II shall not apply to any Employee who primarily resides or works in, or transfers employment and/or residency after the Grant Date to California. For any Employee who primarily resides or works in California, any clause or agreement between Employee and the Company that restricts post-employment competition in California, including but not limited to Sections 6 and 7(b), are hereby rescinded and shall be deemed null and void.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Colorado</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Employee acknowledges that Employee was provided with a separate notice of Sections 6 and 7 of Attachment II at least 14 days before the earlier of (1) the effective date of this Agreement or (2) the Grant Date.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Colorado and earns an amount of compensation equal to or greater than the threshold amount for “highly compensated workers” under Colorado law.</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Section 7(b) of Attachment II shall only apply to any Employee who primarily resides or works in, or transfers employment and/or residency after the Grant Date to Colorado and earns an amount of compensation equal to or greater than 60% of the threshold amount for “highly compensated workers” under Colorado law.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Georgia</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Georgia and (i) customarily and regularly solicits customers or prospective customers for the Company Group, (ii) customarily and regularly engages in making sales or obtaining orders or contracts for products or services to be performed by others, (iii) has the authority to hire or fire other employees or particular weight is given to Employee’s suggestions and recommendations as to the hiring, firing, advancement, promotion, or any other change of status of other employees, or (iv) performs the duties of a “key employee” or professional under Georgia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Idaho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9" w:name="page150"/>
    <w:bookmarkEnd w:id="149"/>
    <w:p>
      <w:pPr>
        <w:jc w:val="both"/>
        <w:spacing w:after="0" w:line="257"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Idaho and performs the duties of a “key employee” under Idaho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Illinois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Sections 6 and 7 of Attachment II shall only apply to any Employee who primarily resides or works in, or transfers employment and/or residency after the Grant Date to Illinois and: (i) whose actual or expected annualized rate of earnings exceeds the statutory amount set in the Illinois Freedom to Work Act 820 ILCS 90/10, as adjusted in accordance with the Illinois Freedom to Work Act and (ii) who was not laid off or furloughed due to COVID-19 or similar circumstances without appropriate compensation.</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Employee acknowledges that: (i) the Company has advised Employee that Employee has the right to consult with an attorney before executing this Agreement, and (ii) Employee was provided with a separate notice of Sections 6 and 7(b) of Attachment II at least 14 days before the earlier of (1) the effective date of this Agreement or (2) the Grant Date or Employee was provided with at least 14 days to review this Agreement. Employee further acknowledges that the Company is in compliance with this provision even if Employee voluntarily elects to sign this Agreement before the expiration of the 14-day period.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Louisiana</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For Employees who primarily reside or work in, or transfer employment and/or residency after the Grant Date to Louisiana, the Restricted Territory shall be as described below.</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Within the State of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Massachusetts</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Section 6 of Attachment II shall only apply to any Employee who primarily resides or works in, or transfers employment and/or residency after the Grant Date to Massachusetts and (i) is classified as exempt under the Fair Labor Standards Act, (ii) was not terminated without cause or laid off, (iii) who the Company Group pays on a pro-rata basis during the entirety of the restricted period following the date in which Employee ceases to be employed by the Company Group (but in no event longer than a one</w:t>
      </w:r>
    </w:p>
    <w:p>
      <w:pPr>
        <w:ind w:firstLine="8"/>
        <w:spacing w:after="0" w:line="239" w:lineRule="auto"/>
        <w:tabs>
          <w:tab w:leader="none" w:pos="322" w:val="left"/>
        </w:tabs>
        <w:numPr>
          <w:ilvl w:val="0"/>
          <w:numId w:val="196"/>
        </w:numPr>
        <w:rPr>
          <w:rFonts w:ascii="Arial" w:cs="Arial" w:eastAsia="Arial" w:hAnsi="Arial"/>
          <w:sz w:val="20"/>
          <w:szCs w:val="20"/>
          <w:color w:val="auto"/>
        </w:rPr>
      </w:pPr>
      <w:r>
        <w:rPr>
          <w:rFonts w:ascii="Arial" w:cs="Arial" w:eastAsia="Arial" w:hAnsi="Arial"/>
          <w:sz w:val="20"/>
          <w:szCs w:val="20"/>
          <w:color w:val="auto"/>
        </w:rPr>
        <w:t>year period) an amount equal to fifty percent (50%) of Employee’s highest annualized base salary paid by the Company Group within the two years preceding the date in which Employee ceases to be employed by the Company Group.</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Employee acknowledges that Employee was provided with this notice at least 10 days before the effective date of this Agreement. Employee acknowledges that Employee the Company has advised and hereby does advise Employee that Employee has the right to consult with an attorney of his or her choosing before executing this Agreement.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restriction in Section 6(b) of Attachment II shall be limited to the period of one (1) year following the date on which Employee ceases to be employed by the Company Group, unless Employee has breached his or her fiduciary duty to the Company Group or Employee has unlawfully taken, physically or electronically, property belonging to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50" w:name="page151"/>
    <w:bookmarkEnd w:id="150"/>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Nevada</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II shall not apply to any Employee who primarily resides or works in, or transfers employment and/or residency after the Grant Date to Nevada and: (i) is paid solely on an hourly wage basis, exclusive of any tips or gratuities, or (ii) their termination was part of a reduction of force, reorganization, or similar restructuring of the Company Group (unless the Company Group pays Employee’s salary, benefits, or equivalent compensation, including severance pay, if any, during the restricted period).</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Section 6 of Attachment II shall not restrict Employee from providing a service to a former customer or client if (i) Employee did not solicit the former customer or client; (ii) the customer or client voluntarily chose to leave and sought Employee’s services; and (iii) Employee has otherwise complied with Section 6 of Attachment II regarding time, geographic area, and scope of the restrained activity, other than any limitation on providing services to a former customer or client of the Company Group who seeks the services of Employee without any contact instigated by Employee.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North Dakota</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Sections 6 and 7(b) of Attachment II shall not apply to any Employee who primarily resides or works in, or transfers employment and/or residency after the Grant Date to North Dakota.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Oklahoma</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Section 6 of Attachment II shall not apply to any Employee who primarily resides or works in, or transfers employment and/or residency after the Grant Date to Oklahoma.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B.2 - United Arab Emirates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the United Arab Emirates, or transfers employment and/or residency after the Grant Date to the United Arab Emirates, then the following terms shall apply to the noncompete and nonsolicit restrictions in Sections 6 and 7 of Attachment II after the date on which Employee ceases to be employed by the Company Group for as long as Employee continues to work or reside in such state.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Emirate of Dubai (including but not limited to the Dubai International Financial Centre) and the Emirate of Abu Dhabi (including but not limited to the Abu Dhabi Global Market).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clause in Section 6(b) of Attachment II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restriction in Section 7 of Attachment II shall be limited to the period of twelve (12) months following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The following clause in Section 7(a) of Attachment II is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breach by Employee, the specified period will be extended by the period of time of the breach.</w:t>
      </w:r>
    </w:p>
    <w:p>
      <w:pPr>
        <w:spacing w:after="0" w:line="200" w:lineRule="exact"/>
        <w:rPr>
          <w:sz w:val="20"/>
          <w:szCs w:val="20"/>
          <w:color w:val="auto"/>
        </w:rPr>
      </w:pPr>
    </w:p>
    <w:p>
      <w:pPr>
        <w:ind w:left="4280"/>
        <w:spacing w:after="0"/>
        <w:rPr>
          <w:sz w:val="20"/>
          <w:szCs w:val="20"/>
          <w:color w:val="auto"/>
        </w:rPr>
      </w:pPr>
      <w:r>
        <w:rPr>
          <w:rFonts w:ascii="Arial" w:cs="Arial" w:eastAsia="Arial" w:hAnsi="Arial"/>
          <w:sz w:val="20"/>
          <w:szCs w:val="20"/>
          <w:b w:val="1"/>
          <w:bCs w:val="1"/>
          <w:u w:val="single" w:color="auto"/>
          <w:color w:val="auto"/>
        </w:rPr>
        <w:t>Appendix B.3 - Saudi Arabia</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anything herein to the contrary, if Employee primarily resides or works in Saudi Arabia, or transfers employment and/or residency after the Grant Date to Saudi Arabia, then the following terms shall apply to the confidential information, noncompete and nonsolicit restrictions in Sections 3, 6 and 7 of Attachment II after the date on which Employee ceases to be employed by the Company Group for as long as Employee continues to work or reside in such state.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restriction in Section 3(c) of Attachment II shall only apply for 50 years following the termination of the Employee's employment.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Territory shall be as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Dhahran, Khobar, Dammam, Udhailiyahh, Khafji, or King Salman Energy Park (SPARK).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restriction in Section 7(a) of Attachment II shall be limited to employees, consultants, or contractors: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4" w:lineRule="exact"/>
        <w:rPr>
          <w:sz w:val="20"/>
          <w:szCs w:val="20"/>
          <w:color w:val="auto"/>
        </w:rPr>
      </w:pPr>
    </w:p>
    <w:p>
      <w:pPr>
        <w:ind w:left="1060" w:hanging="303"/>
        <w:spacing w:after="0"/>
        <w:tabs>
          <w:tab w:leader="none" w:pos="10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with whom Employee had contact or business dealings while employed by the Company and its Affiliates;</w:t>
      </w:r>
    </w:p>
    <w:p>
      <w:pPr>
        <w:spacing w:after="0" w:line="184" w:lineRule="exact"/>
        <w:rPr>
          <w:rFonts w:ascii="Arial" w:cs="Arial" w:eastAsia="Arial" w:hAnsi="Arial"/>
          <w:sz w:val="20"/>
          <w:szCs w:val="20"/>
          <w:color w:val="auto"/>
        </w:rPr>
      </w:pPr>
    </w:p>
    <w:p>
      <w:pPr>
        <w:ind w:left="1100" w:hanging="343"/>
        <w:spacing w:after="0"/>
        <w:tabs>
          <w:tab w:leader="none" w:pos="11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who worked in Employee’s business unit (Group); or</w:t>
      </w:r>
    </w:p>
    <w:p>
      <w:pPr>
        <w:spacing w:after="0" w:line="202" w:lineRule="exact"/>
        <w:rPr>
          <w:rFonts w:ascii="Arial" w:cs="Arial" w:eastAsia="Arial" w:hAnsi="Arial"/>
          <w:sz w:val="20"/>
          <w:szCs w:val="20"/>
          <w:color w:val="auto"/>
        </w:rPr>
      </w:pPr>
    </w:p>
    <w:p>
      <w:pPr>
        <w:ind w:left="1100" w:hanging="343"/>
        <w:spacing w:after="0"/>
        <w:tabs>
          <w:tab w:leader="none" w:pos="11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about whom Employee had access to confidential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jc w:val="both"/>
        <w:ind w:firstLine="8"/>
        <w:spacing w:after="0" w:line="241" w:lineRule="auto"/>
        <w:tabs>
          <w:tab w:leader="none" w:pos="297" w:val="left"/>
        </w:tabs>
        <w:numPr>
          <w:ilvl w:val="0"/>
          <w:numId w:val="198"/>
        </w:numPr>
        <w:rPr>
          <w:rFonts w:ascii="Arial" w:cs="Arial" w:eastAsia="Arial" w:hAnsi="Arial"/>
          <w:sz w:val="20"/>
          <w:szCs w:val="20"/>
          <w:color w:val="auto"/>
        </w:rPr>
      </w:pPr>
      <w:r>
        <w:rPr>
          <w:rFonts w:ascii="Arial" w:cs="Arial" w:eastAsia="Arial" w:hAnsi="Arial"/>
          <w:sz w:val="20"/>
          <w:szCs w:val="20"/>
          <w:color w:val="auto"/>
        </w:rPr>
        <w:t>who were engaged or employed by the Company or its Affiliates in Saudi Arabia on the date in which Employee ceases to be employed by the Company Group or was engaged or employed by the Company or its Affiliates in Saudi Arabia during the twelve (12)-month period immediately preceding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March 31, 2025, (i) SISA was the issuer of its 4.500% Senior Notes due 2028, 2.650% Senior Notes due 2030, 4.850% Senior Notes due 2033, and 5.000% Senior Notes due 2034 (together, the “SISA Notes”), and (ii) SFCL was the issuer of its 1.400% Senior Notes due 2025 (the “SFCL Notes”). The Guarantor fully and unconditionally guarantees the SISA Notes and the SFCL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3" w:name="page154"/>
    <w:bookmarkEnd w:id="153"/>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40" w:hanging="513"/>
        <w:spacing w:after="0" w:line="286" w:lineRule="auto"/>
        <w:tabs>
          <w:tab w:leader="none" w:pos="97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6"/>
          <w:szCs w:val="16"/>
          <w:color w:val="auto"/>
        </w:rPr>
        <w:t>Date: April 25, 2025</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12065</wp:posOffset>
            </wp:positionV>
            <wp:extent cx="28543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54" w:name="page155"/>
    <w:bookmarkEnd w:id="154"/>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60" w:hanging="513"/>
        <w:spacing w:after="0" w:line="286" w:lineRule="auto"/>
        <w:tabs>
          <w:tab w:leader="none" w:pos="97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April 25, 2025</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12065</wp:posOffset>
            </wp:positionV>
            <wp:extent cx="28460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Stephane Biguet</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55" w:name="page156"/>
    <w:bookmarkEnd w:id="155"/>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2025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April 25, 2025</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Chief Executive Officer</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56" w:name="page157"/>
    <w:bookmarkEnd w:id="156"/>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2025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April 25, 2025</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Stephane Biguet</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Executive Vice President and Chief Financial Officer</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57" w:name="page158"/>
    <w:bookmarkEnd w:id="157"/>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SLB. The disclosure is with respect to the three months ended March 31, 2025. Due to timing and other factors, the data may not agree with the mine data retrieval system maintained by the MSHA at www.MSHA.gov.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March 31, 2025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20" w:type="dxa"/>
            <w:vAlign w:val="bottom"/>
          </w:tcPr>
          <w:p>
            <w:pPr>
              <w:jc w:val="center"/>
              <w:spacing w:after="0"/>
              <w:rPr>
                <w:sz w:val="20"/>
                <w:szCs w:val="20"/>
                <w:color w:val="auto"/>
              </w:rPr>
            </w:pPr>
            <w:r>
              <w:rPr>
                <w:rFonts w:ascii="Arial" w:cs="Arial" w:eastAsia="Arial" w:hAnsi="Arial"/>
                <w:sz w:val="14"/>
                <w:szCs w:val="14"/>
                <w:color w:val="auto"/>
              </w:rPr>
              <w:t>Legal</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00" w:type="dxa"/>
            <w:vAlign w:val="bottom"/>
          </w:tcPr>
          <w:p>
            <w:pPr>
              <w:jc w:val="center"/>
              <w:spacing w:after="0"/>
              <w:rPr>
                <w:sz w:val="20"/>
                <w:szCs w:val="20"/>
                <w:color w:val="auto"/>
              </w:rPr>
            </w:pPr>
            <w:r>
              <w:rPr>
                <w:rFonts w:ascii="Arial" w:cs="Arial" w:eastAsia="Arial" w:hAnsi="Arial"/>
                <w:sz w:val="14"/>
                <w:szCs w:val="14"/>
                <w:color w:val="auto"/>
              </w:rPr>
              <w:t>Total</w:t>
            </w:r>
          </w:p>
        </w:tc>
        <w:tc>
          <w:tcPr>
            <w:tcW w:w="76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2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20" w:type="dxa"/>
            <w:vAlign w:val="bottom"/>
          </w:tcPr>
          <w:p>
            <w:pPr>
              <w:jc w:val="center"/>
              <w:spacing w:after="0"/>
              <w:rPr>
                <w:sz w:val="20"/>
                <w:szCs w:val="20"/>
                <w:color w:val="auto"/>
              </w:rPr>
            </w:pPr>
            <w:r>
              <w:rPr>
                <w:rFonts w:ascii="Arial" w:cs="Arial" w:eastAsia="Arial" w:hAnsi="Arial"/>
                <w:sz w:val="14"/>
                <w:szCs w:val="14"/>
                <w:color w:val="auto"/>
              </w:rPr>
              <w:t>Legal</w:t>
            </w: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00" w:type="dxa"/>
            <w:vAlign w:val="bottom"/>
          </w:tcPr>
          <w:p>
            <w:pPr>
              <w:jc w:val="center"/>
              <w:spacing w:after="0"/>
              <w:rPr>
                <w:sz w:val="20"/>
                <w:szCs w:val="20"/>
                <w:color w:val="auto"/>
              </w:rPr>
            </w:pPr>
            <w:r>
              <w:rPr>
                <w:rFonts w:ascii="Arial" w:cs="Arial" w:eastAsia="Arial" w:hAnsi="Arial"/>
                <w:sz w:val="14"/>
                <w:szCs w:val="14"/>
                <w:color w:val="auto"/>
              </w:rPr>
              <w:t>Number</w:t>
            </w:r>
          </w:p>
        </w:tc>
        <w:tc>
          <w:tcPr>
            <w:tcW w:w="760" w:type="dxa"/>
            <w:vAlign w:val="bottom"/>
          </w:tcPr>
          <w:p>
            <w:pPr>
              <w:jc w:val="center"/>
              <w:spacing w:after="0"/>
              <w:rPr>
                <w:sz w:val="20"/>
                <w:szCs w:val="20"/>
                <w:color w:val="auto"/>
              </w:rPr>
            </w:pPr>
            <w:r>
              <w:rPr>
                <w:rFonts w:ascii="Arial" w:cs="Arial" w:eastAsia="Arial" w:hAnsi="Arial"/>
                <w:sz w:val="14"/>
                <w:szCs w:val="14"/>
                <w:color w:val="auto"/>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20" w:type="dxa"/>
            <w:vAlign w:val="bottom"/>
          </w:tcPr>
          <w:p>
            <w:pPr>
              <w:jc w:val="center"/>
              <w:spacing w:after="0"/>
              <w:rPr>
                <w:sz w:val="20"/>
                <w:szCs w:val="20"/>
                <w:color w:val="auto"/>
              </w:rPr>
            </w:pPr>
            <w:r>
              <w:rPr>
                <w:rFonts w:ascii="Arial" w:cs="Arial" w:eastAsia="Arial" w:hAnsi="Arial"/>
                <w:sz w:val="14"/>
                <w:szCs w:val="14"/>
                <w:color w:val="auto"/>
              </w:rPr>
              <w:t>of Last Day</w:t>
            </w:r>
          </w:p>
        </w:tc>
        <w:tc>
          <w:tcPr>
            <w:tcW w:w="6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2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44"/>
        </w:trPr>
        <w:tc>
          <w:tcPr>
            <w:tcW w:w="2060" w:type="dxa"/>
            <w:vAlign w:val="bottom"/>
          </w:tcPr>
          <w:p>
            <w:pPr>
              <w:ind w:left="220"/>
              <w:spacing w:after="0" w:line="145" w:lineRule="exact"/>
              <w:rPr>
                <w:sz w:val="20"/>
                <w:szCs w:val="20"/>
                <w:color w:val="auto"/>
              </w:rPr>
            </w:pPr>
            <w:r>
              <w:rPr>
                <w:rFonts w:ascii="Arial" w:cs="Arial" w:eastAsia="Arial" w:hAnsi="Arial"/>
                <w:sz w:val="14"/>
                <w:szCs w:val="14"/>
                <w:color w:val="auto"/>
              </w:rPr>
              <w:t>Mine or Operating Name/</w:t>
            </w:r>
          </w:p>
        </w:tc>
        <w:tc>
          <w:tcPr>
            <w:tcW w:w="900" w:type="dxa"/>
            <w:vAlign w:val="bottom"/>
          </w:tcPr>
          <w:p>
            <w:pPr>
              <w:jc w:val="center"/>
              <w:spacing w:after="0" w:line="145" w:lineRule="exact"/>
              <w:rPr>
                <w:sz w:val="20"/>
                <w:szCs w:val="20"/>
                <w:color w:val="auto"/>
              </w:rPr>
            </w:pPr>
            <w:r>
              <w:rPr>
                <w:rFonts w:ascii="Arial" w:cs="Arial" w:eastAsia="Arial" w:hAnsi="Arial"/>
                <w:sz w:val="14"/>
                <w:szCs w:val="14"/>
                <w:color w:val="auto"/>
              </w:rPr>
              <w:t>Section 104</w:t>
            </w:r>
          </w:p>
        </w:tc>
        <w:tc>
          <w:tcPr>
            <w:tcW w:w="640" w:type="dxa"/>
            <w:vAlign w:val="bottom"/>
          </w:tcPr>
          <w:p>
            <w:pPr>
              <w:ind w:left="80"/>
              <w:spacing w:after="0" w:line="145" w:lineRule="exact"/>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580" w:type="dxa"/>
            <w:vAlign w:val="bottom"/>
          </w:tcPr>
          <w:p>
            <w:pPr>
              <w:ind w:left="60"/>
              <w:spacing w:after="0" w:line="145" w:lineRule="exact"/>
              <w:rPr>
                <w:sz w:val="20"/>
                <w:szCs w:val="20"/>
                <w:color w:val="auto"/>
              </w:rPr>
            </w:pPr>
            <w:r>
              <w:rPr>
                <w:rFonts w:ascii="Arial" w:cs="Arial" w:eastAsia="Arial" w:hAnsi="Arial"/>
                <w:sz w:val="14"/>
                <w:szCs w:val="14"/>
                <w:color w:val="auto"/>
              </w:rPr>
              <w:t>Section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rPr>
              <w:t>Assessments</w:t>
            </w:r>
          </w:p>
        </w:tc>
        <w:tc>
          <w:tcPr>
            <w:tcW w:w="700" w:type="dxa"/>
            <w:vAlign w:val="bottom"/>
          </w:tcPr>
          <w:p>
            <w:pPr>
              <w:jc w:val="center"/>
              <w:spacing w:after="0" w:line="145" w:lineRule="exact"/>
              <w:rPr>
                <w:sz w:val="20"/>
                <w:szCs w:val="20"/>
                <w:color w:val="auto"/>
              </w:rPr>
            </w:pPr>
            <w:r>
              <w:rPr>
                <w:rFonts w:ascii="Arial" w:cs="Arial" w:eastAsia="Arial" w:hAnsi="Arial"/>
                <w:sz w:val="14"/>
                <w:szCs w:val="14"/>
                <w:color w:val="auto"/>
              </w:rPr>
              <w:t>of Mining</w:t>
            </w: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104(e)</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9"/>
              </w:rPr>
              <w:t>of Period</w:t>
            </w: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rPr>
              <w:t>Initiated</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Resolved</w:t>
            </w:r>
          </w:p>
        </w:tc>
      </w:tr>
      <w:tr>
        <w:trPr>
          <w:trHeight w:val="180"/>
        </w:trPr>
        <w:tc>
          <w:tcPr>
            <w:tcW w:w="2060" w:type="dxa"/>
            <w:vAlign w:val="bottom"/>
          </w:tcPr>
          <w:p>
            <w:pPr>
              <w:ind w:left="140"/>
              <w:spacing w:after="0"/>
              <w:rPr>
                <w:sz w:val="20"/>
                <w:szCs w:val="20"/>
                <w:color w:val="auto"/>
              </w:rPr>
            </w:pPr>
            <w:r>
              <w:rPr>
                <w:rFonts w:ascii="Arial" w:cs="Arial" w:eastAsia="Arial" w:hAnsi="Arial"/>
                <w:sz w:val="14"/>
                <w:szCs w:val="14"/>
                <w:color w:val="auto"/>
              </w:rPr>
              <w:t>MSHA Identification Number</w:t>
            </w:r>
          </w:p>
        </w:tc>
        <w:tc>
          <w:tcPr>
            <w:tcW w:w="900" w:type="dxa"/>
            <w:vAlign w:val="bottom"/>
          </w:tcPr>
          <w:p>
            <w:pPr>
              <w:jc w:val="center"/>
              <w:spacing w:after="0"/>
              <w:rPr>
                <w:sz w:val="20"/>
                <w:szCs w:val="20"/>
                <w:color w:val="auto"/>
              </w:rPr>
            </w:pPr>
            <w:r>
              <w:rPr>
                <w:rFonts w:ascii="Arial" w:cs="Arial" w:eastAsia="Arial" w:hAnsi="Arial"/>
                <w:sz w:val="14"/>
                <w:szCs w:val="14"/>
                <w:color w:val="auto"/>
              </w:rPr>
              <w:t>S&amp;S</w:t>
            </w:r>
          </w:p>
        </w:tc>
        <w:tc>
          <w:tcPr>
            <w:tcW w:w="640" w:type="dxa"/>
            <w:vAlign w:val="bottom"/>
          </w:tcPr>
          <w:p>
            <w:pPr>
              <w:jc w:val="center"/>
              <w:spacing w:after="0"/>
              <w:rPr>
                <w:sz w:val="20"/>
                <w:szCs w:val="20"/>
                <w:color w:val="auto"/>
              </w:rPr>
            </w:pPr>
            <w:r>
              <w:rPr>
                <w:rFonts w:ascii="Arial" w:cs="Arial" w:eastAsia="Arial" w:hAnsi="Arial"/>
                <w:sz w:val="14"/>
                <w:szCs w:val="14"/>
                <w:color w:val="auto"/>
              </w:rPr>
              <w:t>104(b)</w:t>
            </w:r>
          </w:p>
        </w:tc>
        <w:tc>
          <w:tcPr>
            <w:tcW w:w="740" w:type="dxa"/>
            <w:vAlign w:val="bottom"/>
          </w:tcPr>
          <w:p>
            <w:pPr>
              <w:jc w:val="center"/>
              <w:spacing w:after="0"/>
              <w:rPr>
                <w:sz w:val="20"/>
                <w:szCs w:val="20"/>
                <w:color w:val="auto"/>
              </w:rPr>
            </w:pPr>
            <w:r>
              <w:rPr>
                <w:rFonts w:ascii="Arial" w:cs="Arial" w:eastAsia="Arial" w:hAnsi="Arial"/>
                <w:sz w:val="14"/>
                <w:szCs w:val="14"/>
                <w:color w:val="auto"/>
              </w:rPr>
              <w:t>and</w:t>
            </w:r>
          </w:p>
        </w:tc>
        <w:tc>
          <w:tcPr>
            <w:tcW w:w="780" w:type="dxa"/>
            <w:vAlign w:val="bottom"/>
          </w:tcPr>
          <w:p>
            <w:pPr>
              <w:jc w:val="center"/>
              <w:spacing w:after="0"/>
              <w:rPr>
                <w:sz w:val="20"/>
                <w:szCs w:val="20"/>
                <w:color w:val="auto"/>
              </w:rPr>
            </w:pPr>
            <w:r>
              <w:rPr>
                <w:rFonts w:ascii="Arial" w:cs="Arial" w:eastAsia="Arial" w:hAnsi="Arial"/>
                <w:sz w:val="14"/>
                <w:szCs w:val="14"/>
                <w:color w:val="auto"/>
              </w:rPr>
              <w:t>110(b)(2)</w:t>
            </w: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107(a)</w:t>
            </w:r>
          </w:p>
        </w:tc>
        <w:tc>
          <w:tcPr>
            <w:tcW w:w="1060" w:type="dxa"/>
            <w:vAlign w:val="bottom"/>
          </w:tcPr>
          <w:p>
            <w:pPr>
              <w:jc w:val="center"/>
              <w:spacing w:after="0" w:line="180"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104(e)</w:t>
            </w:r>
          </w:p>
        </w:tc>
        <w:tc>
          <w:tcPr>
            <w:tcW w:w="840" w:type="dxa"/>
            <w:vAlign w:val="bottom"/>
          </w:tcPr>
          <w:p>
            <w:pPr>
              <w:jc w:val="center"/>
              <w:spacing w:after="0"/>
              <w:rPr>
                <w:sz w:val="20"/>
                <w:szCs w:val="20"/>
                <w:color w:val="auto"/>
              </w:rPr>
            </w:pPr>
            <w:r>
              <w:rPr>
                <w:rFonts w:ascii="Arial" w:cs="Arial" w:eastAsia="Arial" w:hAnsi="Arial"/>
                <w:sz w:val="14"/>
                <w:szCs w:val="14"/>
                <w:color w:val="auto"/>
              </w:rPr>
              <w:t>(yes/no)</w:t>
            </w:r>
          </w:p>
        </w:tc>
        <w:tc>
          <w:tcPr>
            <w:tcW w:w="8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During</w:t>
            </w:r>
          </w:p>
        </w:tc>
        <w:tc>
          <w:tcPr>
            <w:tcW w:w="720" w:type="dxa"/>
            <w:vAlign w:val="bottom"/>
          </w:tcPr>
          <w:p>
            <w:pPr>
              <w:jc w:val="center"/>
              <w:spacing w:after="0"/>
              <w:rPr>
                <w:sz w:val="20"/>
                <w:szCs w:val="20"/>
                <w:color w:val="auto"/>
              </w:rPr>
            </w:pPr>
            <w:r>
              <w:rPr>
                <w:rFonts w:ascii="Arial" w:cs="Arial" w:eastAsia="Arial" w:hAnsi="Arial"/>
                <w:sz w:val="14"/>
                <w:szCs w:val="14"/>
                <w:color w:val="auto"/>
              </w:rPr>
              <w:t>During</w:t>
            </w:r>
          </w:p>
        </w:tc>
      </w:tr>
      <w:tr>
        <w:trPr>
          <w:trHeight w:val="171"/>
        </w:trPr>
        <w:tc>
          <w:tcPr>
            <w:tcW w:w="20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Orders</w:t>
            </w:r>
          </w:p>
        </w:tc>
        <w:tc>
          <w:tcPr>
            <w:tcW w:w="1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37"/>
        </w:trPr>
        <w:tc>
          <w:tcPr>
            <w:tcW w:w="2060" w:type="dxa"/>
            <w:vAlign w:val="bottom"/>
          </w:tcPr>
          <w:p>
            <w:pPr>
              <w:ind w:left="20"/>
              <w:spacing w:after="0"/>
              <w:rPr>
                <w:sz w:val="20"/>
                <w:szCs w:val="20"/>
                <w:color w:val="auto"/>
              </w:rPr>
            </w:pPr>
            <w:r>
              <w:rPr>
                <w:rFonts w:ascii="Arial" w:cs="Arial" w:eastAsia="Arial" w:hAnsi="Arial"/>
                <w:sz w:val="14"/>
                <w:szCs w:val="14"/>
                <w:color w:val="auto"/>
              </w:rPr>
              <w:t>Amelia Barite Plant/1600825</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8"/>
        </w:trPr>
        <w:tc>
          <w:tcPr>
            <w:tcW w:w="2060" w:type="dxa"/>
            <w:vAlign w:val="bottom"/>
          </w:tcPr>
          <w:p>
            <w:pPr>
              <w:ind w:left="20"/>
              <w:spacing w:after="0"/>
              <w:rPr>
                <w:sz w:val="20"/>
                <w:szCs w:val="20"/>
                <w:color w:val="auto"/>
              </w:rPr>
            </w:pPr>
            <w:r>
              <w:rPr>
                <w:rFonts w:ascii="Arial" w:cs="Arial" w:eastAsia="Arial" w:hAnsi="Arial"/>
                <w:sz w:val="14"/>
                <w:szCs w:val="14"/>
                <w:color w:val="auto"/>
              </w:rPr>
              <w:t>Battle Mountain Grinding</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ind w:left="420"/>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060" w:type="dxa"/>
            <w:vAlign w:val="bottom"/>
          </w:tcPr>
          <w:p>
            <w:pPr>
              <w:ind w:left="20"/>
              <w:spacing w:after="0"/>
              <w:rPr>
                <w:sz w:val="20"/>
                <w:szCs w:val="20"/>
                <w:color w:val="auto"/>
              </w:rPr>
            </w:pPr>
            <w:r>
              <w:rPr>
                <w:rFonts w:ascii="Arial" w:cs="Arial" w:eastAsia="Arial" w:hAnsi="Arial"/>
                <w:sz w:val="14"/>
                <w:szCs w:val="14"/>
                <w:color w:val="auto"/>
              </w:rPr>
              <w:t>Plant/2600828</w:t>
            </w: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86"/>
        </w:trPr>
        <w:tc>
          <w:tcPr>
            <w:tcW w:w="2060" w:type="dxa"/>
            <w:vAlign w:val="bottom"/>
          </w:tcPr>
          <w:p>
            <w:pPr>
              <w:ind w:left="20"/>
              <w:spacing w:after="0"/>
              <w:rPr>
                <w:sz w:val="20"/>
                <w:szCs w:val="20"/>
                <w:color w:val="auto"/>
              </w:rPr>
            </w:pPr>
            <w:r>
              <w:rPr>
                <w:rFonts w:ascii="Arial" w:cs="Arial" w:eastAsia="Arial" w:hAnsi="Arial"/>
                <w:sz w:val="14"/>
                <w:szCs w:val="14"/>
                <w:color w:val="auto"/>
              </w:rPr>
              <w:t>Greystone Mine/2600411</w:t>
            </w:r>
          </w:p>
        </w:tc>
        <w:tc>
          <w:tcPr>
            <w:tcW w:w="900" w:type="dxa"/>
            <w:vAlign w:val="bottom"/>
          </w:tcPr>
          <w:p>
            <w:pPr>
              <w:jc w:val="center"/>
              <w:spacing w:after="0"/>
              <w:rPr>
                <w:sz w:val="20"/>
                <w:szCs w:val="20"/>
                <w:color w:val="auto"/>
              </w:rPr>
            </w:pPr>
            <w:r>
              <w:rPr>
                <w:rFonts w:ascii="Arial" w:cs="Arial" w:eastAsia="Arial" w:hAnsi="Arial"/>
                <w:sz w:val="14"/>
                <w:szCs w:val="14"/>
                <w:color w:val="auto"/>
              </w:rPr>
              <w:t>1</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28"/>
                <w:szCs w:val="28"/>
                <w:color w:val="auto"/>
                <w:w w:val="86"/>
                <w:vertAlign w:val="subscript"/>
              </w:rPr>
              <w:t>─</w:t>
            </w:r>
            <w:r>
              <w:rPr>
                <w:rFonts w:ascii="Arial" w:cs="Arial" w:eastAsia="Arial" w:hAnsi="Arial"/>
                <w:sz w:val="10"/>
                <w:szCs w:val="10"/>
                <w:color w:val="auto"/>
                <w:w w:val="86"/>
              </w:rPr>
              <w:t>(2)</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34"/>
        </w:trPr>
        <w:tc>
          <w:tcPr>
            <w:tcW w:w="2060" w:type="dxa"/>
            <w:vAlign w:val="bottom"/>
          </w:tcPr>
          <w:p>
            <w:pPr>
              <w:ind w:left="20"/>
              <w:spacing w:after="0"/>
              <w:rPr>
                <w:sz w:val="20"/>
                <w:szCs w:val="20"/>
                <w:color w:val="auto"/>
              </w:rPr>
            </w:pPr>
            <w:r>
              <w:rPr>
                <w:rFonts w:ascii="Arial" w:cs="Arial" w:eastAsia="Arial" w:hAnsi="Arial"/>
                <w:sz w:val="14"/>
                <w:szCs w:val="14"/>
                <w:color w:val="auto"/>
              </w:rPr>
              <w:t>Mountain Springs Beneficiation</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060" w:type="dxa"/>
            <w:vAlign w:val="bottom"/>
          </w:tcPr>
          <w:p>
            <w:pPr>
              <w:ind w:left="20"/>
              <w:spacing w:after="0"/>
              <w:rPr>
                <w:sz w:val="20"/>
                <w:szCs w:val="20"/>
                <w:color w:val="auto"/>
              </w:rPr>
            </w:pPr>
            <w:r>
              <w:rPr>
                <w:rFonts w:ascii="Arial" w:cs="Arial" w:eastAsia="Arial" w:hAnsi="Arial"/>
                <w:sz w:val="14"/>
                <w:szCs w:val="14"/>
                <w:color w:val="auto"/>
              </w:rPr>
              <w:t>Plant/2601390</w:t>
            </w: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69" w:lineRule="exact"/>
        <w:rPr>
          <w:sz w:val="20"/>
          <w:szCs w:val="20"/>
          <w:color w:val="auto"/>
        </w:rPr>
      </w:pPr>
    </w:p>
    <w:p>
      <w:pPr>
        <w:jc w:val="both"/>
        <w:ind w:left="1020" w:hanging="503"/>
        <w:spacing w:after="0" w:line="256" w:lineRule="auto"/>
        <w:tabs>
          <w:tab w:leader="none" w:pos="102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March 31, 2025, regardless of whether the assessment has been challenged or appealed, for citations and orders occurring during the quarter ended March 31, 2025.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69" w:lineRule="exact"/>
        <w:rPr>
          <w:rFonts w:ascii="Arial" w:cs="Arial" w:eastAsia="Arial" w:hAnsi="Arial"/>
          <w:sz w:val="14"/>
          <w:szCs w:val="14"/>
          <w:color w:val="auto"/>
        </w:rPr>
      </w:pPr>
    </w:p>
    <w:p>
      <w:pPr>
        <w:ind w:left="1020" w:hanging="503"/>
        <w:spacing w:after="0"/>
        <w:tabs>
          <w:tab w:leader="none" w:pos="102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As of March 31, 2025, MSHA had not yet proposed an assessment for one S&amp;S citation and one non-S&amp;S citation at Greystone Mine/2600411.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1)"/>
      <w:numFmt w:val="decimal"/>
      <w:start w:val="1"/>
    </w:lvl>
  </w:abstractNum>
  <w:abstractNum w:abstractNumId="3">
    <w:nsid w:val="14FCE74E"/>
    <w:multiLevelType w:val="hybridMultilevel"/>
    <w:lvl w:ilvl="0">
      <w:lvlJc w:val="left"/>
      <w:lvlText w:val="%1."/>
      <w:numFmt w:val="decimal"/>
      <w:start w:val="1"/>
    </w:lvl>
  </w:abstractNum>
  <w:abstractNum w:abstractNumId="4">
    <w:nsid w:val="6A3DD3E8"/>
    <w:multiLevelType w:val="hybridMultilevel"/>
    <w:lvl w:ilvl="0">
      <w:lvlJc w:val="left"/>
      <w:lvlText w:val="%1."/>
      <w:numFmt w:val="decimal"/>
      <w:start w:val="2"/>
    </w:lvl>
  </w:abstractNum>
  <w:abstractNum w:abstractNumId="5">
    <w:nsid w:val="71C91298"/>
    <w:multiLevelType w:val="hybridMultilevel"/>
    <w:lvl w:ilvl="0">
      <w:lvlJc w:val="left"/>
      <w:lvlText w:val="%1."/>
      <w:numFmt w:val="decimal"/>
      <w:start w:val="3"/>
    </w:lvl>
  </w:abstractNum>
  <w:abstractNum w:abstractNumId="6">
    <w:nsid w:val="9DAF632"/>
    <w:multiLevelType w:val="hybridMultilevel"/>
    <w:lvl w:ilvl="0">
      <w:lvlJc w:val="left"/>
      <w:lvlText w:val="%1."/>
      <w:numFmt w:val="decimal"/>
      <w:start w:val="4"/>
    </w:lvl>
  </w:abstractNum>
  <w:abstractNum w:abstractNumId="7">
    <w:nsid w:val="53299938"/>
    <w:multiLevelType w:val="hybridMultilevel"/>
    <w:lvl w:ilvl="0">
      <w:lvlJc w:val="left"/>
      <w:lvlText w:val="%1."/>
      <w:numFmt w:val="decimal"/>
      <w:start w:val="6"/>
    </w:lvl>
  </w:abstractNum>
  <w:abstractNum w:abstractNumId="8">
    <w:nsid w:val="1FBFE8E0"/>
    <w:multiLevelType w:val="hybridMultilevel"/>
    <w:lvl w:ilvl="0">
      <w:lvlJc w:val="left"/>
      <w:lvlText w:val="%1."/>
      <w:numFmt w:val="decimal"/>
      <w:start w:val="7"/>
    </w:lvl>
  </w:abstractNum>
  <w:abstractNum w:abstractNumId="9">
    <w:nsid w:val="5092CA79"/>
    <w:multiLevelType w:val="hybridMultilevel"/>
    <w:lvl w:ilvl="0">
      <w:lvlJc w:val="left"/>
      <w:lvlText w:val="%1."/>
      <w:numFmt w:val="decimal"/>
      <w:start w:val="8"/>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1."/>
      <w:numFmt w:val="decimal"/>
      <w:start w:val="9"/>
    </w:lvl>
  </w:abstractNum>
  <w:abstractNum w:abstractNumId="12">
    <w:nsid w:val="288F1A34"/>
    <w:multiLevelType w:val="hybridMultilevel"/>
    <w:lvl w:ilvl="0">
      <w:lvlJc w:val="left"/>
      <w:lvlText w:val="%1."/>
      <w:numFmt w:val="decimal"/>
      <w:start w:val="10"/>
    </w:lvl>
  </w:abstractNum>
  <w:abstractNum w:abstractNumId="13">
    <w:nsid w:val="2A155DBC"/>
    <w:multiLevelType w:val="hybridMultilevel"/>
    <w:lvl w:ilvl="0">
      <w:lvlJc w:val="left"/>
      <w:lvlText w:val="(%1)"/>
      <w:numFmt w:val="decimal"/>
      <w:start w:val="1"/>
    </w:lvl>
  </w:abstractNum>
  <w:abstractNum w:abstractNumId="14">
    <w:nsid w:val="1D9F6E5F"/>
    <w:multiLevelType w:val="hybridMultilevel"/>
    <w:lvl w:ilvl="0">
      <w:lvlJc w:val="left"/>
      <w:lvlText w:val="(%1)"/>
      <w:numFmt w:val="decimal"/>
      <w:start w:val="1"/>
    </w:lvl>
  </w:abstractNum>
  <w:abstractNum w:abstractNumId="15">
    <w:nsid w:val="97E1B4E"/>
    <w:multiLevelType w:val="hybridMultilevel"/>
    <w:lvl w:ilvl="0">
      <w:lvlJc w:val="left"/>
      <w:lvlText w:val="(%1)"/>
      <w:numFmt w:val="decimal"/>
      <w:start w:val="1"/>
    </w:lvl>
  </w:abstractNum>
  <w:abstractNum w:abstractNumId="16">
    <w:nsid w:val="51088277"/>
    <w:multiLevelType w:val="hybridMultilevel"/>
    <w:lvl w:ilvl="0">
      <w:lvlJc w:val="left"/>
      <w:lvlText w:val="(%1)"/>
      <w:numFmt w:val="decimal"/>
      <w:start w:val="1"/>
    </w:lvl>
  </w:abstractNum>
  <w:abstractNum w:abstractNumId="17">
    <w:nsid w:val="1CA0C5FA"/>
    <w:multiLevelType w:val="hybridMultilevel"/>
    <w:lvl w:ilvl="0">
      <w:lvlJc w:val="left"/>
      <w:lvlText w:val="(%1)"/>
      <w:numFmt w:val="decimal"/>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1)"/>
      <w:numFmt w:val="lowerLetter"/>
      <w:start w:val="1"/>
    </w:lvl>
  </w:abstractNum>
  <w:abstractNum w:abstractNumId="24">
    <w:nsid w:val="E7FFA2B"/>
    <w:multiLevelType w:val="hybridMultilevel"/>
    <w:lvl w:ilvl="0">
      <w:lvlJc w:val="left"/>
      <w:lvlText w:val="%1."/>
      <w:numFmt w:val="decimal"/>
      <w:start w:val="1"/>
    </w:lvl>
  </w:abstractNum>
  <w:abstractNum w:abstractNumId="25">
    <w:nsid w:val="3C5991AA"/>
    <w:multiLevelType w:val="hybridMultilevel"/>
    <w:lvl w:ilvl="0">
      <w:lvlJc w:val="left"/>
      <w:lvlText w:val="(%1)"/>
      <w:numFmt w:val="lowerLetter"/>
      <w:start w:val="1"/>
    </w:lvl>
  </w:abstractNum>
  <w:abstractNum w:abstractNumId="26">
    <w:nsid w:val="4BD8591A"/>
    <w:multiLevelType w:val="hybridMultilevel"/>
    <w:lvl w:ilvl="0">
      <w:lvlJc w:val="left"/>
      <w:lvlText w:val="(%1)"/>
      <w:numFmt w:val="lowerLetter"/>
      <w:start w:val="2"/>
    </w:lvl>
  </w:abstractNum>
  <w:abstractNum w:abstractNumId="27">
    <w:nsid w:val="78DF6A55"/>
    <w:multiLevelType w:val="hybridMultilevel"/>
    <w:lvl w:ilvl="0">
      <w:lvlJc w:val="left"/>
      <w:lvlText w:val="%1."/>
      <w:numFmt w:val="decimal"/>
      <w:start w:val="2"/>
    </w:lvl>
  </w:abstractNum>
  <w:abstractNum w:abstractNumId="28">
    <w:nsid w:val="39B7AAA2"/>
    <w:multiLevelType w:val="hybridMultilevel"/>
    <w:lvl w:ilvl="0">
      <w:lvlJc w:val="left"/>
      <w:lvlText w:val="(%1)"/>
      <w:numFmt w:val="lowerLetter"/>
      <w:start w:val="1"/>
    </w:lvl>
  </w:abstractNum>
  <w:abstractNum w:abstractNumId="29">
    <w:nsid w:val="2B0D8DBE"/>
    <w:multiLevelType w:val="hybridMultilevel"/>
    <w:lvl w:ilvl="0">
      <w:lvlJc w:val="left"/>
      <w:lvlText w:val="%1."/>
      <w:numFmt w:val="decimal"/>
      <w:start w:val="4"/>
    </w:lvl>
  </w:abstractNum>
  <w:abstractNum w:abstractNumId="30">
    <w:nsid w:val="6C80EC70"/>
    <w:multiLevelType w:val="hybridMultilevel"/>
    <w:lvl w:ilvl="0">
      <w:lvlJc w:val="left"/>
      <w:lvlText w:val="%1"/>
      <w:numFmt w:val="lowerLetter"/>
      <w:start w:val="1"/>
    </w:lvl>
    <w:lvl w:ilvl="1">
      <w:lvlJc w:val="left"/>
      <w:lvlText w:val="(%2)"/>
      <w:numFmt w:val="lowerLetter"/>
      <w:start w:val="1"/>
    </w:lvl>
  </w:abstractNum>
  <w:abstractNum w:abstractNumId="31">
    <w:nsid w:val="379E21B5"/>
    <w:multiLevelType w:val="hybridMultilevel"/>
    <w:lvl w:ilvl="0">
      <w:lvlJc w:val="left"/>
      <w:lvlText w:val="(%1)"/>
      <w:numFmt w:val="lowerLetter"/>
      <w:start w:val="9"/>
    </w:lvl>
    <w:lvl w:ilvl="1">
      <w:lvlJc w:val="left"/>
      <w:lvlText w:val="(%2)"/>
      <w:numFmt w:val="lowerLetter"/>
      <w:start w:val="2"/>
    </w:lvl>
  </w:abstractNum>
  <w:abstractNum w:abstractNumId="32">
    <w:nsid w:val="69E373"/>
    <w:multiLevelType w:val="hybridMultilevel"/>
    <w:lvl w:ilvl="0">
      <w:lvlJc w:val="left"/>
      <w:lvlText w:val="%1."/>
      <w:numFmt w:val="decimal"/>
      <w:start w:val="5"/>
    </w:lvl>
  </w:abstractNum>
  <w:abstractNum w:abstractNumId="33">
    <w:nsid w:val="2C27173B"/>
    <w:multiLevelType w:val="hybridMultilevel"/>
    <w:lvl w:ilvl="0">
      <w:lvlJc w:val="left"/>
      <w:lvlText w:val="%1."/>
      <w:numFmt w:val="decimal"/>
      <w:start w:val="6"/>
    </w:lvl>
  </w:abstractNum>
  <w:abstractNum w:abstractNumId="34">
    <w:nsid w:val="4C9B0904"/>
    <w:multiLevelType w:val="hybridMultilevel"/>
    <w:lvl w:ilvl="0">
      <w:lvlJc w:val="left"/>
      <w:lvlText w:val="%1"/>
      <w:numFmt w:val="lowerLetter"/>
      <w:start w:val="1"/>
    </w:lvl>
    <w:lvl w:ilvl="1">
      <w:lvlJc w:val="left"/>
      <w:lvlText w:val="(%2)"/>
      <w:numFmt w:val="lowerLetter"/>
      <w:start w:val="1"/>
    </w:lvl>
  </w:abstractNum>
  <w:abstractNum w:abstractNumId="35">
    <w:nsid w:val="6AA7B75C"/>
    <w:multiLevelType w:val="hybridMultilevel"/>
    <w:lvl w:ilvl="0">
      <w:lvlJc w:val="left"/>
      <w:lvlText w:val="(%1)"/>
      <w:numFmt w:val="lowerLetter"/>
      <w:start w:val="35"/>
    </w:lvl>
    <w:lvl w:ilvl="1">
      <w:lvlJc w:val="left"/>
      <w:lvlText w:val="(%2)"/>
      <w:numFmt w:val="lowerLetter"/>
      <w:start w:val="3"/>
    </w:lvl>
  </w:abstractNum>
  <w:abstractNum w:abstractNumId="36">
    <w:nsid w:val="1DF029D3"/>
    <w:multiLevelType w:val="hybridMultilevel"/>
    <w:lvl w:ilvl="0">
      <w:lvlJc w:val="left"/>
      <w:lvlText w:val="%1."/>
      <w:numFmt w:val="decimal"/>
      <w:start w:val="7"/>
    </w:lvl>
  </w:abstractNum>
  <w:abstractNum w:abstractNumId="37">
    <w:nsid w:val="5675FF36"/>
    <w:multiLevelType w:val="hybridMultilevel"/>
    <w:lvl w:ilvl="0">
      <w:lvlJc w:val="left"/>
      <w:lvlText w:val="%1."/>
      <w:numFmt w:val="decimal"/>
      <w:start w:val="8"/>
    </w:lvl>
  </w:abstractNum>
  <w:abstractNum w:abstractNumId="38">
    <w:nsid w:val="3DD15094"/>
    <w:multiLevelType w:val="hybridMultilevel"/>
    <w:lvl w:ilvl="0">
      <w:lvlJc w:val="left"/>
      <w:lvlText w:val="(%1)"/>
      <w:numFmt w:val="lowerLetter"/>
      <w:start w:val="1"/>
    </w:lvl>
  </w:abstractNum>
  <w:abstractNum w:abstractNumId="39">
    <w:nsid w:val="3DB012B3"/>
    <w:multiLevelType w:val="hybridMultilevel"/>
    <w:lvl w:ilvl="0">
      <w:lvlJc w:val="left"/>
      <w:lvlText w:val="(%1)"/>
      <w:numFmt w:val="lowerLetter"/>
      <w:start w:val="1"/>
    </w:lvl>
  </w:abstractNum>
  <w:abstractNum w:abstractNumId="40">
    <w:nsid w:val="2708C9AF"/>
    <w:multiLevelType w:val="hybridMultilevel"/>
    <w:lvl w:ilvl="0">
      <w:lvlJc w:val="left"/>
      <w:lvlText w:val="(%1)"/>
      <w:numFmt w:val="lowerLetter"/>
      <w:start w:val="9"/>
    </w:lvl>
  </w:abstractNum>
  <w:abstractNum w:abstractNumId="41">
    <w:nsid w:val="5B25ACE2"/>
    <w:multiLevelType w:val="hybridMultilevel"/>
    <w:lvl w:ilvl="0">
      <w:lvlJc w:val="left"/>
      <w:lvlText w:val="(%1)"/>
      <w:numFmt w:val="lowerLetter"/>
      <w:start w:val="14"/>
    </w:lvl>
  </w:abstractNum>
  <w:abstractNum w:abstractNumId="42">
    <w:nsid w:val="175DFCF0"/>
    <w:multiLevelType w:val="hybridMultilevel"/>
    <w:lvl w:ilvl="0">
      <w:lvlJc w:val="left"/>
      <w:lvlText w:val="(%1)"/>
      <w:numFmt w:val="lowerLetter"/>
      <w:start w:val="18"/>
    </w:lvl>
  </w:abstractNum>
  <w:abstractNum w:abstractNumId="43">
    <w:nsid w:val="4F97E3E4"/>
    <w:multiLevelType w:val="hybridMultilevel"/>
    <w:lvl w:ilvl="0">
      <w:lvlJc w:val="left"/>
      <w:lvlText w:val="(%1)"/>
      <w:numFmt w:val="lowerLetter"/>
      <w:start w:val="1"/>
    </w:lvl>
  </w:abstractNum>
  <w:abstractNum w:abstractNumId="44">
    <w:nsid w:val="53B0A9E"/>
    <w:multiLevelType w:val="hybridMultilevel"/>
    <w:lvl w:ilvl="0">
      <w:lvlJc w:val="left"/>
      <w:lvlText w:val="(%1)"/>
      <w:numFmt w:val="lowerLetter"/>
      <w:start w:val="4"/>
    </w:lvl>
  </w:abstractNum>
  <w:abstractNum w:abstractNumId="45">
    <w:nsid w:val="34FD6B4F"/>
    <w:multiLevelType w:val="hybridMultilevel"/>
    <w:lvl w:ilvl="0">
      <w:lvlJc w:val="left"/>
      <w:lvlText w:val="(%1)"/>
      <w:numFmt w:val="lowerLetter"/>
      <w:start w:val="1"/>
    </w:lvl>
  </w:abstractNum>
  <w:abstractNum w:abstractNumId="46">
    <w:nsid w:val="5915FF32"/>
    <w:multiLevelType w:val="hybridMultilevel"/>
    <w:lvl w:ilvl="0">
      <w:lvlJc w:val="left"/>
      <w:lvlText w:val="(%1)"/>
      <w:numFmt w:val="lowerLetter"/>
      <w:start w:val="5"/>
    </w:lvl>
  </w:abstractNum>
  <w:abstractNum w:abstractNumId="47">
    <w:nsid w:val="56438D15"/>
    <w:multiLevelType w:val="hybridMultilevel"/>
    <w:lvl w:ilvl="0">
      <w:lvlJc w:val="left"/>
      <w:lvlText w:val="(%1)"/>
      <w:numFmt w:val="lowerLetter"/>
      <w:start w:val="1"/>
    </w:lvl>
  </w:abstractNum>
  <w:abstractNum w:abstractNumId="48">
    <w:nsid w:val="519E3149"/>
    <w:multiLevelType w:val="hybridMultilevel"/>
    <w:lvl w:ilvl="0">
      <w:lvlJc w:val="left"/>
      <w:lvlText w:val="(%1)"/>
      <w:numFmt w:val="lowerLetter"/>
      <w:start w:val="6"/>
    </w:lvl>
  </w:abstractNum>
  <w:abstractNum w:abstractNumId="49">
    <w:nsid w:val="2C6E4AFD"/>
    <w:multiLevelType w:val="hybridMultilevel"/>
    <w:lvl w:ilvl="0">
      <w:lvlJc w:val="left"/>
      <w:lvlText w:val="(%1)"/>
      <w:numFmt w:val="lowerLetter"/>
      <w:start w:val="1"/>
    </w:lvl>
  </w:abstractNum>
  <w:abstractNum w:abstractNumId="50">
    <w:nsid w:val="17A1B582"/>
    <w:multiLevelType w:val="hybridMultilevel"/>
    <w:lvl w:ilvl="0">
      <w:lvlJc w:val="left"/>
      <w:lvlText w:val="(%1)"/>
      <w:numFmt w:val="lowerLetter"/>
      <w:start w:val="1"/>
    </w:lvl>
  </w:abstractNum>
  <w:abstractNum w:abstractNumId="51">
    <w:nsid w:val="4DF72E4E"/>
    <w:multiLevelType w:val="hybridMultilevel"/>
    <w:lvl w:ilvl="0">
      <w:lvlJc w:val="left"/>
      <w:lvlText w:val="(%1)"/>
      <w:numFmt w:val="lowerLetter"/>
      <w:start w:val="1"/>
    </w:lvl>
  </w:abstractNum>
  <w:abstractNum w:abstractNumId="52">
    <w:nsid w:val="5046B5A9"/>
    <w:multiLevelType w:val="hybridMultilevel"/>
    <w:lvl w:ilvl="0">
      <w:lvlJc w:val="left"/>
      <w:lvlText w:val="(%1)"/>
      <w:numFmt w:val="lowerLetter"/>
      <w:start w:val="3"/>
    </w:lvl>
  </w:abstractNum>
  <w:abstractNum w:abstractNumId="53">
    <w:nsid w:val="5D888A08"/>
    <w:multiLevelType w:val="hybridMultilevel"/>
    <w:lvl w:ilvl="0">
      <w:lvlJc w:val="left"/>
      <w:lvlText w:val="%1"/>
      <w:numFmt w:val="decimal"/>
      <w:start w:val="1"/>
    </w:lvl>
    <w:lvl w:ilvl="1">
      <w:lvlJc w:val="left"/>
      <w:lvlText w:val="(%2)"/>
      <w:numFmt w:val="lowerLetter"/>
      <w:start w:val="1"/>
    </w:lvl>
  </w:abstractNum>
  <w:abstractNum w:abstractNumId="54">
    <w:nsid w:val="2A082C70"/>
    <w:multiLevelType w:val="hybridMultilevel"/>
    <w:lvl w:ilvl="0">
      <w:lvlJc w:val="left"/>
      <w:lvlText w:val="(%1)"/>
      <w:numFmt w:val="decimal"/>
      <w:start w:val="1"/>
    </w:lvl>
    <w:lvl w:ilvl="1">
      <w:lvlJc w:val="left"/>
      <w:lvlText w:val="%2"/>
      <w:numFmt w:val="lowerLetter"/>
      <w:start w:val="1"/>
    </w:lvl>
  </w:abstractNum>
  <w:abstractNum w:abstractNumId="55">
    <w:nsid w:val="5EC6AFD4"/>
    <w:multiLevelType w:val="hybridMultilevel"/>
    <w:lvl w:ilvl="0">
      <w:lvlJc w:val="left"/>
      <w:lvlText w:val="(%1)"/>
      <w:numFmt w:val="lowerLetter"/>
      <w:start w:val="2"/>
    </w:lvl>
  </w:abstractNum>
  <w:abstractNum w:abstractNumId="56">
    <w:nsid w:val="19E21BB2"/>
    <w:multiLevelType w:val="hybridMultilevel"/>
    <w:lvl w:ilvl="0">
      <w:lvlJc w:val="left"/>
      <w:lvlText w:val="%1"/>
      <w:numFmt w:val="lowerLetter"/>
      <w:start w:val="1"/>
    </w:lvl>
    <w:lvl w:ilvl="1">
      <w:lvlJc w:val="left"/>
      <w:lvlText w:val="(%2)"/>
      <w:numFmt w:val="lowerLetter"/>
      <w:start w:val="1"/>
    </w:lvl>
  </w:abstractNum>
  <w:abstractNum w:abstractNumId="57">
    <w:nsid w:val="75E0858A"/>
    <w:multiLevelType w:val="hybridMultilevel"/>
    <w:lvl w:ilvl="0">
      <w:lvlJc w:val="left"/>
      <w:lvlText w:val="(%1)"/>
      <w:numFmt w:val="lowerLetter"/>
      <w:start w:val="61"/>
    </w:lvl>
    <w:lvl w:ilvl="1">
      <w:lvlJc w:val="left"/>
      <w:lvlText w:val="(%2)"/>
      <w:numFmt w:val="lowerLetter"/>
      <w:start w:val="2"/>
    </w:lvl>
  </w:abstractNum>
  <w:abstractNum w:abstractNumId="58">
    <w:nsid w:val="57A61A29"/>
    <w:multiLevelType w:val="hybridMultilevel"/>
    <w:lvl w:ilvl="0">
      <w:lvlJc w:val="left"/>
      <w:lvlText w:val="(%1)"/>
      <w:numFmt w:val="lowerLetter"/>
      <w:start w:val="1"/>
    </w:lvl>
  </w:abstractNum>
  <w:abstractNum w:abstractNumId="59">
    <w:nsid w:val="5399C654"/>
    <w:multiLevelType w:val="hybridMultilevel"/>
    <w:lvl w:ilvl="0">
      <w:lvlJc w:val="left"/>
      <w:lvlText w:val="(%1)"/>
      <w:numFmt w:val="lowerRoman"/>
      <w:start w:val="1"/>
    </w:lvl>
  </w:abstractNum>
  <w:abstractNum w:abstractNumId="60">
    <w:nsid w:val="20EE1348"/>
    <w:multiLevelType w:val="hybridMultilevel"/>
    <w:lvl w:ilvl="0">
      <w:lvlJc w:val="left"/>
      <w:lvlText w:val="(%1)"/>
      <w:numFmt w:val="lowerLetter"/>
      <w:start w:val="1"/>
    </w:lvl>
  </w:abstractNum>
  <w:abstractNum w:abstractNumId="61">
    <w:nsid w:val="4427069A"/>
    <w:multiLevelType w:val="hybridMultilevel"/>
    <w:lvl w:ilvl="0">
      <w:lvlJc w:val="left"/>
      <w:lvlText w:val="(%1)"/>
      <w:numFmt w:val="lowerLetter"/>
      <w:start w:val="7"/>
    </w:lvl>
  </w:abstractNum>
  <w:abstractNum w:abstractNumId="62">
    <w:nsid w:val="B37E80A"/>
    <w:multiLevelType w:val="hybridMultilevel"/>
    <w:lvl w:ilvl="0">
      <w:lvlJc w:val="left"/>
      <w:lvlText w:val="(%1)"/>
      <w:numFmt w:val="decimal"/>
      <w:start w:val="90"/>
    </w:lvl>
  </w:abstractNum>
  <w:abstractNum w:abstractNumId="63">
    <w:nsid w:val="2157F6BC"/>
    <w:multiLevelType w:val="hybridMultilevel"/>
    <w:lvl w:ilvl="0">
      <w:lvlJc w:val="left"/>
      <w:lvlText w:val="(%1)"/>
      <w:numFmt w:val="decimal"/>
      <w:start w:val="1"/>
    </w:lvl>
  </w:abstractNum>
  <w:abstractNum w:abstractNumId="64">
    <w:nsid w:val="704E1DD5"/>
    <w:multiLevelType w:val="hybridMultilevel"/>
    <w:lvl w:ilvl="0">
      <w:lvlJc w:val="left"/>
      <w:lvlText w:val="(%1)"/>
      <w:numFmt w:val="lowerLetter"/>
      <w:start w:val="1"/>
    </w:lvl>
  </w:abstractNum>
  <w:abstractNum w:abstractNumId="65">
    <w:nsid w:val="57D2F10E"/>
    <w:multiLevelType w:val="hybridMultilevel"/>
    <w:lvl w:ilvl="0">
      <w:lvlJc w:val="left"/>
      <w:lvlText w:val="(%1)"/>
      <w:numFmt w:val="decimal"/>
      <w:start w:val="2"/>
    </w:lvl>
  </w:abstractNum>
  <w:abstractNum w:abstractNumId="66">
    <w:nsid w:val="BFFAE18"/>
    <w:multiLevelType w:val="hybridMultilevel"/>
    <w:lvl w:ilvl="0">
      <w:lvlJc w:val="left"/>
      <w:lvlText w:val="%1."/>
      <w:numFmt w:val="decimal"/>
      <w:start w:val="1"/>
    </w:lvl>
  </w:abstractNum>
  <w:abstractNum w:abstractNumId="67">
    <w:nsid w:val="E3E47A8"/>
    <w:multiLevelType w:val="hybridMultilevel"/>
    <w:lvl w:ilvl="0">
      <w:lvlJc w:val="left"/>
      <w:lvlText w:val="(%1)"/>
      <w:numFmt w:val="lowerLetter"/>
      <w:start w:val="1"/>
    </w:lvl>
  </w:abstractNum>
  <w:abstractNum w:abstractNumId="68">
    <w:nsid w:val="2E48F044"/>
    <w:multiLevelType w:val="hybridMultilevel"/>
    <w:lvl w:ilvl="0">
      <w:lvlJc w:val="left"/>
      <w:lvlText w:val="(%1)"/>
      <w:numFmt w:val="lowerLetter"/>
      <w:start w:val="2"/>
    </w:lvl>
  </w:abstractNum>
  <w:abstractNum w:abstractNumId="69">
    <w:nsid w:val="49D0FEAC"/>
    <w:multiLevelType w:val="hybridMultilevel"/>
    <w:lvl w:ilvl="0">
      <w:lvlJc w:val="left"/>
      <w:lvlText w:val="%1."/>
      <w:numFmt w:val="decimal"/>
      <w:start w:val="2"/>
    </w:lvl>
  </w:abstractNum>
  <w:abstractNum w:abstractNumId="70">
    <w:nsid w:val="4BEE5A5B"/>
    <w:multiLevelType w:val="hybridMultilevel"/>
    <w:lvl w:ilvl="0">
      <w:lvlJc w:val="left"/>
      <w:lvlText w:val="(%1)"/>
      <w:numFmt w:val="lowerLetter"/>
      <w:start w:val="1"/>
    </w:lvl>
  </w:abstractNum>
  <w:abstractNum w:abstractNumId="71">
    <w:nsid w:val="5551B9F3"/>
    <w:multiLevelType w:val="hybridMultilevel"/>
    <w:lvl w:ilvl="0">
      <w:lvlJc w:val="left"/>
      <w:lvlText w:val="%1."/>
      <w:numFmt w:val="decimal"/>
      <w:start w:val="4"/>
    </w:lvl>
  </w:abstractNum>
  <w:abstractNum w:abstractNumId="72">
    <w:nsid w:val="24F6AB8E"/>
    <w:multiLevelType w:val="hybridMultilevel"/>
    <w:lvl w:ilvl="0">
      <w:lvlJc w:val="left"/>
      <w:lvlText w:val="%1"/>
      <w:numFmt w:val="lowerLetter"/>
      <w:start w:val="1"/>
    </w:lvl>
    <w:lvl w:ilvl="1">
      <w:lvlJc w:val="left"/>
      <w:lvlText w:val="(%2)"/>
      <w:numFmt w:val="lowerLetter"/>
      <w:start w:val="1"/>
    </w:lvl>
  </w:abstractNum>
  <w:abstractNum w:abstractNumId="73">
    <w:nsid w:val="634C574C"/>
    <w:multiLevelType w:val="hybridMultilevel"/>
    <w:lvl w:ilvl="0">
      <w:lvlJc w:val="left"/>
      <w:lvlText w:val="(%1)"/>
      <w:numFmt w:val="lowerLetter"/>
      <w:start w:val="9"/>
    </w:lvl>
    <w:lvl w:ilvl="1">
      <w:lvlJc w:val="left"/>
      <w:lvlText w:val="(%2)"/>
      <w:numFmt w:val="lowerLetter"/>
      <w:start w:val="2"/>
    </w:lvl>
  </w:abstractNum>
  <w:abstractNum w:abstractNumId="74">
    <w:nsid w:val="24E99DD7"/>
    <w:multiLevelType w:val="hybridMultilevel"/>
    <w:lvl w:ilvl="0">
      <w:lvlJc w:val="left"/>
      <w:lvlText w:val="%1."/>
      <w:numFmt w:val="decimal"/>
      <w:start w:val="5"/>
    </w:lvl>
  </w:abstractNum>
  <w:abstractNum w:abstractNumId="75">
    <w:nsid w:val="2A31B62D"/>
    <w:multiLevelType w:val="hybridMultilevel"/>
    <w:lvl w:ilvl="0">
      <w:lvlJc w:val="left"/>
      <w:lvlText w:val="%1."/>
      <w:numFmt w:val="decimal"/>
      <w:start w:val="6"/>
    </w:lvl>
  </w:abstractNum>
  <w:abstractNum w:abstractNumId="76">
    <w:nsid w:val="1849C29B"/>
    <w:multiLevelType w:val="hybridMultilevel"/>
    <w:lvl w:ilvl="0">
      <w:lvlJc w:val="left"/>
      <w:lvlText w:val="%1"/>
      <w:numFmt w:val="lowerLetter"/>
      <w:start w:val="1"/>
    </w:lvl>
    <w:lvl w:ilvl="1">
      <w:lvlJc w:val="left"/>
      <w:lvlText w:val="(%2)"/>
      <w:numFmt w:val="lowerLetter"/>
      <w:start w:val="1"/>
    </w:lvl>
  </w:abstractNum>
  <w:abstractNum w:abstractNumId="77">
    <w:nsid w:val="7DFF9D09"/>
    <w:multiLevelType w:val="hybridMultilevel"/>
    <w:lvl w:ilvl="0">
      <w:lvlJc w:val="left"/>
      <w:lvlText w:val="(%1)"/>
      <w:numFmt w:val="lowerLetter"/>
      <w:start w:val="35"/>
    </w:lvl>
    <w:lvl w:ilvl="1">
      <w:lvlJc w:val="left"/>
      <w:lvlText w:val="(%2)"/>
      <w:numFmt w:val="lowerLetter"/>
      <w:start w:val="3"/>
    </w:lvl>
  </w:abstractNum>
  <w:abstractNum w:abstractNumId="78">
    <w:nsid w:val="754342"/>
    <w:multiLevelType w:val="hybridMultilevel"/>
    <w:lvl w:ilvl="0">
      <w:lvlJc w:val="left"/>
      <w:lvlText w:val="%1."/>
      <w:numFmt w:val="decimal"/>
      <w:start w:val="7"/>
    </w:lvl>
  </w:abstractNum>
  <w:abstractNum w:abstractNumId="79">
    <w:nsid w:val="69E7F3E5"/>
    <w:multiLevelType w:val="hybridMultilevel"/>
    <w:lvl w:ilvl="0">
      <w:lvlJc w:val="left"/>
      <w:lvlText w:val="%1."/>
      <w:numFmt w:val="decimal"/>
      <w:start w:val="8"/>
    </w:lvl>
  </w:abstractNum>
  <w:abstractNum w:abstractNumId="80">
    <w:nsid w:val="2A6DE806"/>
    <w:multiLevelType w:val="hybridMultilevel"/>
    <w:lvl w:ilvl="0">
      <w:lvlJc w:val="left"/>
      <w:lvlText w:val="(%1)"/>
      <w:numFmt w:val="lowerLetter"/>
      <w:start w:val="1"/>
    </w:lvl>
  </w:abstractNum>
  <w:abstractNum w:abstractNumId="81">
    <w:nsid w:val="1816F8C4"/>
    <w:multiLevelType w:val="hybridMultilevel"/>
    <w:lvl w:ilvl="0">
      <w:lvlJc w:val="left"/>
      <w:lvlText w:val="(%1)"/>
      <w:numFmt w:val="lowerLetter"/>
      <w:start w:val="1"/>
    </w:lvl>
  </w:abstractNum>
  <w:abstractNum w:abstractNumId="82">
    <w:nsid w:val="37DF2233"/>
    <w:multiLevelType w:val="hybridMultilevel"/>
    <w:lvl w:ilvl="0">
      <w:lvlJc w:val="left"/>
      <w:lvlText w:val="(%1)"/>
      <w:numFmt w:val="lowerLetter"/>
      <w:start w:val="9"/>
    </w:lvl>
  </w:abstractNum>
  <w:abstractNum w:abstractNumId="83">
    <w:nsid w:val="7AB49DAF"/>
    <w:multiLevelType w:val="hybridMultilevel"/>
    <w:lvl w:ilvl="0">
      <w:lvlJc w:val="left"/>
      <w:lvlText w:val="(%1)"/>
      <w:numFmt w:val="lowerLetter"/>
      <w:start w:val="14"/>
    </w:lvl>
  </w:abstractNum>
  <w:abstractNum w:abstractNumId="84">
    <w:nsid w:val="759F82CD"/>
    <w:multiLevelType w:val="hybridMultilevel"/>
    <w:lvl w:ilvl="0">
      <w:lvlJc w:val="left"/>
      <w:lvlText w:val="(%1)"/>
      <w:numFmt w:val="lowerLetter"/>
      <w:start w:val="18"/>
    </w:lvl>
  </w:abstractNum>
  <w:abstractNum w:abstractNumId="85">
    <w:nsid w:val="61E74EA3"/>
    <w:multiLevelType w:val="hybridMultilevel"/>
    <w:lvl w:ilvl="0">
      <w:lvlJc w:val="left"/>
      <w:lvlText w:val="(%1)"/>
      <w:numFmt w:val="lowerLetter"/>
      <w:start w:val="1"/>
    </w:lvl>
  </w:abstractNum>
  <w:abstractNum w:abstractNumId="86">
    <w:nsid w:val="597B4D84"/>
    <w:multiLevelType w:val="hybridMultilevel"/>
    <w:lvl w:ilvl="0">
      <w:lvlJc w:val="left"/>
      <w:lvlText w:val="(%1)"/>
      <w:numFmt w:val="lowerLetter"/>
      <w:start w:val="4"/>
    </w:lvl>
  </w:abstractNum>
  <w:abstractNum w:abstractNumId="87">
    <w:nsid w:val="F819E7F"/>
    <w:multiLevelType w:val="hybridMultilevel"/>
    <w:lvl w:ilvl="0">
      <w:lvlJc w:val="left"/>
      <w:lvlText w:val="(%1)"/>
      <w:numFmt w:val="lowerLetter"/>
      <w:start w:val="1"/>
    </w:lvl>
  </w:abstractNum>
  <w:abstractNum w:abstractNumId="88">
    <w:nsid w:val="57C7D42D"/>
    <w:multiLevelType w:val="hybridMultilevel"/>
    <w:lvl w:ilvl="0">
      <w:lvlJc w:val="left"/>
      <w:lvlText w:val="(%1)"/>
      <w:numFmt w:val="lowerLetter"/>
      <w:start w:val="5"/>
    </w:lvl>
  </w:abstractNum>
  <w:abstractNum w:abstractNumId="89">
    <w:nsid w:val="312167AD"/>
    <w:multiLevelType w:val="hybridMultilevel"/>
    <w:lvl w:ilvl="0">
      <w:lvlJc w:val="left"/>
      <w:lvlText w:val="(%1)"/>
      <w:numFmt w:val="lowerLetter"/>
      <w:start w:val="1"/>
    </w:lvl>
  </w:abstractNum>
  <w:abstractNum w:abstractNumId="90">
    <w:nsid w:val="631B64D4"/>
    <w:multiLevelType w:val="hybridMultilevel"/>
    <w:lvl w:ilvl="0">
      <w:lvlJc w:val="left"/>
      <w:lvlText w:val="(%1)"/>
      <w:numFmt w:val="lowerLetter"/>
      <w:start w:val="6"/>
    </w:lvl>
  </w:abstractNum>
  <w:abstractNum w:abstractNumId="91">
    <w:nsid w:val="78B5E776"/>
    <w:multiLevelType w:val="hybridMultilevel"/>
    <w:lvl w:ilvl="0">
      <w:lvlJc w:val="left"/>
      <w:lvlText w:val="(%1)"/>
      <w:numFmt w:val="lowerLetter"/>
      <w:start w:val="1"/>
    </w:lvl>
  </w:abstractNum>
  <w:abstractNum w:abstractNumId="92">
    <w:nsid w:val="75486E47"/>
    <w:multiLevelType w:val="hybridMultilevel"/>
    <w:lvl w:ilvl="0">
      <w:lvlJc w:val="left"/>
      <w:lvlText w:val="(%1)"/>
      <w:numFmt w:val="lowerLetter"/>
      <w:start w:val="1"/>
    </w:lvl>
  </w:abstractNum>
  <w:abstractNum w:abstractNumId="93">
    <w:nsid w:val="6E534CDE"/>
    <w:multiLevelType w:val="hybridMultilevel"/>
    <w:lvl w:ilvl="0">
      <w:lvlJc w:val="left"/>
      <w:lvlText w:val="(%1)"/>
      <w:numFmt w:val="lowerLetter"/>
      <w:start w:val="1"/>
    </w:lvl>
  </w:abstractNum>
  <w:abstractNum w:abstractNumId="94">
    <w:nsid w:val="1A0DDE32"/>
    <w:multiLevelType w:val="hybridMultilevel"/>
    <w:lvl w:ilvl="0">
      <w:lvlJc w:val="left"/>
      <w:lvlText w:val="(%1)"/>
      <w:numFmt w:val="lowerLetter"/>
      <w:start w:val="3"/>
    </w:lvl>
  </w:abstractNum>
  <w:abstractNum w:abstractNumId="95">
    <w:nsid w:val="65968C1C"/>
    <w:multiLevelType w:val="hybridMultilevel"/>
    <w:lvl w:ilvl="0">
      <w:lvlJc w:val="left"/>
      <w:lvlText w:val="%1"/>
      <w:numFmt w:val="decimal"/>
      <w:start w:val="1"/>
    </w:lvl>
    <w:lvl w:ilvl="1">
      <w:lvlJc w:val="left"/>
      <w:lvlText w:val="(%2)"/>
      <w:numFmt w:val="lowerLetter"/>
      <w:start w:val="1"/>
    </w:lvl>
  </w:abstractNum>
  <w:abstractNum w:abstractNumId="96">
    <w:nsid w:val="46263DEC"/>
    <w:multiLevelType w:val="hybridMultilevel"/>
    <w:lvl w:ilvl="0">
      <w:lvlJc w:val="left"/>
      <w:lvlText w:val="(%1)"/>
      <w:numFmt w:val="decimal"/>
      <w:start w:val="1"/>
    </w:lvl>
    <w:lvl w:ilvl="1">
      <w:lvlJc w:val="left"/>
      <w:lvlText w:val="(%2)"/>
      <w:numFmt w:val="lowerLetter"/>
      <w:start w:val="2"/>
    </w:lvl>
  </w:abstractNum>
  <w:abstractNum w:abstractNumId="97">
    <w:nsid w:val="260D8C4A"/>
    <w:multiLevelType w:val="hybridMultilevel"/>
    <w:lvl w:ilvl="0">
      <w:lvlJc w:val="left"/>
      <w:lvlText w:val="%1"/>
      <w:numFmt w:val="lowerLetter"/>
      <w:start w:val="1"/>
    </w:lvl>
    <w:lvl w:ilvl="1">
      <w:lvlJc w:val="left"/>
      <w:lvlText w:val="(%2)"/>
      <w:numFmt w:val="lowerLetter"/>
      <w:start w:val="1"/>
    </w:lvl>
  </w:abstractNum>
  <w:abstractNum w:abstractNumId="98">
    <w:nsid w:val="73D4D3C4"/>
    <w:multiLevelType w:val="hybridMultilevel"/>
    <w:lvl w:ilvl="0">
      <w:lvlJc w:val="left"/>
      <w:lvlText w:val="(%1)"/>
      <w:numFmt w:val="lowerLetter"/>
      <w:start w:val="61"/>
    </w:lvl>
    <w:lvl w:ilvl="1">
      <w:lvlJc w:val="left"/>
      <w:lvlText w:val="(%2)"/>
      <w:numFmt w:val="lowerLetter"/>
      <w:start w:val="2"/>
    </w:lvl>
  </w:abstractNum>
  <w:abstractNum w:abstractNumId="99">
    <w:nsid w:val="746F2E30"/>
    <w:multiLevelType w:val="hybridMultilevel"/>
    <w:lvl w:ilvl="0">
      <w:lvlJc w:val="left"/>
      <w:lvlText w:val="(%1)"/>
      <w:numFmt w:val="lowerLetter"/>
      <w:start w:val="1"/>
    </w:lvl>
  </w:abstractNum>
  <w:abstractNum w:abstractNumId="100">
    <w:nsid w:val="6FDE8AF6"/>
    <w:multiLevelType w:val="hybridMultilevel"/>
    <w:lvl w:ilvl="0">
      <w:lvlJc w:val="left"/>
      <w:lvlText w:val="(%1)"/>
      <w:numFmt w:val="lowerLetter"/>
      <w:start w:val="2"/>
    </w:lvl>
  </w:abstractNum>
  <w:abstractNum w:abstractNumId="101">
    <w:nsid w:val="3FC32E20"/>
    <w:multiLevelType w:val="hybridMultilevel"/>
    <w:lvl w:ilvl="0">
      <w:lvlJc w:val="left"/>
      <w:lvlText w:val="(%1)"/>
      <w:numFmt w:val="lowerRoman"/>
      <w:start w:val="1"/>
    </w:lvl>
  </w:abstractNum>
  <w:abstractNum w:abstractNumId="102">
    <w:nsid w:val="49C0E823"/>
    <w:multiLevelType w:val="hybridMultilevel"/>
    <w:lvl w:ilvl="0">
      <w:lvlJc w:val="left"/>
      <w:lvlText w:val="(%1)"/>
      <w:numFmt w:val="lowerLetter"/>
      <w:start w:val="1"/>
    </w:lvl>
  </w:abstractNum>
  <w:abstractNum w:abstractNumId="103">
    <w:nsid w:val="14D53685"/>
    <w:multiLevelType w:val="hybridMultilevel"/>
    <w:lvl w:ilvl="0">
      <w:lvlJc w:val="left"/>
      <w:lvlText w:val="(%1)"/>
      <w:numFmt w:val="lowerLetter"/>
      <w:start w:val="7"/>
    </w:lvl>
  </w:abstractNum>
  <w:abstractNum w:abstractNumId="104">
    <w:nsid w:val="230F856C"/>
    <w:multiLevelType w:val="hybridMultilevel"/>
    <w:lvl w:ilvl="0">
      <w:lvlJc w:val="left"/>
      <w:lvlText w:val="(%1)"/>
      <w:numFmt w:val="decimal"/>
      <w:start w:val="90"/>
    </w:lvl>
  </w:abstractNum>
  <w:abstractNum w:abstractNumId="105">
    <w:nsid w:val="6EAA85FB"/>
    <w:multiLevelType w:val="hybridMultilevel"/>
    <w:lvl w:ilvl="0">
      <w:lvlJc w:val="left"/>
      <w:lvlText w:val="(%1)"/>
      <w:numFmt w:val="decimal"/>
      <w:start w:val="1"/>
    </w:lvl>
  </w:abstractNum>
  <w:abstractNum w:abstractNumId="106">
    <w:nsid w:val="3F06ECB2"/>
    <w:multiLevelType w:val="hybridMultilevel"/>
    <w:lvl w:ilvl="0">
      <w:lvlJc w:val="left"/>
      <w:lvlText w:val="(%1)"/>
      <w:numFmt w:val="lowerLetter"/>
      <w:start w:val="1"/>
    </w:lvl>
  </w:abstractNum>
  <w:abstractNum w:abstractNumId="107">
    <w:nsid w:val="3B594807"/>
    <w:multiLevelType w:val="hybridMultilevel"/>
    <w:lvl w:ilvl="0">
      <w:lvlJc w:val="left"/>
      <w:lvlText w:val="(%1)"/>
      <w:numFmt w:val="decimal"/>
      <w:start w:val="2"/>
    </w:lvl>
  </w:abstractNum>
  <w:abstractNum w:abstractNumId="108">
    <w:nsid w:val="6CAA2304"/>
    <w:multiLevelType w:val="hybridMultilevel"/>
    <w:lvl w:ilvl="0">
      <w:lvlJc w:val="left"/>
      <w:lvlText w:val="%1."/>
      <w:numFmt w:val="decimal"/>
      <w:start w:val="1"/>
    </w:lvl>
  </w:abstractNum>
  <w:abstractNum w:abstractNumId="109">
    <w:nsid w:val="3F7C2FF4"/>
    <w:multiLevelType w:val="hybridMultilevel"/>
    <w:lvl w:ilvl="0">
      <w:lvlJc w:val="left"/>
      <w:lvlText w:val="(%1)"/>
      <w:numFmt w:val="lowerLetter"/>
      <w:start w:val="1"/>
    </w:lvl>
  </w:abstractNum>
  <w:abstractNum w:abstractNumId="110">
    <w:nsid w:val="25413BEC"/>
    <w:multiLevelType w:val="hybridMultilevel"/>
    <w:lvl w:ilvl="0">
      <w:lvlJc w:val="left"/>
      <w:lvlText w:val="(%1)"/>
      <w:numFmt w:val="lowerLetter"/>
      <w:start w:val="2"/>
    </w:lvl>
    <w:lvl w:ilvl="1">
      <w:lvlJc w:val="left"/>
      <w:lvlText w:val="(%2)"/>
      <w:numFmt w:val="lowerLetter"/>
      <w:start w:val="35"/>
    </w:lvl>
  </w:abstractNum>
  <w:abstractNum w:abstractNumId="111">
    <w:nsid w:val="17180B0B"/>
    <w:multiLevelType w:val="hybridMultilevel"/>
    <w:lvl w:ilvl="0">
      <w:lvlJc w:val="left"/>
      <w:lvlText w:val="(%1)"/>
      <w:numFmt w:val="lowerLetter"/>
      <w:start w:val="25"/>
    </w:lvl>
    <w:lvl w:ilvl="1">
      <w:lvlJc w:val="left"/>
      <w:lvlText w:val="%2"/>
      <w:numFmt w:val="lowerLetter"/>
      <w:start w:val="1"/>
    </w:lvl>
  </w:abstractNum>
  <w:abstractNum w:abstractNumId="112">
    <w:nsid w:val="579328B9"/>
    <w:multiLevelType w:val="hybridMultilevel"/>
    <w:lvl w:ilvl="0">
      <w:lvlJc w:val="left"/>
      <w:lvlText w:val="(%1)"/>
      <w:numFmt w:val="lowerLetter"/>
      <w:start w:val="3"/>
    </w:lvl>
    <w:lvl w:ilvl="1">
      <w:lvlJc w:val="left"/>
      <w:lvlText w:val="%2"/>
      <w:numFmt w:val="lowerLetter"/>
      <w:start w:val="1"/>
    </w:lvl>
  </w:abstractNum>
  <w:abstractNum w:abstractNumId="113">
    <w:nsid w:val="5D205E20"/>
    <w:multiLevelType w:val="hybridMultilevel"/>
    <w:lvl w:ilvl="0">
      <w:lvlJc w:val="left"/>
      <w:lvlText w:val="%1."/>
      <w:numFmt w:val="decimal"/>
      <w:start w:val="3"/>
    </w:lvl>
  </w:abstractNum>
  <w:abstractNum w:abstractNumId="114">
    <w:nsid w:val="11CCA8BA"/>
    <w:multiLevelType w:val="hybridMultilevel"/>
    <w:lvl w:ilvl="0">
      <w:lvlJc w:val="left"/>
      <w:lvlText w:val="(%1)"/>
      <w:numFmt w:val="lowerLetter"/>
      <w:start w:val="1"/>
    </w:lvl>
  </w:abstractNum>
  <w:abstractNum w:abstractNumId="115">
    <w:nsid w:val="4D32AB86"/>
    <w:multiLevelType w:val="hybridMultilevel"/>
    <w:lvl w:ilvl="0">
      <w:lvlJc w:val="left"/>
      <w:lvlText w:val="%1."/>
      <w:numFmt w:val="decimal"/>
      <w:start w:val="5"/>
    </w:lvl>
  </w:abstractNum>
  <w:abstractNum w:abstractNumId="116">
    <w:nsid w:val="3F07ACC3"/>
    <w:multiLevelType w:val="hybridMultilevel"/>
    <w:lvl w:ilvl="0">
      <w:lvlJc w:val="left"/>
      <w:lvlText w:val="(%1)"/>
      <w:numFmt w:val="lowerLetter"/>
      <w:start w:val="1"/>
    </w:lvl>
  </w:abstractNum>
  <w:abstractNum w:abstractNumId="117">
    <w:nsid w:val="6B47F63E"/>
    <w:multiLevelType w:val="hybridMultilevel"/>
    <w:lvl w:ilvl="0">
      <w:lvlJc w:val="left"/>
      <w:lvlText w:val="%1."/>
      <w:numFmt w:val="decimal"/>
      <w:start w:val="6"/>
    </w:lvl>
  </w:abstractNum>
  <w:abstractNum w:abstractNumId="118">
    <w:nsid w:val="5CB44A05"/>
    <w:multiLevelType w:val="hybridMultilevel"/>
    <w:lvl w:ilvl="0">
      <w:lvlJc w:val="left"/>
      <w:lvlText w:val="(%1)"/>
      <w:numFmt w:val="lowerLetter"/>
      <w:start w:val="1"/>
    </w:lvl>
  </w:abstractNum>
  <w:abstractNum w:abstractNumId="119">
    <w:nsid w:val="16CF80F1"/>
    <w:multiLevelType w:val="hybridMultilevel"/>
    <w:lvl w:ilvl="0">
      <w:lvlJc w:val="left"/>
      <w:lvlText w:val="(%1)"/>
      <w:numFmt w:val="lowerLetter"/>
      <w:start w:val="2"/>
    </w:lvl>
  </w:abstractNum>
  <w:abstractNum w:abstractNumId="120">
    <w:nsid w:val="1C695DEC"/>
    <w:multiLevelType w:val="hybridMultilevel"/>
    <w:lvl w:ilvl="0">
      <w:lvlJc w:val="left"/>
      <w:lvlText w:val="%1."/>
      <w:numFmt w:val="decimal"/>
      <w:start w:val="8"/>
    </w:lvl>
  </w:abstractNum>
  <w:abstractNum w:abstractNumId="121">
    <w:nsid w:val="3FCFAED9"/>
    <w:multiLevelType w:val="hybridMultilevel"/>
    <w:lvl w:ilvl="0">
      <w:lvlJc w:val="left"/>
      <w:lvlText w:val="(%1)"/>
      <w:numFmt w:val="lowerLetter"/>
      <w:start w:val="1"/>
    </w:lvl>
  </w:abstractNum>
  <w:abstractNum w:abstractNumId="122">
    <w:nsid w:val="F856867"/>
    <w:multiLevelType w:val="hybridMultilevel"/>
    <w:lvl w:ilvl="0">
      <w:lvlJc w:val="left"/>
      <w:lvlText w:val="(%1)"/>
      <w:numFmt w:val="lowerLetter"/>
      <w:start w:val="1"/>
    </w:lvl>
  </w:abstractNum>
  <w:abstractNum w:abstractNumId="123">
    <w:nsid w:val="11B1CC33"/>
    <w:multiLevelType w:val="hybridMultilevel"/>
    <w:lvl w:ilvl="0">
      <w:lvlJc w:val="left"/>
      <w:lvlText w:val="(%1)"/>
      <w:numFmt w:val="lowerLetter"/>
      <w:start w:val="7"/>
    </w:lvl>
  </w:abstractNum>
  <w:abstractNum w:abstractNumId="124">
    <w:nsid w:val="2E22FBB7"/>
    <w:multiLevelType w:val="hybridMultilevel"/>
    <w:lvl w:ilvl="0">
      <w:lvlJc w:val="left"/>
      <w:lvlText w:val="(%1)"/>
      <w:numFmt w:val="lowerLetter"/>
      <w:start w:val="14"/>
    </w:lvl>
  </w:abstractNum>
  <w:abstractNum w:abstractNumId="125">
    <w:nsid w:val="29934699"/>
    <w:multiLevelType w:val="hybridMultilevel"/>
    <w:lvl w:ilvl="0">
      <w:lvlJc w:val="left"/>
      <w:lvlText w:val="(%1)"/>
      <w:numFmt w:val="lowerLetter"/>
      <w:start w:val="17"/>
    </w:lvl>
  </w:abstractNum>
  <w:abstractNum w:abstractNumId="126">
    <w:nsid w:val="77485850"/>
    <w:multiLevelType w:val="hybridMultilevel"/>
    <w:lvl w:ilvl="0">
      <w:lvlJc w:val="left"/>
      <w:lvlText w:val="(%1)"/>
      <w:numFmt w:val="lowerLetter"/>
      <w:start w:val="24"/>
    </w:lvl>
  </w:abstractNum>
  <w:abstractNum w:abstractNumId="127">
    <w:nsid w:val="744939A3"/>
    <w:multiLevelType w:val="hybridMultilevel"/>
    <w:lvl w:ilvl="0">
      <w:lvlJc w:val="left"/>
      <w:lvlText w:val="(%1)"/>
      <w:numFmt w:val="lowerLetter"/>
      <w:start w:val="1"/>
    </w:lvl>
  </w:abstractNum>
  <w:abstractNum w:abstractNumId="128">
    <w:nsid w:val="4FA0D2E3"/>
    <w:multiLevelType w:val="hybridMultilevel"/>
    <w:lvl w:ilvl="0">
      <w:lvlJc w:val="left"/>
      <w:lvlText w:val="%1"/>
      <w:numFmt w:val="upperLetter"/>
      <w:start w:val="1"/>
    </w:lvl>
    <w:lvl w:ilvl="1">
      <w:lvlJc w:val="left"/>
      <w:lvlText w:val="(%2)"/>
      <w:numFmt w:val="lowerLetter"/>
      <w:start w:val="5"/>
    </w:lvl>
  </w:abstractNum>
  <w:abstractNum w:abstractNumId="129">
    <w:nsid w:val="6B1D2C14"/>
    <w:multiLevelType w:val="hybridMultilevel"/>
    <w:lvl w:ilvl="0">
      <w:lvlJc w:val="left"/>
      <w:lvlText w:val="(%1)"/>
      <w:numFmt w:val="upperLetter"/>
      <w:start w:val="1"/>
    </w:lvl>
    <w:lvl w:ilvl="1">
      <w:lvlJc w:val="left"/>
      <w:lvlText w:val="(%2)"/>
      <w:numFmt w:val="lowerLetter"/>
      <w:start w:val="8"/>
    </w:lvl>
  </w:abstractNum>
  <w:abstractNum w:abstractNumId="130">
    <w:nsid w:val="68B867D3"/>
    <w:multiLevelType w:val="hybridMultilevel"/>
    <w:lvl w:ilvl="0">
      <w:lvlJc w:val="left"/>
      <w:lvlText w:val="(%1)"/>
      <w:numFmt w:val="decimal"/>
      <w:start w:val="1"/>
    </w:lvl>
  </w:abstractNum>
  <w:abstractNum w:abstractNumId="131">
    <w:nsid w:val="3F7F5DD9"/>
    <w:multiLevelType w:val="hybridMultilevel"/>
    <w:lvl w:ilvl="0">
      <w:lvlJc w:val="left"/>
      <w:lvlText w:val="(%1)"/>
      <w:numFmt w:val="lowerRoman"/>
      <w:start w:val="3"/>
    </w:lvl>
  </w:abstractNum>
  <w:abstractNum w:abstractNumId="132">
    <w:nsid w:val="2AE05A34"/>
    <w:multiLevelType w:val="hybridMultilevel"/>
    <w:lvl w:ilvl="0">
      <w:lvlJc w:val="left"/>
      <w:lvlText w:val="(%1)"/>
      <w:numFmt w:val="lowerLetter"/>
      <w:start w:val="1"/>
    </w:lvl>
  </w:abstractNum>
  <w:abstractNum w:abstractNumId="133">
    <w:nsid w:val="32794FF7"/>
    <w:multiLevelType w:val="hybridMultilevel"/>
    <w:lvl w:ilvl="0">
      <w:lvlJc w:val="left"/>
      <w:lvlText w:val="(%1)"/>
      <w:numFmt w:val="decimal"/>
      <w:start w:val="90"/>
    </w:lvl>
  </w:abstractNum>
  <w:abstractNum w:abstractNumId="134">
    <w:nsid w:val="5454945E"/>
    <w:multiLevelType w:val="hybridMultilevel"/>
    <w:lvl w:ilvl="0">
      <w:lvlJc w:val="left"/>
      <w:lvlText w:val="(%1)"/>
      <w:numFmt w:val="decimal"/>
      <w:start w:val="1"/>
    </w:lvl>
  </w:abstractNum>
  <w:abstractNum w:abstractNumId="135">
    <w:nsid w:val="4DEFDFA0"/>
    <w:multiLevelType w:val="hybridMultilevel"/>
    <w:lvl w:ilvl="0">
      <w:lvlJc w:val="left"/>
      <w:lvlText w:val="(%1)"/>
      <w:numFmt w:val="lowerLetter"/>
      <w:start w:val="1"/>
    </w:lvl>
  </w:abstractNum>
  <w:abstractNum w:abstractNumId="136">
    <w:nsid w:val="2123D5F2"/>
    <w:multiLevelType w:val="hybridMultilevel"/>
    <w:lvl w:ilvl="0">
      <w:lvlJc w:val="left"/>
      <w:lvlText w:val="(%1)"/>
      <w:numFmt w:val="decimal"/>
      <w:start w:val="2"/>
    </w:lvl>
  </w:abstractNum>
  <w:abstractNum w:abstractNumId="137">
    <w:nsid w:val="135B8110"/>
    <w:multiLevelType w:val="hybridMultilevel"/>
    <w:lvl w:ilvl="0">
      <w:lvlJc w:val="left"/>
      <w:lvlText w:val="%1."/>
      <w:numFmt w:val="decimal"/>
      <w:start w:val="1"/>
    </w:lvl>
  </w:abstractNum>
  <w:abstractNum w:abstractNumId="138">
    <w:nsid w:val="94927A8"/>
    <w:multiLevelType w:val="hybridMultilevel"/>
    <w:lvl w:ilvl="0">
      <w:lvlJc w:val="left"/>
      <w:lvlText w:val="(%1)"/>
      <w:numFmt w:val="lowerLetter"/>
      <w:start w:val="1"/>
    </w:lvl>
  </w:abstractNum>
  <w:abstractNum w:abstractNumId="139">
    <w:nsid w:val="DCDF8F6"/>
    <w:multiLevelType w:val="hybridMultilevel"/>
    <w:lvl w:ilvl="0">
      <w:lvlJc w:val="left"/>
      <w:lvlText w:val="(%1)"/>
      <w:numFmt w:val="lowerLetter"/>
      <w:start w:val="2"/>
    </w:lvl>
    <w:lvl w:ilvl="1">
      <w:lvlJc w:val="left"/>
      <w:lvlText w:val="(%2)"/>
      <w:numFmt w:val="lowerLetter"/>
      <w:start w:val="35"/>
    </w:lvl>
  </w:abstractNum>
  <w:abstractNum w:abstractNumId="140">
    <w:nsid w:val="52D7B105"/>
    <w:multiLevelType w:val="hybridMultilevel"/>
    <w:lvl w:ilvl="0">
      <w:lvlJc w:val="left"/>
      <w:lvlText w:val="(%1)"/>
      <w:numFmt w:val="lowerLetter"/>
      <w:start w:val="25"/>
    </w:lvl>
    <w:lvl w:ilvl="1">
      <w:lvlJc w:val="left"/>
      <w:lvlText w:val="%2"/>
      <w:numFmt w:val="lowerLetter"/>
      <w:start w:val="1"/>
    </w:lvl>
  </w:abstractNum>
  <w:abstractNum w:abstractNumId="141">
    <w:nsid w:val="2E8A6394"/>
    <w:multiLevelType w:val="hybridMultilevel"/>
    <w:lvl w:ilvl="0">
      <w:lvlJc w:val="left"/>
      <w:lvlText w:val="(%1)"/>
      <w:numFmt w:val="lowerLetter"/>
      <w:start w:val="3"/>
    </w:lvl>
    <w:lvl w:ilvl="1">
      <w:lvlJc w:val="left"/>
      <w:lvlText w:val="%2"/>
      <w:numFmt w:val="lowerLetter"/>
      <w:start w:val="1"/>
    </w:lvl>
  </w:abstractNum>
  <w:abstractNum w:abstractNumId="142">
    <w:nsid w:val="24E60401"/>
    <w:multiLevelType w:val="hybridMultilevel"/>
    <w:lvl w:ilvl="0">
      <w:lvlJc w:val="left"/>
      <w:lvlText w:val="%1."/>
      <w:numFmt w:val="decimal"/>
      <w:start w:val="3"/>
    </w:lvl>
  </w:abstractNum>
  <w:abstractNum w:abstractNumId="143">
    <w:nsid w:val="2A6AD9BE"/>
    <w:multiLevelType w:val="hybridMultilevel"/>
    <w:lvl w:ilvl="0">
      <w:lvlJc w:val="left"/>
      <w:lvlText w:val="%1."/>
      <w:numFmt w:val="decimal"/>
      <w:start w:val="4"/>
    </w:lvl>
  </w:abstractNum>
  <w:abstractNum w:abstractNumId="144">
    <w:nsid w:val="BAAC1B4"/>
    <w:multiLevelType w:val="hybridMultilevel"/>
    <w:lvl w:ilvl="0">
      <w:lvlJc w:val="left"/>
      <w:lvlText w:val="(%1)"/>
      <w:numFmt w:val="lowerLetter"/>
      <w:start w:val="1"/>
    </w:lvl>
  </w:abstractNum>
  <w:abstractNum w:abstractNumId="145">
    <w:nsid w:val="36B2ACBC"/>
    <w:multiLevelType w:val="hybridMultilevel"/>
    <w:lvl w:ilvl="0">
      <w:lvlJc w:val="left"/>
      <w:lvlText w:val="%1."/>
      <w:numFmt w:val="decimal"/>
      <w:start w:val="5"/>
    </w:lvl>
  </w:abstractNum>
  <w:abstractNum w:abstractNumId="146">
    <w:nsid w:val="779D8544"/>
    <w:multiLevelType w:val="hybridMultilevel"/>
    <w:lvl w:ilvl="0">
      <w:lvlJc w:val="left"/>
      <w:lvlText w:val="(%1)"/>
      <w:numFmt w:val="lowerLetter"/>
      <w:start w:val="1"/>
    </w:lvl>
  </w:abstractNum>
  <w:abstractNum w:abstractNumId="147">
    <w:nsid w:val="4AB26E78"/>
    <w:multiLevelType w:val="hybridMultilevel"/>
    <w:lvl w:ilvl="0">
      <w:lvlJc w:val="left"/>
      <w:lvlText w:val="%1."/>
      <w:numFmt w:val="decimal"/>
      <w:start w:val="6"/>
    </w:lvl>
  </w:abstractNum>
  <w:abstractNum w:abstractNumId="148">
    <w:nsid w:val="21FAA2FA"/>
    <w:multiLevelType w:val="hybridMultilevel"/>
    <w:lvl w:ilvl="0">
      <w:lvlJc w:val="left"/>
      <w:lvlText w:val="(%1)"/>
      <w:numFmt w:val="lowerLetter"/>
      <w:start w:val="1"/>
    </w:lvl>
  </w:abstractNum>
  <w:abstractNum w:abstractNumId="149">
    <w:nsid w:val="5451CF49"/>
    <w:multiLevelType w:val="hybridMultilevel"/>
    <w:lvl w:ilvl="0">
      <w:lvlJc w:val="left"/>
      <w:lvlText w:val="(%1)"/>
      <w:numFmt w:val="lowerLetter"/>
      <w:start w:val="2"/>
    </w:lvl>
  </w:abstractNum>
  <w:abstractNum w:abstractNumId="150">
    <w:nsid w:val="6181EF69"/>
    <w:multiLevelType w:val="hybridMultilevel"/>
    <w:lvl w:ilvl="0">
      <w:lvlJc w:val="left"/>
      <w:lvlText w:val="%1."/>
      <w:numFmt w:val="decimal"/>
      <w:start w:val="8"/>
    </w:lvl>
  </w:abstractNum>
  <w:abstractNum w:abstractNumId="151">
    <w:nsid w:val="3E6400E6"/>
    <w:multiLevelType w:val="hybridMultilevel"/>
    <w:lvl w:ilvl="0">
      <w:lvlJc w:val="left"/>
      <w:lvlText w:val="%1."/>
      <w:numFmt w:val="decimal"/>
      <w:start w:val="9"/>
    </w:lvl>
  </w:abstractNum>
  <w:abstractNum w:abstractNumId="152">
    <w:nsid w:val="14217E23"/>
    <w:multiLevelType w:val="hybridMultilevel"/>
    <w:lvl w:ilvl="0">
      <w:lvlJc w:val="left"/>
      <w:lvlText w:val="(%1)"/>
      <w:numFmt w:val="lowerLetter"/>
      <w:start w:val="1"/>
    </w:lvl>
  </w:abstractNum>
  <w:abstractNum w:abstractNumId="153">
    <w:nsid w:val="710757D0"/>
    <w:multiLevelType w:val="hybridMultilevel"/>
    <w:lvl w:ilvl="0">
      <w:lvlJc w:val="left"/>
      <w:lvlText w:val="(%1)"/>
      <w:numFmt w:val="lowerLetter"/>
      <w:start w:val="1"/>
    </w:lvl>
  </w:abstractNum>
  <w:abstractNum w:abstractNumId="154">
    <w:nsid w:val="5015CD1A"/>
    <w:multiLevelType w:val="hybridMultilevel"/>
    <w:lvl w:ilvl="0">
      <w:lvlJc w:val="left"/>
      <w:lvlText w:val="(%1)"/>
      <w:numFmt w:val="lowerLetter"/>
      <w:start w:val="5"/>
    </w:lvl>
  </w:abstractNum>
  <w:abstractNum w:abstractNumId="155">
    <w:nsid w:val="424479DA"/>
    <w:multiLevelType w:val="hybridMultilevel"/>
    <w:lvl w:ilvl="0">
      <w:lvlJc w:val="left"/>
      <w:lvlText w:val="(%1)"/>
      <w:numFmt w:val="lowerLetter"/>
      <w:start w:val="12"/>
    </w:lvl>
  </w:abstractNum>
  <w:abstractNum w:abstractNumId="156">
    <w:nsid w:val="1A9A9E69"/>
    <w:multiLevelType w:val="hybridMultilevel"/>
    <w:lvl w:ilvl="0">
      <w:lvlJc w:val="left"/>
      <w:lvlText w:val="(%1)"/>
      <w:numFmt w:val="lowerLetter"/>
      <w:start w:val="14"/>
    </w:lvl>
  </w:abstractNum>
  <w:abstractNum w:abstractNumId="157">
    <w:nsid w:val="475E256A"/>
    <w:multiLevelType w:val="hybridMultilevel"/>
    <w:lvl w:ilvl="0">
      <w:lvlJc w:val="left"/>
      <w:lvlText w:val="(%1)"/>
      <w:numFmt w:val="lowerLetter"/>
      <w:start w:val="24"/>
    </w:lvl>
  </w:abstractNum>
  <w:abstractNum w:abstractNumId="158">
    <w:nsid w:val="368DB37E"/>
    <w:multiLevelType w:val="hybridMultilevel"/>
    <w:lvl w:ilvl="0">
      <w:lvlJc w:val="left"/>
      <w:lvlText w:val="%1"/>
      <w:numFmt w:val="upperLetter"/>
      <w:start w:val="1"/>
    </w:lvl>
    <w:lvl w:ilvl="1">
      <w:lvlJc w:val="left"/>
      <w:lvlText w:val="(%2)"/>
      <w:numFmt w:val="lowerLetter"/>
      <w:start w:val="1"/>
    </w:lvl>
  </w:abstractNum>
  <w:abstractNum w:abstractNumId="159">
    <w:nsid w:val="6A3B714C"/>
    <w:multiLevelType w:val="hybridMultilevel"/>
    <w:lvl w:ilvl="0">
      <w:lvlJc w:val="left"/>
      <w:lvlText w:val="(%1)"/>
      <w:numFmt w:val="upperLetter"/>
      <w:start w:val="1"/>
    </w:lvl>
    <w:lvl w:ilvl="1">
      <w:lvlJc w:val="left"/>
      <w:lvlText w:val="(%2)"/>
      <w:numFmt w:val="lowerLetter"/>
      <w:start w:val="8"/>
    </w:lvl>
  </w:abstractNum>
  <w:abstractNum w:abstractNumId="160">
    <w:nsid w:val="327B517E"/>
    <w:multiLevelType w:val="hybridMultilevel"/>
    <w:lvl w:ilvl="0">
      <w:lvlJc w:val="left"/>
      <w:lvlText w:val="(%1)"/>
      <w:numFmt w:val="lowerLetter"/>
      <w:start w:val="1"/>
    </w:lvl>
  </w:abstractNum>
  <w:abstractNum w:abstractNumId="161">
    <w:nsid w:val="1F461B51"/>
    <w:multiLevelType w:val="hybridMultilevel"/>
    <w:lvl w:ilvl="0">
      <w:lvlJc w:val="left"/>
      <w:lvlText w:val="(%1)"/>
      <w:numFmt w:val="decimal"/>
      <w:start w:val="1"/>
    </w:lvl>
  </w:abstractNum>
  <w:abstractNum w:abstractNumId="162">
    <w:nsid w:val="29BACF25"/>
    <w:multiLevelType w:val="hybridMultilevel"/>
    <w:lvl w:ilvl="0">
      <w:lvlJc w:val="left"/>
      <w:lvlText w:val="(%1)"/>
      <w:numFmt w:val="lowerRoman"/>
      <w:start w:val="3"/>
    </w:lvl>
  </w:abstractNum>
  <w:abstractNum w:abstractNumId="163">
    <w:nsid w:val="5D5BABB3"/>
    <w:multiLevelType w:val="hybridMultilevel"/>
    <w:lvl w:ilvl="0">
      <w:lvlJc w:val="left"/>
      <w:lvlText w:val="(%1)"/>
      <w:numFmt w:val="lowerLetter"/>
      <w:start w:val="1"/>
    </w:lvl>
  </w:abstractNum>
  <w:abstractNum w:abstractNumId="164">
    <w:nsid w:val="51BF6B48"/>
    <w:multiLevelType w:val="hybridMultilevel"/>
    <w:lvl w:ilvl="0">
      <w:lvlJc w:val="left"/>
      <w:lvlText w:val="(%1)"/>
      <w:numFmt w:val="decimal"/>
      <w:start w:val="90"/>
    </w:lvl>
  </w:abstractNum>
  <w:abstractNum w:abstractNumId="165">
    <w:nsid w:val="7E0F6384"/>
    <w:multiLevelType w:val="hybridMultilevel"/>
    <w:lvl w:ilvl="0">
      <w:lvlJc w:val="left"/>
      <w:lvlText w:val="(%1)"/>
      <w:numFmt w:val="decimal"/>
      <w:start w:val="1"/>
    </w:lvl>
  </w:abstractNum>
  <w:abstractNum w:abstractNumId="166">
    <w:nsid w:val="2B4B8B53"/>
    <w:multiLevelType w:val="hybridMultilevel"/>
    <w:lvl w:ilvl="0">
      <w:lvlJc w:val="left"/>
      <w:lvlText w:val="(%1)"/>
      <w:numFmt w:val="lowerLetter"/>
      <w:start w:val="1"/>
    </w:lvl>
  </w:abstractNum>
  <w:abstractNum w:abstractNumId="167">
    <w:nsid w:val="72E3413A"/>
    <w:multiLevelType w:val="hybridMultilevel"/>
    <w:lvl w:ilvl="0">
      <w:lvlJc w:val="left"/>
      <w:lvlText w:val="(%1)"/>
      <w:numFmt w:val="decimal"/>
      <w:start w:val="2"/>
    </w:lvl>
  </w:abstractNum>
  <w:abstractNum w:abstractNumId="168">
    <w:nsid w:val="116AE494"/>
    <w:multiLevelType w:val="hybridMultilevel"/>
    <w:lvl w:ilvl="0">
      <w:lvlJc w:val="left"/>
      <w:lvlText w:val="%1."/>
      <w:numFmt w:val="decimal"/>
      <w:start w:val="1"/>
    </w:lvl>
  </w:abstractNum>
  <w:abstractNum w:abstractNumId="169">
    <w:nsid w:val="3494B2FB"/>
    <w:multiLevelType w:val="hybridMultilevel"/>
    <w:lvl w:ilvl="0">
      <w:lvlJc w:val="left"/>
      <w:lvlText w:val="(%1)"/>
      <w:numFmt w:val="lowerLetter"/>
      <w:start w:val="1"/>
    </w:lvl>
  </w:abstractNum>
  <w:abstractNum w:abstractNumId="170">
    <w:nsid w:val="B13A31"/>
    <w:multiLevelType w:val="hybridMultilevel"/>
    <w:lvl w:ilvl="0">
      <w:lvlJc w:val="left"/>
      <w:lvlText w:val="(%1)"/>
      <w:numFmt w:val="lowerLetter"/>
      <w:start w:val="2"/>
    </w:lvl>
    <w:lvl w:ilvl="1">
      <w:lvlJc w:val="left"/>
      <w:lvlText w:val="(%2)"/>
      <w:numFmt w:val="lowerLetter"/>
      <w:start w:val="35"/>
    </w:lvl>
  </w:abstractNum>
  <w:abstractNum w:abstractNumId="171">
    <w:nsid w:val="64429599"/>
    <w:multiLevelType w:val="hybridMultilevel"/>
    <w:lvl w:ilvl="0">
      <w:lvlJc w:val="left"/>
      <w:lvlText w:val="(%1)"/>
      <w:numFmt w:val="lowerLetter"/>
      <w:start w:val="25"/>
    </w:lvl>
    <w:lvl w:ilvl="1">
      <w:lvlJc w:val="left"/>
      <w:lvlText w:val="%2"/>
      <w:numFmt w:val="lowerLetter"/>
      <w:start w:val="1"/>
    </w:lvl>
  </w:abstractNum>
  <w:abstractNum w:abstractNumId="172">
    <w:nsid w:val="631F1690"/>
    <w:multiLevelType w:val="hybridMultilevel"/>
    <w:lvl w:ilvl="0">
      <w:lvlJc w:val="left"/>
      <w:lvlText w:val="(%1)"/>
      <w:numFmt w:val="lowerLetter"/>
      <w:start w:val="3"/>
    </w:lvl>
    <w:lvl w:ilvl="1">
      <w:lvlJc w:val="left"/>
      <w:lvlText w:val="%2"/>
      <w:numFmt w:val="lowerLetter"/>
      <w:start w:val="1"/>
    </w:lvl>
  </w:abstractNum>
  <w:abstractNum w:abstractNumId="173">
    <w:nsid w:val="25973E32"/>
    <w:multiLevelType w:val="hybridMultilevel"/>
    <w:lvl w:ilvl="0">
      <w:lvlJc w:val="left"/>
      <w:lvlText w:val="%1."/>
      <w:numFmt w:val="decimal"/>
      <w:start w:val="3"/>
    </w:lvl>
  </w:abstractNum>
  <w:abstractNum w:abstractNumId="174">
    <w:nsid w:val="EAD6F57"/>
    <w:multiLevelType w:val="hybridMultilevel"/>
    <w:lvl w:ilvl="0">
      <w:lvlJc w:val="left"/>
      <w:lvlText w:val="(%1)"/>
      <w:numFmt w:val="lowerLetter"/>
      <w:start w:val="1"/>
    </w:lvl>
  </w:abstractNum>
  <w:abstractNum w:abstractNumId="175">
    <w:nsid w:val="6EC9D844"/>
    <w:multiLevelType w:val="hybridMultilevel"/>
    <w:lvl w:ilvl="0">
      <w:lvlJc w:val="left"/>
      <w:lvlText w:val="%1."/>
      <w:numFmt w:val="decimal"/>
      <w:start w:val="5"/>
    </w:lvl>
  </w:abstractNum>
  <w:abstractNum w:abstractNumId="176">
    <w:nsid w:val="5C49EAEE"/>
    <w:multiLevelType w:val="hybridMultilevel"/>
    <w:lvl w:ilvl="0">
      <w:lvlJc w:val="left"/>
      <w:lvlText w:val="(%1)"/>
      <w:numFmt w:val="lowerLetter"/>
      <w:start w:val="1"/>
    </w:lvl>
  </w:abstractNum>
  <w:abstractNum w:abstractNumId="177">
    <w:nsid w:val="64AF49B"/>
    <w:multiLevelType w:val="hybridMultilevel"/>
    <w:lvl w:ilvl="0">
      <w:lvlJc w:val="left"/>
      <w:lvlText w:val="%1."/>
      <w:numFmt w:val="decimal"/>
      <w:start w:val="6"/>
    </w:lvl>
  </w:abstractNum>
  <w:abstractNum w:abstractNumId="178">
    <w:nsid w:val="397C46BC"/>
    <w:multiLevelType w:val="hybridMultilevel"/>
    <w:lvl w:ilvl="0">
      <w:lvlJc w:val="left"/>
      <w:lvlText w:val="(%1)"/>
      <w:numFmt w:val="lowerLetter"/>
      <w:start w:val="1"/>
    </w:lvl>
  </w:abstractNum>
  <w:abstractNum w:abstractNumId="179">
    <w:nsid w:val="7E448DE9"/>
    <w:multiLevelType w:val="hybridMultilevel"/>
    <w:lvl w:ilvl="0">
      <w:lvlJc w:val="left"/>
      <w:lvlText w:val="(%1)"/>
      <w:numFmt w:val="lowerLetter"/>
      <w:start w:val="2"/>
    </w:lvl>
  </w:abstractNum>
  <w:abstractNum w:abstractNumId="180">
    <w:nsid w:val="5A9CC3E5"/>
    <w:multiLevelType w:val="hybridMultilevel"/>
    <w:lvl w:ilvl="0">
      <w:lvlJc w:val="left"/>
      <w:lvlText w:val="%1."/>
      <w:numFmt w:val="decimal"/>
      <w:start w:val="8"/>
    </w:lvl>
  </w:abstractNum>
  <w:abstractNum w:abstractNumId="181">
    <w:nsid w:val="1AFE3625"/>
    <w:multiLevelType w:val="hybridMultilevel"/>
    <w:lvl w:ilvl="0">
      <w:lvlJc w:val="left"/>
      <w:lvlText w:val="(%1)"/>
      <w:numFmt w:val="lowerLetter"/>
      <w:start w:val="1"/>
    </w:lvl>
  </w:abstractNum>
  <w:abstractNum w:abstractNumId="182">
    <w:nsid w:val="3CA88ECF"/>
    <w:multiLevelType w:val="hybridMultilevel"/>
    <w:lvl w:ilvl="0">
      <w:lvlJc w:val="left"/>
      <w:lvlText w:val="(%1)"/>
      <w:numFmt w:val="lowerLetter"/>
      <w:start w:val="1"/>
    </w:lvl>
  </w:abstractNum>
  <w:abstractNum w:abstractNumId="183">
    <w:nsid w:val="6EBE4208"/>
    <w:multiLevelType w:val="hybridMultilevel"/>
    <w:lvl w:ilvl="0">
      <w:lvlJc w:val="left"/>
      <w:lvlText w:val="(%1)"/>
      <w:numFmt w:val="lowerLetter"/>
      <w:start w:val="7"/>
    </w:lvl>
  </w:abstractNum>
  <w:abstractNum w:abstractNumId="184">
    <w:nsid w:val="C058DF5"/>
    <w:multiLevelType w:val="hybridMultilevel"/>
    <w:lvl w:ilvl="0">
      <w:lvlJc w:val="left"/>
      <w:lvlText w:val="(%1)"/>
      <w:numFmt w:val="lowerLetter"/>
      <w:start w:val="14"/>
    </w:lvl>
  </w:abstractNum>
  <w:abstractNum w:abstractNumId="185">
    <w:nsid w:val="CBE5BE9"/>
    <w:multiLevelType w:val="hybridMultilevel"/>
    <w:lvl w:ilvl="0">
      <w:lvlJc w:val="left"/>
      <w:lvlText w:val="(%1)"/>
      <w:numFmt w:val="lowerLetter"/>
      <w:start w:val="17"/>
    </w:lvl>
  </w:abstractNum>
  <w:abstractNum w:abstractNumId="186">
    <w:nsid w:val="3102BBE2"/>
    <w:multiLevelType w:val="hybridMultilevel"/>
    <w:lvl w:ilvl="0">
      <w:lvlJc w:val="left"/>
      <w:lvlText w:val="(%1)"/>
      <w:numFmt w:val="lowerLetter"/>
      <w:start w:val="24"/>
    </w:lvl>
  </w:abstractNum>
  <w:abstractNum w:abstractNumId="187">
    <w:nsid w:val="26A02C5E"/>
    <w:multiLevelType w:val="hybridMultilevel"/>
    <w:lvl w:ilvl="0">
      <w:lvlJc w:val="left"/>
      <w:lvlText w:val="(%1)"/>
      <w:numFmt w:val="lowerLetter"/>
      <w:start w:val="1"/>
    </w:lvl>
  </w:abstractNum>
  <w:abstractNum w:abstractNumId="188">
    <w:nsid w:val="541C8153"/>
    <w:multiLevelType w:val="hybridMultilevel"/>
    <w:lvl w:ilvl="0">
      <w:lvlJc w:val="left"/>
      <w:lvlText w:val="%1"/>
      <w:numFmt w:val="upperLetter"/>
      <w:start w:val="1"/>
    </w:lvl>
    <w:lvl w:ilvl="1">
      <w:lvlJc w:val="left"/>
      <w:lvlText w:val="(%2)"/>
      <w:numFmt w:val="lowerLetter"/>
      <w:start w:val="5"/>
    </w:lvl>
  </w:abstractNum>
  <w:abstractNum w:abstractNumId="189">
    <w:nsid w:val="67906F60"/>
    <w:multiLevelType w:val="hybridMultilevel"/>
    <w:lvl w:ilvl="0">
      <w:lvlJc w:val="left"/>
      <w:lvlText w:val="(%1)"/>
      <w:numFmt w:val="upperLetter"/>
      <w:start w:val="1"/>
    </w:lvl>
    <w:lvl w:ilvl="1">
      <w:lvlJc w:val="left"/>
      <w:lvlText w:val="(%2)"/>
      <w:numFmt w:val="lowerLetter"/>
      <w:start w:val="8"/>
    </w:lvl>
  </w:abstractNum>
  <w:abstractNum w:abstractNumId="190">
    <w:nsid w:val="10DB9DAA"/>
    <w:multiLevelType w:val="hybridMultilevel"/>
    <w:lvl w:ilvl="0">
      <w:lvlJc w:val="left"/>
      <w:lvlText w:val="•"/>
      <w:numFmt w:val="bullet"/>
      <w:start w:val="1"/>
    </w:lvl>
  </w:abstractNum>
  <w:abstractNum w:abstractNumId="191">
    <w:nsid w:val="697D2D2"/>
    <w:multiLevelType w:val="hybridMultilevel"/>
    <w:lvl w:ilvl="0">
      <w:lvlJc w:val="left"/>
      <w:lvlText w:val="(%1)"/>
      <w:numFmt w:val="decimal"/>
      <w:start w:val="1"/>
    </w:lvl>
  </w:abstractNum>
  <w:abstractNum w:abstractNumId="192">
    <w:nsid w:val="6D68AB2"/>
    <w:multiLevelType w:val="hybridMultilevel"/>
    <w:lvl w:ilvl="0">
      <w:lvlJc w:val="left"/>
      <w:lvlText w:val="(%1)"/>
      <w:numFmt w:val="lowerRoman"/>
      <w:start w:val="3"/>
    </w:lvl>
  </w:abstractNum>
  <w:abstractNum w:abstractNumId="193">
    <w:nsid w:val="3A966CD0"/>
    <w:multiLevelType w:val="hybridMultilevel"/>
    <w:lvl w:ilvl="0">
      <w:lvlJc w:val="left"/>
      <w:lvlText w:val="(%1)"/>
      <w:numFmt w:val="lowerLetter"/>
      <w:start w:val="1"/>
    </w:lvl>
  </w:abstractNum>
  <w:abstractNum w:abstractNumId="194">
    <w:nsid w:val="63F37E85"/>
    <w:multiLevelType w:val="hybridMultilevel"/>
    <w:lvl w:ilvl="0">
      <w:lvlJc w:val="left"/>
      <w:lvlText w:val="(%1)"/>
      <w:numFmt w:val="decimal"/>
      <w:start w:val="90"/>
    </w:lvl>
  </w:abstractNum>
  <w:abstractNum w:abstractNumId="195">
    <w:nsid w:val="5895F5FA"/>
    <w:multiLevelType w:val="hybridMultilevel"/>
    <w:lvl w:ilvl="0">
      <w:lvlJc w:val="left"/>
      <w:lvlText w:val="(%1)"/>
      <w:numFmt w:val="decimal"/>
      <w:start w:val="1"/>
    </w:lvl>
  </w:abstractNum>
  <w:abstractNum w:abstractNumId="196">
    <w:nsid w:val="38A5D054"/>
    <w:multiLevelType w:val="hybridMultilevel"/>
    <w:lvl w:ilvl="0">
      <w:lvlJc w:val="left"/>
      <w:lvlText w:val="(%1)"/>
      <w:numFmt w:val="lowerLetter"/>
      <w:start w:val="1"/>
    </w:lvl>
  </w:abstractNum>
  <w:abstractNum w:abstractNumId="197">
    <w:nsid w:val="F3F09D8"/>
    <w:multiLevelType w:val="hybridMultilevel"/>
    <w:lvl w:ilvl="0">
      <w:lvlJc w:val="left"/>
      <w:lvlText w:val="(%1)"/>
      <w:numFmt w:val="decimal"/>
      <w:start w:val="2"/>
    </w:lvl>
  </w:abstractNum>
  <w:abstractNum w:abstractNumId="198">
    <w:nsid w:val="4B793735"/>
    <w:multiLevelType w:val="hybridMultilevel"/>
    <w:lvl w:ilvl="0">
      <w:lvlJc w:val="left"/>
      <w:lvlText w:val="%1."/>
      <w:numFmt w:val="decimal"/>
      <w:start w:val="1"/>
    </w:lvl>
    <w:lvl w:ilvl="1">
      <w:lvlJc w:val="left"/>
      <w:lvlText w:val="%2)"/>
      <w:numFmt w:val="lowerLetter"/>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jpe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jpe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jpe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jpe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jpe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jpe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235" Type="http://schemas.openxmlformats.org/officeDocument/2006/relationships/hyperlink" Target="https://www.sec.gov/Archives/edgar/data/87347/000119312516532046/d176097dex31.htm" TargetMode="External"/><Relationship Id="rId238" Type="http://schemas.openxmlformats.org/officeDocument/2006/relationships/hyperlink" Target="https://www.sec.gov/Archives/edgar/data/87347/000119312523110532/d470769dex3.htm" TargetMode="External"/><Relationship Id="rId241" Type="http://schemas.openxmlformats.org/officeDocument/2006/relationships/hyperlink" Target="https://www.sec.gov/Archives/edgar/data/87347/000119312513460494/d637672dex41.htm" TargetMode="External"/><Relationship Id="rId245" Type="http://schemas.openxmlformats.org/officeDocument/2006/relationships/hyperlink" Target="https://www.sec.gov/Archives/edgar/data/87347/000119312520180957/d925505dex41.htm" TargetMode="External"/><Relationship Id="rId249" Type="http://schemas.openxmlformats.org/officeDocument/2006/relationships/hyperlink" Target="https://www.sec.gov/Archives/edgar/data/87347/000119312524149220/d808766dex41.htm" TargetMode="External"/><Relationship Id="rId263" Type="http://schemas.openxmlformats.org/officeDocument/2006/relationships/hyperlink" Target="https://www.sec.gov/Archives/edgar/data/87347/000130817925000029/slb012574-def14a.htm#lslba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2025-04-25T10:10:45Z</dcterms:created>
  <dcterms:modified xsi:type="dcterms:W3CDTF">2025-04-25T10:10:45Z</dcterms:modified>
</cp:coreProperties>
</file>