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8" w:lineRule="exact"/>
        <w:rPr>
          <w:sz w:val="24"/>
          <w:szCs w:val="24"/>
          <w:color w:val="auto"/>
        </w:rPr>
      </w:pPr>
    </w:p>
    <w:p>
      <w:pPr>
        <w:ind w:left="3720"/>
        <w:spacing w:after="0"/>
        <w:rPr>
          <w:sz w:val="20"/>
          <w:szCs w:val="20"/>
          <w:color w:val="auto"/>
        </w:rPr>
      </w:pPr>
      <w:r>
        <w:rPr>
          <w:rFonts w:ascii="Arial" w:cs="Arial" w:eastAsia="Arial" w:hAnsi="Arial"/>
          <w:sz w:val="11"/>
          <w:szCs w:val="11"/>
          <w:b w:val="1"/>
          <w:bCs w:val="1"/>
          <w:color w:val="auto"/>
        </w:rPr>
        <w:t>As filed with the Securities and Exchange Commission on April 30, 2026</w:t>
      </w:r>
    </w:p>
    <w:p>
      <w:pPr>
        <w:spacing w:after="0" w:line="9" w:lineRule="exact"/>
        <w:rPr>
          <w:sz w:val="24"/>
          <w:szCs w:val="24"/>
          <w:color w:val="auto"/>
        </w:rPr>
      </w:pPr>
    </w:p>
    <w:p>
      <w:pPr>
        <w:jc w:val="right"/>
        <w:ind w:right="319"/>
        <w:spacing w:after="0"/>
        <w:rPr>
          <w:sz w:val="20"/>
          <w:szCs w:val="20"/>
          <w:color w:val="auto"/>
        </w:rPr>
      </w:pPr>
      <w:r>
        <w:rPr>
          <w:rFonts w:ascii="Arial" w:cs="Arial" w:eastAsia="Arial" w:hAnsi="Arial"/>
          <w:sz w:val="11"/>
          <w:szCs w:val="11"/>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868045</wp:posOffset>
            </wp:positionH>
            <wp:positionV relativeFrom="paragraph">
              <wp:posOffset>50165</wp:posOffset>
            </wp:positionV>
            <wp:extent cx="543242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32425" cy="6350"/>
                    </a:xfrm>
                    <a:prstGeom prst="rect">
                      <a:avLst/>
                    </a:prstGeom>
                    <a:noFill/>
                  </pic:spPr>
                </pic:pic>
              </a:graphicData>
            </a:graphic>
          </wp:anchor>
        </w:drawing>
        <w:drawing>
          <wp:anchor simplePos="0" relativeHeight="251657728" behindDoc="1" locked="0" layoutInCell="0" allowOverlap="1">
            <wp:simplePos x="0" y="0"/>
            <wp:positionH relativeFrom="column">
              <wp:posOffset>868045</wp:posOffset>
            </wp:positionH>
            <wp:positionV relativeFrom="paragraph">
              <wp:posOffset>83820</wp:posOffset>
            </wp:positionV>
            <wp:extent cx="543242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32425" cy="6350"/>
                    </a:xfrm>
                    <a:prstGeom prst="rect">
                      <a:avLst/>
                    </a:prstGeom>
                    <a:noFill/>
                  </pic:spPr>
                </pic:pic>
              </a:graphicData>
            </a:graphic>
          </wp:anchor>
        </w:drawing>
      </w:r>
    </w:p>
    <w:p>
      <w:pPr>
        <w:spacing w:after="0" w:line="152"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UNITED STATES</w:t>
      </w:r>
    </w:p>
    <w:p>
      <w:pPr>
        <w:spacing w:after="0" w:line="22"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SECURITIES AND EXCHANGE COMMISSION</w:t>
      </w:r>
    </w:p>
    <w:p>
      <w:pPr>
        <w:ind w:left="4860"/>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3011170</wp:posOffset>
            </wp:positionH>
            <wp:positionV relativeFrom="paragraph">
              <wp:posOffset>170815</wp:posOffset>
            </wp:positionV>
            <wp:extent cx="114490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4905" cy="635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Form S-3</w:t>
      </w:r>
    </w:p>
    <w:p>
      <w:pPr>
        <w:spacing w:after="0" w:line="22"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REGISTRATION STATEMENT</w:t>
      </w:r>
    </w:p>
    <w:p>
      <w:pPr>
        <w:jc w:val="center"/>
        <w:ind w:right="-1120"/>
        <w:spacing w:after="0" w:line="234" w:lineRule="auto"/>
        <w:rPr>
          <w:sz w:val="20"/>
          <w:szCs w:val="20"/>
          <w:color w:val="auto"/>
        </w:rPr>
      </w:pPr>
      <w:r>
        <w:rPr>
          <w:rFonts w:ascii="Arial" w:cs="Arial" w:eastAsia="Arial" w:hAnsi="Arial"/>
          <w:sz w:val="14"/>
          <w:szCs w:val="14"/>
          <w:b w:val="1"/>
          <w:bCs w:val="1"/>
          <w:i w:val="1"/>
          <w:iCs w:val="1"/>
          <w:color w:val="auto"/>
        </w:rPr>
        <w:t>UNDER</w:t>
      </w:r>
    </w:p>
    <w:p>
      <w:pPr>
        <w:jc w:val="center"/>
        <w:ind w:right="-1120"/>
        <w:spacing w:after="0"/>
        <w:rPr>
          <w:sz w:val="20"/>
          <w:szCs w:val="20"/>
          <w:color w:val="auto"/>
        </w:rPr>
      </w:pPr>
      <w:r>
        <w:rPr>
          <w:rFonts w:ascii="Arial" w:cs="Arial" w:eastAsia="Arial" w:hAnsi="Arial"/>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3011170</wp:posOffset>
            </wp:positionH>
            <wp:positionV relativeFrom="paragraph">
              <wp:posOffset>177800</wp:posOffset>
            </wp:positionV>
            <wp:extent cx="114490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4905" cy="635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120"/>
        <w:spacing w:after="0"/>
        <w:rPr>
          <w:sz w:val="20"/>
          <w:szCs w:val="20"/>
          <w:color w:val="auto"/>
        </w:rPr>
      </w:pPr>
      <w:r>
        <w:rPr>
          <w:rFonts w:ascii="Arial" w:cs="Arial" w:eastAsia="Arial" w:hAnsi="Arial"/>
          <w:sz w:val="27"/>
          <w:szCs w:val="27"/>
          <w:b w:val="1"/>
          <w:bCs w:val="1"/>
          <w:color w:val="auto"/>
        </w:rPr>
        <w:t>SLB N.V. (SLB LIMITED)</w:t>
      </w:r>
    </w:p>
    <w:p>
      <w:pPr>
        <w:spacing w:after="0" w:line="16" w:lineRule="exact"/>
        <w:rPr>
          <w:sz w:val="24"/>
          <w:szCs w:val="24"/>
          <w:color w:val="auto"/>
        </w:rPr>
      </w:pPr>
    </w:p>
    <w:p>
      <w:pPr>
        <w:jc w:val="center"/>
        <w:ind w:right="-1120"/>
        <w:spacing w:after="0"/>
        <w:rPr>
          <w:sz w:val="20"/>
          <w:szCs w:val="20"/>
          <w:color w:val="auto"/>
        </w:rPr>
      </w:pPr>
      <w:r>
        <w:rPr>
          <w:rFonts w:ascii="Arial" w:cs="Arial" w:eastAsia="Arial" w:hAnsi="Arial"/>
          <w:sz w:val="27"/>
          <w:szCs w:val="27"/>
          <w:b w:val="1"/>
          <w:bCs w:val="1"/>
          <w:color w:val="auto"/>
        </w:rPr>
        <w:t>SCHLUMBERGER INVESTMENT S.A.</w:t>
      </w:r>
    </w:p>
    <w:tbl>
      <w:tblPr>
        <w:tblLayout w:type="fixed"/>
        <w:tblInd w:w="2900" w:type="dxa"/>
        <w:tblCellMar>
          <w:top w:w="0" w:type="dxa"/>
          <w:left w:w="0" w:type="dxa"/>
          <w:bottom w:w="0" w:type="dxa"/>
          <w:right w:w="0" w:type="dxa"/>
        </w:tblCellMar>
      </w:tblPr>
      <w:tr>
        <w:trPr>
          <w:trHeight w:val="151"/>
        </w:trPr>
        <w:tc>
          <w:tcPr>
            <w:tcW w:w="1300" w:type="dxa"/>
            <w:vAlign w:val="bottom"/>
          </w:tcPr>
          <w:p>
            <w:pPr>
              <w:spacing w:after="0"/>
              <w:rPr>
                <w:sz w:val="13"/>
                <w:szCs w:val="13"/>
                <w:color w:val="auto"/>
              </w:rPr>
            </w:pPr>
          </w:p>
        </w:tc>
        <w:tc>
          <w:tcPr>
            <w:tcW w:w="4440" w:type="dxa"/>
            <w:vAlign w:val="bottom"/>
            <w:gridSpan w:val="3"/>
          </w:tcPr>
          <w:p>
            <w:pPr>
              <w:ind w:left="60"/>
              <w:spacing w:after="0"/>
              <w:rPr>
                <w:sz w:val="20"/>
                <w:szCs w:val="20"/>
                <w:color w:val="auto"/>
              </w:rPr>
            </w:pPr>
            <w:r>
              <w:rPr>
                <w:rFonts w:ascii="Arial" w:cs="Arial" w:eastAsia="Arial" w:hAnsi="Arial"/>
                <w:sz w:val="11"/>
                <w:szCs w:val="11"/>
                <w:b w:val="1"/>
                <w:bCs w:val="1"/>
                <w:color w:val="auto"/>
              </w:rPr>
              <w:t>(Exact name of registrant as specified in its charter)</w:t>
            </w:r>
          </w:p>
        </w:tc>
        <w:tc>
          <w:tcPr>
            <w:tcW w:w="0" w:type="dxa"/>
            <w:vAlign w:val="bottom"/>
          </w:tcPr>
          <w:p>
            <w:pPr>
              <w:spacing w:after="0"/>
              <w:rPr>
                <w:sz w:val="1"/>
                <w:szCs w:val="1"/>
                <w:color w:val="auto"/>
              </w:rPr>
            </w:pPr>
          </w:p>
        </w:tc>
      </w:tr>
      <w:tr>
        <w:trPr>
          <w:trHeight w:val="244"/>
        </w:trPr>
        <w:tc>
          <w:tcPr>
            <w:tcW w:w="1300" w:type="dxa"/>
            <w:vAlign w:val="bottom"/>
            <w:vMerge w:val="restart"/>
          </w:tcPr>
          <w:p>
            <w:pPr>
              <w:jc w:val="center"/>
              <w:ind w:right="24"/>
              <w:spacing w:after="0"/>
              <w:rPr>
                <w:sz w:val="20"/>
                <w:szCs w:val="20"/>
                <w:color w:val="auto"/>
              </w:rPr>
            </w:pPr>
            <w:r>
              <w:rPr>
                <w:rFonts w:ascii="Arial" w:cs="Arial" w:eastAsia="Arial" w:hAnsi="Arial"/>
                <w:sz w:val="11"/>
                <w:szCs w:val="11"/>
                <w:b w:val="1"/>
                <w:bCs w:val="1"/>
                <w:color w:val="auto"/>
              </w:rPr>
              <w:t>SLB N.V. (SLB Limited)</w:t>
            </w:r>
          </w:p>
        </w:tc>
        <w:tc>
          <w:tcPr>
            <w:tcW w:w="540" w:type="dxa"/>
            <w:vAlign w:val="bottom"/>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2100" w:type="dxa"/>
            <w:vAlign w:val="bottom"/>
            <w:vMerge w:val="restart"/>
          </w:tcPr>
          <w:p>
            <w:pPr>
              <w:jc w:val="center"/>
              <w:ind w:left="424"/>
              <w:spacing w:after="0"/>
              <w:rPr>
                <w:sz w:val="20"/>
                <w:szCs w:val="20"/>
                <w:color w:val="auto"/>
              </w:rPr>
            </w:pPr>
            <w:r>
              <w:rPr>
                <w:rFonts w:ascii="Arial" w:cs="Arial" w:eastAsia="Arial" w:hAnsi="Arial"/>
                <w:sz w:val="11"/>
                <w:szCs w:val="11"/>
                <w:b w:val="1"/>
                <w:bCs w:val="1"/>
                <w:color w:val="auto"/>
              </w:rPr>
              <w:t>Schlumberger Investment S.A.</w:t>
            </w:r>
          </w:p>
        </w:tc>
        <w:tc>
          <w:tcPr>
            <w:tcW w:w="0" w:type="dxa"/>
            <w:vAlign w:val="bottom"/>
          </w:tcPr>
          <w:p>
            <w:pPr>
              <w:spacing w:after="0"/>
              <w:rPr>
                <w:sz w:val="1"/>
                <w:szCs w:val="1"/>
                <w:color w:val="auto"/>
              </w:rPr>
            </w:pPr>
          </w:p>
        </w:tc>
      </w:tr>
      <w:tr>
        <w:trPr>
          <w:trHeight w:val="330"/>
        </w:trPr>
        <w:tc>
          <w:tcPr>
            <w:tcW w:w="13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1300" w:type="dxa"/>
            <w:vAlign w:val="bottom"/>
          </w:tcPr>
          <w:p>
            <w:pPr>
              <w:jc w:val="center"/>
              <w:ind w:right="44"/>
              <w:spacing w:after="0"/>
              <w:rPr>
                <w:sz w:val="20"/>
                <w:szCs w:val="20"/>
                <w:color w:val="auto"/>
              </w:rPr>
            </w:pPr>
            <w:r>
              <w:rPr>
                <w:rFonts w:ascii="Arial" w:cs="Arial" w:eastAsia="Arial" w:hAnsi="Arial"/>
                <w:sz w:val="11"/>
                <w:szCs w:val="11"/>
                <w:b w:val="1"/>
                <w:bCs w:val="1"/>
                <w:color w:val="auto"/>
                <w:w w:val="99"/>
              </w:rPr>
              <w:t>Curaçao</w:t>
            </w:r>
          </w:p>
        </w:tc>
        <w:tc>
          <w:tcPr>
            <w:tcW w:w="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100" w:type="dxa"/>
            <w:vAlign w:val="bottom"/>
          </w:tcPr>
          <w:p>
            <w:pPr>
              <w:jc w:val="center"/>
              <w:ind w:left="424"/>
              <w:spacing w:after="0"/>
              <w:rPr>
                <w:sz w:val="20"/>
                <w:szCs w:val="20"/>
                <w:color w:val="auto"/>
              </w:rPr>
            </w:pPr>
            <w:r>
              <w:rPr>
                <w:rFonts w:ascii="Arial" w:cs="Arial" w:eastAsia="Arial" w:hAnsi="Arial"/>
                <w:sz w:val="11"/>
                <w:szCs w:val="11"/>
                <w:b w:val="1"/>
                <w:bCs w:val="1"/>
                <w:color w:val="auto"/>
              </w:rPr>
              <w:t>Grand Duchy of Luxembourg</w:t>
            </w:r>
          </w:p>
        </w:tc>
        <w:tc>
          <w:tcPr>
            <w:tcW w:w="0" w:type="dxa"/>
            <w:vAlign w:val="bottom"/>
          </w:tcPr>
          <w:p>
            <w:pPr>
              <w:spacing w:after="0"/>
              <w:rPr>
                <w:sz w:val="1"/>
                <w:szCs w:val="1"/>
                <w:color w:val="auto"/>
              </w:rPr>
            </w:pPr>
          </w:p>
        </w:tc>
      </w:tr>
    </w:tbl>
    <w:p>
      <w:pPr>
        <w:spacing w:after="0" w:line="1" w:lineRule="exact"/>
        <w:rPr>
          <w:sz w:val="24"/>
          <w:szCs w:val="24"/>
          <w:color w:val="auto"/>
        </w:rPr>
      </w:pPr>
    </w:p>
    <w:p>
      <w:pPr>
        <w:sectPr>
          <w:pgSz w:w="11900" w:h="16838" w:orient="portrait"/>
          <w:cols w:equalWidth="0" w:num="1">
            <w:col w:w="10159"/>
          </w:cols>
          <w:pgMar w:left="300" w:top="207" w:right="1440" w:bottom="1440" w:gutter="0" w:footer="0" w:header="0"/>
        </w:sectPr>
      </w:pPr>
    </w:p>
    <w:p>
      <w:pPr>
        <w:ind w:left="2840"/>
        <w:spacing w:after="0"/>
        <w:rPr>
          <w:sz w:val="20"/>
          <w:szCs w:val="20"/>
          <w:color w:val="auto"/>
        </w:rPr>
      </w:pPr>
      <w:r>
        <w:rPr>
          <w:rFonts w:ascii="Arial" w:cs="Arial" w:eastAsia="Arial" w:hAnsi="Arial"/>
          <w:sz w:val="9"/>
          <w:szCs w:val="9"/>
          <w:b w:val="1"/>
          <w:bCs w:val="1"/>
          <w:color w:val="auto"/>
        </w:rPr>
        <w:t>(State or other jurisdiction of</w:t>
      </w:r>
    </w:p>
    <w:p>
      <w:pPr>
        <w:spacing w:after="0" w:line="1" w:lineRule="exact"/>
        <w:rPr>
          <w:sz w:val="24"/>
          <w:szCs w:val="24"/>
          <w:color w:val="auto"/>
        </w:rPr>
      </w:pPr>
    </w:p>
    <w:p>
      <w:pPr>
        <w:ind w:left="2800"/>
        <w:spacing w:after="0"/>
        <w:rPr>
          <w:sz w:val="20"/>
          <w:szCs w:val="20"/>
          <w:color w:val="auto"/>
        </w:rPr>
      </w:pPr>
      <w:r>
        <w:rPr>
          <w:rFonts w:ascii="Arial" w:cs="Arial" w:eastAsia="Arial" w:hAnsi="Arial"/>
          <w:sz w:val="9"/>
          <w:szCs w:val="9"/>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9"/>
          <w:szCs w:val="9"/>
          <w:b w:val="1"/>
          <w:bCs w:val="1"/>
          <w:color w:val="auto"/>
        </w:rPr>
        <w:t>(State or other jurisdiction of</w:t>
      </w:r>
    </w:p>
    <w:p>
      <w:pPr>
        <w:spacing w:after="0" w:line="1" w:lineRule="exact"/>
        <w:rPr>
          <w:sz w:val="24"/>
          <w:szCs w:val="24"/>
          <w:color w:val="auto"/>
        </w:rPr>
      </w:pPr>
    </w:p>
    <w:p>
      <w:pPr>
        <w:spacing w:after="0"/>
        <w:rPr>
          <w:sz w:val="20"/>
          <w:szCs w:val="20"/>
          <w:color w:val="auto"/>
        </w:rPr>
      </w:pPr>
      <w:r>
        <w:rPr>
          <w:rFonts w:ascii="Arial" w:cs="Arial" w:eastAsia="Arial" w:hAnsi="Arial"/>
          <w:sz w:val="9"/>
          <w:szCs w:val="9"/>
          <w:b w:val="1"/>
          <w:bCs w:val="1"/>
          <w:color w:val="auto"/>
        </w:rPr>
        <w:t>incorporation or organization)</w:t>
      </w:r>
    </w:p>
    <w:p>
      <w:pPr>
        <w:spacing w:after="0" w:line="43" w:lineRule="exact"/>
        <w:rPr>
          <w:sz w:val="24"/>
          <w:szCs w:val="24"/>
          <w:color w:val="auto"/>
        </w:rPr>
      </w:pPr>
    </w:p>
    <w:p>
      <w:pPr>
        <w:sectPr>
          <w:pgSz w:w="11900" w:h="16838" w:orient="portrait"/>
          <w:cols w:equalWidth="0" w:num="2">
            <w:col w:w="6420" w:space="720"/>
            <w:col w:w="3019"/>
          </w:cols>
          <w:pgMar w:left="300" w:top="207" w:right="1440" w:bottom="1440" w:gutter="0" w:footer="0" w:header="0"/>
          <w:type w:val="continuous"/>
        </w:sectPr>
      </w:pPr>
    </w:p>
    <w:tbl>
      <w:tblPr>
        <w:tblLayout w:type="fixed"/>
        <w:tblInd w:w="1460" w:type="dxa"/>
        <w:tblCellMar>
          <w:top w:w="0" w:type="dxa"/>
          <w:left w:w="0" w:type="dxa"/>
          <w:bottom w:w="0" w:type="dxa"/>
          <w:right w:w="0" w:type="dxa"/>
        </w:tblCellMar>
      </w:tblPr>
      <w:tr>
        <w:trPr>
          <w:trHeight w:val="126"/>
        </w:trPr>
        <w:tc>
          <w:tcPr>
            <w:tcW w:w="4200" w:type="dxa"/>
            <w:vAlign w:val="bottom"/>
          </w:tcPr>
          <w:p>
            <w:pPr>
              <w:jc w:val="center"/>
              <w:ind w:right="66"/>
              <w:spacing w:after="0"/>
              <w:rPr>
                <w:sz w:val="20"/>
                <w:szCs w:val="20"/>
                <w:color w:val="auto"/>
              </w:rPr>
            </w:pPr>
            <w:r>
              <w:rPr>
                <w:rFonts w:ascii="Arial" w:cs="Arial" w:eastAsia="Arial" w:hAnsi="Arial"/>
                <w:sz w:val="11"/>
                <w:szCs w:val="11"/>
                <w:b w:val="1"/>
                <w:bCs w:val="1"/>
                <w:color w:val="auto"/>
              </w:rPr>
              <w:t>52-0684746</w:t>
            </w:r>
          </w:p>
        </w:tc>
        <w:tc>
          <w:tcPr>
            <w:tcW w:w="4220" w:type="dxa"/>
            <w:vAlign w:val="bottom"/>
          </w:tcPr>
          <w:p>
            <w:pPr>
              <w:jc w:val="center"/>
              <w:ind w:left="66"/>
              <w:spacing w:after="0"/>
              <w:rPr>
                <w:sz w:val="20"/>
                <w:szCs w:val="20"/>
                <w:color w:val="auto"/>
              </w:rPr>
            </w:pPr>
            <w:r>
              <w:rPr>
                <w:rFonts w:ascii="Arial" w:cs="Arial" w:eastAsia="Arial" w:hAnsi="Arial"/>
                <w:sz w:val="11"/>
                <w:szCs w:val="11"/>
                <w:b w:val="1"/>
                <w:bCs w:val="1"/>
                <w:color w:val="auto"/>
                <w:w w:val="98"/>
              </w:rPr>
              <w:t>00-0000000</w:t>
            </w:r>
          </w:p>
        </w:tc>
      </w:tr>
      <w:tr>
        <w:trPr>
          <w:trHeight w:val="105"/>
        </w:trPr>
        <w:tc>
          <w:tcPr>
            <w:tcW w:w="4200" w:type="dxa"/>
            <w:vAlign w:val="bottom"/>
          </w:tcPr>
          <w:p>
            <w:pPr>
              <w:jc w:val="center"/>
              <w:ind w:right="46"/>
              <w:spacing w:after="0" w:line="105" w:lineRule="exact"/>
              <w:rPr>
                <w:sz w:val="20"/>
                <w:szCs w:val="20"/>
                <w:color w:val="auto"/>
              </w:rPr>
            </w:pPr>
            <w:r>
              <w:rPr>
                <w:rFonts w:ascii="Arial" w:cs="Arial" w:eastAsia="Arial" w:hAnsi="Arial"/>
                <w:sz w:val="10"/>
                <w:szCs w:val="10"/>
                <w:b w:val="1"/>
                <w:bCs w:val="1"/>
                <w:color w:val="auto"/>
                <w:w w:val="96"/>
              </w:rPr>
              <w:t>(I.R.S. Employer</w:t>
            </w:r>
          </w:p>
        </w:tc>
        <w:tc>
          <w:tcPr>
            <w:tcW w:w="4220" w:type="dxa"/>
            <w:vAlign w:val="bottom"/>
          </w:tcPr>
          <w:p>
            <w:pPr>
              <w:jc w:val="center"/>
              <w:ind w:left="66"/>
              <w:spacing w:after="0" w:line="105" w:lineRule="exact"/>
              <w:rPr>
                <w:sz w:val="20"/>
                <w:szCs w:val="20"/>
                <w:color w:val="auto"/>
              </w:rPr>
            </w:pPr>
            <w:r>
              <w:rPr>
                <w:rFonts w:ascii="Arial" w:cs="Arial" w:eastAsia="Arial" w:hAnsi="Arial"/>
                <w:sz w:val="10"/>
                <w:szCs w:val="10"/>
                <w:b w:val="1"/>
                <w:bCs w:val="1"/>
                <w:color w:val="auto"/>
                <w:w w:val="96"/>
              </w:rPr>
              <w:t>(I.R.S. Employer</w:t>
            </w:r>
          </w:p>
        </w:tc>
      </w:tr>
      <w:tr>
        <w:trPr>
          <w:trHeight w:val="135"/>
        </w:trPr>
        <w:tc>
          <w:tcPr>
            <w:tcW w:w="4200" w:type="dxa"/>
            <w:vAlign w:val="bottom"/>
          </w:tcPr>
          <w:p>
            <w:pPr>
              <w:jc w:val="center"/>
              <w:ind w:right="66"/>
              <w:spacing w:after="0"/>
              <w:rPr>
                <w:sz w:val="20"/>
                <w:szCs w:val="20"/>
                <w:color w:val="auto"/>
              </w:rPr>
            </w:pPr>
            <w:r>
              <w:rPr>
                <w:rFonts w:ascii="Arial" w:cs="Arial" w:eastAsia="Arial" w:hAnsi="Arial"/>
                <w:sz w:val="10"/>
                <w:szCs w:val="10"/>
                <w:b w:val="1"/>
                <w:bCs w:val="1"/>
                <w:color w:val="auto"/>
                <w:w w:val="97"/>
              </w:rPr>
              <w:t>Identification Number)</w:t>
            </w:r>
          </w:p>
        </w:tc>
        <w:tc>
          <w:tcPr>
            <w:tcW w:w="4220" w:type="dxa"/>
            <w:vAlign w:val="bottom"/>
          </w:tcPr>
          <w:p>
            <w:pPr>
              <w:jc w:val="center"/>
              <w:ind w:left="66"/>
              <w:spacing w:after="0"/>
              <w:rPr>
                <w:sz w:val="20"/>
                <w:szCs w:val="20"/>
                <w:color w:val="auto"/>
              </w:rPr>
            </w:pPr>
            <w:r>
              <w:rPr>
                <w:rFonts w:ascii="Arial" w:cs="Arial" w:eastAsia="Arial" w:hAnsi="Arial"/>
                <w:sz w:val="10"/>
                <w:szCs w:val="10"/>
                <w:b w:val="1"/>
                <w:bCs w:val="1"/>
                <w:color w:val="auto"/>
                <w:w w:val="96"/>
              </w:rPr>
              <w:t>Identification Number)</w:t>
            </w:r>
          </w:p>
        </w:tc>
      </w:tr>
      <w:tr>
        <w:trPr>
          <w:trHeight w:val="157"/>
        </w:trPr>
        <w:tc>
          <w:tcPr>
            <w:tcW w:w="4200" w:type="dxa"/>
            <w:vAlign w:val="bottom"/>
          </w:tcPr>
          <w:p>
            <w:pPr>
              <w:jc w:val="center"/>
              <w:ind w:right="66"/>
              <w:spacing w:after="0"/>
              <w:rPr>
                <w:sz w:val="20"/>
                <w:szCs w:val="20"/>
                <w:color w:val="auto"/>
              </w:rPr>
            </w:pPr>
            <w:r>
              <w:rPr>
                <w:rFonts w:ascii="Arial" w:cs="Arial" w:eastAsia="Arial" w:hAnsi="Arial"/>
                <w:sz w:val="11"/>
                <w:szCs w:val="11"/>
                <w:b w:val="1"/>
                <w:bCs w:val="1"/>
                <w:color w:val="auto"/>
              </w:rPr>
              <w:t>42 rue Saint-Dominique</w:t>
            </w:r>
          </w:p>
        </w:tc>
        <w:tc>
          <w:tcPr>
            <w:tcW w:w="4220" w:type="dxa"/>
            <w:vAlign w:val="bottom"/>
          </w:tcPr>
          <w:p>
            <w:pPr>
              <w:jc w:val="center"/>
              <w:ind w:left="66"/>
              <w:spacing w:after="0"/>
              <w:rPr>
                <w:sz w:val="20"/>
                <w:szCs w:val="20"/>
                <w:color w:val="auto"/>
              </w:rPr>
            </w:pPr>
            <w:r>
              <w:rPr>
                <w:rFonts w:ascii="Arial" w:cs="Arial" w:eastAsia="Arial" w:hAnsi="Arial"/>
                <w:sz w:val="11"/>
                <w:szCs w:val="11"/>
                <w:b w:val="1"/>
                <w:bCs w:val="1"/>
                <w:color w:val="auto"/>
              </w:rPr>
              <w:t>Schlumberger Investment S.A.</w:t>
            </w:r>
          </w:p>
        </w:tc>
      </w:tr>
      <w:tr>
        <w:trPr>
          <w:trHeight w:val="126"/>
        </w:trPr>
        <w:tc>
          <w:tcPr>
            <w:tcW w:w="4200" w:type="dxa"/>
            <w:vAlign w:val="bottom"/>
          </w:tcPr>
          <w:p>
            <w:pPr>
              <w:jc w:val="center"/>
              <w:ind w:right="66"/>
              <w:spacing w:after="0"/>
              <w:rPr>
                <w:sz w:val="20"/>
                <w:szCs w:val="20"/>
                <w:color w:val="auto"/>
              </w:rPr>
            </w:pPr>
            <w:r>
              <w:rPr>
                <w:rFonts w:ascii="Arial" w:cs="Arial" w:eastAsia="Arial" w:hAnsi="Arial"/>
                <w:sz w:val="11"/>
                <w:szCs w:val="11"/>
                <w:b w:val="1"/>
                <w:bCs w:val="1"/>
                <w:color w:val="auto"/>
              </w:rPr>
              <w:t>Paris, France 75007</w:t>
            </w:r>
          </w:p>
        </w:tc>
        <w:tc>
          <w:tcPr>
            <w:tcW w:w="4220" w:type="dxa"/>
            <w:vAlign w:val="bottom"/>
          </w:tcPr>
          <w:p>
            <w:pPr>
              <w:jc w:val="center"/>
              <w:ind w:left="66"/>
              <w:spacing w:after="0"/>
              <w:rPr>
                <w:sz w:val="20"/>
                <w:szCs w:val="20"/>
                <w:color w:val="auto"/>
              </w:rPr>
            </w:pPr>
            <w:r>
              <w:rPr>
                <w:rFonts w:ascii="Arial" w:cs="Arial" w:eastAsia="Arial" w:hAnsi="Arial"/>
                <w:sz w:val="11"/>
                <w:szCs w:val="11"/>
                <w:b w:val="1"/>
                <w:bCs w:val="1"/>
                <w:color w:val="auto"/>
              </w:rPr>
              <w:t>5, Place de la Gare,</w:t>
            </w:r>
          </w:p>
        </w:tc>
      </w:tr>
      <w:tr>
        <w:trPr>
          <w:trHeight w:val="126"/>
        </w:trPr>
        <w:tc>
          <w:tcPr>
            <w:tcW w:w="4200" w:type="dxa"/>
            <w:vAlign w:val="bottom"/>
          </w:tcPr>
          <w:p>
            <w:pPr>
              <w:jc w:val="center"/>
              <w:ind w:right="46"/>
              <w:spacing w:after="0"/>
              <w:rPr>
                <w:sz w:val="20"/>
                <w:szCs w:val="20"/>
                <w:color w:val="auto"/>
              </w:rPr>
            </w:pPr>
            <w:r>
              <w:rPr>
                <w:rFonts w:ascii="Arial" w:cs="Arial" w:eastAsia="Arial" w:hAnsi="Arial"/>
                <w:sz w:val="11"/>
                <w:szCs w:val="11"/>
                <w:b w:val="1"/>
                <w:bCs w:val="1"/>
                <w:color w:val="auto"/>
              </w:rPr>
              <w:t>+33 1-4062-1000</w:t>
            </w:r>
          </w:p>
        </w:tc>
        <w:tc>
          <w:tcPr>
            <w:tcW w:w="4220" w:type="dxa"/>
            <w:vAlign w:val="bottom"/>
          </w:tcPr>
          <w:p>
            <w:pPr>
              <w:jc w:val="center"/>
              <w:ind w:left="66"/>
              <w:spacing w:after="0"/>
              <w:rPr>
                <w:sz w:val="20"/>
                <w:szCs w:val="20"/>
                <w:color w:val="auto"/>
              </w:rPr>
            </w:pPr>
            <w:r>
              <w:rPr>
                <w:rFonts w:ascii="Arial" w:cs="Arial" w:eastAsia="Arial" w:hAnsi="Arial"/>
                <w:sz w:val="11"/>
                <w:szCs w:val="11"/>
                <w:b w:val="1"/>
                <w:bCs w:val="1"/>
                <w:color w:val="auto"/>
              </w:rPr>
              <w:t>L-1616 Luxembourg,</w:t>
            </w:r>
          </w:p>
        </w:tc>
      </w:tr>
      <w:tr>
        <w:trPr>
          <w:trHeight w:val="126"/>
        </w:trPr>
        <w:tc>
          <w:tcPr>
            <w:tcW w:w="4200" w:type="dxa"/>
            <w:vAlign w:val="bottom"/>
          </w:tcPr>
          <w:p>
            <w:pPr>
              <w:jc w:val="center"/>
              <w:ind w:right="66"/>
              <w:spacing w:after="0"/>
              <w:rPr>
                <w:sz w:val="20"/>
                <w:szCs w:val="20"/>
                <w:color w:val="auto"/>
              </w:rPr>
            </w:pPr>
            <w:r>
              <w:rPr>
                <w:rFonts w:ascii="Arial" w:cs="Arial" w:eastAsia="Arial" w:hAnsi="Arial"/>
                <w:sz w:val="11"/>
                <w:szCs w:val="11"/>
                <w:b w:val="1"/>
                <w:bCs w:val="1"/>
                <w:color w:val="auto"/>
              </w:rPr>
              <w:t>5599 San Felipe</w:t>
            </w:r>
          </w:p>
        </w:tc>
        <w:tc>
          <w:tcPr>
            <w:tcW w:w="4220" w:type="dxa"/>
            <w:vAlign w:val="bottom"/>
          </w:tcPr>
          <w:p>
            <w:pPr>
              <w:jc w:val="center"/>
              <w:ind w:left="66"/>
              <w:spacing w:after="0"/>
              <w:rPr>
                <w:sz w:val="20"/>
                <w:szCs w:val="20"/>
                <w:color w:val="auto"/>
              </w:rPr>
            </w:pPr>
            <w:r>
              <w:rPr>
                <w:rFonts w:ascii="Arial" w:cs="Arial" w:eastAsia="Arial" w:hAnsi="Arial"/>
                <w:sz w:val="11"/>
                <w:szCs w:val="11"/>
                <w:b w:val="1"/>
                <w:bCs w:val="1"/>
                <w:color w:val="auto"/>
                <w:w w:val="99"/>
              </w:rPr>
              <w:t>Grand Duchy of</w:t>
            </w:r>
          </w:p>
        </w:tc>
      </w:tr>
      <w:tr>
        <w:trPr>
          <w:trHeight w:val="126"/>
        </w:trPr>
        <w:tc>
          <w:tcPr>
            <w:tcW w:w="4200" w:type="dxa"/>
            <w:vAlign w:val="bottom"/>
          </w:tcPr>
          <w:p>
            <w:pPr>
              <w:jc w:val="center"/>
              <w:ind w:right="66"/>
              <w:spacing w:after="0"/>
              <w:rPr>
                <w:sz w:val="20"/>
                <w:szCs w:val="20"/>
                <w:color w:val="auto"/>
              </w:rPr>
            </w:pPr>
            <w:r>
              <w:rPr>
                <w:rFonts w:ascii="Arial" w:cs="Arial" w:eastAsia="Arial" w:hAnsi="Arial"/>
                <w:sz w:val="11"/>
                <w:szCs w:val="11"/>
                <w:b w:val="1"/>
                <w:bCs w:val="1"/>
                <w:color w:val="auto"/>
              </w:rPr>
              <w:t>Houston, Texas, U.S.A. 77056</w:t>
            </w:r>
          </w:p>
        </w:tc>
        <w:tc>
          <w:tcPr>
            <w:tcW w:w="4220" w:type="dxa"/>
            <w:vAlign w:val="bottom"/>
          </w:tcPr>
          <w:p>
            <w:pPr>
              <w:jc w:val="center"/>
              <w:ind w:left="66"/>
              <w:spacing w:after="0"/>
              <w:rPr>
                <w:sz w:val="20"/>
                <w:szCs w:val="20"/>
                <w:color w:val="auto"/>
              </w:rPr>
            </w:pPr>
            <w:r>
              <w:rPr>
                <w:rFonts w:ascii="Arial" w:cs="Arial" w:eastAsia="Arial" w:hAnsi="Arial"/>
                <w:sz w:val="11"/>
                <w:szCs w:val="11"/>
                <w:b w:val="1"/>
                <w:bCs w:val="1"/>
                <w:color w:val="auto"/>
                <w:w w:val="98"/>
              </w:rPr>
              <w:t>Luxembourg</w:t>
            </w:r>
          </w:p>
        </w:tc>
      </w:tr>
      <w:tr>
        <w:trPr>
          <w:trHeight w:val="126"/>
        </w:trPr>
        <w:tc>
          <w:tcPr>
            <w:tcW w:w="4200" w:type="dxa"/>
            <w:vAlign w:val="bottom"/>
          </w:tcPr>
          <w:p>
            <w:pPr>
              <w:jc w:val="center"/>
              <w:ind w:right="66"/>
              <w:spacing w:after="0"/>
              <w:rPr>
                <w:sz w:val="20"/>
                <w:szCs w:val="20"/>
                <w:color w:val="auto"/>
              </w:rPr>
            </w:pPr>
            <w:r>
              <w:rPr>
                <w:rFonts w:ascii="Arial" w:cs="Arial" w:eastAsia="Arial" w:hAnsi="Arial"/>
                <w:sz w:val="11"/>
                <w:szCs w:val="11"/>
                <w:b w:val="1"/>
                <w:bCs w:val="1"/>
                <w:color w:val="auto"/>
              </w:rPr>
              <w:t>+1 (713) 513-2000</w:t>
            </w:r>
          </w:p>
        </w:tc>
        <w:tc>
          <w:tcPr>
            <w:tcW w:w="4220" w:type="dxa"/>
            <w:vAlign w:val="bottom"/>
          </w:tcPr>
          <w:p>
            <w:pPr>
              <w:jc w:val="center"/>
              <w:ind w:left="66"/>
              <w:spacing w:after="0"/>
              <w:rPr>
                <w:sz w:val="20"/>
                <w:szCs w:val="20"/>
                <w:color w:val="auto"/>
              </w:rPr>
            </w:pPr>
            <w:r>
              <w:rPr>
                <w:rFonts w:ascii="Arial" w:cs="Arial" w:eastAsia="Arial" w:hAnsi="Arial"/>
                <w:sz w:val="11"/>
                <w:szCs w:val="11"/>
                <w:b w:val="1"/>
                <w:bCs w:val="1"/>
                <w:color w:val="auto"/>
              </w:rPr>
              <w:t>R.C.S. Luxembourg B 163.122</w:t>
            </w:r>
          </w:p>
        </w:tc>
      </w:tr>
      <w:tr>
        <w:trPr>
          <w:trHeight w:val="126"/>
        </w:trPr>
        <w:tc>
          <w:tcPr>
            <w:tcW w:w="4200" w:type="dxa"/>
            <w:vAlign w:val="bottom"/>
          </w:tcPr>
          <w:p>
            <w:pPr>
              <w:jc w:val="center"/>
              <w:ind w:right="46"/>
              <w:spacing w:after="0"/>
              <w:rPr>
                <w:sz w:val="20"/>
                <w:szCs w:val="20"/>
                <w:color w:val="auto"/>
              </w:rPr>
            </w:pPr>
            <w:r>
              <w:rPr>
                <w:rFonts w:ascii="Arial" w:cs="Arial" w:eastAsia="Arial" w:hAnsi="Arial"/>
                <w:sz w:val="11"/>
                <w:szCs w:val="11"/>
                <w:b w:val="1"/>
                <w:bCs w:val="1"/>
                <w:color w:val="auto"/>
              </w:rPr>
              <w:t>Parkstraat 83</w:t>
            </w:r>
          </w:p>
        </w:tc>
        <w:tc>
          <w:tcPr>
            <w:tcW w:w="4220" w:type="dxa"/>
            <w:vAlign w:val="bottom"/>
          </w:tcPr>
          <w:p>
            <w:pPr>
              <w:jc w:val="center"/>
              <w:ind w:left="66"/>
              <w:spacing w:after="0"/>
              <w:rPr>
                <w:sz w:val="20"/>
                <w:szCs w:val="20"/>
                <w:color w:val="auto"/>
              </w:rPr>
            </w:pPr>
            <w:r>
              <w:rPr>
                <w:rFonts w:ascii="Arial" w:cs="Arial" w:eastAsia="Arial" w:hAnsi="Arial"/>
                <w:sz w:val="11"/>
                <w:szCs w:val="11"/>
                <w:b w:val="1"/>
                <w:bCs w:val="1"/>
                <w:color w:val="auto"/>
              </w:rPr>
              <w:t>+352 284 878 1045</w:t>
            </w:r>
          </w:p>
        </w:tc>
      </w:tr>
      <w:tr>
        <w:trPr>
          <w:trHeight w:val="126"/>
        </w:trPr>
        <w:tc>
          <w:tcPr>
            <w:tcW w:w="4200" w:type="dxa"/>
            <w:vAlign w:val="bottom"/>
          </w:tcPr>
          <w:p>
            <w:pPr>
              <w:jc w:val="center"/>
              <w:ind w:right="66"/>
              <w:spacing w:after="0"/>
              <w:rPr>
                <w:sz w:val="20"/>
                <w:szCs w:val="20"/>
                <w:color w:val="auto"/>
              </w:rPr>
            </w:pPr>
            <w:r>
              <w:rPr>
                <w:rFonts w:ascii="Arial" w:cs="Arial" w:eastAsia="Arial" w:hAnsi="Arial"/>
                <w:sz w:val="11"/>
                <w:szCs w:val="11"/>
                <w:b w:val="1"/>
                <w:bCs w:val="1"/>
                <w:color w:val="auto"/>
              </w:rPr>
              <w:t>The Hague, The Netherlands, 2514 JG</w:t>
            </w:r>
          </w:p>
        </w:tc>
        <w:tc>
          <w:tcPr>
            <w:tcW w:w="4220" w:type="dxa"/>
            <w:vAlign w:val="bottom"/>
          </w:tcPr>
          <w:p>
            <w:pPr>
              <w:spacing w:after="0"/>
              <w:rPr>
                <w:sz w:val="10"/>
                <w:szCs w:val="10"/>
                <w:color w:val="auto"/>
              </w:rPr>
            </w:pPr>
          </w:p>
        </w:tc>
      </w:tr>
      <w:tr>
        <w:trPr>
          <w:trHeight w:val="128"/>
        </w:trPr>
        <w:tc>
          <w:tcPr>
            <w:tcW w:w="4200" w:type="dxa"/>
            <w:vAlign w:val="bottom"/>
          </w:tcPr>
          <w:p>
            <w:pPr>
              <w:jc w:val="center"/>
              <w:ind w:right="46"/>
              <w:spacing w:after="0"/>
              <w:rPr>
                <w:sz w:val="20"/>
                <w:szCs w:val="20"/>
                <w:color w:val="auto"/>
              </w:rPr>
            </w:pPr>
            <w:r>
              <w:rPr>
                <w:rFonts w:ascii="Arial" w:cs="Arial" w:eastAsia="Arial" w:hAnsi="Arial"/>
                <w:sz w:val="11"/>
                <w:szCs w:val="11"/>
                <w:b w:val="1"/>
                <w:bCs w:val="1"/>
                <w:color w:val="auto"/>
              </w:rPr>
              <w:t>+31-70-310-5400</w:t>
            </w:r>
          </w:p>
        </w:tc>
        <w:tc>
          <w:tcPr>
            <w:tcW w:w="4220" w:type="dxa"/>
            <w:vAlign w:val="bottom"/>
          </w:tcPr>
          <w:p>
            <w:pPr>
              <w:spacing w:after="0"/>
              <w:rPr>
                <w:sz w:val="11"/>
                <w:szCs w:val="11"/>
                <w:color w:val="auto"/>
              </w:rPr>
            </w:pPr>
          </w:p>
        </w:tc>
      </w:tr>
      <w:tr>
        <w:trPr>
          <w:trHeight w:val="105"/>
        </w:trPr>
        <w:tc>
          <w:tcPr>
            <w:tcW w:w="4200" w:type="dxa"/>
            <w:vAlign w:val="bottom"/>
          </w:tcPr>
          <w:p>
            <w:pPr>
              <w:jc w:val="center"/>
              <w:ind w:right="46"/>
              <w:spacing w:after="0" w:line="105" w:lineRule="exact"/>
              <w:rPr>
                <w:sz w:val="20"/>
                <w:szCs w:val="20"/>
                <w:color w:val="auto"/>
              </w:rPr>
            </w:pPr>
            <w:r>
              <w:rPr>
                <w:rFonts w:ascii="Arial" w:cs="Arial" w:eastAsia="Arial" w:hAnsi="Arial"/>
                <w:sz w:val="10"/>
                <w:szCs w:val="10"/>
                <w:b w:val="1"/>
                <w:bCs w:val="1"/>
                <w:color w:val="auto"/>
                <w:w w:val="97"/>
              </w:rPr>
              <w:t>(Address, including zip code, and telephone number, including area code, of registrant’s</w:t>
            </w:r>
          </w:p>
        </w:tc>
        <w:tc>
          <w:tcPr>
            <w:tcW w:w="4220" w:type="dxa"/>
            <w:vAlign w:val="bottom"/>
          </w:tcPr>
          <w:p>
            <w:pPr>
              <w:jc w:val="center"/>
              <w:ind w:left="66"/>
              <w:spacing w:after="0" w:line="105" w:lineRule="exact"/>
              <w:rPr>
                <w:sz w:val="20"/>
                <w:szCs w:val="20"/>
                <w:color w:val="auto"/>
              </w:rPr>
            </w:pPr>
            <w:r>
              <w:rPr>
                <w:rFonts w:ascii="Arial" w:cs="Arial" w:eastAsia="Arial" w:hAnsi="Arial"/>
                <w:sz w:val="10"/>
                <w:szCs w:val="10"/>
                <w:b w:val="1"/>
                <w:bCs w:val="1"/>
                <w:color w:val="auto"/>
                <w:w w:val="97"/>
              </w:rPr>
              <w:t>(Address, including zip code, and telephone number, including area code, of registrant’s</w:t>
            </w:r>
          </w:p>
        </w:tc>
      </w:tr>
      <w:tr>
        <w:trPr>
          <w:trHeight w:val="135"/>
        </w:trPr>
        <w:tc>
          <w:tcPr>
            <w:tcW w:w="4200" w:type="dxa"/>
            <w:vAlign w:val="bottom"/>
          </w:tcPr>
          <w:p>
            <w:pPr>
              <w:jc w:val="center"/>
              <w:ind w:right="46"/>
              <w:spacing w:after="0"/>
              <w:rPr>
                <w:sz w:val="20"/>
                <w:szCs w:val="20"/>
                <w:color w:val="auto"/>
              </w:rPr>
            </w:pPr>
            <w:r>
              <w:rPr>
                <w:rFonts w:ascii="Arial" w:cs="Arial" w:eastAsia="Arial" w:hAnsi="Arial"/>
                <w:sz w:val="10"/>
                <w:szCs w:val="10"/>
                <w:b w:val="1"/>
                <w:bCs w:val="1"/>
                <w:color w:val="auto"/>
                <w:w w:val="98"/>
              </w:rPr>
              <w:t>principal executive offices)</w:t>
            </w:r>
          </w:p>
        </w:tc>
        <w:tc>
          <w:tcPr>
            <w:tcW w:w="4220" w:type="dxa"/>
            <w:vAlign w:val="bottom"/>
          </w:tcPr>
          <w:p>
            <w:pPr>
              <w:jc w:val="center"/>
              <w:ind w:left="66"/>
              <w:spacing w:after="0"/>
              <w:rPr>
                <w:sz w:val="20"/>
                <w:szCs w:val="20"/>
                <w:color w:val="auto"/>
              </w:rPr>
            </w:pPr>
            <w:r>
              <w:rPr>
                <w:rFonts w:ascii="Arial" w:cs="Arial" w:eastAsia="Arial" w:hAnsi="Arial"/>
                <w:sz w:val="10"/>
                <w:szCs w:val="10"/>
                <w:b w:val="1"/>
                <w:bCs w:val="1"/>
                <w:color w:val="auto"/>
                <w:w w:val="98"/>
              </w:rPr>
              <w:t>principal executive offices)</w:t>
            </w:r>
          </w:p>
        </w:tc>
      </w:tr>
      <w:tr>
        <w:trPr>
          <w:trHeight w:val="157"/>
        </w:trPr>
        <w:tc>
          <w:tcPr>
            <w:tcW w:w="4200" w:type="dxa"/>
            <w:vAlign w:val="bottom"/>
          </w:tcPr>
          <w:p>
            <w:pPr>
              <w:jc w:val="center"/>
              <w:ind w:right="66"/>
              <w:spacing w:after="0"/>
              <w:rPr>
                <w:sz w:val="20"/>
                <w:szCs w:val="20"/>
                <w:color w:val="auto"/>
              </w:rPr>
            </w:pPr>
            <w:r>
              <w:rPr>
                <w:rFonts w:ascii="Arial" w:cs="Arial" w:eastAsia="Arial" w:hAnsi="Arial"/>
                <w:sz w:val="11"/>
                <w:szCs w:val="11"/>
                <w:b w:val="1"/>
                <w:bCs w:val="1"/>
                <w:color w:val="auto"/>
              </w:rPr>
              <w:t>Dianne B. Ralston</w:t>
            </w:r>
          </w:p>
        </w:tc>
        <w:tc>
          <w:tcPr>
            <w:tcW w:w="4220" w:type="dxa"/>
            <w:vAlign w:val="bottom"/>
          </w:tcPr>
          <w:p>
            <w:pPr>
              <w:jc w:val="center"/>
              <w:ind w:left="66"/>
              <w:spacing w:after="0"/>
              <w:rPr>
                <w:sz w:val="20"/>
                <w:szCs w:val="20"/>
                <w:color w:val="auto"/>
              </w:rPr>
            </w:pPr>
            <w:r>
              <w:rPr>
                <w:rFonts w:ascii="Arial" w:cs="Arial" w:eastAsia="Arial" w:hAnsi="Arial"/>
                <w:sz w:val="11"/>
                <w:szCs w:val="11"/>
                <w:b w:val="1"/>
                <w:bCs w:val="1"/>
                <w:i w:val="1"/>
                <w:iCs w:val="1"/>
                <w:color w:val="auto"/>
              </w:rPr>
              <w:t>Copy to:</w:t>
            </w:r>
          </w:p>
        </w:tc>
      </w:tr>
      <w:tr>
        <w:trPr>
          <w:trHeight w:val="126"/>
        </w:trPr>
        <w:tc>
          <w:tcPr>
            <w:tcW w:w="4200" w:type="dxa"/>
            <w:vAlign w:val="bottom"/>
          </w:tcPr>
          <w:p>
            <w:pPr>
              <w:jc w:val="center"/>
              <w:ind w:right="66"/>
              <w:spacing w:after="0"/>
              <w:rPr>
                <w:sz w:val="20"/>
                <w:szCs w:val="20"/>
                <w:color w:val="auto"/>
              </w:rPr>
            </w:pPr>
            <w:r>
              <w:rPr>
                <w:rFonts w:ascii="Arial" w:cs="Arial" w:eastAsia="Arial" w:hAnsi="Arial"/>
                <w:sz w:val="11"/>
                <w:szCs w:val="11"/>
                <w:b w:val="1"/>
                <w:bCs w:val="1"/>
                <w:color w:val="auto"/>
              </w:rPr>
              <w:t>Chief Legal Officer and Secretary</w:t>
            </w:r>
          </w:p>
        </w:tc>
        <w:tc>
          <w:tcPr>
            <w:tcW w:w="4220" w:type="dxa"/>
            <w:vAlign w:val="bottom"/>
          </w:tcPr>
          <w:p>
            <w:pPr>
              <w:jc w:val="center"/>
              <w:ind w:left="66"/>
              <w:spacing w:after="0"/>
              <w:rPr>
                <w:sz w:val="20"/>
                <w:szCs w:val="20"/>
                <w:color w:val="auto"/>
              </w:rPr>
            </w:pPr>
            <w:r>
              <w:rPr>
                <w:rFonts w:ascii="Arial" w:cs="Arial" w:eastAsia="Arial" w:hAnsi="Arial"/>
                <w:sz w:val="11"/>
                <w:szCs w:val="11"/>
                <w:b w:val="1"/>
                <w:bCs w:val="1"/>
                <w:color w:val="auto"/>
              </w:rPr>
              <w:t>Andrew L. Fabens</w:t>
            </w:r>
          </w:p>
        </w:tc>
      </w:tr>
      <w:tr>
        <w:trPr>
          <w:trHeight w:val="126"/>
        </w:trPr>
        <w:tc>
          <w:tcPr>
            <w:tcW w:w="4200" w:type="dxa"/>
            <w:vAlign w:val="bottom"/>
          </w:tcPr>
          <w:p>
            <w:pPr>
              <w:jc w:val="center"/>
              <w:ind w:right="46"/>
              <w:spacing w:after="0"/>
              <w:rPr>
                <w:sz w:val="20"/>
                <w:szCs w:val="20"/>
                <w:color w:val="auto"/>
              </w:rPr>
            </w:pPr>
            <w:r>
              <w:rPr>
                <w:rFonts w:ascii="Arial" w:cs="Arial" w:eastAsia="Arial" w:hAnsi="Arial"/>
                <w:sz w:val="11"/>
                <w:szCs w:val="11"/>
                <w:b w:val="1"/>
                <w:bCs w:val="1"/>
                <w:color w:val="auto"/>
              </w:rPr>
              <w:t>SLB N.V. (SLB Limited)</w:t>
            </w:r>
          </w:p>
        </w:tc>
        <w:tc>
          <w:tcPr>
            <w:tcW w:w="4220" w:type="dxa"/>
            <w:vAlign w:val="bottom"/>
          </w:tcPr>
          <w:p>
            <w:pPr>
              <w:jc w:val="center"/>
              <w:ind w:left="66"/>
              <w:spacing w:after="0"/>
              <w:rPr>
                <w:sz w:val="20"/>
                <w:szCs w:val="20"/>
                <w:color w:val="auto"/>
              </w:rPr>
            </w:pPr>
            <w:r>
              <w:rPr>
                <w:rFonts w:ascii="Arial" w:cs="Arial" w:eastAsia="Arial" w:hAnsi="Arial"/>
                <w:sz w:val="11"/>
                <w:szCs w:val="11"/>
                <w:b w:val="1"/>
                <w:bCs w:val="1"/>
                <w:color w:val="auto"/>
              </w:rPr>
              <w:t>Gibson, Dunn &amp; Crutcher LLP</w:t>
            </w:r>
          </w:p>
        </w:tc>
      </w:tr>
      <w:tr>
        <w:trPr>
          <w:trHeight w:val="126"/>
        </w:trPr>
        <w:tc>
          <w:tcPr>
            <w:tcW w:w="4200" w:type="dxa"/>
            <w:vAlign w:val="bottom"/>
          </w:tcPr>
          <w:p>
            <w:pPr>
              <w:jc w:val="center"/>
              <w:ind w:right="66"/>
              <w:spacing w:after="0"/>
              <w:rPr>
                <w:sz w:val="20"/>
                <w:szCs w:val="20"/>
                <w:color w:val="auto"/>
              </w:rPr>
            </w:pPr>
            <w:r>
              <w:rPr>
                <w:rFonts w:ascii="Arial" w:cs="Arial" w:eastAsia="Arial" w:hAnsi="Arial"/>
                <w:sz w:val="11"/>
                <w:szCs w:val="11"/>
                <w:b w:val="1"/>
                <w:bCs w:val="1"/>
                <w:color w:val="auto"/>
              </w:rPr>
              <w:t>5599 San Felipe</w:t>
            </w:r>
          </w:p>
        </w:tc>
        <w:tc>
          <w:tcPr>
            <w:tcW w:w="4220" w:type="dxa"/>
            <w:vAlign w:val="bottom"/>
          </w:tcPr>
          <w:p>
            <w:pPr>
              <w:jc w:val="center"/>
              <w:ind w:left="66"/>
              <w:spacing w:after="0"/>
              <w:rPr>
                <w:sz w:val="20"/>
                <w:szCs w:val="20"/>
                <w:color w:val="auto"/>
              </w:rPr>
            </w:pPr>
            <w:r>
              <w:rPr>
                <w:rFonts w:ascii="Arial" w:cs="Arial" w:eastAsia="Arial" w:hAnsi="Arial"/>
                <w:sz w:val="11"/>
                <w:szCs w:val="11"/>
                <w:b w:val="1"/>
                <w:bCs w:val="1"/>
                <w:color w:val="auto"/>
              </w:rPr>
              <w:t>200 Park Avenue</w:t>
            </w:r>
          </w:p>
        </w:tc>
      </w:tr>
      <w:tr>
        <w:trPr>
          <w:trHeight w:val="126"/>
        </w:trPr>
        <w:tc>
          <w:tcPr>
            <w:tcW w:w="4200" w:type="dxa"/>
            <w:vAlign w:val="bottom"/>
          </w:tcPr>
          <w:p>
            <w:pPr>
              <w:jc w:val="center"/>
              <w:ind w:right="66"/>
              <w:spacing w:after="0"/>
              <w:rPr>
                <w:sz w:val="20"/>
                <w:szCs w:val="20"/>
                <w:color w:val="auto"/>
              </w:rPr>
            </w:pPr>
            <w:r>
              <w:rPr>
                <w:rFonts w:ascii="Arial" w:cs="Arial" w:eastAsia="Arial" w:hAnsi="Arial"/>
                <w:sz w:val="11"/>
                <w:szCs w:val="11"/>
                <w:b w:val="1"/>
                <w:bCs w:val="1"/>
                <w:color w:val="auto"/>
              </w:rPr>
              <w:t>Houston, Texas, U.S.A. 77056</w:t>
            </w:r>
          </w:p>
        </w:tc>
        <w:tc>
          <w:tcPr>
            <w:tcW w:w="4220" w:type="dxa"/>
            <w:vAlign w:val="bottom"/>
          </w:tcPr>
          <w:p>
            <w:pPr>
              <w:jc w:val="center"/>
              <w:ind w:left="66"/>
              <w:spacing w:after="0"/>
              <w:rPr>
                <w:sz w:val="20"/>
                <w:szCs w:val="20"/>
                <w:color w:val="auto"/>
              </w:rPr>
            </w:pPr>
            <w:r>
              <w:rPr>
                <w:rFonts w:ascii="Arial" w:cs="Arial" w:eastAsia="Arial" w:hAnsi="Arial"/>
                <w:sz w:val="11"/>
                <w:szCs w:val="11"/>
                <w:b w:val="1"/>
                <w:bCs w:val="1"/>
                <w:color w:val="auto"/>
              </w:rPr>
              <w:t>New York, New York 10166-0193</w:t>
            </w:r>
          </w:p>
        </w:tc>
      </w:tr>
      <w:tr>
        <w:trPr>
          <w:trHeight w:val="117"/>
        </w:trPr>
        <w:tc>
          <w:tcPr>
            <w:tcW w:w="4200" w:type="dxa"/>
            <w:vAlign w:val="bottom"/>
          </w:tcPr>
          <w:p>
            <w:pPr>
              <w:jc w:val="center"/>
              <w:ind w:right="66"/>
              <w:spacing w:after="0" w:line="117" w:lineRule="exact"/>
              <w:rPr>
                <w:sz w:val="20"/>
                <w:szCs w:val="20"/>
                <w:color w:val="auto"/>
              </w:rPr>
            </w:pPr>
            <w:r>
              <w:rPr>
                <w:rFonts w:ascii="Arial" w:cs="Arial" w:eastAsia="Arial" w:hAnsi="Arial"/>
                <w:sz w:val="11"/>
                <w:szCs w:val="11"/>
                <w:b w:val="1"/>
                <w:bCs w:val="1"/>
                <w:color w:val="auto"/>
              </w:rPr>
              <w:t>(713) 375-2000</w:t>
            </w:r>
          </w:p>
        </w:tc>
        <w:tc>
          <w:tcPr>
            <w:tcW w:w="4220" w:type="dxa"/>
            <w:vAlign w:val="bottom"/>
          </w:tcPr>
          <w:p>
            <w:pPr>
              <w:jc w:val="center"/>
              <w:ind w:left="66"/>
              <w:spacing w:after="0" w:line="117" w:lineRule="exact"/>
              <w:rPr>
                <w:sz w:val="20"/>
                <w:szCs w:val="20"/>
                <w:color w:val="auto"/>
              </w:rPr>
            </w:pPr>
            <w:r>
              <w:rPr>
                <w:rFonts w:ascii="Arial" w:cs="Arial" w:eastAsia="Arial" w:hAnsi="Arial"/>
                <w:sz w:val="11"/>
                <w:szCs w:val="11"/>
                <w:b w:val="1"/>
                <w:bCs w:val="1"/>
                <w:color w:val="auto"/>
              </w:rPr>
              <w:t>(212) 351-4000</w:t>
            </w:r>
          </w:p>
        </w:tc>
      </w:tr>
      <w:tr>
        <w:trPr>
          <w:trHeight w:val="105"/>
        </w:trPr>
        <w:tc>
          <w:tcPr>
            <w:tcW w:w="4200" w:type="dxa"/>
            <w:vAlign w:val="bottom"/>
          </w:tcPr>
          <w:p>
            <w:pPr>
              <w:jc w:val="center"/>
              <w:ind w:right="66"/>
              <w:spacing w:after="0" w:line="105" w:lineRule="exact"/>
              <w:rPr>
                <w:sz w:val="20"/>
                <w:szCs w:val="20"/>
                <w:color w:val="auto"/>
              </w:rPr>
            </w:pPr>
            <w:r>
              <w:rPr>
                <w:rFonts w:ascii="Arial" w:cs="Arial" w:eastAsia="Arial" w:hAnsi="Arial"/>
                <w:sz w:val="10"/>
                <w:szCs w:val="10"/>
                <w:b w:val="1"/>
                <w:bCs w:val="1"/>
                <w:color w:val="auto"/>
                <w:w w:val="98"/>
              </w:rPr>
              <w:t>(Name, address, including zip code, and telephone</w:t>
            </w:r>
          </w:p>
        </w:tc>
        <w:tc>
          <w:tcPr>
            <w:tcW w:w="4220" w:type="dxa"/>
            <w:vAlign w:val="bottom"/>
          </w:tcPr>
          <w:p>
            <w:pPr>
              <w:spacing w:after="0"/>
              <w:rPr>
                <w:sz w:val="9"/>
                <w:szCs w:val="9"/>
                <w:color w:val="auto"/>
              </w:rPr>
            </w:pPr>
          </w:p>
        </w:tc>
      </w:tr>
      <w:tr>
        <w:trPr>
          <w:trHeight w:val="135"/>
        </w:trPr>
        <w:tc>
          <w:tcPr>
            <w:tcW w:w="4200" w:type="dxa"/>
            <w:vAlign w:val="bottom"/>
          </w:tcPr>
          <w:p>
            <w:pPr>
              <w:jc w:val="center"/>
              <w:ind w:right="66"/>
              <w:spacing w:after="0"/>
              <w:rPr>
                <w:sz w:val="20"/>
                <w:szCs w:val="20"/>
                <w:color w:val="auto"/>
              </w:rPr>
            </w:pPr>
            <w:r>
              <w:rPr>
                <w:rFonts w:ascii="Arial" w:cs="Arial" w:eastAsia="Arial" w:hAnsi="Arial"/>
                <w:sz w:val="10"/>
                <w:szCs w:val="10"/>
                <w:b w:val="1"/>
                <w:bCs w:val="1"/>
                <w:color w:val="auto"/>
                <w:w w:val="97"/>
              </w:rPr>
              <w:t>number, including area code, of agent for service)</w:t>
            </w:r>
          </w:p>
        </w:tc>
        <w:tc>
          <w:tcPr>
            <w:tcW w:w="4220" w:type="dxa"/>
            <w:vAlign w:val="bottom"/>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3011170</wp:posOffset>
            </wp:positionH>
            <wp:positionV relativeFrom="paragraph">
              <wp:posOffset>163830</wp:posOffset>
            </wp:positionV>
            <wp:extent cx="114490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4905" cy="635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ind w:left="1360" w:right="379" w:firstLine="342"/>
        <w:spacing w:after="0" w:line="277" w:lineRule="auto"/>
        <w:rPr>
          <w:sz w:val="20"/>
          <w:szCs w:val="20"/>
          <w:color w:val="auto"/>
        </w:rPr>
      </w:pPr>
      <w:r>
        <w:rPr>
          <w:rFonts w:ascii="Arial" w:cs="Arial" w:eastAsia="Arial" w:hAnsi="Arial"/>
          <w:sz w:val="11"/>
          <w:szCs w:val="11"/>
          <w:b w:val="1"/>
          <w:bCs w:val="1"/>
          <w:color w:val="auto"/>
        </w:rPr>
        <w:t xml:space="preserve">Approximate date of commencement of proposed sale to the public: </w:t>
      </w:r>
      <w:r>
        <w:rPr>
          <w:rFonts w:ascii="Arial" w:cs="Arial" w:eastAsia="Arial" w:hAnsi="Arial"/>
          <w:sz w:val="11"/>
          <w:szCs w:val="11"/>
          <w:color w:val="auto"/>
        </w:rPr>
        <w:t>From time to time after the effective date of this Registration Statement, as determined by</w:t>
      </w:r>
      <w:r>
        <w:rPr>
          <w:rFonts w:ascii="Arial" w:cs="Arial" w:eastAsia="Arial" w:hAnsi="Arial"/>
          <w:sz w:val="11"/>
          <w:szCs w:val="11"/>
          <w:b w:val="1"/>
          <w:bCs w:val="1"/>
          <w:color w:val="auto"/>
        </w:rPr>
        <w:t xml:space="preserve"> </w:t>
      </w:r>
      <w:r>
        <w:rPr>
          <w:rFonts w:ascii="Arial" w:cs="Arial" w:eastAsia="Arial" w:hAnsi="Arial"/>
          <w:sz w:val="11"/>
          <w:szCs w:val="11"/>
          <w:color w:val="auto"/>
        </w:rPr>
        <w:t>the Registrant.</w:t>
      </w:r>
    </w:p>
    <w:p>
      <w:pPr>
        <w:spacing w:after="0" w:line="103" w:lineRule="exact"/>
        <w:rPr>
          <w:sz w:val="24"/>
          <w:szCs w:val="24"/>
          <w:color w:val="auto"/>
        </w:rPr>
      </w:pPr>
    </w:p>
    <w:p>
      <w:pPr>
        <w:ind w:left="1700"/>
        <w:spacing w:after="0" w:line="127" w:lineRule="exact"/>
        <w:rPr>
          <w:sz w:val="20"/>
          <w:szCs w:val="20"/>
          <w:color w:val="auto"/>
        </w:rPr>
      </w:pPr>
      <w:r>
        <w:rPr>
          <w:rFonts w:ascii="Arial" w:cs="Arial" w:eastAsia="Arial" w:hAnsi="Arial"/>
          <w:sz w:val="11"/>
          <w:szCs w:val="11"/>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1"/>
          <w:szCs w:val="11"/>
          <w:color w:val="auto"/>
        </w:rPr>
        <w:t>☐</w:t>
      </w:r>
    </w:p>
    <w:p>
      <w:pPr>
        <w:spacing w:after="0" w:line="202" w:lineRule="exact"/>
        <w:rPr>
          <w:sz w:val="24"/>
          <w:szCs w:val="24"/>
          <w:color w:val="auto"/>
        </w:rPr>
      </w:pPr>
    </w:p>
    <w:p>
      <w:pPr>
        <w:ind w:left="1360" w:right="359" w:firstLine="342"/>
        <w:spacing w:after="0" w:line="144" w:lineRule="exact"/>
        <w:rPr>
          <w:sz w:val="20"/>
          <w:szCs w:val="20"/>
          <w:color w:val="auto"/>
        </w:rPr>
      </w:pPr>
      <w:r>
        <w:rPr>
          <w:rFonts w:ascii="Arial" w:cs="Arial" w:eastAsia="Arial" w:hAnsi="Arial"/>
          <w:sz w:val="11"/>
          <w:szCs w:val="11"/>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1"/>
          <w:szCs w:val="11"/>
          <w:color w:val="auto"/>
        </w:rPr>
        <w:t>☒</w:t>
      </w:r>
    </w:p>
    <w:p>
      <w:pPr>
        <w:spacing w:after="0" w:line="143" w:lineRule="exact"/>
        <w:rPr>
          <w:sz w:val="24"/>
          <w:szCs w:val="24"/>
          <w:color w:val="auto"/>
        </w:rPr>
      </w:pPr>
    </w:p>
    <w:p>
      <w:pPr>
        <w:ind w:left="1360" w:right="719" w:firstLine="342"/>
        <w:spacing w:after="0" w:line="144" w:lineRule="exact"/>
        <w:rPr>
          <w:sz w:val="20"/>
          <w:szCs w:val="20"/>
          <w:color w:val="auto"/>
        </w:rPr>
      </w:pPr>
      <w:r>
        <w:rPr>
          <w:rFonts w:ascii="Arial" w:cs="Arial" w:eastAsia="Arial" w:hAnsi="Arial"/>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43" w:lineRule="exact"/>
        <w:rPr>
          <w:sz w:val="24"/>
          <w:szCs w:val="24"/>
          <w:color w:val="auto"/>
        </w:rPr>
      </w:pPr>
    </w:p>
    <w:p>
      <w:pPr>
        <w:ind w:left="1360" w:right="639" w:firstLine="342"/>
        <w:spacing w:after="0" w:line="144" w:lineRule="exact"/>
        <w:rPr>
          <w:sz w:val="20"/>
          <w:szCs w:val="20"/>
          <w:color w:val="auto"/>
        </w:rPr>
      </w:pPr>
      <w:r>
        <w:rPr>
          <w:rFonts w:ascii="Arial" w:cs="Arial" w:eastAsia="Arial" w:hAnsi="Arial"/>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43" w:lineRule="exact"/>
        <w:rPr>
          <w:sz w:val="24"/>
          <w:szCs w:val="24"/>
          <w:color w:val="auto"/>
        </w:rPr>
      </w:pPr>
    </w:p>
    <w:p>
      <w:pPr>
        <w:ind w:left="1360" w:right="579" w:firstLine="342"/>
        <w:spacing w:after="0" w:line="144" w:lineRule="exact"/>
        <w:rPr>
          <w:sz w:val="20"/>
          <w:szCs w:val="20"/>
          <w:color w:val="auto"/>
        </w:rPr>
      </w:pPr>
      <w:r>
        <w:rPr>
          <w:rFonts w:ascii="Arial" w:cs="Arial" w:eastAsia="Arial" w:hAnsi="Arial"/>
          <w:sz w:val="11"/>
          <w:szCs w:val="11"/>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1"/>
          <w:szCs w:val="11"/>
          <w:color w:val="auto"/>
        </w:rPr>
        <w:t>☒</w:t>
      </w:r>
    </w:p>
    <w:p>
      <w:pPr>
        <w:spacing w:after="0" w:line="143" w:lineRule="exact"/>
        <w:rPr>
          <w:sz w:val="24"/>
          <w:szCs w:val="24"/>
          <w:color w:val="auto"/>
        </w:rPr>
      </w:pPr>
    </w:p>
    <w:p>
      <w:pPr>
        <w:ind w:left="1360" w:right="619" w:firstLine="342"/>
        <w:spacing w:after="0" w:line="144" w:lineRule="exact"/>
        <w:rPr>
          <w:sz w:val="20"/>
          <w:szCs w:val="20"/>
          <w:color w:val="auto"/>
        </w:rPr>
      </w:pPr>
      <w:r>
        <w:rPr>
          <w:rFonts w:ascii="Arial" w:cs="Arial" w:eastAsia="Arial" w:hAnsi="Arial"/>
          <w:sz w:val="11"/>
          <w:szCs w:val="11"/>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1"/>
          <w:szCs w:val="11"/>
          <w:color w:val="auto"/>
        </w:rPr>
        <w:t>☐</w:t>
      </w:r>
    </w:p>
    <w:p>
      <w:pPr>
        <w:spacing w:after="0" w:line="143" w:lineRule="exact"/>
        <w:rPr>
          <w:sz w:val="24"/>
          <w:szCs w:val="24"/>
          <w:color w:val="auto"/>
        </w:rPr>
      </w:pPr>
    </w:p>
    <w:p>
      <w:pPr>
        <w:ind w:left="1360" w:right="339" w:firstLine="342"/>
        <w:spacing w:after="0" w:line="258"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34" w:lineRule="exact"/>
        <w:rPr>
          <w:sz w:val="24"/>
          <w:szCs w:val="24"/>
          <w:color w:val="auto"/>
        </w:rPr>
      </w:pPr>
    </w:p>
    <w:tbl>
      <w:tblPr>
        <w:tblLayout w:type="fixed"/>
        <w:tblInd w:w="1360" w:type="dxa"/>
        <w:tblCellMar>
          <w:top w:w="0" w:type="dxa"/>
          <w:left w:w="0" w:type="dxa"/>
          <w:bottom w:w="0" w:type="dxa"/>
          <w:right w:w="0" w:type="dxa"/>
        </w:tblCellMar>
      </w:tblPr>
      <w:tr>
        <w:trPr>
          <w:trHeight w:val="178"/>
        </w:trPr>
        <w:tc>
          <w:tcPr>
            <w:tcW w:w="134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2740" w:type="dxa"/>
            <w:vAlign w:val="bottom"/>
          </w:tcPr>
          <w:p>
            <w:pPr>
              <w:ind w:left="220"/>
              <w:spacing w:after="0" w:line="111" w:lineRule="exact"/>
              <w:rPr>
                <w:sz w:val="20"/>
                <w:szCs w:val="20"/>
                <w:color w:val="auto"/>
              </w:rPr>
            </w:pPr>
            <w:r>
              <w:rPr>
                <w:rFonts w:ascii="MS PGothic" w:cs="MS PGothic" w:eastAsia="MS PGothic" w:hAnsi="MS PGothic"/>
                <w:sz w:val="11"/>
                <w:szCs w:val="11"/>
                <w:color w:val="auto"/>
              </w:rPr>
              <w:t>☒</w:t>
            </w:r>
          </w:p>
        </w:tc>
        <w:tc>
          <w:tcPr>
            <w:tcW w:w="4040" w:type="dxa"/>
            <w:vAlign w:val="bottom"/>
          </w:tcPr>
          <w:p>
            <w:pPr>
              <w:ind w:left="2440"/>
              <w:spacing w:after="0"/>
              <w:rPr>
                <w:sz w:val="20"/>
                <w:szCs w:val="20"/>
                <w:color w:val="auto"/>
              </w:rPr>
            </w:pPr>
            <w:r>
              <w:rPr>
                <w:rFonts w:ascii="Arial" w:cs="Arial" w:eastAsia="Arial" w:hAnsi="Arial"/>
                <w:sz w:val="11"/>
                <w:szCs w:val="11"/>
                <w:color w:val="auto"/>
              </w:rPr>
              <w:t>Accelerated filer</w:t>
            </w:r>
          </w:p>
        </w:tc>
        <w:tc>
          <w:tcPr>
            <w:tcW w:w="380" w:type="dxa"/>
            <w:vAlign w:val="bottom"/>
          </w:tcPr>
          <w:p>
            <w:pPr>
              <w:ind w:left="2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8"/>
        </w:trPr>
        <w:tc>
          <w:tcPr>
            <w:tcW w:w="1340" w:type="dxa"/>
            <w:vAlign w:val="bottom"/>
          </w:tcPr>
          <w:p>
            <w:pPr>
              <w:spacing w:after="0"/>
              <w:rPr>
                <w:sz w:val="20"/>
                <w:szCs w:val="20"/>
                <w:color w:val="auto"/>
              </w:rPr>
            </w:pPr>
            <w:r>
              <w:rPr>
                <w:rFonts w:ascii="Arial" w:cs="Arial" w:eastAsia="Arial" w:hAnsi="Arial"/>
                <w:sz w:val="11"/>
                <w:szCs w:val="11"/>
                <w:color w:val="auto"/>
              </w:rPr>
              <w:t>Non-accelerated filer</w:t>
            </w:r>
          </w:p>
        </w:tc>
        <w:tc>
          <w:tcPr>
            <w:tcW w:w="2740" w:type="dxa"/>
            <w:vAlign w:val="bottom"/>
          </w:tcPr>
          <w:p>
            <w:pPr>
              <w:ind w:left="220"/>
              <w:spacing w:after="0" w:line="111" w:lineRule="exact"/>
              <w:rPr>
                <w:sz w:val="20"/>
                <w:szCs w:val="20"/>
                <w:color w:val="auto"/>
              </w:rPr>
            </w:pPr>
            <w:r>
              <w:rPr>
                <w:rFonts w:ascii="MS PGothic" w:cs="MS PGothic" w:eastAsia="MS PGothic" w:hAnsi="MS PGothic"/>
                <w:sz w:val="11"/>
                <w:szCs w:val="11"/>
                <w:color w:val="auto"/>
              </w:rPr>
              <w:t>☐</w:t>
            </w:r>
          </w:p>
        </w:tc>
        <w:tc>
          <w:tcPr>
            <w:tcW w:w="4040" w:type="dxa"/>
            <w:vAlign w:val="bottom"/>
          </w:tcPr>
          <w:p>
            <w:pPr>
              <w:ind w:left="2440"/>
              <w:spacing w:after="0"/>
              <w:rPr>
                <w:sz w:val="20"/>
                <w:szCs w:val="20"/>
                <w:color w:val="auto"/>
              </w:rPr>
            </w:pPr>
            <w:r>
              <w:rPr>
                <w:rFonts w:ascii="Arial" w:cs="Arial" w:eastAsia="Arial" w:hAnsi="Arial"/>
                <w:sz w:val="11"/>
                <w:szCs w:val="11"/>
                <w:color w:val="auto"/>
              </w:rPr>
              <w:t>Smaller reporting company</w:t>
            </w:r>
          </w:p>
        </w:tc>
        <w:tc>
          <w:tcPr>
            <w:tcW w:w="380" w:type="dxa"/>
            <w:vAlign w:val="bottom"/>
          </w:tcPr>
          <w:p>
            <w:pPr>
              <w:ind w:left="2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6"/>
        </w:trPr>
        <w:tc>
          <w:tcPr>
            <w:tcW w:w="13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4040" w:type="dxa"/>
            <w:vAlign w:val="bottom"/>
          </w:tcPr>
          <w:p>
            <w:pPr>
              <w:ind w:left="2440"/>
              <w:spacing w:after="0"/>
              <w:rPr>
                <w:sz w:val="20"/>
                <w:szCs w:val="20"/>
                <w:color w:val="auto"/>
              </w:rPr>
            </w:pPr>
            <w:r>
              <w:rPr>
                <w:rFonts w:ascii="Arial" w:cs="Arial" w:eastAsia="Arial" w:hAnsi="Arial"/>
                <w:sz w:val="11"/>
                <w:szCs w:val="11"/>
                <w:color w:val="auto"/>
              </w:rPr>
              <w:t>Emerging growth company</w:t>
            </w:r>
          </w:p>
        </w:tc>
        <w:tc>
          <w:tcPr>
            <w:tcW w:w="380" w:type="dxa"/>
            <w:vAlign w:val="bottom"/>
          </w:tcPr>
          <w:p>
            <w:pPr>
              <w:ind w:left="28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43" w:lineRule="exact"/>
        <w:rPr>
          <w:sz w:val="24"/>
          <w:szCs w:val="24"/>
          <w:color w:val="auto"/>
        </w:rPr>
      </w:pPr>
    </w:p>
    <w:p>
      <w:pPr>
        <w:ind w:left="1360" w:right="399" w:firstLine="342"/>
        <w:spacing w:after="0" w:line="277" w:lineRule="auto"/>
        <w:rPr>
          <w:sz w:val="20"/>
          <w:szCs w:val="20"/>
          <w:color w:val="auto"/>
        </w:rPr>
      </w:pPr>
      <w:r>
        <w:rPr>
          <w:rFonts w:ascii="Arial" w:cs="Arial" w:eastAsia="Arial" w:hAnsi="Arial"/>
          <w:sz w:val="11"/>
          <w:szCs w:val="11"/>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868045</wp:posOffset>
            </wp:positionH>
            <wp:positionV relativeFrom="paragraph">
              <wp:posOffset>45085</wp:posOffset>
            </wp:positionV>
            <wp:extent cx="543242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32425" cy="6350"/>
                    </a:xfrm>
                    <a:prstGeom prst="rect">
                      <a:avLst/>
                    </a:prstGeom>
                    <a:noFill/>
                  </pic:spPr>
                </pic:pic>
              </a:graphicData>
            </a:graphic>
          </wp:anchor>
        </w:drawing>
        <w:drawing>
          <wp:anchor simplePos="0" relativeHeight="251657728" behindDoc="1" locked="0" layoutInCell="0" allowOverlap="1">
            <wp:simplePos x="0" y="0"/>
            <wp:positionH relativeFrom="column">
              <wp:posOffset>868045</wp:posOffset>
            </wp:positionH>
            <wp:positionV relativeFrom="paragraph">
              <wp:posOffset>78105</wp:posOffset>
            </wp:positionV>
            <wp:extent cx="543242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32425" cy="6350"/>
                    </a:xfrm>
                    <a:prstGeom prst="rect">
                      <a:avLst/>
                    </a:prstGeom>
                    <a:noFill/>
                  </pic:spPr>
                </pic:pic>
              </a:graphicData>
            </a:graphic>
          </wp:anchor>
        </w:drawing>
      </w:r>
    </w:p>
    <w:p>
      <w:pPr>
        <w:sectPr>
          <w:pgSz w:w="11900" w:h="16838" w:orient="portrait"/>
          <w:cols w:equalWidth="0" w:num="1">
            <w:col w:w="10159"/>
          </w:cols>
          <w:pgMar w:left="300" w:top="207"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3098165</wp:posOffset>
            </wp:positionH>
            <wp:positionV relativeFrom="paragraph">
              <wp:posOffset>127000</wp:posOffset>
            </wp:positionV>
            <wp:extent cx="972185" cy="5924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72185" cy="592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40"/>
        <w:spacing w:after="0"/>
        <w:rPr>
          <w:sz w:val="20"/>
          <w:szCs w:val="20"/>
          <w:color w:val="auto"/>
        </w:rPr>
      </w:pPr>
      <w:r>
        <w:rPr>
          <w:rFonts w:ascii="Arial" w:cs="Arial" w:eastAsia="Arial" w:hAnsi="Arial"/>
          <w:sz w:val="34"/>
          <w:szCs w:val="34"/>
          <w:b w:val="1"/>
          <w:bCs w:val="1"/>
          <w:color w:val="auto"/>
        </w:rPr>
        <w:t>Schlumberger Investment S.A.</w:t>
      </w:r>
    </w:p>
    <w:p>
      <w:pPr>
        <w:spacing w:after="0" w:line="179" w:lineRule="exact"/>
        <w:rPr>
          <w:sz w:val="20"/>
          <w:szCs w:val="20"/>
          <w:color w:val="auto"/>
        </w:rPr>
      </w:pPr>
    </w:p>
    <w:p>
      <w:pPr>
        <w:jc w:val="center"/>
        <w:ind w:right="-1140"/>
        <w:spacing w:after="0"/>
        <w:rPr>
          <w:sz w:val="20"/>
          <w:szCs w:val="20"/>
          <w:color w:val="auto"/>
        </w:rPr>
      </w:pPr>
      <w:r>
        <w:rPr>
          <w:rFonts w:ascii="Arial" w:cs="Arial" w:eastAsia="Arial" w:hAnsi="Arial"/>
          <w:sz w:val="20"/>
          <w:szCs w:val="20"/>
          <w:b w:val="1"/>
          <w:bCs w:val="1"/>
          <w:color w:val="auto"/>
        </w:rPr>
        <w:t>Senior Debt Securities</w:t>
      </w:r>
    </w:p>
    <w:p>
      <w:pPr>
        <w:spacing w:after="0" w:line="21" w:lineRule="exact"/>
        <w:rPr>
          <w:sz w:val="20"/>
          <w:szCs w:val="20"/>
          <w:color w:val="auto"/>
        </w:rPr>
      </w:pPr>
    </w:p>
    <w:p>
      <w:pPr>
        <w:jc w:val="center"/>
        <w:ind w:right="-1140"/>
        <w:spacing w:after="0"/>
        <w:rPr>
          <w:sz w:val="20"/>
          <w:szCs w:val="20"/>
          <w:color w:val="auto"/>
        </w:rPr>
      </w:pPr>
      <w:r>
        <w:rPr>
          <w:rFonts w:ascii="Arial" w:cs="Arial" w:eastAsia="Arial" w:hAnsi="Arial"/>
          <w:sz w:val="20"/>
          <w:szCs w:val="20"/>
          <w:b w:val="1"/>
          <w:bCs w:val="1"/>
          <w:color w:val="auto"/>
        </w:rPr>
        <w:t>Fully and Unconditionally Guaranteed by</w:t>
      </w:r>
    </w:p>
    <w:p>
      <w:pPr>
        <w:spacing w:after="0" w:line="1" w:lineRule="exact"/>
        <w:rPr>
          <w:sz w:val="20"/>
          <w:szCs w:val="20"/>
          <w:color w:val="auto"/>
        </w:rPr>
      </w:pPr>
    </w:p>
    <w:p>
      <w:pPr>
        <w:jc w:val="center"/>
        <w:ind w:right="-1140"/>
        <w:spacing w:after="0"/>
        <w:rPr>
          <w:sz w:val="20"/>
          <w:szCs w:val="20"/>
          <w:color w:val="auto"/>
        </w:rPr>
      </w:pPr>
      <w:r>
        <w:rPr>
          <w:rFonts w:ascii="Arial" w:cs="Arial" w:eastAsia="Arial" w:hAnsi="Arial"/>
          <w:sz w:val="20"/>
          <w:szCs w:val="20"/>
          <w:b w:val="1"/>
          <w:bCs w:val="1"/>
          <w:color w:val="auto"/>
        </w:rPr>
        <w:t>SLB N.V. (SLB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3011170</wp:posOffset>
            </wp:positionH>
            <wp:positionV relativeFrom="paragraph">
              <wp:posOffset>172720</wp:posOffset>
            </wp:positionV>
            <wp:extent cx="114490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44905" cy="635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360" w:right="259" w:firstLine="342"/>
        <w:spacing w:after="0" w:line="239" w:lineRule="auto"/>
        <w:rPr>
          <w:sz w:val="20"/>
          <w:szCs w:val="20"/>
          <w:color w:val="auto"/>
        </w:rPr>
      </w:pPr>
      <w:r>
        <w:rPr>
          <w:rFonts w:ascii="Arial" w:cs="Arial" w:eastAsia="Arial" w:hAnsi="Arial"/>
          <w:sz w:val="14"/>
          <w:szCs w:val="14"/>
          <w:color w:val="auto"/>
        </w:rPr>
        <w:t>Schlumberger Investment S.A., a public limited liability company (</w:t>
      </w:r>
      <w:r>
        <w:rPr>
          <w:rFonts w:ascii="Arial" w:cs="Arial" w:eastAsia="Arial" w:hAnsi="Arial"/>
          <w:sz w:val="14"/>
          <w:szCs w:val="14"/>
          <w:i w:val="1"/>
          <w:iCs w:val="1"/>
          <w:color w:val="auto"/>
        </w:rPr>
        <w:t>société anonyme</w:t>
      </w:r>
      <w:r>
        <w:rPr>
          <w:rFonts w:ascii="Arial" w:cs="Arial" w:eastAsia="Arial" w:hAnsi="Arial"/>
          <w:sz w:val="14"/>
          <w:szCs w:val="14"/>
          <w:color w:val="auto"/>
        </w:rPr>
        <w:t>) incorporated and existing under the laws of the Grand Duchy of Luxembourg, having its registered office located at 5, Place de la Gare, L-1616 Luxembourg, Grand Duchy of Luxembourg, and registered with the Luxembourg Trade and Companies Register (</w:t>
      </w:r>
      <w:r>
        <w:rPr>
          <w:rFonts w:ascii="Arial" w:cs="Arial" w:eastAsia="Arial" w:hAnsi="Arial"/>
          <w:sz w:val="14"/>
          <w:szCs w:val="14"/>
          <w:i w:val="1"/>
          <w:iCs w:val="1"/>
          <w:color w:val="auto"/>
        </w:rPr>
        <w:t>Registre de Commerce et des Sociétés</w:t>
      </w:r>
      <w:r>
        <w:rPr>
          <w:rFonts w:ascii="Arial" w:cs="Arial" w:eastAsia="Arial" w:hAnsi="Arial"/>
          <w:sz w:val="14"/>
          <w:szCs w:val="14"/>
          <w:color w:val="auto"/>
        </w:rPr>
        <w:t>) under number B 163.122 (the “Company”) may, from time to time, offer to sell senior debt securities. Such senior debt securities will be fully and unconditionally guaranteed by SLB N.V. (SLB Limited) (the “Guarantor”), the ultimate parent company of the Company. Each time we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3011170</wp:posOffset>
            </wp:positionH>
            <wp:positionV relativeFrom="paragraph">
              <wp:posOffset>167005</wp:posOffset>
            </wp:positionV>
            <wp:extent cx="114490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44905" cy="6350"/>
                    </a:xfrm>
                    <a:prstGeom prst="rect">
                      <a:avLst/>
                    </a:prstGeom>
                    <a:noFill/>
                  </pic:spPr>
                </pic:pic>
              </a:graphicData>
            </a:graphic>
          </wp:anchor>
        </w:drawing>
      </w:r>
    </w:p>
    <w:p>
      <w:pPr>
        <w:spacing w:after="0" w:line="400" w:lineRule="exact"/>
        <w:rPr>
          <w:sz w:val="20"/>
          <w:szCs w:val="20"/>
          <w:color w:val="auto"/>
        </w:rPr>
      </w:pPr>
    </w:p>
    <w:p>
      <w:pPr>
        <w:ind w:left="1360" w:right="399" w:firstLine="342"/>
        <w:spacing w:after="0" w:line="245" w:lineRule="auto"/>
        <w:rPr>
          <w:sz w:val="20"/>
          <w:szCs w:val="20"/>
          <w:color w:val="auto"/>
        </w:rPr>
      </w:pPr>
      <w:r>
        <w:rPr>
          <w:rFonts w:ascii="Arial" w:cs="Arial" w:eastAsia="Arial" w:hAnsi="Arial"/>
          <w:sz w:val="17"/>
          <w:szCs w:val="17"/>
          <w:b w:val="1"/>
          <w:bCs w:val="1"/>
          <w:color w:val="auto"/>
        </w:rPr>
        <w:t>Investing in the securities involves risks. You should carefully consider the information in the “</w:t>
      </w:r>
      <w:r>
        <w:rPr>
          <w:rFonts w:ascii="Arial" w:cs="Arial" w:eastAsia="Arial" w:hAnsi="Arial"/>
          <w:sz w:val="17"/>
          <w:szCs w:val="17"/>
          <w:b w:val="1"/>
          <w:bCs w:val="1"/>
          <w:u w:val="single" w:color="auto"/>
          <w:color w:val="0000EE"/>
        </w:rPr>
        <w:t>Risk</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0000EE"/>
        </w:rPr>
        <w:t>Factors</w:t>
      </w:r>
      <w:r>
        <w:rPr>
          <w:rFonts w:ascii="Arial" w:cs="Arial" w:eastAsia="Arial" w:hAnsi="Arial"/>
          <w:sz w:val="17"/>
          <w:szCs w:val="17"/>
          <w:b w:val="1"/>
          <w:bCs w:val="1"/>
          <w:color w:val="000000"/>
        </w:rPr>
        <w:t>” section beginning on page 6 of this prospectus, including those risks incorporated by reference</w:t>
      </w:r>
      <w:r>
        <w:rPr>
          <w:rFonts w:ascii="Arial" w:cs="Arial" w:eastAsia="Arial" w:hAnsi="Arial"/>
          <w:sz w:val="17"/>
          <w:szCs w:val="17"/>
          <w:b w:val="1"/>
          <w:bCs w:val="1"/>
          <w:color w:val="0000EE"/>
        </w:rPr>
        <w:t xml:space="preserve"> </w:t>
      </w:r>
      <w:r>
        <w:rPr>
          <w:rFonts w:ascii="Arial" w:cs="Arial" w:eastAsia="Arial" w:hAnsi="Arial"/>
          <w:sz w:val="17"/>
          <w:szCs w:val="17"/>
          <w:b w:val="1"/>
          <w:bCs w:val="1"/>
          <w:color w:val="000000"/>
        </w:rPr>
        <w:t>in this prospectus and in any prospectus supplement, before deciding whether to invest in the offered securities.</w:t>
      </w:r>
    </w:p>
    <w:p>
      <w:pPr>
        <w:spacing w:after="0" w:line="133" w:lineRule="exact"/>
        <w:rPr>
          <w:sz w:val="20"/>
          <w:szCs w:val="20"/>
          <w:color w:val="auto"/>
        </w:rPr>
      </w:pPr>
    </w:p>
    <w:p>
      <w:pPr>
        <w:ind w:left="1360" w:right="259" w:firstLine="342"/>
        <w:spacing w:after="0" w:line="318" w:lineRule="auto"/>
        <w:rPr>
          <w:sz w:val="20"/>
          <w:szCs w:val="20"/>
          <w:color w:val="auto"/>
        </w:rPr>
      </w:pPr>
      <w:r>
        <w:rPr>
          <w:rFonts w:ascii="Arial" w:cs="Arial" w:eastAsia="Arial" w:hAnsi="Arial"/>
          <w:sz w:val="13"/>
          <w:szCs w:val="13"/>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This prospectus may not be used to sell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3011170</wp:posOffset>
            </wp:positionH>
            <wp:positionV relativeFrom="paragraph">
              <wp:posOffset>185420</wp:posOffset>
            </wp:positionV>
            <wp:extent cx="114490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4905" cy="635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4180"/>
        <w:spacing w:after="0"/>
        <w:rPr>
          <w:sz w:val="20"/>
          <w:szCs w:val="20"/>
          <w:color w:val="auto"/>
        </w:rPr>
      </w:pPr>
      <w:r>
        <w:rPr>
          <w:rFonts w:ascii="Arial" w:cs="Arial" w:eastAsia="Arial" w:hAnsi="Arial"/>
          <w:sz w:val="14"/>
          <w:szCs w:val="14"/>
          <w:b w:val="1"/>
          <w:bCs w:val="1"/>
          <w:color w:val="auto"/>
        </w:rPr>
        <w:t>The date of this prospectus is April 30, 2026</w:t>
      </w:r>
    </w:p>
    <w:p>
      <w:pPr>
        <w:sectPr>
          <w:pgSz w:w="11900" w:h="16838" w:orient="portrait"/>
          <w:cols w:equalWidth="0" w:num="1">
            <w:col w:w="10159"/>
          </w:cols>
          <w:pgMar w:left="300" w:top="385"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Table of Contents</w:t>
      </w:r>
    </w:p>
    <w:p>
      <w:pPr>
        <w:spacing w:after="0" w:line="193" w:lineRule="exact"/>
        <w:rPr>
          <w:sz w:val="20"/>
          <w:szCs w:val="20"/>
          <w:color w:val="auto"/>
        </w:rPr>
      </w:pPr>
    </w:p>
    <w:tbl>
      <w:tblPr>
        <w:tblLayout w:type="fixed"/>
        <w:tblInd w:w="1360" w:type="dxa"/>
        <w:tblCellMar>
          <w:top w:w="0" w:type="dxa"/>
          <w:left w:w="0" w:type="dxa"/>
          <w:bottom w:w="0" w:type="dxa"/>
          <w:right w:w="0" w:type="dxa"/>
        </w:tblCellMar>
      </w:tblPr>
      <w:tr>
        <w:trPr>
          <w:trHeight w:val="132"/>
        </w:trPr>
        <w:tc>
          <w:tcPr>
            <w:tcW w:w="8260" w:type="dxa"/>
            <w:vAlign w:val="bottom"/>
            <w:gridSpan w:val="12"/>
            <w:vMerge w:val="restart"/>
          </w:tcPr>
          <w:p>
            <w:pPr>
              <w:spacing w:after="0"/>
              <w:rPr>
                <w:sz w:val="20"/>
                <w:szCs w:val="20"/>
                <w:color w:val="auto"/>
              </w:rPr>
            </w:pPr>
            <w:r>
              <w:rPr>
                <w:rFonts w:ascii="Arial" w:cs="Arial" w:eastAsia="Arial" w:hAnsi="Arial"/>
                <w:sz w:val="14"/>
                <w:szCs w:val="14"/>
                <w:color w:val="0000EE"/>
              </w:rPr>
              <w:t>About this Prospectus</w:t>
            </w:r>
          </w:p>
        </w:tc>
        <w:tc>
          <w:tcPr>
            <w:tcW w:w="280" w:type="dxa"/>
            <w:vAlign w:val="bottom"/>
            <w:gridSpan w:val="2"/>
          </w:tcPr>
          <w:p>
            <w:pPr>
              <w:spacing w:after="0"/>
              <w:rPr>
                <w:sz w:val="20"/>
                <w:szCs w:val="20"/>
                <w:color w:val="auto"/>
              </w:rPr>
            </w:pPr>
            <w:r>
              <w:rPr>
                <w:rFonts w:ascii="Arial" w:cs="Arial" w:eastAsia="Arial" w:hAnsi="Arial"/>
                <w:sz w:val="11"/>
                <w:szCs w:val="11"/>
                <w:b w:val="1"/>
                <w:bCs w:val="1"/>
                <w:color w:val="auto"/>
              </w:rPr>
              <w:t>page</w:t>
            </w:r>
          </w:p>
        </w:tc>
        <w:tc>
          <w:tcPr>
            <w:tcW w:w="0" w:type="dxa"/>
            <w:vAlign w:val="bottom"/>
          </w:tcPr>
          <w:p>
            <w:pPr>
              <w:spacing w:after="0"/>
              <w:rPr>
                <w:sz w:val="1"/>
                <w:szCs w:val="1"/>
                <w:color w:val="auto"/>
              </w:rPr>
            </w:pPr>
          </w:p>
        </w:tc>
      </w:tr>
      <w:tr>
        <w:trPr>
          <w:trHeight w:val="127"/>
        </w:trPr>
        <w:tc>
          <w:tcPr>
            <w:tcW w:w="8260" w:type="dxa"/>
            <w:vAlign w:val="bottom"/>
            <w:gridSpan w:val="12"/>
            <w:vMerge w:val="continue"/>
          </w:tcPr>
          <w:p>
            <w:pPr>
              <w:spacing w:after="0"/>
              <w:rPr>
                <w:sz w:val="11"/>
                <w:szCs w:val="11"/>
                <w:color w:val="auto"/>
              </w:rPr>
            </w:pPr>
          </w:p>
        </w:tc>
        <w:tc>
          <w:tcPr>
            <w:tcW w:w="260" w:type="dxa"/>
            <w:vAlign w:val="bottom"/>
            <w:tcBorders>
              <w:top w:val="single" w:sz="8" w:color="auto"/>
            </w:tcBorders>
          </w:tcPr>
          <w:p>
            <w:pPr>
              <w:jc w:val="right"/>
              <w:spacing w:after="0" w:line="127"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80" w:type="dxa"/>
            <w:vAlign w:val="bottom"/>
            <w:tcBorders>
              <w:top w:val="single" w:sz="8" w:color="0000EE"/>
              <w:bottom w:val="single" w:sz="8" w:color="0000EE"/>
            </w:tcBorders>
            <w:gridSpan w:val="5"/>
          </w:tcPr>
          <w:p>
            <w:pPr>
              <w:spacing w:after="0" w:line="148" w:lineRule="exact"/>
              <w:rPr>
                <w:sz w:val="20"/>
                <w:szCs w:val="20"/>
                <w:color w:val="auto"/>
              </w:rPr>
            </w:pPr>
            <w:r>
              <w:rPr>
                <w:rFonts w:ascii="Arial" w:cs="Arial" w:eastAsia="Arial" w:hAnsi="Arial"/>
                <w:sz w:val="14"/>
                <w:szCs w:val="14"/>
                <w:color w:val="0000EE"/>
                <w:w w:val="99"/>
              </w:rPr>
              <w:t>About the Guarantor</w:t>
            </w:r>
          </w:p>
        </w:tc>
        <w:tc>
          <w:tcPr>
            <w:tcW w:w="80" w:type="dxa"/>
            <w:vAlign w:val="bottom"/>
            <w:tcBorders>
              <w:top w:val="single" w:sz="8" w:color="0000EE"/>
            </w:tcBorders>
          </w:tcPr>
          <w:p>
            <w:pPr>
              <w:spacing w:after="0"/>
              <w:rPr>
                <w:sz w:val="12"/>
                <w:szCs w:val="12"/>
                <w:color w:val="auto"/>
              </w:rPr>
            </w:pPr>
          </w:p>
        </w:tc>
        <w:tc>
          <w:tcPr>
            <w:tcW w:w="6900" w:type="dxa"/>
            <w:vAlign w:val="bottom"/>
            <w:gridSpan w:val="6"/>
          </w:tcPr>
          <w:p>
            <w:pPr>
              <w:spacing w:after="0"/>
              <w:rPr>
                <w:sz w:val="12"/>
                <w:szCs w:val="12"/>
                <w:color w:val="auto"/>
              </w:rPr>
            </w:pPr>
          </w:p>
        </w:tc>
        <w:tc>
          <w:tcPr>
            <w:tcW w:w="28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8260" w:type="dxa"/>
            <w:vAlign w:val="bottom"/>
            <w:gridSpan w:val="12"/>
          </w:tcPr>
          <w:p>
            <w:pPr>
              <w:spacing w:after="0" w:line="148" w:lineRule="exact"/>
              <w:rPr>
                <w:sz w:val="20"/>
                <w:szCs w:val="20"/>
                <w:color w:val="auto"/>
              </w:rPr>
            </w:pPr>
            <w:r>
              <w:rPr>
                <w:rFonts w:ascii="Arial" w:cs="Arial" w:eastAsia="Arial" w:hAnsi="Arial"/>
                <w:sz w:val="14"/>
                <w:szCs w:val="14"/>
                <w:color w:val="0000EE"/>
              </w:rPr>
              <w:t>About the Company</w:t>
            </w:r>
          </w:p>
        </w:tc>
        <w:tc>
          <w:tcPr>
            <w:tcW w:w="28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4</w:t>
            </w:r>
          </w:p>
        </w:tc>
        <w:tc>
          <w:tcPr>
            <w:tcW w:w="0" w:type="dxa"/>
            <w:vAlign w:val="bottom"/>
          </w:tcPr>
          <w:p>
            <w:pPr>
              <w:spacing w:after="0" w:line="20" w:lineRule="exact"/>
              <w:rPr>
                <w:sz w:val="1"/>
                <w:szCs w:val="1"/>
                <w:color w:val="auto"/>
              </w:rPr>
            </w:pPr>
          </w:p>
        </w:tc>
      </w:tr>
      <w:tr>
        <w:trPr>
          <w:trHeight w:val="148"/>
        </w:trPr>
        <w:tc>
          <w:tcPr>
            <w:tcW w:w="3880" w:type="dxa"/>
            <w:vAlign w:val="bottom"/>
            <w:tcBorders>
              <w:bottom w:val="single" w:sz="8" w:color="0000EE"/>
            </w:tcBorders>
            <w:gridSpan w:val="11"/>
          </w:tcPr>
          <w:p>
            <w:pPr>
              <w:spacing w:after="0" w:line="148" w:lineRule="exact"/>
              <w:rPr>
                <w:sz w:val="20"/>
                <w:szCs w:val="20"/>
                <w:color w:val="auto"/>
              </w:rPr>
            </w:pPr>
            <w:r>
              <w:rPr>
                <w:rFonts w:ascii="Arial" w:cs="Arial" w:eastAsia="Arial" w:hAnsi="Arial"/>
                <w:sz w:val="14"/>
                <w:szCs w:val="14"/>
                <w:color w:val="0000EE"/>
                <w:w w:val="99"/>
              </w:rPr>
              <w:t>Cautionary Statement Regarding Forward-Looking Statements</w:t>
            </w:r>
          </w:p>
        </w:tc>
        <w:tc>
          <w:tcPr>
            <w:tcW w:w="4380" w:type="dxa"/>
            <w:vAlign w:val="bottom"/>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60" w:type="dxa"/>
            <w:vAlign w:val="bottom"/>
            <w:gridSpan w:val="12"/>
          </w:tcPr>
          <w:p>
            <w:pPr>
              <w:spacing w:after="0" w:line="148" w:lineRule="exact"/>
              <w:rPr>
                <w:sz w:val="20"/>
                <w:szCs w:val="20"/>
                <w:color w:val="auto"/>
              </w:rPr>
            </w:pPr>
            <w:r>
              <w:rPr>
                <w:rFonts w:ascii="Arial" w:cs="Arial" w:eastAsia="Arial" w:hAnsi="Arial"/>
                <w:sz w:val="14"/>
                <w:szCs w:val="14"/>
                <w:color w:val="0000EE"/>
              </w:rPr>
              <w:t>Risk Factors</w:t>
            </w:r>
          </w:p>
        </w:tc>
        <w:tc>
          <w:tcPr>
            <w:tcW w:w="28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60" w:type="dxa"/>
            <w:vAlign w:val="bottom"/>
            <w:gridSpan w:val="2"/>
          </w:tcPr>
          <w:p>
            <w:pPr>
              <w:spacing w:after="0" w:line="20" w:lineRule="exact"/>
              <w:rPr>
                <w:sz w:val="1"/>
                <w:szCs w:val="1"/>
                <w:color w:val="auto"/>
              </w:rPr>
            </w:pP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7</w:t>
            </w:r>
          </w:p>
        </w:tc>
        <w:tc>
          <w:tcPr>
            <w:tcW w:w="0" w:type="dxa"/>
            <w:vAlign w:val="bottom"/>
          </w:tcPr>
          <w:p>
            <w:pPr>
              <w:spacing w:after="0" w:line="20" w:lineRule="exact"/>
              <w:rPr>
                <w:sz w:val="1"/>
                <w:szCs w:val="1"/>
                <w:color w:val="auto"/>
              </w:rPr>
            </w:pPr>
          </w:p>
        </w:tc>
      </w:tr>
      <w:tr>
        <w:trPr>
          <w:trHeight w:val="148"/>
        </w:trPr>
        <w:tc>
          <w:tcPr>
            <w:tcW w:w="2400" w:type="dxa"/>
            <w:vAlign w:val="bottom"/>
            <w:tcBorders>
              <w:bottom w:val="single" w:sz="8" w:color="0000EE"/>
            </w:tcBorders>
            <w:gridSpan w:val="9"/>
          </w:tcPr>
          <w:p>
            <w:pPr>
              <w:spacing w:after="0" w:line="148" w:lineRule="exact"/>
              <w:rPr>
                <w:sz w:val="20"/>
                <w:szCs w:val="20"/>
                <w:color w:val="auto"/>
              </w:rPr>
            </w:pPr>
            <w:r>
              <w:rPr>
                <w:rFonts w:ascii="Arial" w:cs="Arial" w:eastAsia="Arial" w:hAnsi="Arial"/>
                <w:sz w:val="14"/>
                <w:szCs w:val="14"/>
                <w:color w:val="0000EE"/>
                <w:w w:val="98"/>
              </w:rPr>
              <w:t>Where You Can Find More Information</w:t>
            </w:r>
          </w:p>
        </w:tc>
        <w:tc>
          <w:tcPr>
            <w:tcW w:w="5860" w:type="dxa"/>
            <w:vAlign w:val="bottom"/>
            <w:gridSpan w:val="3"/>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tcBorders>
              <w:bottom w:val="single" w:sz="8" w:color="0000EE"/>
            </w:tcBorders>
            <w:gridSpan w:val="10"/>
          </w:tcPr>
          <w:p>
            <w:pPr>
              <w:spacing w:after="0" w:line="148" w:lineRule="exact"/>
              <w:rPr>
                <w:sz w:val="20"/>
                <w:szCs w:val="20"/>
                <w:color w:val="auto"/>
              </w:rPr>
            </w:pPr>
            <w:r>
              <w:rPr>
                <w:rFonts w:ascii="Arial" w:cs="Arial" w:eastAsia="Arial" w:hAnsi="Arial"/>
                <w:sz w:val="14"/>
                <w:szCs w:val="14"/>
                <w:color w:val="0000EE"/>
                <w:w w:val="99"/>
              </w:rPr>
              <w:t>Incorporation of Documents by Reference</w:t>
            </w:r>
          </w:p>
        </w:tc>
        <w:tc>
          <w:tcPr>
            <w:tcW w:w="5660" w:type="dxa"/>
            <w:vAlign w:val="bottom"/>
            <w:gridSpan w:val="2"/>
          </w:tcPr>
          <w:p>
            <w:pPr>
              <w:spacing w:after="0"/>
              <w:rPr>
                <w:sz w:val="12"/>
                <w:szCs w:val="12"/>
                <w:color w:val="auto"/>
              </w:rPr>
            </w:pPr>
          </w:p>
        </w:tc>
        <w:tc>
          <w:tcPr>
            <w:tcW w:w="28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8"/>
        </w:trPr>
        <w:tc>
          <w:tcPr>
            <w:tcW w:w="1040" w:type="dxa"/>
            <w:vAlign w:val="bottom"/>
            <w:tcBorders>
              <w:bottom w:val="single" w:sz="8" w:color="0000EE"/>
            </w:tcBorders>
            <w:gridSpan w:val="3"/>
          </w:tcPr>
          <w:p>
            <w:pPr>
              <w:spacing w:after="0" w:line="148" w:lineRule="exact"/>
              <w:rPr>
                <w:sz w:val="20"/>
                <w:szCs w:val="20"/>
                <w:color w:val="auto"/>
              </w:rPr>
            </w:pPr>
            <w:r>
              <w:rPr>
                <w:rFonts w:ascii="Arial" w:cs="Arial" w:eastAsia="Arial" w:hAnsi="Arial"/>
                <w:sz w:val="14"/>
                <w:szCs w:val="14"/>
                <w:color w:val="0000EE"/>
                <w:w w:val="98"/>
              </w:rPr>
              <w:t>Use of Proceeds</w:t>
            </w:r>
          </w:p>
        </w:tc>
        <w:tc>
          <w:tcPr>
            <w:tcW w:w="7220" w:type="dxa"/>
            <w:vAlign w:val="bottom"/>
            <w:gridSpan w:val="9"/>
          </w:tcPr>
          <w:p>
            <w:pPr>
              <w:spacing w:after="0"/>
              <w:rPr>
                <w:sz w:val="12"/>
                <w:szCs w:val="12"/>
                <w:color w:val="auto"/>
              </w:rPr>
            </w:pPr>
          </w:p>
        </w:tc>
        <w:tc>
          <w:tcPr>
            <w:tcW w:w="28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8"/>
        </w:trPr>
        <w:tc>
          <w:tcPr>
            <w:tcW w:w="8260" w:type="dxa"/>
            <w:vAlign w:val="bottom"/>
            <w:gridSpan w:val="12"/>
          </w:tcPr>
          <w:p>
            <w:pPr>
              <w:spacing w:after="0" w:line="148" w:lineRule="exact"/>
              <w:rPr>
                <w:sz w:val="20"/>
                <w:szCs w:val="20"/>
                <w:color w:val="auto"/>
              </w:rPr>
            </w:pPr>
            <w:r>
              <w:rPr>
                <w:rFonts w:ascii="Arial" w:cs="Arial" w:eastAsia="Arial" w:hAnsi="Arial"/>
                <w:sz w:val="14"/>
                <w:szCs w:val="14"/>
                <w:color w:val="0000EE"/>
              </w:rPr>
              <w:t>Description of Debt Securities</w:t>
            </w:r>
          </w:p>
        </w:tc>
        <w:tc>
          <w:tcPr>
            <w:tcW w:w="28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8"/>
        </w:trPr>
        <w:tc>
          <w:tcPr>
            <w:tcW w:w="1240" w:type="dxa"/>
            <w:vAlign w:val="bottom"/>
            <w:tcBorders>
              <w:top w:val="single" w:sz="8" w:color="0000EE"/>
              <w:bottom w:val="single" w:sz="8" w:color="0000EE"/>
            </w:tcBorders>
            <w:gridSpan w:val="4"/>
          </w:tcPr>
          <w:p>
            <w:pPr>
              <w:spacing w:after="0" w:line="148" w:lineRule="exact"/>
              <w:rPr>
                <w:sz w:val="20"/>
                <w:szCs w:val="20"/>
                <w:color w:val="auto"/>
              </w:rPr>
            </w:pPr>
            <w:r>
              <w:rPr>
                <w:rFonts w:ascii="Arial" w:cs="Arial" w:eastAsia="Arial" w:hAnsi="Arial"/>
                <w:sz w:val="14"/>
                <w:szCs w:val="14"/>
                <w:color w:val="0000EE"/>
              </w:rPr>
              <w:t>Plan of Distribution</w:t>
            </w:r>
          </w:p>
        </w:tc>
        <w:tc>
          <w:tcPr>
            <w:tcW w:w="600" w:type="dxa"/>
            <w:vAlign w:val="bottom"/>
            <w:tcBorders>
              <w:top w:val="single" w:sz="8" w:color="0000EE"/>
            </w:tcBorders>
            <w:gridSpan w:val="4"/>
          </w:tcPr>
          <w:p>
            <w:pPr>
              <w:spacing w:after="0"/>
              <w:rPr>
                <w:sz w:val="12"/>
                <w:szCs w:val="12"/>
                <w:color w:val="auto"/>
              </w:rPr>
            </w:pPr>
          </w:p>
        </w:tc>
        <w:tc>
          <w:tcPr>
            <w:tcW w:w="6420" w:type="dxa"/>
            <w:vAlign w:val="bottom"/>
            <w:gridSpan w:val="4"/>
          </w:tcPr>
          <w:p>
            <w:pPr>
              <w:spacing w:after="0"/>
              <w:rPr>
                <w:sz w:val="12"/>
                <w:szCs w:val="12"/>
                <w:color w:val="auto"/>
              </w:rPr>
            </w:pPr>
          </w:p>
        </w:tc>
        <w:tc>
          <w:tcPr>
            <w:tcW w:w="28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8"/>
        </w:trPr>
        <w:tc>
          <w:tcPr>
            <w:tcW w:w="8260" w:type="dxa"/>
            <w:vAlign w:val="bottom"/>
            <w:gridSpan w:val="12"/>
          </w:tcPr>
          <w:p>
            <w:pPr>
              <w:spacing w:after="0" w:line="148" w:lineRule="exact"/>
              <w:rPr>
                <w:sz w:val="20"/>
                <w:szCs w:val="20"/>
                <w:color w:val="auto"/>
              </w:rPr>
            </w:pPr>
            <w:r>
              <w:rPr>
                <w:rFonts w:ascii="Arial" w:cs="Arial" w:eastAsia="Arial" w:hAnsi="Arial"/>
                <w:sz w:val="14"/>
                <w:szCs w:val="14"/>
                <w:color w:val="0000EE"/>
              </w:rPr>
              <w:t>Validity of the Securities</w:t>
            </w:r>
          </w:p>
        </w:tc>
        <w:tc>
          <w:tcPr>
            <w:tcW w:w="28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8"/>
        </w:trPr>
        <w:tc>
          <w:tcPr>
            <w:tcW w:w="1480" w:type="dxa"/>
            <w:vAlign w:val="bottom"/>
            <w:tcBorders>
              <w:top w:val="single" w:sz="8" w:color="0000EE"/>
            </w:tcBorders>
            <w:gridSpan w:val="7"/>
          </w:tcPr>
          <w:p>
            <w:pPr>
              <w:spacing w:after="0" w:line="148" w:lineRule="exact"/>
              <w:rPr>
                <w:sz w:val="20"/>
                <w:szCs w:val="20"/>
                <w:color w:val="auto"/>
              </w:rPr>
            </w:pPr>
            <w:r>
              <w:rPr>
                <w:rFonts w:ascii="Arial" w:cs="Arial" w:eastAsia="Arial" w:hAnsi="Arial"/>
                <w:sz w:val="14"/>
                <w:szCs w:val="14"/>
                <w:color w:val="0000EE"/>
              </w:rPr>
              <w:t>Experts</w:t>
            </w:r>
          </w:p>
        </w:tc>
        <w:tc>
          <w:tcPr>
            <w:tcW w:w="6780" w:type="dxa"/>
            <w:vAlign w:val="bottom"/>
            <w:gridSpan w:val="5"/>
          </w:tcPr>
          <w:p>
            <w:pPr>
              <w:spacing w:after="0"/>
              <w:rPr>
                <w:sz w:val="12"/>
                <w:szCs w:val="12"/>
                <w:color w:val="auto"/>
              </w:rPr>
            </w:pPr>
          </w:p>
        </w:tc>
        <w:tc>
          <w:tcPr>
            <w:tcW w:w="28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3011170</wp:posOffset>
            </wp:positionH>
            <wp:positionV relativeFrom="paragraph">
              <wp:posOffset>179705</wp:posOffset>
            </wp:positionV>
            <wp:extent cx="114490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4905" cy="635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360" w:right="279" w:firstLine="342"/>
        <w:spacing w:after="0"/>
        <w:rPr>
          <w:sz w:val="20"/>
          <w:szCs w:val="20"/>
          <w:color w:val="auto"/>
        </w:rPr>
      </w:pPr>
      <w:r>
        <w:rPr>
          <w:rFonts w:ascii="Arial" w:cs="Arial" w:eastAsia="Arial" w:hAnsi="Arial"/>
          <w:sz w:val="14"/>
          <w:szCs w:val="14"/>
          <w:b w:val="1"/>
          <w:bCs w:val="1"/>
          <w:color w:val="auto"/>
        </w:rPr>
        <w:t>Neither the Company nor the Guarantor have authorized any other person to provide you with information other than that contained or incorporated by reference in this prospectus and in any accompanying prospectus supplement or in any related free writing prospectus. This document may only be used where it is legal to sell these securities. You should assume that the information appearing in this prospectus or in any prospectus supplement is accurate as of the date on the front cover of those documents only. The business, properties, assets, results of operations, financial position or prospects of the Company and the Guarantor may have changed since that date. Neither the delivery of this prospectus nor of any prospectus supplement, nor any sale made thereunder, will imply that the information herein is correct as of any date subsequent to the date on the cover of those documents. Neither the Company nor the Guarantor is making an offer of these securities in any jurisdiction where the offer is not permitted.</w:t>
      </w:r>
    </w:p>
    <w:p>
      <w:pPr>
        <w:spacing w:after="0" w:line="134"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Unless otherwise indicated or the context otherwise requires, references in this prospectus to:</w:t>
      </w:r>
    </w:p>
    <w:p>
      <w:pPr>
        <w:spacing w:after="0" w:line="91" w:lineRule="exact"/>
        <w:rPr>
          <w:sz w:val="20"/>
          <w:szCs w:val="20"/>
          <w:color w:val="auto"/>
        </w:rPr>
      </w:pPr>
    </w:p>
    <w:p>
      <w:pPr>
        <w:ind w:left="2120" w:hanging="334"/>
        <w:spacing w:after="0"/>
        <w:tabs>
          <w:tab w:leader="none" w:pos="212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“Company” refers to Schlumberger Investment S.A., as defined on the first page of this prospectus;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“Guarantor” refers to SLB N.V. (SLB Limited), the ultimate parent of the Company;</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“SLB Group” refers to SLB N.V. (SLB Limited) and its consolidated subsidiaries, including the Company; and</w:t>
      </w:r>
    </w:p>
    <w:p>
      <w:pPr>
        <w:spacing w:after="0" w:line="90" w:lineRule="exact"/>
        <w:rPr>
          <w:rFonts w:ascii="Arial" w:cs="Arial" w:eastAsia="Arial" w:hAnsi="Arial"/>
          <w:sz w:val="14"/>
          <w:szCs w:val="14"/>
          <w:color w:val="auto"/>
        </w:rPr>
      </w:pPr>
    </w:p>
    <w:p>
      <w:pPr>
        <w:ind w:left="2120" w:right="339" w:hanging="334"/>
        <w:spacing w:after="0" w:line="269" w:lineRule="auto"/>
        <w:tabs>
          <w:tab w:leader="none" w:pos="2120" w:val="left"/>
        </w:tabs>
        <w:numPr>
          <w:ilvl w:val="0"/>
          <w:numId w:val="1"/>
        </w:numPr>
        <w:rPr>
          <w:rFonts w:ascii="Arial" w:cs="Arial" w:eastAsia="Arial" w:hAnsi="Arial"/>
          <w:sz w:val="14"/>
          <w:szCs w:val="14"/>
          <w:color w:val="auto"/>
        </w:rPr>
      </w:pPr>
      <w:r>
        <w:rPr>
          <w:rFonts w:ascii="Arial" w:cs="Arial" w:eastAsia="Arial" w:hAnsi="Arial"/>
          <w:sz w:val="14"/>
          <w:szCs w:val="14"/>
          <w:color w:val="auto"/>
        </w:rPr>
        <w:t>“we,” “us” and “our” and similar expressions refer to the SLB Group, including the Company, except when used in connection with “securities,” in which case these terms refer only to the Company.</w:t>
      </w:r>
    </w:p>
    <w:p>
      <w:pPr>
        <w:sectPr>
          <w:pgSz w:w="11900" w:h="16838" w:orient="portrait"/>
          <w:cols w:equalWidth="0" w:num="1">
            <w:col w:w="10159"/>
          </w:cols>
          <w:pgMar w:left="300" w:top="385"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About this Prospectus</w:t>
      </w:r>
    </w:p>
    <w:p>
      <w:pPr>
        <w:spacing w:after="0" w:line="164" w:lineRule="exact"/>
        <w:rPr>
          <w:sz w:val="20"/>
          <w:szCs w:val="20"/>
          <w:color w:val="auto"/>
        </w:rPr>
      </w:pPr>
    </w:p>
    <w:p>
      <w:pPr>
        <w:jc w:val="both"/>
        <w:ind w:left="1360" w:right="259" w:firstLine="342"/>
        <w:spacing w:after="0" w:line="308" w:lineRule="auto"/>
        <w:rPr>
          <w:sz w:val="20"/>
          <w:szCs w:val="20"/>
          <w:color w:val="auto"/>
        </w:rPr>
      </w:pPr>
      <w:r>
        <w:rPr>
          <w:rFonts w:ascii="Arial" w:cs="Arial" w:eastAsia="Arial" w:hAnsi="Arial"/>
          <w:sz w:val="13"/>
          <w:szCs w:val="13"/>
          <w:color w:val="auto"/>
        </w:rPr>
        <w:t>This prospectus is part of an automatic shelf registration statement that we have filed with the Securities and Exchange Commission (the “SEC”) as a “well-known seasoned issuer” as defined in Rule 405 under the Securities Act of 1933, as amended (the “Securities Act”).</w:t>
      </w:r>
    </w:p>
    <w:p>
      <w:pPr>
        <w:spacing w:after="0" w:line="99" w:lineRule="exact"/>
        <w:rPr>
          <w:sz w:val="20"/>
          <w:szCs w:val="20"/>
          <w:color w:val="auto"/>
        </w:rPr>
      </w:pPr>
    </w:p>
    <w:p>
      <w:pPr>
        <w:ind w:left="1360" w:right="299" w:firstLine="342"/>
        <w:spacing w:after="0" w:line="241" w:lineRule="auto"/>
        <w:rPr>
          <w:sz w:val="20"/>
          <w:szCs w:val="20"/>
          <w:color w:val="auto"/>
        </w:rPr>
      </w:pPr>
      <w:r>
        <w:rPr>
          <w:rFonts w:ascii="Arial" w:cs="Arial" w:eastAsia="Arial" w:hAnsi="Arial"/>
          <w:sz w:val="14"/>
          <w:szCs w:val="14"/>
          <w:color w:val="auto"/>
        </w:rPr>
        <w:t>By using an automatic shelf registration statement, we may, at any time and from time to time, offer securities under this prospectus in one or more offerings in an unlimited amount. As allowed by the SEC’s rules and regulations,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41" w:lineRule="exact"/>
        <w:rPr>
          <w:sz w:val="20"/>
          <w:szCs w:val="20"/>
          <w:color w:val="auto"/>
        </w:rPr>
      </w:pPr>
    </w:p>
    <w:p>
      <w:pPr>
        <w:ind w:left="1360" w:right="279" w:firstLine="342"/>
        <w:spacing w:after="0"/>
        <w:rPr>
          <w:sz w:val="20"/>
          <w:szCs w:val="20"/>
          <w:color w:val="auto"/>
        </w:rPr>
      </w:pPr>
      <w:r>
        <w:rPr>
          <w:rFonts w:ascii="Arial" w:cs="Arial" w:eastAsia="Arial" w:hAnsi="Arial"/>
          <w:sz w:val="14"/>
          <w:szCs w:val="14"/>
          <w:color w:val="auto"/>
        </w:rPr>
        <w:t>This prospectus provides you with a general description of the securities we may offer. Each time we use this prospectus to offer securities, we will provide you with a prospectus supplement and, if applicable, a pricing supplement that will describe the specific amounts, prices and terms of the securities being offered. The prospectus supplement and any pricing supplement may also add, update or change information contained in this prospectus. Therefore, if there is any inconsistency between the information in this prospectus, the prospectus supplement and any pricing supplement, you should rely on the information in the prospectus supplement and any pricing supplement. You should not assume that the information in this prospectus, any prospectus supplement or any pricing supplement is accurate as of any date other than the date of such document.</w:t>
      </w:r>
    </w:p>
    <w:p>
      <w:pPr>
        <w:spacing w:after="0" w:line="142" w:lineRule="exact"/>
        <w:rPr>
          <w:sz w:val="20"/>
          <w:szCs w:val="20"/>
          <w:color w:val="auto"/>
        </w:rPr>
      </w:pPr>
    </w:p>
    <w:p>
      <w:pPr>
        <w:ind w:left="1360" w:right="259" w:firstLine="342"/>
        <w:spacing w:after="0" w:line="243" w:lineRule="auto"/>
        <w:rPr>
          <w:sz w:val="20"/>
          <w:szCs w:val="20"/>
          <w:color w:val="auto"/>
        </w:rPr>
      </w:pPr>
      <w:r>
        <w:rPr>
          <w:rFonts w:ascii="Arial" w:cs="Arial" w:eastAsia="Arial" w:hAnsi="Arial"/>
          <w:sz w:val="14"/>
          <w:szCs w:val="14"/>
          <w:color w:val="auto"/>
        </w:rPr>
        <w:t>To understand the terms of the securities, you should carefully read this document, the applicable prospectus supplement and any applicable pricing supplement. Together, they give the specific terms of the securities we are offering. You should also read the documents we have referred you to under “Where You Can Find More Information” below for information about the SLB Group and SLB N.V. (SLB Limited)’s financial statements. You can read the registration statement and exhibits on the SEC’s website as described under “Where You Can Find More Information.”</w:t>
      </w:r>
    </w:p>
    <w:p>
      <w:pPr>
        <w:spacing w:after="0" w:line="87"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0159"/>
          </w:cols>
          <w:pgMar w:left="300" w:top="385"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About the Guarantor</w:t>
      </w:r>
    </w:p>
    <w:p>
      <w:pPr>
        <w:spacing w:after="0" w:line="164" w:lineRule="exact"/>
        <w:rPr>
          <w:sz w:val="20"/>
          <w:szCs w:val="20"/>
          <w:color w:val="auto"/>
        </w:rPr>
      </w:pPr>
    </w:p>
    <w:p>
      <w:pPr>
        <w:ind w:left="1360" w:right="259" w:firstLine="342"/>
        <w:spacing w:after="0" w:line="246" w:lineRule="auto"/>
        <w:rPr>
          <w:sz w:val="20"/>
          <w:szCs w:val="20"/>
          <w:color w:val="auto"/>
        </w:rPr>
      </w:pPr>
      <w:r>
        <w:rPr>
          <w:rFonts w:ascii="Arial" w:cs="Arial" w:eastAsia="Arial" w:hAnsi="Arial"/>
          <w:sz w:val="14"/>
          <w:szCs w:val="14"/>
          <w:color w:val="auto"/>
        </w:rPr>
        <w:t>SLB N.V. (SLB Limited), together with its subsidiaries, form a global technology company driving energy innovation for a balanced planet. With a global presence in more than 100 countries and employees representing almost twice as many nationalities, the SLB Group works each day on innovating energy technology, delivering digital at scale, decarbonizing industries, and developing and scaling new energy systems that accelerate the energy transition.</w:t>
      </w:r>
    </w:p>
    <w:p>
      <w:pPr>
        <w:spacing w:after="0" w:line="137" w:lineRule="exact"/>
        <w:rPr>
          <w:sz w:val="20"/>
          <w:szCs w:val="20"/>
          <w:color w:val="auto"/>
        </w:rPr>
      </w:pPr>
    </w:p>
    <w:p>
      <w:pPr>
        <w:ind w:left="1360" w:right="299" w:firstLine="342"/>
        <w:spacing w:after="0" w:line="241" w:lineRule="auto"/>
        <w:rPr>
          <w:sz w:val="20"/>
          <w:szCs w:val="20"/>
          <w:color w:val="auto"/>
        </w:rPr>
      </w:pPr>
      <w:r>
        <w:rPr>
          <w:rFonts w:ascii="Arial" w:cs="Arial" w:eastAsia="Arial" w:hAnsi="Arial"/>
          <w:sz w:val="14"/>
          <w:szCs w:val="14"/>
          <w:color w:val="auto"/>
        </w:rPr>
        <w:t>The Guarantor, formerly known as Schlumberger, was founded in 1926 and is the NYSE-listed parent of the SLB family of companies. The Guarantor is the ultimate parent of the Company. The Guarantor is incorporated under the laws of Curaçao with principal executive offices in Paris, Houston, and The Hague. The Guarantor’s executive offices in the United States are at 5599 San Felipe, Houston, Texas 77056, and its telephone number is (713) 513-2000. The Guarantor changed its brand name to SLB in 2022 and the legal name of its listed parent company in 2025. The principal U.S. market for the Guarantor’s common stock is the New York Stock Exchange, where it is traded under the symbol “SLB.”</w:t>
      </w:r>
    </w:p>
    <w:p>
      <w:pPr>
        <w:spacing w:after="0" w:line="89"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159"/>
          </w:cols>
          <w:pgMar w:left="300" w:top="385"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About the Company</w:t>
      </w:r>
    </w:p>
    <w:p>
      <w:pPr>
        <w:spacing w:after="0" w:line="164" w:lineRule="exact"/>
        <w:rPr>
          <w:sz w:val="20"/>
          <w:szCs w:val="20"/>
          <w:color w:val="auto"/>
        </w:rPr>
      </w:pPr>
    </w:p>
    <w:p>
      <w:pPr>
        <w:ind w:left="1360" w:right="259" w:firstLine="342"/>
        <w:spacing w:after="0" w:line="243" w:lineRule="auto"/>
        <w:rPr>
          <w:sz w:val="20"/>
          <w:szCs w:val="20"/>
          <w:color w:val="auto"/>
        </w:rPr>
      </w:pPr>
      <w:r>
        <w:rPr>
          <w:rFonts w:ascii="Arial" w:cs="Arial" w:eastAsia="Arial" w:hAnsi="Arial"/>
          <w:sz w:val="14"/>
          <w:szCs w:val="14"/>
          <w:color w:val="auto"/>
        </w:rPr>
        <w:t>Schlumberger Investment S.A. is a public limited liability company (</w:t>
      </w:r>
      <w:r>
        <w:rPr>
          <w:rFonts w:ascii="Arial" w:cs="Arial" w:eastAsia="Arial" w:hAnsi="Arial"/>
          <w:sz w:val="14"/>
          <w:szCs w:val="14"/>
          <w:i w:val="1"/>
          <w:iCs w:val="1"/>
          <w:color w:val="auto"/>
        </w:rPr>
        <w:t>société anonyme</w:t>
      </w:r>
      <w:r>
        <w:rPr>
          <w:rFonts w:ascii="Arial" w:cs="Arial" w:eastAsia="Arial" w:hAnsi="Arial"/>
          <w:sz w:val="14"/>
          <w:szCs w:val="14"/>
          <w:color w:val="auto"/>
        </w:rPr>
        <w:t>) incorporated in 2011 under the laws of the Grand Duchy of Luxembourg (“Luxembourg”) and registered with the Luxembourg Trade and Companies Register (</w:t>
      </w:r>
      <w:r>
        <w:rPr>
          <w:rFonts w:ascii="Arial" w:cs="Arial" w:eastAsia="Arial" w:hAnsi="Arial"/>
          <w:sz w:val="14"/>
          <w:szCs w:val="14"/>
          <w:i w:val="1"/>
          <w:iCs w:val="1"/>
          <w:color w:val="auto"/>
        </w:rPr>
        <w:t>Registre de</w:t>
      </w:r>
      <w:r>
        <w:rPr>
          <w:rFonts w:ascii="Arial" w:cs="Arial" w:eastAsia="Arial" w:hAnsi="Arial"/>
          <w:sz w:val="14"/>
          <w:szCs w:val="14"/>
          <w:color w:val="auto"/>
        </w:rPr>
        <w:t xml:space="preserve"> </w:t>
      </w:r>
      <w:r>
        <w:rPr>
          <w:rFonts w:ascii="Arial" w:cs="Arial" w:eastAsia="Arial" w:hAnsi="Arial"/>
          <w:sz w:val="14"/>
          <w:szCs w:val="14"/>
          <w:i w:val="1"/>
          <w:iCs w:val="1"/>
          <w:color w:val="auto"/>
        </w:rPr>
        <w:t>Commerce et des Sociétés</w:t>
      </w:r>
      <w:r>
        <w:rPr>
          <w:rFonts w:ascii="Arial" w:cs="Arial" w:eastAsia="Arial" w:hAnsi="Arial"/>
          <w:sz w:val="14"/>
          <w:szCs w:val="14"/>
          <w:color w:val="auto"/>
        </w:rPr>
        <w:t>) under number B 163.122. The Company has no subsidiaries, and its principal activities are debt issuance and</w:t>
      </w:r>
      <w:r>
        <w:rPr>
          <w:rFonts w:ascii="Arial" w:cs="Arial" w:eastAsia="Arial" w:hAnsi="Arial"/>
          <w:sz w:val="14"/>
          <w:szCs w:val="14"/>
          <w:i w:val="1"/>
          <w:iCs w:val="1"/>
          <w:color w:val="auto"/>
        </w:rPr>
        <w:t xml:space="preserve"> </w:t>
      </w:r>
      <w:r>
        <w:rPr>
          <w:rFonts w:ascii="Arial" w:cs="Arial" w:eastAsia="Arial" w:hAnsi="Arial"/>
          <w:sz w:val="14"/>
          <w:szCs w:val="14"/>
          <w:color w:val="auto"/>
        </w:rPr>
        <w:t>intercompany group financing. The Company is part of the SLB Group and all shares of the Company are owned indirectly by the Guarantor.</w:t>
      </w:r>
    </w:p>
    <w:p>
      <w:pPr>
        <w:spacing w:after="0" w:line="87"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159"/>
          </w:cols>
          <w:pgMar w:left="300" w:top="385"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3580"/>
        <w:spacing w:after="0"/>
        <w:rPr>
          <w:sz w:val="20"/>
          <w:szCs w:val="20"/>
          <w:color w:val="auto"/>
        </w:rPr>
      </w:pPr>
      <w:r>
        <w:rPr>
          <w:rFonts w:ascii="Arial" w:cs="Arial" w:eastAsia="Arial" w:hAnsi="Arial"/>
          <w:sz w:val="14"/>
          <w:szCs w:val="14"/>
          <w:b w:val="1"/>
          <w:bCs w:val="1"/>
          <w:color w:val="auto"/>
        </w:rPr>
        <w:t>Cautionary Statement Regarding Forward-Looking Statements</w:t>
      </w:r>
    </w:p>
    <w:p>
      <w:pPr>
        <w:spacing w:after="0" w:line="164" w:lineRule="exact"/>
        <w:rPr>
          <w:sz w:val="20"/>
          <w:szCs w:val="20"/>
          <w:color w:val="auto"/>
        </w:rPr>
      </w:pPr>
    </w:p>
    <w:p>
      <w:pPr>
        <w:ind w:left="1360" w:right="299" w:firstLine="342"/>
        <w:spacing w:after="0" w:line="241" w:lineRule="auto"/>
        <w:rPr>
          <w:sz w:val="20"/>
          <w:szCs w:val="20"/>
          <w:color w:val="auto"/>
        </w:rPr>
      </w:pPr>
      <w:r>
        <w:rPr>
          <w:rFonts w:ascii="Arial" w:cs="Arial" w:eastAsia="Arial" w:hAnsi="Arial"/>
          <w:sz w:val="14"/>
          <w:szCs w:val="14"/>
          <w:color w:val="auto"/>
        </w:rPr>
        <w:t>This prospectus and the documents incorporated by reference herein include “forward-looking statements” within the meaning of the U.S. Private Securities Litigation Reform Act of 1995. All statements other than statements of historical fact are, or may be deemed to be, forward-looking statements.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we believe that the expectations reflected in such forward-looking statements are reasonable, we can give no assurances that such expectations will prove to have been correct.</w:t>
      </w:r>
    </w:p>
    <w:p>
      <w:pPr>
        <w:spacing w:after="0" w:line="141" w:lineRule="exact"/>
        <w:rPr>
          <w:sz w:val="20"/>
          <w:szCs w:val="20"/>
          <w:color w:val="auto"/>
        </w:rPr>
      </w:pPr>
    </w:p>
    <w:p>
      <w:pPr>
        <w:ind w:left="1360" w:right="279" w:firstLine="342"/>
        <w:spacing w:after="0"/>
        <w:rPr>
          <w:sz w:val="20"/>
          <w:szCs w:val="20"/>
          <w:color w:val="auto"/>
        </w:rPr>
      </w:pPr>
      <w:r>
        <w:rPr>
          <w:rFonts w:ascii="Arial" w:cs="Arial" w:eastAsia="Arial" w:hAnsi="Arial"/>
          <w:sz w:val="14"/>
          <w:szCs w:val="14"/>
          <w:color w:val="auto"/>
        </w:rPr>
        <w:t>Statements that are predictive in nature, that depend upon or refer to future events or conditions, or that include words such as “expect,” “may,” “can,” “believe,” “predict,” “plan,” “potential,” “projected,” “projections,” “precursor,” “forecast,” “outlook,” “expectations,” “estimate,” “intend,” “anticipate,” “ambition,” “goal,” “target,” “scheduled,” “think,” “should,” “could,” “would,” “will,” “see,” “likely,” and other similar words, are forward-looking statements. The following important factors, in addition to those discussed under “Risk Factors” in this prospectus and in the documents incorporated by reference herein, could affect the future results of the energy industry in general, and the Company and the Guarantor in particular, and could cause those results to differ materially from those expressed in or implied by such forward-looking statements:</w:t>
      </w:r>
    </w:p>
    <w:p>
      <w:pPr>
        <w:spacing w:after="0" w:line="68" w:lineRule="exact"/>
        <w:rPr>
          <w:sz w:val="20"/>
          <w:szCs w:val="20"/>
          <w:color w:val="auto"/>
        </w:rPr>
      </w:pPr>
    </w:p>
    <w:p>
      <w:pPr>
        <w:ind w:left="2120" w:right="739" w:hanging="334"/>
        <w:spacing w:after="0" w:line="269" w:lineRule="auto"/>
        <w:tabs>
          <w:tab w:leader="none" w:pos="21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SLB Group’s financial and performance targets and other forecasts or expectations regarding, or dependent on, its business outlook;</w:t>
      </w:r>
    </w:p>
    <w:p>
      <w:pPr>
        <w:spacing w:after="0" w:line="47" w:lineRule="exact"/>
        <w:rPr>
          <w:rFonts w:ascii="Arial" w:cs="Arial" w:eastAsia="Arial" w:hAnsi="Arial"/>
          <w:sz w:val="14"/>
          <w:szCs w:val="14"/>
          <w:color w:val="auto"/>
        </w:rPr>
      </w:pPr>
    </w:p>
    <w:p>
      <w:pPr>
        <w:ind w:left="2120" w:right="659" w:hanging="334"/>
        <w:spacing w:after="0" w:line="269" w:lineRule="auto"/>
        <w:tabs>
          <w:tab w:leader="none" w:pos="2120" w:val="left"/>
        </w:tabs>
        <w:numPr>
          <w:ilvl w:val="0"/>
          <w:numId w:val="2"/>
        </w:numPr>
        <w:rPr>
          <w:rFonts w:ascii="Arial" w:cs="Arial" w:eastAsia="Arial" w:hAnsi="Arial"/>
          <w:sz w:val="14"/>
          <w:szCs w:val="14"/>
          <w:color w:val="auto"/>
        </w:rPr>
      </w:pPr>
      <w:r>
        <w:rPr>
          <w:rFonts w:ascii="Arial" w:cs="Arial" w:eastAsia="Arial" w:hAnsi="Arial"/>
          <w:sz w:val="14"/>
          <w:szCs w:val="14"/>
          <w:color w:val="auto"/>
        </w:rPr>
        <w:t>growth for the SLB Group as a whole and for each of its Divisions (and for specified business lines, geographic areas or technologies within each Division);</w:t>
      </w:r>
    </w:p>
    <w:p>
      <w:pPr>
        <w:spacing w:after="0" w:line="47" w:lineRule="exact"/>
        <w:rPr>
          <w:rFonts w:ascii="Arial" w:cs="Arial" w:eastAsia="Arial" w:hAnsi="Arial"/>
          <w:sz w:val="14"/>
          <w:szCs w:val="14"/>
          <w:color w:val="auto"/>
        </w:rPr>
      </w:pPr>
    </w:p>
    <w:p>
      <w:pPr>
        <w:ind w:left="2120" w:right="759" w:hanging="334"/>
        <w:spacing w:after="0" w:line="269" w:lineRule="auto"/>
        <w:tabs>
          <w:tab w:leader="none" w:pos="21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benefits of the ChampionX acquisition, including the ability of the SLB Group to integrate the ChampionX business successfully and to achieve anticipated synergies and value creation from the acquisition;</w:t>
      </w:r>
    </w:p>
    <w:p>
      <w:pPr>
        <w:spacing w:after="0" w:line="47" w:lineRule="exact"/>
        <w:rPr>
          <w:rFonts w:ascii="Arial" w:cs="Arial" w:eastAsia="Arial" w:hAnsi="Arial"/>
          <w:sz w:val="14"/>
          <w:szCs w:val="14"/>
          <w:color w:val="auto"/>
        </w:rPr>
      </w:pPr>
    </w:p>
    <w:p>
      <w:pPr>
        <w:ind w:left="2120" w:hanging="334"/>
        <w:spacing w:after="0"/>
        <w:tabs>
          <w:tab w:leader="none" w:pos="21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oil and natural gas demand and production growth;</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oil and natural gas prices;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2"/>
        </w:numPr>
        <w:rPr>
          <w:rFonts w:ascii="Arial" w:cs="Arial" w:eastAsia="Arial" w:hAnsi="Arial"/>
          <w:sz w:val="14"/>
          <w:szCs w:val="14"/>
          <w:color w:val="auto"/>
        </w:rPr>
      </w:pPr>
      <w:r>
        <w:rPr>
          <w:rFonts w:ascii="Arial" w:cs="Arial" w:eastAsia="Arial" w:hAnsi="Arial"/>
          <w:sz w:val="14"/>
          <w:szCs w:val="14"/>
          <w:color w:val="auto"/>
        </w:rPr>
        <w:t>forecasts or expectations regarding energy transition and global climate change;</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2"/>
        </w:numPr>
        <w:rPr>
          <w:rFonts w:ascii="Arial" w:cs="Arial" w:eastAsia="Arial" w:hAnsi="Arial"/>
          <w:sz w:val="14"/>
          <w:szCs w:val="14"/>
          <w:color w:val="auto"/>
        </w:rPr>
      </w:pPr>
      <w:r>
        <w:rPr>
          <w:rFonts w:ascii="Arial" w:cs="Arial" w:eastAsia="Arial" w:hAnsi="Arial"/>
          <w:sz w:val="14"/>
          <w:szCs w:val="14"/>
          <w:color w:val="auto"/>
        </w:rPr>
        <w:t>improvements in operating procedures and technology;</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capital expenditures by the SLB Group and the oil and gas industry;</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business strategies of the SLB Group, including digital and “fit for basin,” as well as the strategies of its customers;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SLB Group’s capital allocation plans, including dividend plans and share repurchase programs;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SLB Group’s Asset Performance Solutions projects, joint ventures, and other alliances;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impact of ongoing or escalating conflicts on global energy supply;</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2"/>
        </w:numPr>
        <w:rPr>
          <w:rFonts w:ascii="Arial" w:cs="Arial" w:eastAsia="Arial" w:hAnsi="Arial"/>
          <w:sz w:val="14"/>
          <w:szCs w:val="14"/>
          <w:color w:val="auto"/>
        </w:rPr>
      </w:pPr>
      <w:r>
        <w:rPr>
          <w:rFonts w:ascii="Arial" w:cs="Arial" w:eastAsia="Arial" w:hAnsi="Arial"/>
          <w:sz w:val="14"/>
          <w:szCs w:val="14"/>
          <w:color w:val="auto"/>
        </w:rPr>
        <w:t>access to raw materials;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2"/>
        </w:numPr>
        <w:rPr>
          <w:rFonts w:ascii="Arial" w:cs="Arial" w:eastAsia="Arial" w:hAnsi="Arial"/>
          <w:sz w:val="14"/>
          <w:szCs w:val="14"/>
          <w:color w:val="auto"/>
        </w:rPr>
      </w:pPr>
      <w:r>
        <w:rPr>
          <w:rFonts w:ascii="Arial" w:cs="Arial" w:eastAsia="Arial" w:hAnsi="Arial"/>
          <w:sz w:val="14"/>
          <w:szCs w:val="14"/>
          <w:color w:val="auto"/>
        </w:rPr>
        <w:t>future global economic and geopolitical conditions;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2"/>
        </w:numPr>
        <w:rPr>
          <w:rFonts w:ascii="Arial" w:cs="Arial" w:eastAsia="Arial" w:hAnsi="Arial"/>
          <w:sz w:val="14"/>
          <w:szCs w:val="14"/>
          <w:color w:val="auto"/>
        </w:rPr>
      </w:pPr>
      <w:r>
        <w:rPr>
          <w:rFonts w:ascii="Arial" w:cs="Arial" w:eastAsia="Arial" w:hAnsi="Arial"/>
          <w:sz w:val="14"/>
          <w:szCs w:val="14"/>
          <w:color w:val="auto"/>
        </w:rPr>
        <w:t>future liquidity, including free cash flow; and</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2"/>
        </w:numPr>
        <w:rPr>
          <w:rFonts w:ascii="Arial" w:cs="Arial" w:eastAsia="Arial" w:hAnsi="Arial"/>
          <w:sz w:val="14"/>
          <w:szCs w:val="14"/>
          <w:color w:val="auto"/>
        </w:rPr>
      </w:pPr>
      <w:r>
        <w:rPr>
          <w:rFonts w:ascii="Arial" w:cs="Arial" w:eastAsia="Arial" w:hAnsi="Arial"/>
          <w:sz w:val="14"/>
          <w:szCs w:val="14"/>
          <w:color w:val="auto"/>
        </w:rPr>
        <w:t>future results of operations, such as margin levels.</w:t>
      </w:r>
    </w:p>
    <w:p>
      <w:pPr>
        <w:spacing w:after="0" w:line="164"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These statements are subject to risks and uncertainties, including, but not limited to:</w:t>
      </w:r>
    </w:p>
    <w:p>
      <w:pPr>
        <w:spacing w:after="0" w:line="91" w:lineRule="exact"/>
        <w:rPr>
          <w:sz w:val="20"/>
          <w:szCs w:val="20"/>
          <w:color w:val="auto"/>
        </w:rPr>
      </w:pPr>
    </w:p>
    <w:p>
      <w:pPr>
        <w:ind w:left="2120" w:hanging="334"/>
        <w:spacing w:after="0"/>
        <w:tabs>
          <w:tab w:leader="none" w:pos="21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changing global economic and geopolitical conditions;</w:t>
      </w:r>
    </w:p>
    <w:p>
      <w:pPr>
        <w:spacing w:after="0" w:line="112"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159"/>
          </w:cols>
          <w:pgMar w:left="300" w:top="385"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2120" w:right="479" w:hanging="334"/>
        <w:spacing w:after="0" w:line="269" w:lineRule="auto"/>
        <w:tabs>
          <w:tab w:leader="none" w:pos="2120" w:val="left"/>
        </w:tabs>
        <w:numPr>
          <w:ilvl w:val="0"/>
          <w:numId w:val="4"/>
        </w:numPr>
        <w:rPr>
          <w:rFonts w:ascii="Arial" w:cs="Arial" w:eastAsia="Arial" w:hAnsi="Arial"/>
          <w:sz w:val="14"/>
          <w:szCs w:val="14"/>
          <w:color w:val="auto"/>
        </w:rPr>
      </w:pPr>
      <w:r>
        <w:rPr>
          <w:rFonts w:ascii="Arial" w:cs="Arial" w:eastAsia="Arial" w:hAnsi="Arial"/>
          <w:sz w:val="14"/>
          <w:szCs w:val="14"/>
          <w:color w:val="auto"/>
        </w:rPr>
        <w:t>changes in exploration and production spending by the SLB Group’s customers, and changes in the level of oil and natural gas exploration and development;</w:t>
      </w:r>
    </w:p>
    <w:p>
      <w:pPr>
        <w:spacing w:after="0" w:line="47" w:lineRule="exact"/>
        <w:rPr>
          <w:rFonts w:ascii="Arial" w:cs="Arial" w:eastAsia="Arial" w:hAnsi="Arial"/>
          <w:sz w:val="14"/>
          <w:szCs w:val="14"/>
          <w:color w:val="auto"/>
        </w:rPr>
      </w:pPr>
    </w:p>
    <w:p>
      <w:pPr>
        <w:ind w:left="2120" w:hanging="334"/>
        <w:spacing w:after="0"/>
        <w:tabs>
          <w:tab w:leader="none" w:pos="21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results of operations and financial condition of the SLB Group’s customers and suppliers;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SLB Group’s inability to achieve its financial and performance targets and other forecasts and expectations;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SLB Group’s inability to achieve its net-zero carbon emissions goals or interim emissions reduction goals;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4"/>
        </w:numPr>
        <w:rPr>
          <w:rFonts w:ascii="Arial" w:cs="Arial" w:eastAsia="Arial" w:hAnsi="Arial"/>
          <w:sz w:val="14"/>
          <w:szCs w:val="14"/>
          <w:color w:val="auto"/>
        </w:rPr>
      </w:pPr>
      <w:r>
        <w:rPr>
          <w:rFonts w:ascii="Arial" w:cs="Arial" w:eastAsia="Arial" w:hAnsi="Arial"/>
          <w:sz w:val="14"/>
          <w:szCs w:val="14"/>
          <w:color w:val="auto"/>
        </w:rPr>
        <w:t>general economic, geopolitical and business conditions in key regions of the world;</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4"/>
        </w:numPr>
        <w:rPr>
          <w:rFonts w:ascii="Arial" w:cs="Arial" w:eastAsia="Arial" w:hAnsi="Arial"/>
          <w:sz w:val="14"/>
          <w:szCs w:val="14"/>
          <w:color w:val="auto"/>
        </w:rPr>
      </w:pPr>
      <w:r>
        <w:rPr>
          <w:rFonts w:ascii="Arial" w:cs="Arial" w:eastAsia="Arial" w:hAnsi="Arial"/>
          <w:sz w:val="14"/>
          <w:szCs w:val="14"/>
          <w:color w:val="auto"/>
        </w:rPr>
        <w:t>foreign currency risk;</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inflation;</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4"/>
        </w:numPr>
        <w:rPr>
          <w:rFonts w:ascii="Arial" w:cs="Arial" w:eastAsia="Arial" w:hAnsi="Arial"/>
          <w:sz w:val="14"/>
          <w:szCs w:val="14"/>
          <w:color w:val="auto"/>
        </w:rPr>
      </w:pPr>
      <w:r>
        <w:rPr>
          <w:rFonts w:ascii="Arial" w:cs="Arial" w:eastAsia="Arial" w:hAnsi="Arial"/>
          <w:sz w:val="14"/>
          <w:szCs w:val="14"/>
          <w:color w:val="auto"/>
        </w:rPr>
        <w:t>changes in monetary policy by governments;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tariffs;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4"/>
        </w:numPr>
        <w:rPr>
          <w:rFonts w:ascii="Arial" w:cs="Arial" w:eastAsia="Arial" w:hAnsi="Arial"/>
          <w:sz w:val="14"/>
          <w:szCs w:val="14"/>
          <w:color w:val="auto"/>
        </w:rPr>
      </w:pPr>
      <w:r>
        <w:rPr>
          <w:rFonts w:ascii="Arial" w:cs="Arial" w:eastAsia="Arial" w:hAnsi="Arial"/>
          <w:sz w:val="14"/>
          <w:szCs w:val="14"/>
          <w:color w:val="auto"/>
        </w:rPr>
        <w:t>pricing pressure;</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weather and seasonal factors;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4"/>
        </w:numPr>
        <w:rPr>
          <w:rFonts w:ascii="Arial" w:cs="Arial" w:eastAsia="Arial" w:hAnsi="Arial"/>
          <w:sz w:val="14"/>
          <w:szCs w:val="14"/>
          <w:color w:val="auto"/>
        </w:rPr>
      </w:pPr>
      <w:r>
        <w:rPr>
          <w:rFonts w:ascii="Arial" w:cs="Arial" w:eastAsia="Arial" w:hAnsi="Arial"/>
          <w:sz w:val="14"/>
          <w:szCs w:val="14"/>
          <w:color w:val="auto"/>
        </w:rPr>
        <w:t>unfavorable effects of health pandemics;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4"/>
        </w:numPr>
        <w:rPr>
          <w:rFonts w:ascii="Arial" w:cs="Arial" w:eastAsia="Arial" w:hAnsi="Arial"/>
          <w:sz w:val="14"/>
          <w:szCs w:val="14"/>
          <w:color w:val="auto"/>
        </w:rPr>
      </w:pPr>
      <w:r>
        <w:rPr>
          <w:rFonts w:ascii="Arial" w:cs="Arial" w:eastAsia="Arial" w:hAnsi="Arial"/>
          <w:sz w:val="14"/>
          <w:szCs w:val="14"/>
          <w:color w:val="auto"/>
        </w:rPr>
        <w:t>availability and cost of raw materials;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operational modifications, delays or cancellations;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4"/>
        </w:numPr>
        <w:rPr>
          <w:rFonts w:ascii="Arial" w:cs="Arial" w:eastAsia="Arial" w:hAnsi="Arial"/>
          <w:sz w:val="14"/>
          <w:szCs w:val="14"/>
          <w:color w:val="auto"/>
        </w:rPr>
      </w:pPr>
      <w:r>
        <w:rPr>
          <w:rFonts w:ascii="Arial" w:cs="Arial" w:eastAsia="Arial" w:hAnsi="Arial"/>
          <w:sz w:val="14"/>
          <w:szCs w:val="14"/>
          <w:color w:val="auto"/>
        </w:rPr>
        <w:t>challenges in the SLB Group’s supply chain;</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4"/>
        </w:numPr>
        <w:rPr>
          <w:rFonts w:ascii="Arial" w:cs="Arial" w:eastAsia="Arial" w:hAnsi="Arial"/>
          <w:sz w:val="14"/>
          <w:szCs w:val="14"/>
          <w:color w:val="auto"/>
        </w:rPr>
      </w:pPr>
      <w:r>
        <w:rPr>
          <w:rFonts w:ascii="Arial" w:cs="Arial" w:eastAsia="Arial" w:hAnsi="Arial"/>
          <w:sz w:val="14"/>
          <w:szCs w:val="14"/>
          <w:color w:val="auto"/>
        </w:rPr>
        <w:t>production declines;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extent of future charges;</w:t>
      </w:r>
    </w:p>
    <w:p>
      <w:pPr>
        <w:spacing w:after="0" w:line="90" w:lineRule="exact"/>
        <w:rPr>
          <w:rFonts w:ascii="Arial" w:cs="Arial" w:eastAsia="Arial" w:hAnsi="Arial"/>
          <w:sz w:val="14"/>
          <w:szCs w:val="14"/>
          <w:color w:val="auto"/>
        </w:rPr>
      </w:pPr>
    </w:p>
    <w:p>
      <w:pPr>
        <w:ind w:left="2120" w:right="259" w:hanging="334"/>
        <w:spacing w:after="0" w:line="269" w:lineRule="auto"/>
        <w:tabs>
          <w:tab w:leader="none" w:pos="21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SLB Group’s inability to recognize efficiencies and other intended benefits from its business strategies and initiatives, such as digital or new energy, as well as its cost reduction strategies;</w:t>
      </w:r>
    </w:p>
    <w:p>
      <w:pPr>
        <w:spacing w:after="0" w:line="47" w:lineRule="exact"/>
        <w:rPr>
          <w:rFonts w:ascii="Arial" w:cs="Arial" w:eastAsia="Arial" w:hAnsi="Arial"/>
          <w:sz w:val="14"/>
          <w:szCs w:val="14"/>
          <w:color w:val="auto"/>
        </w:rPr>
      </w:pPr>
    </w:p>
    <w:p>
      <w:pPr>
        <w:ind w:left="2120" w:right="419" w:hanging="334"/>
        <w:spacing w:after="0" w:line="269" w:lineRule="auto"/>
        <w:tabs>
          <w:tab w:leader="none" w:pos="2120" w:val="left"/>
        </w:tabs>
        <w:numPr>
          <w:ilvl w:val="0"/>
          <w:numId w:val="4"/>
        </w:numPr>
        <w:rPr>
          <w:rFonts w:ascii="Arial" w:cs="Arial" w:eastAsia="Arial" w:hAnsi="Arial"/>
          <w:sz w:val="14"/>
          <w:szCs w:val="14"/>
          <w:color w:val="auto"/>
        </w:rPr>
      </w:pPr>
      <w:r>
        <w:rPr>
          <w:rFonts w:ascii="Arial" w:cs="Arial" w:eastAsia="Arial" w:hAnsi="Arial"/>
          <w:sz w:val="14"/>
          <w:szCs w:val="14"/>
          <w:color w:val="auto"/>
        </w:rPr>
        <w:t>changes in government regulations and regulatory requirements, including those related to offshore oil and gas exploration, radioactive sources, explosives, chemicals and climate- related initiatives;</w:t>
      </w:r>
    </w:p>
    <w:p>
      <w:pPr>
        <w:spacing w:after="0" w:line="47" w:lineRule="exact"/>
        <w:rPr>
          <w:rFonts w:ascii="Arial" w:cs="Arial" w:eastAsia="Arial" w:hAnsi="Arial"/>
          <w:sz w:val="14"/>
          <w:szCs w:val="14"/>
          <w:color w:val="auto"/>
        </w:rPr>
      </w:pPr>
    </w:p>
    <w:p>
      <w:pPr>
        <w:ind w:left="2120" w:hanging="334"/>
        <w:spacing w:after="0"/>
        <w:tabs>
          <w:tab w:leader="none" w:pos="21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inability of technology to meet new challenges in exploration;</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competitiveness of alternative energy sources or product substitutes; and</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other risks and uncertainties detailed in the Guarantor’s filings with the SEC.</w:t>
      </w:r>
    </w:p>
    <w:p>
      <w:pPr>
        <w:spacing w:after="0" w:line="164" w:lineRule="exact"/>
        <w:rPr>
          <w:sz w:val="20"/>
          <w:szCs w:val="20"/>
          <w:color w:val="auto"/>
        </w:rPr>
      </w:pPr>
    </w:p>
    <w:p>
      <w:pPr>
        <w:ind w:left="1360" w:right="379" w:firstLine="342"/>
        <w:spacing w:after="0" w:line="246" w:lineRule="auto"/>
        <w:rPr>
          <w:sz w:val="20"/>
          <w:szCs w:val="20"/>
          <w:color w:val="auto"/>
        </w:rPr>
      </w:pPr>
      <w:r>
        <w:rPr>
          <w:rFonts w:ascii="Arial" w:cs="Arial" w:eastAsia="Arial" w:hAnsi="Arial"/>
          <w:sz w:val="14"/>
          <w:szCs w:val="14"/>
          <w:color w:val="auto"/>
        </w:rPr>
        <w:t>All subsequent written and oral forward-looking statements attributable to the Company or the Guarantor or to persons acting on their behalf are expressly qualified in their entirety by reference to these risks and uncertainties. You should not place undue reliance on forward-looking statements. Each forward-looking statement speaks only as of the date of the particular statement, and we undertake no obligation to publicly update or revise any forward-looking statements except as required by law.</w:t>
      </w:r>
    </w:p>
    <w:p>
      <w:pPr>
        <w:spacing w:after="0" w:line="84"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0159"/>
          </w:cols>
          <w:pgMar w:left="300" w:top="385"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Risk Factors</w:t>
      </w:r>
    </w:p>
    <w:p>
      <w:pPr>
        <w:spacing w:after="0" w:line="164" w:lineRule="exact"/>
        <w:rPr>
          <w:sz w:val="20"/>
          <w:szCs w:val="20"/>
          <w:color w:val="auto"/>
        </w:rPr>
      </w:pPr>
    </w:p>
    <w:p>
      <w:pPr>
        <w:ind w:left="1360" w:right="259" w:firstLine="342"/>
        <w:spacing w:after="0"/>
        <w:rPr>
          <w:sz w:val="20"/>
          <w:szCs w:val="20"/>
          <w:color w:val="auto"/>
        </w:rPr>
      </w:pPr>
      <w:r>
        <w:rPr>
          <w:rFonts w:ascii="Arial" w:cs="Arial" w:eastAsia="Arial" w:hAnsi="Arial"/>
          <w:sz w:val="14"/>
          <w:szCs w:val="14"/>
          <w:color w:val="auto"/>
        </w:rPr>
        <w:t>Investing in the securities involves risk. You should carefully consider the risks described in the documents incorporated by reference in this prospectus, including the “Risk Factors” and “Management’s Discussion and Analysis of Financial Condition and Results of Operations” sections of the Guarantor’s Annual Report on Form 10-K for the fiscal year ended December 31, 2025 and the Guarantor’s Quarterly Report on Form 10-Q for the fiscal quarter ended March 31, 2026 before deciding whether to invest in the securities. These risks could cause the business, properties, assets, financial condition, results of operations, cash flows or prospects of the Company or the Guarantor to be materially adversely affected. Additional risks and uncertainties not currently known to us or that we currently deem immaterial may also adversely affect the business and operations of the Company or the Guarantor.</w:t>
      </w:r>
    </w:p>
    <w:p>
      <w:pPr>
        <w:spacing w:after="0" w:line="89"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159"/>
          </w:cols>
          <w:pgMar w:left="300" w:top="385"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Where You Can Find More Information</w:t>
      </w:r>
    </w:p>
    <w:p>
      <w:pPr>
        <w:spacing w:after="0" w:line="164" w:lineRule="exact"/>
        <w:rPr>
          <w:sz w:val="20"/>
          <w:szCs w:val="20"/>
          <w:color w:val="auto"/>
        </w:rPr>
      </w:pPr>
    </w:p>
    <w:p>
      <w:pPr>
        <w:ind w:left="1360" w:right="239" w:firstLine="342"/>
        <w:spacing w:after="0" w:line="251" w:lineRule="auto"/>
        <w:rPr>
          <w:sz w:val="20"/>
          <w:szCs w:val="20"/>
          <w:color w:val="auto"/>
        </w:rPr>
      </w:pPr>
      <w:r>
        <w:rPr>
          <w:rFonts w:ascii="Arial" w:cs="Arial" w:eastAsia="Arial" w:hAnsi="Arial"/>
          <w:sz w:val="14"/>
          <w:szCs w:val="14"/>
          <w:color w:val="auto"/>
        </w:rPr>
        <w:t>The Guarantor files annual, quarterly and current reports, proxy statements and other information with the SEC. You may read and download any materials the Guarantor files with the SEC over the Internet from several commercial document retrieval services, as well as at the SEC’s website at www.sec.gov.</w:t>
      </w:r>
    </w:p>
    <w:p>
      <w:pPr>
        <w:spacing w:after="0" w:line="134" w:lineRule="exact"/>
        <w:rPr>
          <w:sz w:val="20"/>
          <w:szCs w:val="20"/>
          <w:color w:val="auto"/>
        </w:rPr>
      </w:pPr>
    </w:p>
    <w:p>
      <w:pPr>
        <w:ind w:left="1360" w:right="419" w:firstLine="342"/>
        <w:spacing w:after="0" w:line="251" w:lineRule="auto"/>
        <w:rPr>
          <w:sz w:val="20"/>
          <w:szCs w:val="20"/>
          <w:color w:val="auto"/>
        </w:rPr>
      </w:pPr>
      <w:r>
        <w:rPr>
          <w:rFonts w:ascii="Arial" w:cs="Arial" w:eastAsia="Arial" w:hAnsi="Arial"/>
          <w:sz w:val="14"/>
          <w:szCs w:val="14"/>
          <w:color w:val="auto"/>
        </w:rPr>
        <w:t>In addition, the Guarantor makes its SEC filings available, free of charge through its Investor Relations website at www.investorcenter.slb.com, as soon as reasonably practicable after such material is filed with or furnished to the SEC. Copies are also available, without charge, from SLB Investor Relations, 5599 San Felipe, Houston, Texas 77056.</w:t>
      </w:r>
    </w:p>
    <w:p>
      <w:pPr>
        <w:spacing w:after="0" w:line="134" w:lineRule="exact"/>
        <w:rPr>
          <w:sz w:val="20"/>
          <w:szCs w:val="20"/>
          <w:color w:val="auto"/>
        </w:rPr>
      </w:pPr>
    </w:p>
    <w:p>
      <w:pPr>
        <w:jc w:val="both"/>
        <w:ind w:left="1360" w:right="419" w:firstLine="342"/>
        <w:spacing w:after="0" w:line="251" w:lineRule="auto"/>
        <w:rPr>
          <w:sz w:val="20"/>
          <w:szCs w:val="20"/>
          <w:color w:val="auto"/>
        </w:rPr>
      </w:pPr>
      <w:r>
        <w:rPr>
          <w:rFonts w:ascii="Arial" w:cs="Arial" w:eastAsia="Arial" w:hAnsi="Arial"/>
          <w:sz w:val="14"/>
          <w:szCs w:val="14"/>
          <w:color w:val="auto"/>
        </w:rPr>
        <w:t>Please note that any internet addresses provided in this prospectus are for informational purposes only and are not intended to be hyperlinks. Accordingly, no information found or provided at such internet addresses (including any information on or accessible through the Guarantor’s website) is intended or deemed to be incorporated by reference herein.</w:t>
      </w:r>
    </w:p>
    <w:p>
      <w:pPr>
        <w:spacing w:after="0" w:line="82"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159"/>
          </w:cols>
          <w:pgMar w:left="300" w:top="385"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Incorporation of Documents by Reference</w:t>
      </w:r>
    </w:p>
    <w:p>
      <w:pPr>
        <w:spacing w:after="0" w:line="164" w:lineRule="exact"/>
        <w:rPr>
          <w:sz w:val="20"/>
          <w:szCs w:val="20"/>
          <w:color w:val="auto"/>
        </w:rPr>
      </w:pPr>
    </w:p>
    <w:p>
      <w:pPr>
        <w:ind w:left="1360" w:right="259" w:firstLine="342"/>
        <w:spacing w:after="0" w:line="271" w:lineRule="auto"/>
        <w:rPr>
          <w:sz w:val="20"/>
          <w:szCs w:val="20"/>
          <w:color w:val="auto"/>
        </w:rPr>
      </w:pPr>
      <w:r>
        <w:rPr>
          <w:rFonts w:ascii="Arial" w:cs="Arial" w:eastAsia="Arial" w:hAnsi="Arial"/>
          <w:sz w:val="13"/>
          <w:szCs w:val="13"/>
          <w:color w:val="auto"/>
        </w:rPr>
        <w:t>The SEC allows us to incorporate information into this prospectus by reference, which means that we can disclose important information to you by referring you to another document that the Guarantor has filed separately with the SEC. The information incorporated by reference is deemed to be part of this prospectus, except for any information superseded by information contained directly in this prospectus. These documents contain important information about the SLB Group and its financial condition, business and results.</w:t>
      </w:r>
    </w:p>
    <w:p>
      <w:pPr>
        <w:spacing w:after="0" w:line="122" w:lineRule="exact"/>
        <w:rPr>
          <w:sz w:val="20"/>
          <w:szCs w:val="20"/>
          <w:color w:val="auto"/>
        </w:rPr>
      </w:pPr>
    </w:p>
    <w:p>
      <w:pPr>
        <w:ind w:left="1360" w:right="319" w:firstLine="342"/>
        <w:spacing w:after="0" w:line="243" w:lineRule="auto"/>
        <w:rPr>
          <w:sz w:val="20"/>
          <w:szCs w:val="20"/>
          <w:color w:val="auto"/>
        </w:rPr>
      </w:pPr>
      <w:r>
        <w:rPr>
          <w:rFonts w:ascii="Arial" w:cs="Arial" w:eastAsia="Arial" w:hAnsi="Arial"/>
          <w:sz w:val="14"/>
          <w:szCs w:val="14"/>
          <w:color w:val="auto"/>
        </w:rPr>
        <w:t>We are incorporating by reference into this prospectus the documents listed below and any documents subsequently filed by the Guarantor under Sections 13(a), 13(c), 14 or 15(d) of the Securities Exchange Act of 1934, as amended (the “Exchange Act”), on or after the date of this prospectus and prior to the termination of any offering shall be deemed to be incorporated by reference into this prospectus; except that we are not incorporating by reference any information furnished (but not filed) under Item 2.02 or Item 7.01 of any Current Report on Form 8-K, unless specifically noted below or in a prospectus supplement or pricing supplement:</w:t>
      </w:r>
    </w:p>
    <w:p>
      <w:pPr>
        <w:spacing w:after="0" w:line="66" w:lineRule="exact"/>
        <w:rPr>
          <w:sz w:val="20"/>
          <w:szCs w:val="20"/>
          <w:color w:val="auto"/>
        </w:rPr>
      </w:pPr>
    </w:p>
    <w:p>
      <w:pPr>
        <w:jc w:val="both"/>
        <w:ind w:left="2120" w:right="339" w:hanging="334"/>
        <w:spacing w:after="0" w:line="251" w:lineRule="auto"/>
        <w:tabs>
          <w:tab w:leader="none" w:pos="212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the Guarantor’s </w:t>
      </w:r>
      <w:hyperlink r:id="rId30">
        <w:r>
          <w:rPr>
            <w:rFonts w:ascii="Arial" w:cs="Arial" w:eastAsia="Arial" w:hAnsi="Arial"/>
            <w:sz w:val="14"/>
            <w:szCs w:val="14"/>
            <w:u w:val="single" w:color="auto"/>
            <w:color w:val="0000EE"/>
          </w:rPr>
          <w:t>Annual Report on Form 10-K for the fiscal year ended December 31, 2025</w:t>
        </w:r>
      </w:hyperlink>
      <w:r>
        <w:rPr>
          <w:rFonts w:ascii="Arial" w:cs="Arial" w:eastAsia="Arial" w:hAnsi="Arial"/>
          <w:sz w:val="14"/>
          <w:szCs w:val="14"/>
          <w:color w:val="auto"/>
        </w:rPr>
        <w:t xml:space="preserve">, as filed with the SEC on January 23, 2026 (including the portions of the Guarantor’s </w:t>
      </w:r>
      <w:hyperlink r:id="rId31">
        <w:r>
          <w:rPr>
            <w:rFonts w:ascii="Arial" w:cs="Arial" w:eastAsia="Arial" w:hAnsi="Arial"/>
            <w:sz w:val="14"/>
            <w:szCs w:val="14"/>
            <w:u w:val="single" w:color="auto"/>
            <w:color w:val="0000EE"/>
          </w:rPr>
          <w:t>proxy statement for the Guarantor’s 2026 annual meeting of shareholders</w:t>
        </w:r>
      </w:hyperlink>
      <w:r>
        <w:rPr>
          <w:rFonts w:ascii="Arial" w:cs="Arial" w:eastAsia="Arial" w:hAnsi="Arial"/>
          <w:sz w:val="14"/>
          <w:szCs w:val="14"/>
          <w:color w:val="auto"/>
        </w:rPr>
        <w:t xml:space="preserve"> incorporated by reference therein);</w:t>
      </w:r>
    </w:p>
    <w:p>
      <w:pPr>
        <w:spacing w:after="0" w:line="60" w:lineRule="exact"/>
        <w:rPr>
          <w:rFonts w:ascii="Arial" w:cs="Arial" w:eastAsia="Arial" w:hAnsi="Arial"/>
          <w:sz w:val="14"/>
          <w:szCs w:val="14"/>
          <w:color w:val="auto"/>
        </w:rPr>
      </w:pPr>
    </w:p>
    <w:p>
      <w:pPr>
        <w:ind w:left="2120" w:right="259" w:hanging="334"/>
        <w:spacing w:after="0" w:line="269" w:lineRule="auto"/>
        <w:tabs>
          <w:tab w:leader="none" w:pos="212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the Guarantor’s Quarterly Report on </w:t>
      </w:r>
      <w:hyperlink r:id="rId32">
        <w:r>
          <w:rPr>
            <w:rFonts w:ascii="Arial" w:cs="Arial" w:eastAsia="Arial" w:hAnsi="Arial"/>
            <w:sz w:val="14"/>
            <w:szCs w:val="14"/>
            <w:u w:val="single" w:color="auto"/>
            <w:color w:val="0000EE"/>
          </w:rPr>
          <w:t>Form 10-Q</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for the fiscal quarter ended March 31, 2026, as filed with the SEC on April 29, 2026; and</w:t>
      </w:r>
    </w:p>
    <w:p>
      <w:pPr>
        <w:spacing w:after="0" w:line="47" w:lineRule="exact"/>
        <w:rPr>
          <w:rFonts w:ascii="Arial" w:cs="Arial" w:eastAsia="Arial" w:hAnsi="Arial"/>
          <w:sz w:val="14"/>
          <w:szCs w:val="14"/>
          <w:color w:val="auto"/>
        </w:rPr>
      </w:pPr>
    </w:p>
    <w:p>
      <w:pPr>
        <w:ind w:left="2120" w:hanging="334"/>
        <w:spacing w:after="0"/>
        <w:tabs>
          <w:tab w:leader="none" w:pos="212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the Guarantor’s Current Report on Form 8-K as filed with the SEC on </w:t>
      </w:r>
      <w:hyperlink r:id="rId33">
        <w:r>
          <w:rPr>
            <w:rFonts w:ascii="Arial" w:cs="Arial" w:eastAsia="Arial" w:hAnsi="Arial"/>
            <w:sz w:val="14"/>
            <w:szCs w:val="14"/>
            <w:u w:val="single" w:color="auto"/>
            <w:color w:val="0000EE"/>
          </w:rPr>
          <w:t>April 8, 2026</w:t>
        </w:r>
      </w:hyperlink>
      <w:r>
        <w:rPr>
          <w:rFonts w:ascii="Arial" w:cs="Arial" w:eastAsia="Arial" w:hAnsi="Arial"/>
          <w:sz w:val="14"/>
          <w:szCs w:val="14"/>
          <w:color w:val="auto"/>
        </w:rPr>
        <w:t>.</w:t>
      </w:r>
    </w:p>
    <w:p>
      <w:pPr>
        <w:spacing w:after="0" w:line="164" w:lineRule="exact"/>
        <w:rPr>
          <w:rFonts w:ascii="Arial" w:cs="Arial" w:eastAsia="Arial" w:hAnsi="Arial"/>
          <w:sz w:val="14"/>
          <w:szCs w:val="14"/>
          <w:color w:val="auto"/>
        </w:rPr>
      </w:pPr>
    </w:p>
    <w:p>
      <w:pPr>
        <w:ind w:left="1360" w:right="239" w:firstLine="342"/>
        <w:spacing w:after="0" w:line="241" w:lineRule="auto"/>
        <w:rPr>
          <w:sz w:val="20"/>
          <w:szCs w:val="20"/>
          <w:color w:val="auto"/>
        </w:rPr>
      </w:pPr>
      <w:r>
        <w:rPr>
          <w:rFonts w:ascii="Arial" w:cs="Arial" w:eastAsia="Arial" w:hAnsi="Arial"/>
          <w:sz w:val="14"/>
          <w:szCs w:val="14"/>
          <w:color w:val="auto"/>
        </w:rPr>
        <w:t>Any statement contained in this prospectus and any accompanying prospectus or in a document incorporated or deemed to be incorporated by reference in this prospectus and any accompanying prospectus will be deemed to be modified or superseded for purposes of this prospectus to the extent that a statement contained in this prospectus and any accompanying prospectus or in any other document subsequently filed with the SEC that is or is deemed to be incorporated by reference in this prospectus and any accompanying prospectus modifies or supersedes such statement. No such statement so modified or superseded will be deemed, except as so modified or superseded, to constitute a part of this prospectus and any accompanying prospectus.</w:t>
      </w:r>
    </w:p>
    <w:p>
      <w:pPr>
        <w:spacing w:after="0" w:line="141" w:lineRule="exact"/>
        <w:rPr>
          <w:rFonts w:ascii="Arial" w:cs="Arial" w:eastAsia="Arial" w:hAnsi="Arial"/>
          <w:sz w:val="14"/>
          <w:szCs w:val="14"/>
          <w:color w:val="auto"/>
        </w:rPr>
      </w:pPr>
    </w:p>
    <w:p>
      <w:pPr>
        <w:jc w:val="both"/>
        <w:ind w:left="1360" w:right="279" w:firstLine="342"/>
        <w:spacing w:after="0" w:line="251" w:lineRule="auto"/>
        <w:rPr>
          <w:sz w:val="20"/>
          <w:szCs w:val="20"/>
          <w:color w:val="auto"/>
        </w:rPr>
      </w:pPr>
      <w:r>
        <w:rPr>
          <w:rFonts w:ascii="Arial" w:cs="Arial" w:eastAsia="Arial" w:hAnsi="Arial"/>
          <w:sz w:val="14"/>
          <w:szCs w:val="14"/>
          <w:color w:val="auto"/>
        </w:rPr>
        <w:t>If information in any of these incorporated documents conflicts with information in this prospectus you should rely on the most recent information. If information in an incorporated document conflicts with information in another incorporated document, you should rely on the information in the most recent incorporated document.</w:t>
      </w:r>
    </w:p>
    <w:p>
      <w:pPr>
        <w:spacing w:after="0" w:line="134" w:lineRule="exact"/>
        <w:rPr>
          <w:rFonts w:ascii="Arial" w:cs="Arial" w:eastAsia="Arial" w:hAnsi="Arial"/>
          <w:sz w:val="14"/>
          <w:szCs w:val="14"/>
          <w:color w:val="auto"/>
        </w:rPr>
      </w:pPr>
    </w:p>
    <w:p>
      <w:pPr>
        <w:ind w:left="1360" w:right="359" w:firstLine="342"/>
        <w:spacing w:after="0" w:line="251" w:lineRule="auto"/>
        <w:rPr>
          <w:sz w:val="20"/>
          <w:szCs w:val="20"/>
          <w:color w:val="auto"/>
        </w:rPr>
      </w:pPr>
      <w:r>
        <w:rPr>
          <w:rFonts w:ascii="Arial" w:cs="Arial" w:eastAsia="Arial" w:hAnsi="Arial"/>
          <w:sz w:val="14"/>
          <w:szCs w:val="14"/>
          <w:color w:val="auto"/>
        </w:rPr>
        <w:t>You may request a copy of any document that we incorporate by reference at no cost, excluding all exhibits to such incorporated documents unless we have specifically incorporated by reference such exhibits either in this prospectus or in the incorporated document, by making such a request in writing or by telephone to the following address:</w:t>
      </w:r>
    </w:p>
    <w:p>
      <w:pPr>
        <w:spacing w:after="0" w:line="51" w:lineRule="exact"/>
        <w:rPr>
          <w:rFonts w:ascii="Arial" w:cs="Arial" w:eastAsia="Arial" w:hAnsi="Arial"/>
          <w:sz w:val="14"/>
          <w:szCs w:val="14"/>
          <w:color w:val="auto"/>
        </w:rPr>
      </w:pPr>
    </w:p>
    <w:p>
      <w:pPr>
        <w:jc w:val="center"/>
        <w:ind w:right="-1120"/>
        <w:spacing w:after="0"/>
        <w:rPr>
          <w:sz w:val="20"/>
          <w:szCs w:val="20"/>
          <w:color w:val="auto"/>
        </w:rPr>
      </w:pPr>
      <w:r>
        <w:rPr>
          <w:rFonts w:ascii="Arial" w:cs="Arial" w:eastAsia="Arial" w:hAnsi="Arial"/>
          <w:sz w:val="14"/>
          <w:szCs w:val="14"/>
          <w:color w:val="auto"/>
        </w:rPr>
        <w:t>SLB N.V. (SLB Limited)</w:t>
      </w:r>
    </w:p>
    <w:p>
      <w:pPr>
        <w:spacing w:after="0" w:line="7" w:lineRule="exact"/>
        <w:rPr>
          <w:rFonts w:ascii="Arial" w:cs="Arial" w:eastAsia="Arial" w:hAnsi="Arial"/>
          <w:sz w:val="14"/>
          <w:szCs w:val="14"/>
          <w:color w:val="auto"/>
        </w:rPr>
      </w:pPr>
    </w:p>
    <w:p>
      <w:pPr>
        <w:jc w:val="center"/>
        <w:ind w:right="-1120"/>
        <w:spacing w:after="0"/>
        <w:rPr>
          <w:sz w:val="20"/>
          <w:szCs w:val="20"/>
          <w:color w:val="auto"/>
        </w:rPr>
      </w:pPr>
      <w:r>
        <w:rPr>
          <w:rFonts w:ascii="Arial" w:cs="Arial" w:eastAsia="Arial" w:hAnsi="Arial"/>
          <w:sz w:val="14"/>
          <w:szCs w:val="14"/>
          <w:color w:val="auto"/>
        </w:rPr>
        <w:t>5599 San Felipe</w:t>
      </w:r>
    </w:p>
    <w:p>
      <w:pPr>
        <w:jc w:val="center"/>
        <w:ind w:right="-1120"/>
        <w:spacing w:after="0" w:line="234" w:lineRule="auto"/>
        <w:rPr>
          <w:sz w:val="20"/>
          <w:szCs w:val="20"/>
          <w:color w:val="auto"/>
        </w:rPr>
      </w:pPr>
      <w:r>
        <w:rPr>
          <w:rFonts w:ascii="Arial" w:cs="Arial" w:eastAsia="Arial" w:hAnsi="Arial"/>
          <w:sz w:val="14"/>
          <w:szCs w:val="14"/>
          <w:color w:val="auto"/>
        </w:rPr>
        <w:t>Houston, Texas 77056</w:t>
      </w:r>
    </w:p>
    <w:p>
      <w:pPr>
        <w:jc w:val="center"/>
        <w:ind w:right="-1140"/>
        <w:spacing w:after="0" w:line="234" w:lineRule="auto"/>
        <w:rPr>
          <w:sz w:val="20"/>
          <w:szCs w:val="20"/>
          <w:color w:val="auto"/>
        </w:rPr>
      </w:pPr>
      <w:r>
        <w:rPr>
          <w:rFonts w:ascii="Arial" w:cs="Arial" w:eastAsia="Arial" w:hAnsi="Arial"/>
          <w:sz w:val="14"/>
          <w:szCs w:val="14"/>
          <w:color w:val="auto"/>
        </w:rPr>
        <w:t>(713) 375-3535</w:t>
      </w:r>
    </w:p>
    <w:p>
      <w:pPr>
        <w:spacing w:after="0" w:line="1" w:lineRule="exact"/>
        <w:rPr>
          <w:rFonts w:ascii="Arial" w:cs="Arial" w:eastAsia="Arial" w:hAnsi="Arial"/>
          <w:sz w:val="14"/>
          <w:szCs w:val="14"/>
          <w:color w:val="auto"/>
        </w:rPr>
      </w:pPr>
    </w:p>
    <w:p>
      <w:pPr>
        <w:jc w:val="center"/>
        <w:ind w:right="-1120"/>
        <w:spacing w:after="0"/>
        <w:rPr>
          <w:sz w:val="20"/>
          <w:szCs w:val="20"/>
          <w:color w:val="auto"/>
        </w:rPr>
      </w:pPr>
      <w:r>
        <w:rPr>
          <w:rFonts w:ascii="Arial" w:cs="Arial" w:eastAsia="Arial" w:hAnsi="Arial"/>
          <w:sz w:val="14"/>
          <w:szCs w:val="14"/>
          <w:color w:val="auto"/>
        </w:rPr>
        <w:t>Attention: Investor Relations</w:t>
      </w:r>
    </w:p>
    <w:p>
      <w:pPr>
        <w:spacing w:after="0" w:line="150" w:lineRule="exact"/>
        <w:rPr>
          <w:rFonts w:ascii="Arial" w:cs="Arial" w:eastAsia="Arial" w:hAnsi="Arial"/>
          <w:sz w:val="14"/>
          <w:szCs w:val="14"/>
          <w:color w:val="auto"/>
        </w:rPr>
      </w:pPr>
    </w:p>
    <w:p>
      <w:pPr>
        <w:ind w:left="1360" w:right="879" w:firstLine="342"/>
        <w:spacing w:after="0" w:line="269" w:lineRule="auto"/>
        <w:rPr>
          <w:sz w:val="20"/>
          <w:szCs w:val="20"/>
          <w:color w:val="auto"/>
        </w:rPr>
      </w:pPr>
      <w:r>
        <w:rPr>
          <w:rFonts w:ascii="Arial" w:cs="Arial" w:eastAsia="Arial" w:hAnsi="Arial"/>
          <w:sz w:val="14"/>
          <w:szCs w:val="14"/>
          <w:color w:val="auto"/>
        </w:rPr>
        <w:t>Except as provided above, no other information (including information on our website) is incorporated by reference into this prospectus.</w:t>
      </w:r>
    </w:p>
    <w:p>
      <w:pPr>
        <w:spacing w:after="0" w:line="69" w:lineRule="exact"/>
        <w:rPr>
          <w:rFonts w:ascii="Arial" w:cs="Arial" w:eastAsia="Arial" w:hAnsi="Arial"/>
          <w:sz w:val="14"/>
          <w:szCs w:val="14"/>
          <w:color w:val="auto"/>
        </w:rPr>
      </w:pPr>
    </w:p>
    <w:p>
      <w:pPr>
        <w:ind w:left="560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159"/>
          </w:cols>
          <w:pgMar w:left="300" w:top="385"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Use of Proceeds</w:t>
      </w:r>
    </w:p>
    <w:p>
      <w:pPr>
        <w:spacing w:after="0" w:line="164" w:lineRule="exact"/>
        <w:rPr>
          <w:sz w:val="20"/>
          <w:szCs w:val="20"/>
          <w:color w:val="auto"/>
        </w:rPr>
      </w:pPr>
    </w:p>
    <w:p>
      <w:pPr>
        <w:ind w:left="1360" w:right="259" w:firstLine="342"/>
        <w:spacing w:after="0" w:line="243" w:lineRule="auto"/>
        <w:rPr>
          <w:sz w:val="20"/>
          <w:szCs w:val="20"/>
          <w:color w:val="auto"/>
        </w:rPr>
      </w:pPr>
      <w:r>
        <w:rPr>
          <w:rFonts w:ascii="Arial" w:cs="Arial" w:eastAsia="Arial" w:hAnsi="Arial"/>
          <w:sz w:val="14"/>
          <w:szCs w:val="14"/>
          <w:color w:val="auto"/>
        </w:rPr>
        <w:t>Unless we otherwise state in a prospectus supplement or pricing supplement, we will use the net proceeds from the sale of the offered securities for general corporate purposes of the SLB Group. General corporate purposes may include repayment of debt, additions to working capital, capital expenditures, investments in subsidiaries of the Guarantor, possible acquisitions and the repurchase, redemption or retirement of securities, including the Guarantor’s common stock. The net proceeds may be temporarily invested or applied to repay short-term or revolving debt prior to use.</w:t>
      </w:r>
    </w:p>
    <w:p>
      <w:pPr>
        <w:spacing w:after="0" w:line="87"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0159"/>
          </w:cols>
          <w:pgMar w:left="300" w:top="385"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Description of Debt Securities</w:t>
      </w:r>
    </w:p>
    <w:p>
      <w:pPr>
        <w:spacing w:after="0" w:line="164" w:lineRule="exact"/>
        <w:rPr>
          <w:sz w:val="20"/>
          <w:szCs w:val="20"/>
          <w:color w:val="auto"/>
        </w:rPr>
      </w:pPr>
    </w:p>
    <w:p>
      <w:pPr>
        <w:ind w:left="1360" w:right="319" w:firstLine="342"/>
        <w:spacing w:after="0"/>
        <w:rPr>
          <w:sz w:val="20"/>
          <w:szCs w:val="20"/>
          <w:color w:val="auto"/>
        </w:rPr>
      </w:pPr>
      <w:r>
        <w:rPr>
          <w:rFonts w:ascii="Arial" w:cs="Arial" w:eastAsia="Arial" w:hAnsi="Arial"/>
          <w:sz w:val="14"/>
          <w:szCs w:val="14"/>
          <w:color w:val="auto"/>
        </w:rPr>
        <w:t>The following is a general description of the debt securities that the Company may offer and issue from time to time. The particular terms of the debt securities offered by any prospectus supplement and the extent, if any, to which the general provisions described below may apply to those securities will be described in the applicable prospectus supplement. As you read this section, please remember that the specific terms of a debt security as described in the applicable prospectus supplement will supplement and may modify or replace the general terms described in this section. If there are any differences between the applicable prospectus supplement and this prospectus, the applicable prospectus supplement will control. As a result, the statements we make in this section may not apply to the debt security you purchase.</w:t>
      </w:r>
    </w:p>
    <w:p>
      <w:pPr>
        <w:spacing w:after="0" w:line="142" w:lineRule="exact"/>
        <w:rPr>
          <w:sz w:val="20"/>
          <w:szCs w:val="20"/>
          <w:color w:val="auto"/>
        </w:rPr>
      </w:pPr>
    </w:p>
    <w:p>
      <w:pPr>
        <w:jc w:val="both"/>
        <w:ind w:left="1360" w:right="319" w:firstLine="342"/>
        <w:spacing w:after="0" w:line="251" w:lineRule="auto"/>
        <w:rPr>
          <w:sz w:val="20"/>
          <w:szCs w:val="20"/>
          <w:color w:val="auto"/>
        </w:rPr>
      </w:pPr>
      <w:r>
        <w:rPr>
          <w:rFonts w:ascii="Arial" w:cs="Arial" w:eastAsia="Arial" w:hAnsi="Arial"/>
          <w:sz w:val="14"/>
          <w:szCs w:val="14"/>
          <w:color w:val="auto"/>
        </w:rPr>
        <w:t>As used in this “Description of Debt Securities,” the terms “we,” “us” and “our” and similar expressions refer to the Company and not to any of its consolidated subsidiaries; and the term “Guarantor” refers to our parent company, SLB N.V. (SLB Limited), and not to any of its subsidiaries, in each case unless otherwise indicated or the context otherwise requires.</w:t>
      </w:r>
    </w:p>
    <w:p>
      <w:pPr>
        <w:spacing w:after="0" w:line="134" w:lineRule="exact"/>
        <w:rPr>
          <w:sz w:val="20"/>
          <w:szCs w:val="20"/>
          <w:color w:val="auto"/>
        </w:rPr>
      </w:pPr>
    </w:p>
    <w:p>
      <w:pPr>
        <w:ind w:left="1360" w:right="559" w:firstLine="342"/>
        <w:spacing w:after="0" w:line="269" w:lineRule="auto"/>
        <w:rPr>
          <w:sz w:val="20"/>
          <w:szCs w:val="20"/>
          <w:color w:val="auto"/>
        </w:rPr>
      </w:pPr>
      <w:r>
        <w:rPr>
          <w:rFonts w:ascii="Arial" w:cs="Arial" w:eastAsia="Arial" w:hAnsi="Arial"/>
          <w:sz w:val="14"/>
          <w:szCs w:val="14"/>
          <w:color w:val="auto"/>
        </w:rPr>
        <w:t>Certain capitalized terms used but not defined in this section have the respective meanings set forth in the indenture (as defined below).</w:t>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General</w:t>
      </w:r>
    </w:p>
    <w:p>
      <w:pPr>
        <w:spacing w:after="0" w:line="80" w:lineRule="exact"/>
        <w:rPr>
          <w:sz w:val="20"/>
          <w:szCs w:val="20"/>
          <w:color w:val="auto"/>
        </w:rPr>
      </w:pPr>
    </w:p>
    <w:p>
      <w:pPr>
        <w:ind w:left="1360" w:right="239" w:firstLine="342"/>
        <w:spacing w:after="0" w:line="238" w:lineRule="auto"/>
        <w:rPr>
          <w:sz w:val="20"/>
          <w:szCs w:val="20"/>
          <w:color w:val="auto"/>
        </w:rPr>
      </w:pPr>
      <w:r>
        <w:rPr>
          <w:rFonts w:ascii="Arial" w:cs="Arial" w:eastAsia="Arial" w:hAnsi="Arial"/>
          <w:sz w:val="14"/>
          <w:szCs w:val="14"/>
          <w:color w:val="auto"/>
        </w:rPr>
        <w:t>The debt securities that we may offer and issue will be senior debt securities that will be issued under an indenture, dated December 3, 2013, by and among us, SLB N.V. (SLB Limited) (formerly known as Schlumberger Limited), as guarantor, and The Bank of New York Mellon, as trustee, as amended by the second supplemental indenture dated June 26, 2020 and the fourth supplemental indenture, dated May 29, 2024 (the “indenture”). In addition, the indenture may be supplemented or amended as necessary to set forth the terms of the debt securities issued under the indenture. The Guarantor will fully and unconditionally guarantee the debt securities under a guarantee contained in the indenture (the “Guarantee”). You should read the indenture, including any amendments or supplements, carefully to fully understand the terms of the debt securities. The indenture has been filed as an exhibit to the registration statement of which this prospectus is a part. The indenture is subject to, and is governed by, the Trust Indenture Act of 1939, as amended (the “Trust Indenture Act”).</w:t>
      </w:r>
    </w:p>
    <w:p>
      <w:pPr>
        <w:spacing w:after="0" w:line="146" w:lineRule="exact"/>
        <w:rPr>
          <w:sz w:val="20"/>
          <w:szCs w:val="20"/>
          <w:color w:val="auto"/>
        </w:rPr>
      </w:pPr>
    </w:p>
    <w:p>
      <w:pPr>
        <w:ind w:left="1360" w:right="499" w:firstLine="342"/>
        <w:spacing w:after="0" w:line="269" w:lineRule="auto"/>
        <w:rPr>
          <w:sz w:val="20"/>
          <w:szCs w:val="20"/>
          <w:color w:val="auto"/>
        </w:rPr>
      </w:pPr>
      <w:r>
        <w:rPr>
          <w:rFonts w:ascii="Arial" w:cs="Arial" w:eastAsia="Arial" w:hAnsi="Arial"/>
          <w:sz w:val="14"/>
          <w:szCs w:val="14"/>
          <w:color w:val="auto"/>
        </w:rPr>
        <w:t>Any debt securities that we may issue will be our unsubordinated obligations. They will rank equally with each other and all of our other unsubordinated debt, unless otherwise indicated in the applicable prospectus supplement.</w:t>
      </w:r>
    </w:p>
    <w:p>
      <w:pPr>
        <w:spacing w:after="0" w:line="121" w:lineRule="exact"/>
        <w:rPr>
          <w:sz w:val="20"/>
          <w:szCs w:val="20"/>
          <w:color w:val="auto"/>
        </w:rPr>
      </w:pPr>
    </w:p>
    <w:p>
      <w:pPr>
        <w:ind w:left="1360" w:right="239" w:firstLine="342"/>
        <w:spacing w:after="0" w:line="241" w:lineRule="auto"/>
        <w:rPr>
          <w:sz w:val="20"/>
          <w:szCs w:val="20"/>
          <w:color w:val="auto"/>
        </w:rPr>
      </w:pPr>
      <w:r>
        <w:rPr>
          <w:rFonts w:ascii="Arial" w:cs="Arial" w:eastAsia="Arial" w:hAnsi="Arial"/>
          <w:sz w:val="14"/>
          <w:szCs w:val="14"/>
          <w:color w:val="auto"/>
        </w:rPr>
        <w:t>The indenture does not limit the amount of debt securities that can be issued thereunder and provides that debt securities of any series may be issued thereunder up to the aggregate principal amount that we may authorize from time to time. Unless otherwise provided in the applicable prospectus supplement, the indenture does not limit the amount of other indebtedness or securities that we may issue. We may issue debt securities of the same series at more than one time and, unless prohibited by the terms of the series, we may reopen a series for issuances of additional debt securities without the consent of the holders of the outstanding debt securities of that series. All debt securities issued as a series, including those issued pursuant to any reopening of a series, will vote together as a single class.</w:t>
      </w:r>
    </w:p>
    <w:p>
      <w:pPr>
        <w:spacing w:after="0" w:line="141" w:lineRule="exact"/>
        <w:rPr>
          <w:sz w:val="20"/>
          <w:szCs w:val="20"/>
          <w:color w:val="auto"/>
        </w:rPr>
      </w:pPr>
    </w:p>
    <w:p>
      <w:pPr>
        <w:ind w:left="1360" w:right="299" w:firstLine="342"/>
        <w:spacing w:after="0" w:line="269" w:lineRule="auto"/>
        <w:rPr>
          <w:sz w:val="20"/>
          <w:szCs w:val="20"/>
          <w:color w:val="auto"/>
        </w:rPr>
      </w:pPr>
      <w:r>
        <w:rPr>
          <w:rFonts w:ascii="Arial" w:cs="Arial" w:eastAsia="Arial" w:hAnsi="Arial"/>
          <w:sz w:val="14"/>
          <w:szCs w:val="14"/>
          <w:color w:val="auto"/>
        </w:rPr>
        <w:t>Reference is made to the prospectus supplement for the following and other possible terms of each series of the debt securities with respect to which this prospectus is being delivered:</w:t>
      </w:r>
    </w:p>
    <w:p>
      <w:pPr>
        <w:spacing w:after="0" w:line="48" w:lineRule="exact"/>
        <w:rPr>
          <w:sz w:val="20"/>
          <w:szCs w:val="20"/>
          <w:color w:val="auto"/>
        </w:rPr>
      </w:pPr>
    </w:p>
    <w:p>
      <w:pPr>
        <w:ind w:left="2120" w:hanging="334"/>
        <w:spacing w:after="0"/>
        <w:tabs>
          <w:tab w:leader="none" w:pos="2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title of the debt securities;</w:t>
      </w:r>
    </w:p>
    <w:p>
      <w:pPr>
        <w:spacing w:after="0" w:line="11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0159"/>
          </w:cols>
          <w:pgMar w:left="300" w:top="385"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2120" w:hanging="334"/>
        <w:spacing w:after="0"/>
        <w:tabs>
          <w:tab w:leader="none" w:pos="2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aggregate principal amount of the debt securities of the series to be issued;</w:t>
      </w:r>
    </w:p>
    <w:p>
      <w:pPr>
        <w:spacing w:after="0" w:line="90" w:lineRule="exact"/>
        <w:rPr>
          <w:rFonts w:ascii="Arial" w:cs="Arial" w:eastAsia="Arial" w:hAnsi="Arial"/>
          <w:sz w:val="14"/>
          <w:szCs w:val="14"/>
          <w:color w:val="auto"/>
        </w:rPr>
      </w:pPr>
    </w:p>
    <w:p>
      <w:pPr>
        <w:ind w:left="2120" w:right="339" w:hanging="334"/>
        <w:spacing w:after="0" w:line="251" w:lineRule="auto"/>
        <w:tabs>
          <w:tab w:leader="none" w:pos="2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any limit upon the aggregate principal amount of the debt securities of that series that may be authenticated and delivered under the indenture, except for debt securities authenticated and delivered upon registration of transfer of, or in exchange for or in lieu of, other debt securities of that series;</w:t>
      </w:r>
    </w:p>
    <w:p>
      <w:pPr>
        <w:spacing w:after="0" w:line="60" w:lineRule="exact"/>
        <w:rPr>
          <w:rFonts w:ascii="Arial" w:cs="Arial" w:eastAsia="Arial" w:hAnsi="Arial"/>
          <w:sz w:val="14"/>
          <w:szCs w:val="14"/>
          <w:color w:val="auto"/>
        </w:rPr>
      </w:pPr>
    </w:p>
    <w:p>
      <w:pPr>
        <w:ind w:left="2120" w:hanging="334"/>
        <w:spacing w:after="0"/>
        <w:tabs>
          <w:tab w:leader="none" w:pos="2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date or dates on which the principal and premium, if any, of the debt securities of the series is payable;</w:t>
      </w:r>
    </w:p>
    <w:p>
      <w:pPr>
        <w:spacing w:after="0" w:line="90" w:lineRule="exact"/>
        <w:rPr>
          <w:rFonts w:ascii="Arial" w:cs="Arial" w:eastAsia="Arial" w:hAnsi="Arial"/>
          <w:sz w:val="14"/>
          <w:szCs w:val="14"/>
          <w:color w:val="auto"/>
        </w:rPr>
      </w:pPr>
    </w:p>
    <w:p>
      <w:pPr>
        <w:ind w:left="2120" w:right="319" w:hanging="334"/>
        <w:spacing w:after="0" w:line="251" w:lineRule="auto"/>
        <w:tabs>
          <w:tab w:leader="none" w:pos="2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rate or rates, which may be fixed or variable, at which the debt securities of the series will bear interest or the manner of calculation of such rate or rates, if any, including any procedures to vary or reset such rate or rates, and the basis upon which interest will be calculated if other than that of a 360-day year of twelve 30-day months;</w:t>
      </w:r>
    </w:p>
    <w:p>
      <w:pPr>
        <w:spacing w:after="0" w:line="60" w:lineRule="exact"/>
        <w:rPr>
          <w:rFonts w:ascii="Arial" w:cs="Arial" w:eastAsia="Arial" w:hAnsi="Arial"/>
          <w:sz w:val="14"/>
          <w:szCs w:val="14"/>
          <w:color w:val="auto"/>
        </w:rPr>
      </w:pPr>
    </w:p>
    <w:p>
      <w:pPr>
        <w:ind w:left="2120" w:right="319" w:hanging="334"/>
        <w:spacing w:after="0" w:line="246" w:lineRule="auto"/>
        <w:tabs>
          <w:tab w:leader="none" w:pos="2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place or places where the principal of and interest, if any, on the debt securities of the series will be payable, where the debt securities of such series may be surrendered for registration of transfer or exchange and where notices and demands to or upon us with respect to the debt securities of such series and the indenture may be served, and the method of such payment, if by wire transfer, mail or other means if other than as set forth in the indenture;</w:t>
      </w:r>
    </w:p>
    <w:p>
      <w:pPr>
        <w:spacing w:after="0" w:line="63" w:lineRule="exact"/>
        <w:rPr>
          <w:rFonts w:ascii="Arial" w:cs="Arial" w:eastAsia="Arial" w:hAnsi="Arial"/>
          <w:sz w:val="14"/>
          <w:szCs w:val="14"/>
          <w:color w:val="auto"/>
        </w:rPr>
      </w:pPr>
    </w:p>
    <w:p>
      <w:pPr>
        <w:ind w:left="2120" w:right="539" w:hanging="334"/>
        <w:spacing w:after="0" w:line="251" w:lineRule="auto"/>
        <w:tabs>
          <w:tab w:leader="none" w:pos="2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date or dates from which such interest will accrue, the dates on which such interest will be payable or the manner of determination of such dates, and the record date for the determination of holders to whom interest is payable on any such dates;</w:t>
      </w:r>
    </w:p>
    <w:p>
      <w:pPr>
        <w:spacing w:after="0" w:line="60" w:lineRule="exact"/>
        <w:rPr>
          <w:rFonts w:ascii="Arial" w:cs="Arial" w:eastAsia="Arial" w:hAnsi="Arial"/>
          <w:sz w:val="14"/>
          <w:szCs w:val="14"/>
          <w:color w:val="auto"/>
        </w:rPr>
      </w:pPr>
    </w:p>
    <w:p>
      <w:pPr>
        <w:ind w:left="2120" w:right="799" w:hanging="334"/>
        <w:spacing w:after="0" w:line="269" w:lineRule="auto"/>
        <w:tabs>
          <w:tab w:leader="none" w:pos="2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any trustees, authenticating agents or paying agents with respect to such series, if different from those set forth in the indenture;</w:t>
      </w:r>
    </w:p>
    <w:p>
      <w:pPr>
        <w:spacing w:after="0" w:line="47" w:lineRule="exact"/>
        <w:rPr>
          <w:rFonts w:ascii="Arial" w:cs="Arial" w:eastAsia="Arial" w:hAnsi="Arial"/>
          <w:sz w:val="14"/>
          <w:szCs w:val="14"/>
          <w:color w:val="auto"/>
        </w:rPr>
      </w:pPr>
    </w:p>
    <w:p>
      <w:pPr>
        <w:ind w:left="2120" w:right="359" w:hanging="334"/>
        <w:spacing w:after="0" w:line="269" w:lineRule="auto"/>
        <w:tabs>
          <w:tab w:leader="none" w:pos="2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right, if any, to extend the interest payment periods or defer the payment of interest and the duration of such extension or deferral;</w:t>
      </w:r>
    </w:p>
    <w:p>
      <w:pPr>
        <w:spacing w:after="0" w:line="47" w:lineRule="exact"/>
        <w:rPr>
          <w:rFonts w:ascii="Arial" w:cs="Arial" w:eastAsia="Arial" w:hAnsi="Arial"/>
          <w:sz w:val="14"/>
          <w:szCs w:val="14"/>
          <w:color w:val="auto"/>
        </w:rPr>
      </w:pPr>
    </w:p>
    <w:p>
      <w:pPr>
        <w:ind w:left="2120" w:right="279" w:hanging="334"/>
        <w:spacing w:after="0" w:line="269" w:lineRule="auto"/>
        <w:tabs>
          <w:tab w:leader="none" w:pos="2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period or periods within which, the price or prices at which and the terms and conditions upon which, debt securities of the series may be redeemed by us, in whole or in part, at our option;</w:t>
      </w:r>
    </w:p>
    <w:p>
      <w:pPr>
        <w:spacing w:after="0" w:line="47" w:lineRule="exact"/>
        <w:rPr>
          <w:rFonts w:ascii="Arial" w:cs="Arial" w:eastAsia="Arial" w:hAnsi="Arial"/>
          <w:sz w:val="14"/>
          <w:szCs w:val="14"/>
          <w:color w:val="auto"/>
        </w:rPr>
      </w:pPr>
    </w:p>
    <w:p>
      <w:pPr>
        <w:ind w:left="2120" w:right="519" w:hanging="334"/>
        <w:spacing w:after="0" w:line="271" w:lineRule="auto"/>
        <w:tabs>
          <w:tab w:leader="none" w:pos="212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obligation, if any, to redeem, purchase or repay debt securities of the series pursuant to any sinking fund or analogous provisions, including payments made in cash in anticipation of future sinking fund obligations, or at the option of a holder thereof and the period or periods within which, the price or prices at which, and the terms and conditions upon which, debt securities of the series will be redeemed, purchased or repaid, in whole or in part, pursuant to such obligation;</w:t>
      </w:r>
    </w:p>
    <w:p>
      <w:pPr>
        <w:spacing w:after="0" w:line="48" w:lineRule="exact"/>
        <w:rPr>
          <w:rFonts w:ascii="Arial" w:cs="Arial" w:eastAsia="Arial" w:hAnsi="Arial"/>
          <w:sz w:val="13"/>
          <w:szCs w:val="13"/>
          <w:color w:val="auto"/>
        </w:rPr>
      </w:pPr>
    </w:p>
    <w:p>
      <w:pPr>
        <w:ind w:left="2120" w:hanging="334"/>
        <w:spacing w:after="0"/>
        <w:tabs>
          <w:tab w:leader="none" w:pos="2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form of the debt securities of the series including the form of the trustee’s certificate of authentication for such series;</w:t>
      </w:r>
    </w:p>
    <w:p>
      <w:pPr>
        <w:spacing w:after="0" w:line="90" w:lineRule="exact"/>
        <w:rPr>
          <w:rFonts w:ascii="Arial" w:cs="Arial" w:eastAsia="Arial" w:hAnsi="Arial"/>
          <w:sz w:val="14"/>
          <w:szCs w:val="14"/>
          <w:color w:val="auto"/>
        </w:rPr>
      </w:pPr>
    </w:p>
    <w:p>
      <w:pPr>
        <w:ind w:left="2120" w:right="459" w:hanging="334"/>
        <w:spacing w:after="0" w:line="269" w:lineRule="auto"/>
        <w:tabs>
          <w:tab w:leader="none" w:pos="2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if other than denominations of $2,000 or integral multiples of $1,000 in excess thereof, the denominations in which the debt securities of the series will be issuable;</w:t>
      </w:r>
    </w:p>
    <w:p>
      <w:pPr>
        <w:spacing w:after="0" w:line="47" w:lineRule="exact"/>
        <w:rPr>
          <w:rFonts w:ascii="Arial" w:cs="Arial" w:eastAsia="Arial" w:hAnsi="Arial"/>
          <w:sz w:val="14"/>
          <w:szCs w:val="14"/>
          <w:color w:val="auto"/>
        </w:rPr>
      </w:pPr>
    </w:p>
    <w:p>
      <w:pPr>
        <w:ind w:left="2120" w:right="399" w:hanging="334"/>
        <w:spacing w:after="0" w:line="269" w:lineRule="auto"/>
        <w:tabs>
          <w:tab w:leader="none" w:pos="2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currency or currencies in which payment of the principal of, premium, if any, and interest on, debt securities of the series will be payable;</w:t>
      </w:r>
    </w:p>
    <w:p>
      <w:pPr>
        <w:spacing w:after="0" w:line="47" w:lineRule="exact"/>
        <w:rPr>
          <w:rFonts w:ascii="Arial" w:cs="Arial" w:eastAsia="Arial" w:hAnsi="Arial"/>
          <w:sz w:val="14"/>
          <w:szCs w:val="14"/>
          <w:color w:val="auto"/>
        </w:rPr>
      </w:pPr>
    </w:p>
    <w:p>
      <w:pPr>
        <w:ind w:left="2120" w:right="519" w:hanging="334"/>
        <w:spacing w:after="0" w:line="269" w:lineRule="auto"/>
        <w:tabs>
          <w:tab w:leader="none" w:pos="2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if other than the principal amount thereof, the portion of the principal amount of the debt securities of the series that will be payable upon declaration of acceleration of the maturity thereof;</w:t>
      </w:r>
    </w:p>
    <w:p>
      <w:pPr>
        <w:spacing w:after="0" w:line="47" w:lineRule="exact"/>
        <w:rPr>
          <w:rFonts w:ascii="Arial" w:cs="Arial" w:eastAsia="Arial" w:hAnsi="Arial"/>
          <w:sz w:val="14"/>
          <w:szCs w:val="14"/>
          <w:color w:val="auto"/>
        </w:rPr>
      </w:pPr>
    </w:p>
    <w:p>
      <w:pPr>
        <w:ind w:left="2120" w:hanging="334"/>
        <w:spacing w:after="0"/>
        <w:tabs>
          <w:tab w:leader="none" w:pos="2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terms of any repurchase or remarketing rights;</w:t>
      </w:r>
    </w:p>
    <w:p>
      <w:pPr>
        <w:spacing w:after="0" w:line="90" w:lineRule="exact"/>
        <w:rPr>
          <w:rFonts w:ascii="Arial" w:cs="Arial" w:eastAsia="Arial" w:hAnsi="Arial"/>
          <w:sz w:val="14"/>
          <w:szCs w:val="14"/>
          <w:color w:val="auto"/>
        </w:rPr>
      </w:pPr>
    </w:p>
    <w:p>
      <w:pPr>
        <w:ind w:left="2120" w:right="559" w:hanging="334"/>
        <w:spacing w:after="0" w:line="269" w:lineRule="auto"/>
        <w:tabs>
          <w:tab w:leader="none" w:pos="2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if the debt securities of the series will be issued in whole or in part in the form of a global security or securities, the type of global security to be issued; the terms and conditions, if</w:t>
      </w:r>
    </w:p>
    <w:p>
      <w:pPr>
        <w:spacing w:after="0" w:line="6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0159"/>
          </w:cols>
          <w:pgMar w:left="300" w:top="385"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2140" w:right="259"/>
        <w:spacing w:after="0" w:line="246" w:lineRule="auto"/>
        <w:rPr>
          <w:sz w:val="20"/>
          <w:szCs w:val="20"/>
          <w:color w:val="auto"/>
        </w:rPr>
      </w:pPr>
      <w:r>
        <w:rPr>
          <w:rFonts w:ascii="Arial" w:cs="Arial" w:eastAsia="Arial" w:hAnsi="Arial"/>
          <w:sz w:val="14"/>
          <w:szCs w:val="14"/>
          <w:color w:val="auto"/>
        </w:rPr>
        <w:t>different from those contained in the indenture, upon which such global security or securities may be exchanged in whole or in part for other individual securities in definitive registered form; the depositary for such global security or securities; and the form of any legend or legends to be borne by any such global security or securities in addition to or in lieu of the legends referred to in the indenture;</w:t>
      </w:r>
    </w:p>
    <w:p>
      <w:pPr>
        <w:spacing w:after="0" w:line="63" w:lineRule="exact"/>
        <w:rPr>
          <w:sz w:val="20"/>
          <w:szCs w:val="20"/>
          <w:color w:val="auto"/>
        </w:rPr>
      </w:pPr>
    </w:p>
    <w:p>
      <w:pPr>
        <w:ind w:left="2120" w:right="259" w:hanging="334"/>
        <w:spacing w:after="0" w:line="246" w:lineRule="auto"/>
        <w:tabs>
          <w:tab w:leader="none" w:pos="2120" w:val="left"/>
        </w:tabs>
        <w:numPr>
          <w:ilvl w:val="0"/>
          <w:numId w:val="8"/>
        </w:numPr>
        <w:rPr>
          <w:rFonts w:ascii="Arial" w:cs="Arial" w:eastAsia="Arial" w:hAnsi="Arial"/>
          <w:sz w:val="14"/>
          <w:szCs w:val="14"/>
          <w:color w:val="auto"/>
        </w:rPr>
      </w:pPr>
      <w:r>
        <w:rPr>
          <w:rFonts w:ascii="Arial" w:cs="Arial" w:eastAsia="Arial" w:hAnsi="Arial"/>
          <w:sz w:val="14"/>
          <w:szCs w:val="14"/>
          <w:color w:val="auto"/>
        </w:rPr>
        <w:t>any additional restrictive covenants or events of default that will apply to the debt securities of the series, or any changes to the restrictive covenants or events of default set forth in the indenture that will apply to the debt securities of the series, which may consist of establishing different terms or provisions from those set forth in the indenture or eliminating any such restrictive covenant or event of default with respect to the debt securities of the series;</w:t>
      </w:r>
    </w:p>
    <w:p>
      <w:pPr>
        <w:spacing w:after="0" w:line="63" w:lineRule="exact"/>
        <w:rPr>
          <w:rFonts w:ascii="Arial" w:cs="Arial" w:eastAsia="Arial" w:hAnsi="Arial"/>
          <w:sz w:val="14"/>
          <w:szCs w:val="14"/>
          <w:color w:val="auto"/>
        </w:rPr>
      </w:pPr>
    </w:p>
    <w:p>
      <w:pPr>
        <w:ind w:left="2120" w:hanging="334"/>
        <w:spacing w:after="0"/>
        <w:tabs>
          <w:tab w:leader="none" w:pos="2120" w:val="left"/>
        </w:tabs>
        <w:numPr>
          <w:ilvl w:val="0"/>
          <w:numId w:val="8"/>
        </w:numPr>
        <w:rPr>
          <w:rFonts w:ascii="Arial" w:cs="Arial" w:eastAsia="Arial" w:hAnsi="Arial"/>
          <w:sz w:val="14"/>
          <w:szCs w:val="14"/>
          <w:color w:val="auto"/>
        </w:rPr>
      </w:pPr>
      <w:r>
        <w:rPr>
          <w:rFonts w:ascii="Arial" w:cs="Arial" w:eastAsia="Arial" w:hAnsi="Arial"/>
          <w:sz w:val="14"/>
          <w:szCs w:val="14"/>
          <w:color w:val="auto"/>
        </w:rPr>
        <w:t>any provisions granting special rights to holders when a specified event occurs;</w:t>
      </w:r>
    </w:p>
    <w:p>
      <w:pPr>
        <w:spacing w:after="0" w:line="90" w:lineRule="exact"/>
        <w:rPr>
          <w:rFonts w:ascii="Arial" w:cs="Arial" w:eastAsia="Arial" w:hAnsi="Arial"/>
          <w:sz w:val="14"/>
          <w:szCs w:val="14"/>
          <w:color w:val="auto"/>
        </w:rPr>
      </w:pPr>
    </w:p>
    <w:p>
      <w:pPr>
        <w:ind w:left="2120" w:right="519" w:hanging="334"/>
        <w:spacing w:after="0" w:line="269" w:lineRule="auto"/>
        <w:tabs>
          <w:tab w:leader="none" w:pos="21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if the amount of principal or any premium or interest on debt securities of a series may be determined with reference to an index or pursuant to a formula, the manner in which such amounts will be determined;</w:t>
      </w:r>
    </w:p>
    <w:p>
      <w:pPr>
        <w:spacing w:after="0" w:line="47" w:lineRule="exact"/>
        <w:rPr>
          <w:rFonts w:ascii="Arial" w:cs="Arial" w:eastAsia="Arial" w:hAnsi="Arial"/>
          <w:sz w:val="14"/>
          <w:szCs w:val="14"/>
          <w:color w:val="auto"/>
        </w:rPr>
      </w:pPr>
    </w:p>
    <w:p>
      <w:pPr>
        <w:ind w:left="2120" w:hanging="334"/>
        <w:spacing w:after="0"/>
        <w:tabs>
          <w:tab w:leader="none" w:pos="2120" w:val="left"/>
        </w:tabs>
        <w:numPr>
          <w:ilvl w:val="0"/>
          <w:numId w:val="8"/>
        </w:numPr>
        <w:rPr>
          <w:rFonts w:ascii="Arial" w:cs="Arial" w:eastAsia="Arial" w:hAnsi="Arial"/>
          <w:sz w:val="14"/>
          <w:szCs w:val="14"/>
          <w:color w:val="auto"/>
        </w:rPr>
      </w:pPr>
      <w:r>
        <w:rPr>
          <w:rFonts w:ascii="Arial" w:cs="Arial" w:eastAsia="Arial" w:hAnsi="Arial"/>
          <w:sz w:val="14"/>
          <w:szCs w:val="14"/>
          <w:color w:val="auto"/>
        </w:rPr>
        <w:t>any special tax implications of the debt securities, including provisions for original issue discount securities, if offered;</w:t>
      </w:r>
    </w:p>
    <w:p>
      <w:pPr>
        <w:spacing w:after="0" w:line="90" w:lineRule="exact"/>
        <w:rPr>
          <w:rFonts w:ascii="Arial" w:cs="Arial" w:eastAsia="Arial" w:hAnsi="Arial"/>
          <w:sz w:val="14"/>
          <w:szCs w:val="14"/>
          <w:color w:val="auto"/>
        </w:rPr>
      </w:pPr>
    </w:p>
    <w:p>
      <w:pPr>
        <w:ind w:left="2120" w:right="679" w:hanging="334"/>
        <w:spacing w:after="0" w:line="269" w:lineRule="auto"/>
        <w:tabs>
          <w:tab w:leader="none" w:pos="2120" w:val="left"/>
        </w:tabs>
        <w:numPr>
          <w:ilvl w:val="0"/>
          <w:numId w:val="8"/>
        </w:numPr>
        <w:rPr>
          <w:rFonts w:ascii="Arial" w:cs="Arial" w:eastAsia="Arial" w:hAnsi="Arial"/>
          <w:sz w:val="14"/>
          <w:szCs w:val="14"/>
          <w:color w:val="auto"/>
        </w:rPr>
      </w:pPr>
      <w:r>
        <w:rPr>
          <w:rFonts w:ascii="Arial" w:cs="Arial" w:eastAsia="Arial" w:hAnsi="Arial"/>
          <w:sz w:val="14"/>
          <w:szCs w:val="14"/>
          <w:color w:val="auto"/>
        </w:rPr>
        <w:t>whether and upon what terms debt securities of a series may be defeased if different from the provisions set forth in the indenture;</w:t>
      </w:r>
    </w:p>
    <w:p>
      <w:pPr>
        <w:spacing w:after="0" w:line="47" w:lineRule="exact"/>
        <w:rPr>
          <w:rFonts w:ascii="Arial" w:cs="Arial" w:eastAsia="Arial" w:hAnsi="Arial"/>
          <w:sz w:val="14"/>
          <w:szCs w:val="14"/>
          <w:color w:val="auto"/>
        </w:rPr>
      </w:pPr>
    </w:p>
    <w:p>
      <w:pPr>
        <w:ind w:left="2120" w:right="619" w:hanging="334"/>
        <w:spacing w:after="0" w:line="308" w:lineRule="auto"/>
        <w:tabs>
          <w:tab w:leader="none" w:pos="2120" w:val="left"/>
        </w:tabs>
        <w:numPr>
          <w:ilvl w:val="0"/>
          <w:numId w:val="8"/>
        </w:numPr>
        <w:rPr>
          <w:rFonts w:ascii="Arial" w:cs="Arial" w:eastAsia="Arial" w:hAnsi="Arial"/>
          <w:sz w:val="13"/>
          <w:szCs w:val="13"/>
          <w:color w:val="auto"/>
        </w:rPr>
      </w:pPr>
      <w:r>
        <w:rPr>
          <w:rFonts w:ascii="Arial" w:cs="Arial" w:eastAsia="Arial" w:hAnsi="Arial"/>
          <w:sz w:val="13"/>
          <w:szCs w:val="13"/>
          <w:color w:val="auto"/>
        </w:rPr>
        <w:t>whether the debt securities of the series will be issued as unrestricted securities or restricted securities, and, if issued as restricted securities, the rule or regulation promulgated under the Securities Act in reliance on which they will be sold;</w:t>
      </w:r>
    </w:p>
    <w:p>
      <w:pPr>
        <w:spacing w:after="0" w:line="25" w:lineRule="exact"/>
        <w:rPr>
          <w:rFonts w:ascii="Arial" w:cs="Arial" w:eastAsia="Arial" w:hAnsi="Arial"/>
          <w:sz w:val="13"/>
          <w:szCs w:val="13"/>
          <w:color w:val="auto"/>
        </w:rPr>
      </w:pPr>
    </w:p>
    <w:p>
      <w:pPr>
        <w:ind w:left="2120" w:hanging="334"/>
        <w:spacing w:after="0"/>
        <w:tabs>
          <w:tab w:leader="none" w:pos="2120" w:val="left"/>
        </w:tabs>
        <w:numPr>
          <w:ilvl w:val="0"/>
          <w:numId w:val="8"/>
        </w:numPr>
        <w:rPr>
          <w:rFonts w:ascii="Arial" w:cs="Arial" w:eastAsia="Arial" w:hAnsi="Arial"/>
          <w:sz w:val="14"/>
          <w:szCs w:val="14"/>
          <w:color w:val="auto"/>
        </w:rPr>
      </w:pPr>
      <w:r>
        <w:rPr>
          <w:rFonts w:ascii="Arial" w:cs="Arial" w:eastAsia="Arial" w:hAnsi="Arial"/>
          <w:sz w:val="14"/>
          <w:szCs w:val="14"/>
          <w:color w:val="auto"/>
        </w:rPr>
        <w:t>any guarantees on the debt securities of the series, if different from the provisions set forth in the indenture;</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provisions, if any, relating to any security provided for the debt securities of the series;</w:t>
      </w:r>
    </w:p>
    <w:p>
      <w:pPr>
        <w:spacing w:after="0" w:line="90" w:lineRule="exact"/>
        <w:rPr>
          <w:rFonts w:ascii="Arial" w:cs="Arial" w:eastAsia="Arial" w:hAnsi="Arial"/>
          <w:sz w:val="14"/>
          <w:szCs w:val="14"/>
          <w:color w:val="auto"/>
        </w:rPr>
      </w:pPr>
    </w:p>
    <w:p>
      <w:pPr>
        <w:ind w:left="2120" w:right="699" w:hanging="334"/>
        <w:spacing w:after="0" w:line="269" w:lineRule="auto"/>
        <w:tabs>
          <w:tab w:leader="none" w:pos="2120" w:val="left"/>
        </w:tabs>
        <w:numPr>
          <w:ilvl w:val="0"/>
          <w:numId w:val="8"/>
        </w:numPr>
        <w:rPr>
          <w:rFonts w:ascii="Arial" w:cs="Arial" w:eastAsia="Arial" w:hAnsi="Arial"/>
          <w:sz w:val="14"/>
          <w:szCs w:val="14"/>
          <w:color w:val="auto"/>
        </w:rPr>
      </w:pPr>
      <w:r>
        <w:rPr>
          <w:rFonts w:ascii="Arial" w:cs="Arial" w:eastAsia="Arial" w:hAnsi="Arial"/>
          <w:sz w:val="14"/>
          <w:szCs w:val="14"/>
          <w:color w:val="auto"/>
        </w:rPr>
        <w:t>any depositaries, interest rate calculation agents, exchange rate calculation agents or other agents with respect to debt securities of such series if other than those appointed in the indenture;</w:t>
      </w:r>
    </w:p>
    <w:p>
      <w:pPr>
        <w:spacing w:after="0" w:line="47" w:lineRule="exact"/>
        <w:rPr>
          <w:rFonts w:ascii="Arial" w:cs="Arial" w:eastAsia="Arial" w:hAnsi="Arial"/>
          <w:sz w:val="14"/>
          <w:szCs w:val="14"/>
          <w:color w:val="auto"/>
        </w:rPr>
      </w:pPr>
    </w:p>
    <w:p>
      <w:pPr>
        <w:ind w:left="2120" w:right="319" w:hanging="334"/>
        <w:spacing w:after="0" w:line="241" w:lineRule="auto"/>
        <w:tabs>
          <w:tab w:leader="none" w:pos="2120" w:val="left"/>
        </w:tabs>
        <w:numPr>
          <w:ilvl w:val="0"/>
          <w:numId w:val="8"/>
        </w:numPr>
        <w:rPr>
          <w:rFonts w:ascii="Arial" w:cs="Arial" w:eastAsia="Arial" w:hAnsi="Arial"/>
          <w:sz w:val="14"/>
          <w:szCs w:val="14"/>
          <w:color w:val="auto"/>
        </w:rPr>
      </w:pPr>
      <w:r>
        <w:rPr>
          <w:rFonts w:ascii="Arial" w:cs="Arial" w:eastAsia="Arial" w:hAnsi="Arial"/>
          <w:sz w:val="14"/>
          <w:szCs w:val="14"/>
          <w:color w:val="auto"/>
        </w:rPr>
        <w:t>whether the debt securities of the series will be convertible into or exchangeable for other debt securities, common shares or other securities of any kind of the Company or another obligor, and, if so, the terms and conditions upon which such debt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our option, the conversion or exchange period, and any other provision in addition to or in lieu of those described herein;</w:t>
      </w:r>
    </w:p>
    <w:p>
      <w:pPr>
        <w:spacing w:after="0" w:line="67" w:lineRule="exact"/>
        <w:rPr>
          <w:rFonts w:ascii="Arial" w:cs="Arial" w:eastAsia="Arial" w:hAnsi="Arial"/>
          <w:sz w:val="14"/>
          <w:szCs w:val="14"/>
          <w:color w:val="auto"/>
        </w:rPr>
      </w:pPr>
    </w:p>
    <w:p>
      <w:pPr>
        <w:ind w:left="2120" w:right="319" w:hanging="334"/>
        <w:spacing w:after="0" w:line="251" w:lineRule="auto"/>
        <w:tabs>
          <w:tab w:leader="none" w:pos="2120" w:val="left"/>
        </w:tabs>
        <w:numPr>
          <w:ilvl w:val="0"/>
          <w:numId w:val="8"/>
        </w:numPr>
        <w:rPr>
          <w:rFonts w:ascii="Arial" w:cs="Arial" w:eastAsia="Arial" w:hAnsi="Arial"/>
          <w:sz w:val="14"/>
          <w:szCs w:val="14"/>
          <w:color w:val="auto"/>
        </w:rPr>
      </w:pPr>
      <w:r>
        <w:rPr>
          <w:rFonts w:ascii="Arial" w:cs="Arial" w:eastAsia="Arial" w:hAnsi="Arial"/>
          <w:sz w:val="14"/>
          <w:szCs w:val="14"/>
          <w:color w:val="auto"/>
        </w:rPr>
        <w:t>any and all additional, eliminated or changed terms that will apply to the debt securities of the series, including any terms that may be required by or advisable under U.S. laws or regulations, including the Securities Act and the rules and regulations promulgated thereunder, or advisable in connection with the marketing of debt securities of that series; and</w:t>
      </w:r>
    </w:p>
    <w:p>
      <w:pPr>
        <w:spacing w:after="0" w:line="60" w:lineRule="exact"/>
        <w:rPr>
          <w:rFonts w:ascii="Arial" w:cs="Arial" w:eastAsia="Arial" w:hAnsi="Arial"/>
          <w:sz w:val="14"/>
          <w:szCs w:val="14"/>
          <w:color w:val="auto"/>
        </w:rPr>
      </w:pPr>
    </w:p>
    <w:p>
      <w:pPr>
        <w:ind w:left="2120" w:hanging="334"/>
        <w:spacing w:after="0"/>
        <w:tabs>
          <w:tab w:leader="none" w:pos="2120" w:val="left"/>
        </w:tabs>
        <w:numPr>
          <w:ilvl w:val="0"/>
          <w:numId w:val="8"/>
        </w:numPr>
        <w:rPr>
          <w:rFonts w:ascii="Arial" w:cs="Arial" w:eastAsia="Arial" w:hAnsi="Arial"/>
          <w:sz w:val="14"/>
          <w:szCs w:val="14"/>
          <w:color w:val="auto"/>
        </w:rPr>
      </w:pPr>
      <w:r>
        <w:rPr>
          <w:rFonts w:ascii="Arial" w:cs="Arial" w:eastAsia="Arial" w:hAnsi="Arial"/>
          <w:sz w:val="14"/>
          <w:szCs w:val="14"/>
          <w:color w:val="auto"/>
        </w:rPr>
        <w:t>with regard to the debt securities of any series that do not bear interest, the dates for certain required reports to the trustee.</w:t>
      </w:r>
    </w:p>
    <w:p>
      <w:pPr>
        <w:spacing w:after="0" w:line="164" w:lineRule="exact"/>
        <w:rPr>
          <w:sz w:val="20"/>
          <w:szCs w:val="20"/>
          <w:color w:val="auto"/>
        </w:rPr>
      </w:pPr>
    </w:p>
    <w:p>
      <w:pPr>
        <w:ind w:left="1360" w:right="379" w:firstLine="342"/>
        <w:spacing w:after="0" w:line="251" w:lineRule="auto"/>
        <w:rPr>
          <w:sz w:val="20"/>
          <w:szCs w:val="20"/>
          <w:color w:val="auto"/>
        </w:rPr>
      </w:pPr>
      <w:r>
        <w:rPr>
          <w:rFonts w:ascii="Arial" w:cs="Arial" w:eastAsia="Arial" w:hAnsi="Arial"/>
          <w:sz w:val="14"/>
          <w:szCs w:val="14"/>
          <w:color w:val="auto"/>
        </w:rPr>
        <w:t>We will comply with Section 14(e) under the Exchange Act, to the extent applicable, and with any other tender offer rules under the Exchange Act that may then be applicable, in connection with any obligation to purchase debt securities at the option of the holders thereof. Any such obligation applicable to a series of debt securities will be described in the prospectus supplement relating thereto.</w:t>
      </w:r>
    </w:p>
    <w:p>
      <w:pPr>
        <w:spacing w:after="0" w:line="8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0159"/>
          </w:cols>
          <w:pgMar w:left="300" w:top="385"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right="699" w:firstLine="342"/>
        <w:spacing w:after="0" w:line="251" w:lineRule="auto"/>
        <w:rPr>
          <w:sz w:val="20"/>
          <w:szCs w:val="20"/>
          <w:color w:val="auto"/>
        </w:rPr>
      </w:pPr>
      <w:r>
        <w:rPr>
          <w:rFonts w:ascii="Arial" w:cs="Arial" w:eastAsia="Arial" w:hAnsi="Arial"/>
          <w:sz w:val="14"/>
          <w:szCs w:val="14"/>
          <w:color w:val="auto"/>
        </w:rPr>
        <w:t>Unless otherwise described in a prospectus supplement relating to any debt securities, there are no covenants or provisions contained in the indenture that may afford the holders of debt securities protection in the event that we enter into a highly leveraged transaction.</w:t>
      </w:r>
    </w:p>
    <w:p>
      <w:pPr>
        <w:spacing w:after="0" w:line="134" w:lineRule="exact"/>
        <w:rPr>
          <w:sz w:val="20"/>
          <w:szCs w:val="20"/>
          <w:color w:val="auto"/>
        </w:rPr>
      </w:pPr>
    </w:p>
    <w:p>
      <w:pPr>
        <w:ind w:left="1360" w:right="699" w:firstLine="342"/>
        <w:spacing w:after="0" w:line="251" w:lineRule="auto"/>
        <w:rPr>
          <w:sz w:val="20"/>
          <w:szCs w:val="20"/>
          <w:color w:val="auto"/>
        </w:rPr>
      </w:pPr>
      <w:r>
        <w:rPr>
          <w:rFonts w:ascii="Arial" w:cs="Arial" w:eastAsia="Arial" w:hAnsi="Arial"/>
          <w:sz w:val="14"/>
          <w:szCs w:val="14"/>
          <w:color w:val="auto"/>
        </w:rPr>
        <w:t>The statements made hereunder relating to the indenture and any debt securities that we may issue are summaries of certain provisions thereof and are qualified in their entirety by reference to all provisions of the indenture and the debt securities and the descriptions thereof, if different, in the applicable prospectus supplement.</w:t>
      </w:r>
    </w:p>
    <w:p>
      <w:pPr>
        <w:spacing w:after="0" w:line="218"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Guarantees</w:t>
      </w:r>
    </w:p>
    <w:p>
      <w:pPr>
        <w:spacing w:after="0" w:line="80" w:lineRule="exact"/>
        <w:rPr>
          <w:sz w:val="20"/>
          <w:szCs w:val="20"/>
          <w:color w:val="auto"/>
        </w:rPr>
      </w:pPr>
    </w:p>
    <w:p>
      <w:pPr>
        <w:ind w:left="1360" w:right="339" w:firstLine="342"/>
        <w:spacing w:after="0" w:line="246" w:lineRule="auto"/>
        <w:rPr>
          <w:sz w:val="20"/>
          <w:szCs w:val="20"/>
          <w:color w:val="auto"/>
        </w:rPr>
      </w:pPr>
      <w:r>
        <w:rPr>
          <w:rFonts w:ascii="Arial" w:cs="Arial" w:eastAsia="Arial" w:hAnsi="Arial"/>
          <w:sz w:val="14"/>
          <w:szCs w:val="14"/>
          <w:color w:val="auto"/>
        </w:rPr>
        <w:t>SLB N.V. (SLB Limited) will fully and unconditionally guarantee the due and punctual payment of the principal of, and any premium and interest on, the debt securities, and all other amounts payable under the indenture when and as they become due and payable, whether at maturity, upon acceleration, by call for redemption, repayment or otherwise in accordance with the terms of the indenture. The debt securities will not be guaranteed by any of the Guarantor’s subsidiaries.</w:t>
      </w:r>
    </w:p>
    <w:p>
      <w:pPr>
        <w:spacing w:after="0" w:line="137"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The Guarantor will:</w:t>
      </w:r>
    </w:p>
    <w:p>
      <w:pPr>
        <w:spacing w:after="0" w:line="91" w:lineRule="exact"/>
        <w:rPr>
          <w:sz w:val="20"/>
          <w:szCs w:val="20"/>
          <w:color w:val="auto"/>
        </w:rPr>
      </w:pPr>
    </w:p>
    <w:p>
      <w:pPr>
        <w:jc w:val="both"/>
        <w:ind w:left="2120" w:right="339" w:hanging="334"/>
        <w:spacing w:after="0" w:line="251" w:lineRule="auto"/>
        <w:tabs>
          <w:tab w:leader="none" w:pos="2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agree that, if an event of default occurs under any of the debt securities, its obligations under the guarantees will be absolute and unconditional and will be enforceable irrespective of any invalidity, irregularity or unenforceability of the indenture or any supplement thereto; and</w:t>
      </w:r>
    </w:p>
    <w:p>
      <w:pPr>
        <w:spacing w:after="0" w:line="60" w:lineRule="exact"/>
        <w:rPr>
          <w:rFonts w:ascii="Arial" w:cs="Arial" w:eastAsia="Arial" w:hAnsi="Arial"/>
          <w:sz w:val="14"/>
          <w:szCs w:val="14"/>
          <w:color w:val="auto"/>
        </w:rPr>
      </w:pPr>
    </w:p>
    <w:p>
      <w:pPr>
        <w:ind w:left="2120" w:right="499" w:hanging="334"/>
        <w:spacing w:after="0" w:line="269" w:lineRule="auto"/>
        <w:tabs>
          <w:tab w:leader="none" w:pos="2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waive its right to require the trustee or the holders of any of the debt securities to pursue or exhaust their legal or equitable remedies against the Company before exercising their rights under the guarantees.</w:t>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Ranking of the Debt Securities and the Guarantee</w:t>
      </w:r>
    </w:p>
    <w:p>
      <w:pPr>
        <w:spacing w:after="0" w:line="80"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The debt securities of any series will be:</w:t>
      </w:r>
    </w:p>
    <w:p>
      <w:pPr>
        <w:spacing w:after="0" w:line="91" w:lineRule="exact"/>
        <w:rPr>
          <w:sz w:val="20"/>
          <w:szCs w:val="20"/>
          <w:color w:val="auto"/>
        </w:rPr>
      </w:pPr>
    </w:p>
    <w:p>
      <w:pPr>
        <w:ind w:left="2120" w:right="539" w:hanging="334"/>
        <w:spacing w:after="0" w:line="269" w:lineRule="auto"/>
        <w:tabs>
          <w:tab w:leader="none" w:pos="2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senior unsecured obligations of the Company and will rank equally and ratably with all of Company’s other unsecured and unsubordinated indebtedness; and</w:t>
      </w:r>
    </w:p>
    <w:p>
      <w:pPr>
        <w:spacing w:after="0" w:line="47" w:lineRule="exact"/>
        <w:rPr>
          <w:rFonts w:ascii="Arial" w:cs="Arial" w:eastAsia="Arial" w:hAnsi="Arial"/>
          <w:sz w:val="14"/>
          <w:szCs w:val="14"/>
          <w:color w:val="auto"/>
        </w:rPr>
      </w:pPr>
    </w:p>
    <w:p>
      <w:pPr>
        <w:ind w:left="2120" w:right="759" w:hanging="334"/>
        <w:spacing w:after="0" w:line="269" w:lineRule="auto"/>
        <w:tabs>
          <w:tab w:leader="none" w:pos="2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guaranteed on a senior unsecured basis by the Guarantor, which Guarantee will rank equally and ratably with all other unsecured and unsubordinated indebtedness of the Guarantor.</w:t>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Additional Amounts</w:t>
      </w:r>
    </w:p>
    <w:p>
      <w:pPr>
        <w:spacing w:after="0" w:line="80" w:lineRule="exact"/>
        <w:rPr>
          <w:sz w:val="20"/>
          <w:szCs w:val="20"/>
          <w:color w:val="auto"/>
        </w:rPr>
      </w:pPr>
    </w:p>
    <w:p>
      <w:pPr>
        <w:ind w:left="1360" w:right="299" w:firstLine="342"/>
        <w:spacing w:after="0" w:line="258" w:lineRule="auto"/>
        <w:rPr>
          <w:sz w:val="20"/>
          <w:szCs w:val="20"/>
          <w:color w:val="auto"/>
        </w:rPr>
      </w:pPr>
      <w:r>
        <w:rPr>
          <w:rFonts w:ascii="Arial" w:cs="Arial" w:eastAsia="Arial" w:hAnsi="Arial"/>
          <w:sz w:val="13"/>
          <w:szCs w:val="13"/>
          <w:color w:val="auto"/>
        </w:rPr>
        <w:t>All payments made by the Company under or with respect to its debt securities, or by the Guarantor with respect to the Guarantee, will be made free and clear of and without withholding or deduction for, or on account of, any present or future tax, duty, levy, assessment or other governmental charge, including any related interest, penalties or additions to tax (“Taxes”) unless the withholding or deduction of such Taxes is then required by law or by interpretation or administration of law. If any deduction or withholding for, or on account of, any Taxes imposed or levied by or on behalf of (1) any jurisdiction in which the Company (or a successor), or the Guarantor (or a successor), is then incorporated, organized or resident for tax purposes or any political subdivision thereof or therein (each, a “Relevant Tax Jurisdiction”) or (2) any jurisdiction from or through which payment is made or deemed made by or on behalf of the Company, or the Guarantor (including the jurisdiction of any Paying Agent for the applicable debt securities) or any political subdivision thereof or therein (each, together with each Relevant Tax Jurisdiction, a “Tax Jurisdiction”) will at any time be required to be made from any payments made or deemed made by or on behalf of the Company under or with respect to any of its debt securities, as applicable, or the Guarantor under or with respect to the Guarantee, including payments of principal, redemption price, interest or premium, the Company or the</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0159"/>
          </w:cols>
          <w:pgMar w:left="300" w:top="385"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right="359"/>
        <w:spacing w:after="0" w:line="243" w:lineRule="auto"/>
        <w:rPr>
          <w:sz w:val="20"/>
          <w:szCs w:val="20"/>
          <w:color w:val="auto"/>
        </w:rPr>
      </w:pPr>
      <w:r>
        <w:rPr>
          <w:rFonts w:ascii="Arial" w:cs="Arial" w:eastAsia="Arial" w:hAnsi="Arial"/>
          <w:sz w:val="14"/>
          <w:szCs w:val="14"/>
          <w:color w:val="auto"/>
        </w:rPr>
        <w:t>Guarantor, as applicable, will pay such additional amounts (the “Additional Amounts”) as may be necessary in order that the net amounts received in respect of such payments by each beneficial owner of the applicable debt securities after such withholding, deduction or imposition (including any such withholding, deduction or imposition from such Additional Amounts) will equal the respective amounts that would have been received in respect of such payments in the absence of such withholding or deduction; provided, however, that no Additional Amounts will be payable with respect to:</w:t>
      </w:r>
    </w:p>
    <w:p>
      <w:pPr>
        <w:spacing w:after="0" w:line="66" w:lineRule="exact"/>
        <w:rPr>
          <w:sz w:val="20"/>
          <w:szCs w:val="20"/>
          <w:color w:val="auto"/>
        </w:rPr>
      </w:pPr>
    </w:p>
    <w:p>
      <w:pPr>
        <w:ind w:left="2120" w:right="379" w:hanging="418"/>
        <w:spacing w:after="0" w:line="241" w:lineRule="auto"/>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any Taxes, to the extent such Taxes would not have been imposed but for the existence of any actual or deemed present or former connection between the holder or the beneficial owner of such debt securities and the applicable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debt securities, the enforcement of rights under such debt securities or under the Guarantee or the receipt of any payments in respect of such debt securities or Guarantee;</w:t>
      </w:r>
    </w:p>
    <w:p>
      <w:pPr>
        <w:spacing w:after="0" w:line="67" w:lineRule="exact"/>
        <w:rPr>
          <w:rFonts w:ascii="Arial" w:cs="Arial" w:eastAsia="Arial" w:hAnsi="Arial"/>
          <w:sz w:val="14"/>
          <w:szCs w:val="14"/>
          <w:color w:val="auto"/>
        </w:rPr>
      </w:pPr>
    </w:p>
    <w:p>
      <w:pPr>
        <w:ind w:left="2120" w:right="359" w:hanging="418"/>
        <w:spacing w:after="0" w:line="246" w:lineRule="auto"/>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any Taxes, to the extent such Taxes were imposed as a result of the presentation of such debt securities for payment (where presentation is required) more than 30 days after the relevant payment is first made available for payment to the holder (except to the extent that the holder would have been entitled to Additional Amounts had the applicable debt securities been presented on the last day of such 30 day period);</w:t>
      </w:r>
    </w:p>
    <w:p>
      <w:pPr>
        <w:spacing w:after="0" w:line="63" w:lineRule="exact"/>
        <w:rPr>
          <w:rFonts w:ascii="Arial" w:cs="Arial" w:eastAsia="Arial" w:hAnsi="Arial"/>
          <w:sz w:val="14"/>
          <w:szCs w:val="14"/>
          <w:color w:val="auto"/>
        </w:rPr>
      </w:pPr>
    </w:p>
    <w:p>
      <w:pPr>
        <w:ind w:left="2120" w:hanging="418"/>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any estate, inheritance, gift, sales, transfer, personal property or similar Taxes;</w:t>
      </w:r>
    </w:p>
    <w:p>
      <w:pPr>
        <w:spacing w:after="0" w:line="90" w:lineRule="exact"/>
        <w:rPr>
          <w:rFonts w:ascii="Arial" w:cs="Arial" w:eastAsia="Arial" w:hAnsi="Arial"/>
          <w:sz w:val="14"/>
          <w:szCs w:val="14"/>
          <w:color w:val="auto"/>
        </w:rPr>
      </w:pPr>
    </w:p>
    <w:p>
      <w:pPr>
        <w:ind w:left="2120" w:right="239" w:hanging="418"/>
        <w:spacing w:after="0" w:line="280" w:lineRule="auto"/>
        <w:tabs>
          <w:tab w:leader="none" w:pos="21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any Tax imposed on or with respect to any payment by the Company or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debt securities;</w:t>
      </w:r>
    </w:p>
    <w:p>
      <w:pPr>
        <w:spacing w:after="0" w:line="42" w:lineRule="exact"/>
        <w:rPr>
          <w:rFonts w:ascii="Arial" w:cs="Arial" w:eastAsia="Arial" w:hAnsi="Arial"/>
          <w:sz w:val="13"/>
          <w:szCs w:val="13"/>
          <w:color w:val="auto"/>
        </w:rPr>
      </w:pPr>
    </w:p>
    <w:p>
      <w:pPr>
        <w:ind w:left="2120" w:right="439" w:hanging="418"/>
        <w:spacing w:after="0" w:line="246" w:lineRule="auto"/>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any Taxes withheld, deducted or imposed on a payment to an individual that are required to be made pursuant to European Council Directive 2003/48/EC or any other directive implementing the conclusions of the ECOFIN Council meeting of November 26 and 27, 2000 on the taxation of savings income, or any law implementing or complying with or introduced in order to conform to, such directive;</w:t>
      </w:r>
    </w:p>
    <w:p>
      <w:pPr>
        <w:spacing w:after="0" w:line="63" w:lineRule="exact"/>
        <w:rPr>
          <w:rFonts w:ascii="Arial" w:cs="Arial" w:eastAsia="Arial" w:hAnsi="Arial"/>
          <w:sz w:val="14"/>
          <w:szCs w:val="14"/>
          <w:color w:val="auto"/>
        </w:rPr>
      </w:pPr>
    </w:p>
    <w:p>
      <w:pPr>
        <w:jc w:val="both"/>
        <w:ind w:left="2120" w:right="479" w:hanging="418"/>
        <w:spacing w:after="0" w:line="251" w:lineRule="auto"/>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any Taxes imposed on or with respect to a payment made to a holder of such debt securities who would have been able to avoid such withholding or deduction by presenting such debt securities (where presentation is required) to another Paying Agent;</w:t>
      </w:r>
    </w:p>
    <w:p>
      <w:pPr>
        <w:spacing w:after="0" w:line="60" w:lineRule="exact"/>
        <w:rPr>
          <w:rFonts w:ascii="Arial" w:cs="Arial" w:eastAsia="Arial" w:hAnsi="Arial"/>
          <w:sz w:val="14"/>
          <w:szCs w:val="14"/>
          <w:color w:val="auto"/>
        </w:rPr>
      </w:pPr>
    </w:p>
    <w:p>
      <w:pPr>
        <w:ind w:left="2120" w:right="279" w:hanging="418"/>
        <w:spacing w:after="0" w:line="269" w:lineRule="auto"/>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any Taxes payable other than by deduction or withholding from payments under, or with respect to, such debt securities or the Guarantee;</w:t>
      </w:r>
    </w:p>
    <w:p>
      <w:pPr>
        <w:spacing w:after="0" w:line="47" w:lineRule="exact"/>
        <w:rPr>
          <w:rFonts w:ascii="Arial" w:cs="Arial" w:eastAsia="Arial" w:hAnsi="Arial"/>
          <w:sz w:val="14"/>
          <w:szCs w:val="14"/>
          <w:color w:val="auto"/>
        </w:rPr>
      </w:pPr>
    </w:p>
    <w:p>
      <w:pPr>
        <w:ind w:left="2120" w:right="359" w:hanging="418"/>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any Taxes to the extent such Taxes are imposed or withheld by reason of the failure of the holder or beneficial owner of such debt securities to comply with any written request of the Company or the Guarantor addressed to the holder to satisfy any certification, identification, information or other reporting requirements, whether required by statute, treaty, regulation or administrative practice of the applicable Tax Jurisdiction, as a precondition to exemption from, or reduction in the rate of deduction or withholding of, Taxes imposed by the applicable Tax Jurisdiction (including, without limitation, a certification that the holder or beneficial owner is not resident in such Tax Jurisdiction), but in each case, only to the extent the holder or beneficial owner is legally entitled to provide such certification or documentation; or</w:t>
      </w:r>
    </w:p>
    <w:p>
      <w:pPr>
        <w:spacing w:after="0" w:line="68" w:lineRule="exact"/>
        <w:rPr>
          <w:rFonts w:ascii="Arial" w:cs="Arial" w:eastAsia="Arial" w:hAnsi="Arial"/>
          <w:sz w:val="14"/>
          <w:szCs w:val="14"/>
          <w:color w:val="auto"/>
        </w:rPr>
      </w:pPr>
    </w:p>
    <w:p>
      <w:pPr>
        <w:ind w:left="2120" w:hanging="418"/>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any combination of items (1) through (8) above.</w:t>
      </w:r>
    </w:p>
    <w:p>
      <w:pPr>
        <w:spacing w:after="0" w:line="11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0159"/>
          </w:cols>
          <w:pgMar w:left="300" w:top="385"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right="259" w:firstLine="342"/>
        <w:spacing w:after="0" w:line="243" w:lineRule="auto"/>
        <w:rPr>
          <w:sz w:val="20"/>
          <w:szCs w:val="20"/>
          <w:color w:val="auto"/>
        </w:rPr>
      </w:pPr>
      <w:r>
        <w:rPr>
          <w:rFonts w:ascii="Arial" w:cs="Arial" w:eastAsia="Arial" w:hAnsi="Arial"/>
          <w:sz w:val="14"/>
          <w:szCs w:val="14"/>
          <w:color w:val="auto"/>
        </w:rPr>
        <w:t>In addition to the foregoing, the Company and the Guarantor, as the case may be, will also pay and indemnify the holder for any present or future stamp, issue, registration, court or documentary Taxes, or any other excise or property Taxes, charges or similar levies (including penalties, interest and any other reasonable expenses related thereto) which are levied by an applicable Tax Jurisdiction on the execution, delivery, issuance, or registration of its debt securities, or the related indenture, Guarantee or any other document or instrument referred to therein.</w:t>
      </w:r>
    </w:p>
    <w:p>
      <w:pPr>
        <w:spacing w:after="0" w:line="139" w:lineRule="exact"/>
        <w:rPr>
          <w:sz w:val="20"/>
          <w:szCs w:val="20"/>
          <w:color w:val="auto"/>
        </w:rPr>
      </w:pPr>
    </w:p>
    <w:p>
      <w:pPr>
        <w:ind w:left="1360" w:right="299" w:firstLine="342"/>
        <w:spacing w:after="0" w:line="239" w:lineRule="auto"/>
        <w:rPr>
          <w:sz w:val="20"/>
          <w:szCs w:val="20"/>
          <w:color w:val="auto"/>
        </w:rPr>
      </w:pPr>
      <w:r>
        <w:rPr>
          <w:rFonts w:ascii="Arial" w:cs="Arial" w:eastAsia="Arial" w:hAnsi="Arial"/>
          <w:sz w:val="14"/>
          <w:szCs w:val="14"/>
          <w:color w:val="auto"/>
        </w:rPr>
        <w:t>If the Company or the Guarantor, as the case may be, becomes aware that it will be obligated to pay Additional Amounts with respect to any payment under or with respect to its debt securities or the Guarantee, the Company or the Guarantor, as the case may be, will deliver to the trustee on a date that is at least 30 days prior to the date of that payment (unless the obligation to pay Additional Amounts arises fewer than 45 days prior to that payment date, in which case the Company or Guarantor will notify the trustee promptly thereafter)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will be entitled to rely solely on such officer’s certificate as conclusive proof that such payments are necessary.</w:t>
      </w:r>
    </w:p>
    <w:p>
      <w:pPr>
        <w:spacing w:after="0" w:line="143" w:lineRule="exact"/>
        <w:rPr>
          <w:sz w:val="20"/>
          <w:szCs w:val="20"/>
          <w:color w:val="auto"/>
        </w:rPr>
      </w:pPr>
    </w:p>
    <w:p>
      <w:pPr>
        <w:ind w:left="1360" w:right="319" w:firstLine="342"/>
        <w:spacing w:after="0" w:line="246" w:lineRule="auto"/>
        <w:rPr>
          <w:sz w:val="20"/>
          <w:szCs w:val="20"/>
          <w:color w:val="auto"/>
        </w:rPr>
      </w:pPr>
      <w:r>
        <w:rPr>
          <w:rFonts w:ascii="Arial" w:cs="Arial" w:eastAsia="Arial" w:hAnsi="Arial"/>
          <w:sz w:val="14"/>
          <w:szCs w:val="14"/>
          <w:color w:val="auto"/>
        </w:rPr>
        <w:t>The Company or the Guarantor, as the case may be, will make all withholdings and deductions required by law in respect of its debt securities, and will remit the full amount deducted or withheld to the applicable Tax authority in accordance with applicable law. The Company or the Guarantor will use its reasonable efforts to obtain Tax receipts from each Tax authority evidencing the payment of any Taxes so deducted or withheld.</w:t>
      </w:r>
    </w:p>
    <w:p>
      <w:pPr>
        <w:spacing w:after="0" w:line="137" w:lineRule="exact"/>
        <w:rPr>
          <w:sz w:val="20"/>
          <w:szCs w:val="20"/>
          <w:color w:val="auto"/>
        </w:rPr>
      </w:pPr>
    </w:p>
    <w:p>
      <w:pPr>
        <w:ind w:left="1360" w:right="279" w:firstLine="342"/>
        <w:spacing w:after="0" w:line="246" w:lineRule="auto"/>
        <w:rPr>
          <w:sz w:val="20"/>
          <w:szCs w:val="20"/>
          <w:color w:val="auto"/>
        </w:rPr>
      </w:pPr>
      <w:r>
        <w:rPr>
          <w:rFonts w:ascii="Arial" w:cs="Arial" w:eastAsia="Arial" w:hAnsi="Arial"/>
          <w:sz w:val="14"/>
          <w:szCs w:val="14"/>
          <w:color w:val="auto"/>
        </w:rPr>
        <w:t>Upon reasonable written request, the Company or the Guarantor will furnish to the trustee (or to a holder or beneficial owner upon written request), within a reasonable time after the date the payment of any Taxes so deducted or withheld is made, certified copies of Tax receipts evidencing payment by the Company or Guarantor, as the case may be, or if, notwithstanding such entity’s efforts to obtain receipts, receipts are not obtained, other evidence of payments (reasonably satisfactory to the trustee) by such entity.</w:t>
      </w:r>
    </w:p>
    <w:p>
      <w:pPr>
        <w:spacing w:after="0" w:line="137" w:lineRule="exact"/>
        <w:rPr>
          <w:sz w:val="20"/>
          <w:szCs w:val="20"/>
          <w:color w:val="auto"/>
        </w:rPr>
      </w:pPr>
    </w:p>
    <w:p>
      <w:pPr>
        <w:ind w:left="1360" w:right="319" w:firstLine="342"/>
        <w:spacing w:after="0" w:line="246" w:lineRule="auto"/>
        <w:rPr>
          <w:sz w:val="20"/>
          <w:szCs w:val="20"/>
          <w:color w:val="auto"/>
        </w:rPr>
      </w:pPr>
      <w:r>
        <w:rPr>
          <w:rFonts w:ascii="Arial" w:cs="Arial" w:eastAsia="Arial" w:hAnsi="Arial"/>
          <w:sz w:val="14"/>
          <w:szCs w:val="14"/>
          <w:color w:val="auto"/>
        </w:rPr>
        <w:t>Whenever in the indenture or in this “Description of Debt Securities” there is mentioned, in any context, the payment of amounts based upon the principal amount of the debt securities or of principal, interest or of any other amount payable under, or with respect to, any of the debt securities or any Guarantee, such mention will be deemed to include mention of the payment of Additional Amounts to the extent that, in such context, Additional Amounts are, were or would be payable in respect thereof.</w:t>
      </w:r>
    </w:p>
    <w:p>
      <w:pPr>
        <w:spacing w:after="0" w:line="137" w:lineRule="exact"/>
        <w:rPr>
          <w:sz w:val="20"/>
          <w:szCs w:val="20"/>
          <w:color w:val="auto"/>
        </w:rPr>
      </w:pPr>
    </w:p>
    <w:p>
      <w:pPr>
        <w:ind w:left="1360" w:right="419" w:firstLine="342"/>
        <w:spacing w:after="0" w:line="271" w:lineRule="auto"/>
        <w:rPr>
          <w:sz w:val="20"/>
          <w:szCs w:val="20"/>
          <w:color w:val="auto"/>
        </w:rPr>
      </w:pPr>
      <w:r>
        <w:rPr>
          <w:rFonts w:ascii="Arial" w:cs="Arial" w:eastAsia="Arial" w:hAnsi="Arial"/>
          <w:sz w:val="13"/>
          <w:szCs w:val="13"/>
          <w:color w:val="auto"/>
        </w:rPr>
        <w:t>The above obligations will survive any termination, defeasance or discharge of the indenture, any transfer by a holder or beneficial owner of its debt securities, and will apply, mutatis mutandis, to any jurisdiction in which any successor person to the Company or the Guarantor is incorporated, organized or resident for tax purposes or any jurisdiction from or through which payment is made by or on behalf of such person on the applicable debt securities (or any Guarantee) and any political subdivision thereof or therein.</w:t>
      </w:r>
    </w:p>
    <w:p>
      <w:pPr>
        <w:spacing w:after="0" w:line="122" w:lineRule="exact"/>
        <w:rPr>
          <w:sz w:val="20"/>
          <w:szCs w:val="20"/>
          <w:color w:val="auto"/>
        </w:rPr>
      </w:pPr>
    </w:p>
    <w:p>
      <w:pPr>
        <w:ind w:left="1360" w:right="459" w:firstLine="342"/>
        <w:spacing w:after="0" w:line="251" w:lineRule="auto"/>
        <w:rPr>
          <w:sz w:val="20"/>
          <w:szCs w:val="20"/>
          <w:color w:val="auto"/>
        </w:rPr>
      </w:pPr>
      <w:r>
        <w:rPr>
          <w:rFonts w:ascii="Arial" w:cs="Arial" w:eastAsia="Arial" w:hAnsi="Arial"/>
          <w:sz w:val="14"/>
          <w:szCs w:val="14"/>
          <w:color w:val="auto"/>
        </w:rPr>
        <w:t>Notwithstanding any provision in the indenture to the contrary, none of the trustee, the Registrar, any transfer agent or any Paying Agent will be required to determine the identity of a beneficial owner or be liable for any determination thereof by the Company or the Guarantor.</w:t>
      </w:r>
    </w:p>
    <w:p>
      <w:pPr>
        <w:spacing w:after="0" w:line="218"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Optional Redemption</w:t>
      </w:r>
    </w:p>
    <w:p>
      <w:pPr>
        <w:spacing w:after="0" w:line="80" w:lineRule="exact"/>
        <w:rPr>
          <w:sz w:val="20"/>
          <w:szCs w:val="20"/>
          <w:color w:val="auto"/>
        </w:rPr>
      </w:pPr>
    </w:p>
    <w:p>
      <w:pPr>
        <w:ind w:left="1360" w:right="399" w:firstLine="342"/>
        <w:spacing w:after="0" w:line="269" w:lineRule="auto"/>
        <w:rPr>
          <w:sz w:val="20"/>
          <w:szCs w:val="20"/>
          <w:color w:val="auto"/>
        </w:rPr>
      </w:pPr>
      <w:r>
        <w:rPr>
          <w:rFonts w:ascii="Arial" w:cs="Arial" w:eastAsia="Arial" w:hAnsi="Arial"/>
          <w:sz w:val="14"/>
          <w:szCs w:val="14"/>
          <w:color w:val="auto"/>
        </w:rPr>
        <w:t>If specified in the applicable prospectus supplement, we may redeem the debt securities of any series, as a whole or in part, at our option on and after the dates and in accordance with the terms</w:t>
      </w:r>
    </w:p>
    <w:p>
      <w:pPr>
        <w:spacing w:after="0" w:line="6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0159"/>
          </w:cols>
          <w:pgMar w:left="300" w:top="385"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right="379"/>
        <w:spacing w:after="0" w:line="246" w:lineRule="auto"/>
        <w:rPr>
          <w:sz w:val="20"/>
          <w:szCs w:val="20"/>
          <w:color w:val="auto"/>
        </w:rPr>
      </w:pPr>
      <w:r>
        <w:rPr>
          <w:rFonts w:ascii="Arial" w:cs="Arial" w:eastAsia="Arial" w:hAnsi="Arial"/>
          <w:sz w:val="14"/>
          <w:szCs w:val="14"/>
          <w:color w:val="auto"/>
        </w:rPr>
        <w:t>established for such series, if any, in the applicable prospectus supplement. If we redeem the debt securities of any series, we also must pay accrued and unpaid interest, if any, to the date of redemption on such debt securities (subject to the right of holders of such debt securities on the relevant record date to receive interest due on the relevant interest payment date and Additional Amounts (if any) in respect thereof).</w:t>
      </w:r>
    </w:p>
    <w:p>
      <w:pPr>
        <w:spacing w:after="0" w:line="221"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Redemption Upon Changes in Tax Law</w:t>
      </w:r>
    </w:p>
    <w:p>
      <w:pPr>
        <w:spacing w:after="0" w:line="80" w:lineRule="exact"/>
        <w:rPr>
          <w:sz w:val="20"/>
          <w:szCs w:val="20"/>
          <w:color w:val="auto"/>
        </w:rPr>
      </w:pPr>
    </w:p>
    <w:p>
      <w:pPr>
        <w:ind w:left="1360" w:right="299" w:firstLine="342"/>
        <w:spacing w:after="0" w:line="238" w:lineRule="auto"/>
        <w:rPr>
          <w:sz w:val="20"/>
          <w:szCs w:val="20"/>
          <w:color w:val="auto"/>
        </w:rPr>
      </w:pPr>
      <w:r>
        <w:rPr>
          <w:rFonts w:ascii="Arial" w:cs="Arial" w:eastAsia="Arial" w:hAnsi="Arial"/>
          <w:sz w:val="14"/>
          <w:szCs w:val="14"/>
          <w:color w:val="auto"/>
        </w:rPr>
        <w:t>The Company or the Guarantor, as applicable, may redeem the debt securities of any series (and the Guarantor may redeem any debt securities which it has guaranteed), in whole but not in part, at its discretion at any time upon giving not less than 30 nor more than 60 days’ prior notice to the holders of such debt securities (which notice will be irrevocable), at a redemption price equal to 100% of the aggregate principal amount thereof, together with accrued and unpaid interest, if any, to the date fixed by the Company or the Guarantor, as applicable, for redemption (a “Tax Redemption Date”) and all Additional Amounts (if any) then due and which will become due on the Tax Redemption Date as a result of the redemption or otherwise (subject to the right of holders of such debt securities on the relevant record date to receive interest due on the relevant interest payment date and Additional Amounts (if any) in respect thereof), if on the next date on which any amount would be payable in respect of such debt securities, the Company or the Guarantor, as applicable, is or would be required to pay Additional Amounts, and the Company or Guarantor cannot avoid any such payment obligation by taking reasonable measures available to it, and the requirement arises as a result of:</w:t>
      </w:r>
    </w:p>
    <w:p>
      <w:pPr>
        <w:spacing w:after="0" w:line="70" w:lineRule="exact"/>
        <w:rPr>
          <w:sz w:val="20"/>
          <w:szCs w:val="20"/>
          <w:color w:val="auto"/>
        </w:rPr>
      </w:pPr>
    </w:p>
    <w:p>
      <w:pPr>
        <w:ind w:left="2120" w:right="279" w:hanging="418"/>
        <w:spacing w:after="0" w:line="246" w:lineRule="auto"/>
        <w:tabs>
          <w:tab w:leader="none" w:pos="2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any amendment to, or change in, or change in the enforcement or interpretation of, the laws (or any regulations or rulings promulgated thereunder) of a Relevant Tax Jurisdiction which change or amendment becomes effective on or after the date of original issuance of the relevant debt securities (the “Issue Date”) (or, if the applicable Relevant Tax Jurisdiction became a Relevant Tax Jurisdiction on a date after the Issue Date, such later date), or</w:t>
      </w:r>
    </w:p>
    <w:p>
      <w:pPr>
        <w:spacing w:after="0" w:line="63" w:lineRule="exact"/>
        <w:rPr>
          <w:rFonts w:ascii="Arial" w:cs="Arial" w:eastAsia="Arial" w:hAnsi="Arial"/>
          <w:sz w:val="14"/>
          <w:szCs w:val="14"/>
          <w:color w:val="auto"/>
        </w:rPr>
      </w:pPr>
    </w:p>
    <w:p>
      <w:pPr>
        <w:ind w:left="2120" w:right="259" w:hanging="418"/>
        <w:spacing w:after="0" w:line="246" w:lineRule="auto"/>
        <w:tabs>
          <w:tab w:leader="none" w:pos="2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any amendment to, or change in, an official interpretation or application of such laws, regulations or rulings (including by virtue of a holding, judgment, order by a court of competent jurisdiction or a change in published administrative practice) which amendment or change becomes effective on or after the Issue Date (or, if the applicable Relevant Tax Jurisdiction became a Relevant Tax Jurisdiction on a date after the Issue Date, such later date).</w:t>
      </w:r>
    </w:p>
    <w:p>
      <w:pPr>
        <w:spacing w:after="0" w:line="137" w:lineRule="exact"/>
        <w:rPr>
          <w:sz w:val="20"/>
          <w:szCs w:val="20"/>
          <w:color w:val="auto"/>
        </w:rPr>
      </w:pPr>
    </w:p>
    <w:p>
      <w:pPr>
        <w:ind w:left="1360" w:right="259" w:firstLine="342"/>
        <w:spacing w:after="0" w:line="238" w:lineRule="auto"/>
        <w:rPr>
          <w:sz w:val="20"/>
          <w:szCs w:val="20"/>
          <w:color w:val="auto"/>
        </w:rPr>
      </w:pPr>
      <w:r>
        <w:rPr>
          <w:rFonts w:ascii="Arial" w:cs="Arial" w:eastAsia="Arial" w:hAnsi="Arial"/>
          <w:sz w:val="14"/>
          <w:szCs w:val="14"/>
          <w:color w:val="auto"/>
        </w:rPr>
        <w:t>Neither the Company nor the Guarantor, as applicable, will give any such notice of redemption earlier than 90 days prior to the earliest date on which the Company or the Guarantor, as applicable, would be obligated to make such payment or withholding if a payment in respect of the applicable debt securities was then due, and the obligation to pay Additional Amounts must be in effect at the time such notice is given. Prior to giving any notice of redemption of the debt securities of such series pursuant to the foregoing, the Company or the Guarantor, as applicable, will deliver to the trustee an opinion of independent tax counsel to the effect that there has been such amendment or change which would entitle the Company or the Guarantor to redeem such debt securities hereunder. In addition, before the Company or the Guarantor, as applicable, gives notice of redemption of such debt securities as described above, it will deliver to the trustee an officer’s certificate to the effect that it cannot avoid its obligation to pay Additional Amounts by taking reasonable measures available to it.</w:t>
      </w:r>
    </w:p>
    <w:p>
      <w:pPr>
        <w:spacing w:after="0" w:line="146" w:lineRule="exact"/>
        <w:rPr>
          <w:sz w:val="20"/>
          <w:szCs w:val="20"/>
          <w:color w:val="auto"/>
        </w:rPr>
      </w:pPr>
    </w:p>
    <w:p>
      <w:pPr>
        <w:ind w:left="1360" w:right="359" w:firstLine="342"/>
        <w:spacing w:after="0" w:line="251" w:lineRule="auto"/>
        <w:rPr>
          <w:sz w:val="20"/>
          <w:szCs w:val="20"/>
          <w:color w:val="auto"/>
        </w:rPr>
      </w:pPr>
      <w:r>
        <w:rPr>
          <w:rFonts w:ascii="Arial" w:cs="Arial" w:eastAsia="Arial" w:hAnsi="Arial"/>
          <w:sz w:val="14"/>
          <w:szCs w:val="14"/>
          <w:color w:val="auto"/>
        </w:rPr>
        <w:t>The trustee will accept and will be entitled to rely on such officer’s certificate and opinion of counsel as sufficient evidence of the existence and satisfaction of the conditions precedent as described above, in which event it will be conclusive and binding on the holders of the debt securities of such series.</w:t>
      </w:r>
    </w:p>
    <w:p>
      <w:pPr>
        <w:spacing w:after="0" w:line="134" w:lineRule="exact"/>
        <w:rPr>
          <w:sz w:val="20"/>
          <w:szCs w:val="20"/>
          <w:color w:val="auto"/>
        </w:rPr>
      </w:pPr>
    </w:p>
    <w:p>
      <w:pPr>
        <w:ind w:left="1360" w:right="299" w:firstLine="342"/>
        <w:spacing w:after="0" w:line="269" w:lineRule="auto"/>
        <w:rPr>
          <w:sz w:val="20"/>
          <w:szCs w:val="20"/>
          <w:color w:val="auto"/>
        </w:rPr>
      </w:pPr>
      <w:r>
        <w:rPr>
          <w:rFonts w:ascii="Arial" w:cs="Arial" w:eastAsia="Arial" w:hAnsi="Arial"/>
          <w:sz w:val="14"/>
          <w:szCs w:val="14"/>
          <w:color w:val="auto"/>
        </w:rPr>
        <w:t xml:space="preserve">The foregoing will also apply </w:t>
      </w:r>
      <w:r>
        <w:rPr>
          <w:rFonts w:ascii="Arial" w:cs="Arial" w:eastAsia="Arial" w:hAnsi="Arial"/>
          <w:sz w:val="14"/>
          <w:szCs w:val="14"/>
          <w:i w:val="1"/>
          <w:iCs w:val="1"/>
          <w:color w:val="auto"/>
        </w:rPr>
        <w:t>mutatis mutandis</w:t>
      </w:r>
      <w:r>
        <w:rPr>
          <w:rFonts w:ascii="Arial" w:cs="Arial" w:eastAsia="Arial" w:hAnsi="Arial"/>
          <w:sz w:val="14"/>
          <w:szCs w:val="14"/>
          <w:color w:val="auto"/>
        </w:rPr>
        <w:t xml:space="preserve"> to any jurisdiction in which any successor person to the Company or the Guarantor is incorporated, organized or resident for tax purposes, or any</w:t>
      </w:r>
    </w:p>
    <w:p>
      <w:pPr>
        <w:spacing w:after="0" w:line="6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0159"/>
          </w:cols>
          <w:pgMar w:left="300" w:top="385"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right="979"/>
        <w:spacing w:after="0" w:line="269" w:lineRule="auto"/>
        <w:rPr>
          <w:sz w:val="20"/>
          <w:szCs w:val="20"/>
          <w:color w:val="auto"/>
        </w:rPr>
      </w:pPr>
      <w:r>
        <w:rPr>
          <w:rFonts w:ascii="Arial" w:cs="Arial" w:eastAsia="Arial" w:hAnsi="Arial"/>
          <w:sz w:val="14"/>
          <w:szCs w:val="14"/>
          <w:color w:val="auto"/>
        </w:rPr>
        <w:t>jurisdiction from or through which payment is made by or on behalf of such person on the debt securities of such series (or any Guarantee) and any political subdivision thereof or therein.</w:t>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Selection and Notice</w:t>
      </w:r>
    </w:p>
    <w:p>
      <w:pPr>
        <w:spacing w:after="0" w:line="80" w:lineRule="exact"/>
        <w:rPr>
          <w:sz w:val="20"/>
          <w:szCs w:val="20"/>
          <w:color w:val="auto"/>
        </w:rPr>
      </w:pPr>
    </w:p>
    <w:p>
      <w:pPr>
        <w:ind w:left="1360" w:right="279" w:firstLine="342"/>
        <w:spacing w:after="0" w:line="246" w:lineRule="auto"/>
        <w:rPr>
          <w:sz w:val="20"/>
          <w:szCs w:val="20"/>
          <w:color w:val="auto"/>
        </w:rPr>
      </w:pPr>
      <w:r>
        <w:rPr>
          <w:rFonts w:ascii="Arial" w:cs="Arial" w:eastAsia="Arial" w:hAnsi="Arial"/>
          <w:sz w:val="14"/>
          <w:szCs w:val="14"/>
          <w:color w:val="auto"/>
        </w:rPr>
        <w:t>If fewer than all of the debt securities of a series are to be redeemed at any time, the trustee will select the debt securities of such series in definitive, non-global form for redemption on a pro rata basis (or, in the case of debt securities issued in global form as discussed under “—Book-Entry, Delivery and Form,” based on a method that most nearly approximates a pro rata selection as the trustee deems fair and appropriate) unless otherwise required by law or applicable stock exchange or depository requirements.</w:t>
      </w:r>
    </w:p>
    <w:p>
      <w:pPr>
        <w:spacing w:after="0" w:line="137" w:lineRule="exact"/>
        <w:rPr>
          <w:sz w:val="20"/>
          <w:szCs w:val="20"/>
          <w:color w:val="auto"/>
        </w:rPr>
      </w:pPr>
    </w:p>
    <w:p>
      <w:pPr>
        <w:ind w:left="1360" w:right="259" w:firstLine="342"/>
        <w:spacing w:after="0" w:line="243" w:lineRule="auto"/>
        <w:rPr>
          <w:sz w:val="20"/>
          <w:szCs w:val="20"/>
          <w:color w:val="auto"/>
        </w:rPr>
      </w:pPr>
      <w:r>
        <w:rPr>
          <w:rFonts w:ascii="Arial" w:cs="Arial" w:eastAsia="Arial" w:hAnsi="Arial"/>
          <w:sz w:val="14"/>
          <w:szCs w:val="14"/>
          <w:color w:val="auto"/>
        </w:rPr>
        <w:t>No debt securities in principal amount of less than the minimum authorized denomination can be redeemed in part. Unless otherwise described in a prospectus supplement relating to any debt securities, notices of redemption will be delivered at least 30 but not more than 60 days before the redemption date to each holder of debt securities of such series to be redeemed, except that redemption notices may be delivered more than 60 days prior to a redemption date if the notice is issued in connection with a defeasance of the debt securities of such series or a satisfaction and discharge of the indenture.</w:t>
      </w:r>
    </w:p>
    <w:p>
      <w:pPr>
        <w:spacing w:after="0" w:line="139" w:lineRule="exact"/>
        <w:rPr>
          <w:sz w:val="20"/>
          <w:szCs w:val="20"/>
          <w:color w:val="auto"/>
        </w:rPr>
      </w:pPr>
    </w:p>
    <w:p>
      <w:pPr>
        <w:ind w:left="1360" w:right="279" w:firstLine="342"/>
        <w:spacing w:after="0" w:line="241" w:lineRule="auto"/>
        <w:rPr>
          <w:sz w:val="20"/>
          <w:szCs w:val="20"/>
          <w:color w:val="auto"/>
        </w:rPr>
      </w:pPr>
      <w:r>
        <w:rPr>
          <w:rFonts w:ascii="Arial" w:cs="Arial" w:eastAsia="Arial" w:hAnsi="Arial"/>
          <w:sz w:val="14"/>
          <w:szCs w:val="14"/>
          <w:color w:val="auto"/>
        </w:rPr>
        <w:t>If any debt security is to be redeemed in part only, the notice of redemption that relates to that debt security will state the portion of the principal amount of that debt security that is to be redeemed. A new debt security in principal amount equal to the unredeemed portion of the original debt security will be issued in the name of the holder of the original debt security upon cancellation of the original debt security. Debt securities called for redemption become due on the date fixed for redemption. On and after the redemption date, interest ceases to accrue on the debt securities or portions of the debt securities called for redemption unless the Company or the Guarantor defaults in payment of the redemption price.</w:t>
      </w:r>
    </w:p>
    <w:p>
      <w:pPr>
        <w:spacing w:after="0" w:line="141" w:lineRule="exact"/>
        <w:rPr>
          <w:sz w:val="20"/>
          <w:szCs w:val="20"/>
          <w:color w:val="auto"/>
        </w:rPr>
      </w:pPr>
    </w:p>
    <w:p>
      <w:pPr>
        <w:ind w:left="1360" w:right="259" w:firstLine="342"/>
        <w:spacing w:after="0" w:line="246" w:lineRule="auto"/>
        <w:rPr>
          <w:sz w:val="20"/>
          <w:szCs w:val="20"/>
          <w:color w:val="auto"/>
        </w:rPr>
      </w:pPr>
      <w:r>
        <w:rPr>
          <w:rFonts w:ascii="Arial" w:cs="Arial" w:eastAsia="Arial" w:hAnsi="Arial"/>
          <w:sz w:val="14"/>
          <w:szCs w:val="14"/>
          <w:color w:val="auto"/>
        </w:rPr>
        <w:t>The trustee will not be liable for selections made as contemplated in this section. Notices to holders of definitive non-global securities will be mailed to them at their registered addresses. For any debt securities which are represented by global securities held on behalf of the relevant Debt Depository (as defined below under “—Book-Entry, Delivery and Form”), notices may be given by delivery of the relevant notices to the relevant Debt Depository for communication to entitled account holders in substitution for the aforesaid mailing.</w:t>
      </w:r>
    </w:p>
    <w:p>
      <w:pPr>
        <w:spacing w:after="0" w:line="221"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Reports</w:t>
      </w:r>
    </w:p>
    <w:p>
      <w:pPr>
        <w:spacing w:after="0" w:line="80" w:lineRule="exact"/>
        <w:rPr>
          <w:sz w:val="20"/>
          <w:szCs w:val="20"/>
          <w:color w:val="auto"/>
        </w:rPr>
      </w:pPr>
    </w:p>
    <w:p>
      <w:pPr>
        <w:ind w:left="1360" w:right="299" w:firstLine="342"/>
        <w:spacing w:after="0" w:line="238" w:lineRule="auto"/>
        <w:rPr>
          <w:sz w:val="20"/>
          <w:szCs w:val="20"/>
          <w:color w:val="auto"/>
        </w:rPr>
      </w:pPr>
      <w:r>
        <w:rPr>
          <w:rFonts w:ascii="Arial" w:cs="Arial" w:eastAsia="Arial" w:hAnsi="Arial"/>
          <w:sz w:val="14"/>
          <w:szCs w:val="14"/>
          <w:color w:val="auto"/>
        </w:rPr>
        <w:t>So long as any debt securities are outstanding, the Guarantor will file with the trustee, within 15 days after the Guarantor files with the SEC, copies of the annual reports and of the information, documents and other reports (or copies of such portions of any of the foregoing as the SEC may from time to time by rules and regulations prescribe) that the Guarantor may be required to file with the SEC pursuant to Section 13 or Section 15(d) of the Exchange Act. The Guarantor will be deemed to have complied with the previous sentence to the extent that such information, documents and reports are filed with the SEC via EDGAR, or any successor electronic delivery procedure. The trustee will not have any obligation to determine if and when the Guarantor’s information is available on the SEC’s website. The Guarantor will either (i) provide the trustee with prompt written notification at such time as the Guarantor becomes or ceases to be a reporting company or (ii) continue to provide the trustee with the foregoing information. Delivery of such reports, information and documents to the trustee is for informational purposes only and the trustee’s receipt of such will not constitute constructive notice of any information contained therein or determinable from information contained therein, including compliance by us or the Guarantor with any covenants under the indenture (as to which the trustee is</w:t>
      </w:r>
    </w:p>
    <w:p>
      <w:pPr>
        <w:spacing w:after="0" w:line="8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0159"/>
          </w:cols>
          <w:pgMar w:left="300" w:top="385"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right="419"/>
        <w:spacing w:after="0" w:line="308" w:lineRule="auto"/>
        <w:rPr>
          <w:sz w:val="20"/>
          <w:szCs w:val="20"/>
          <w:color w:val="auto"/>
        </w:rPr>
      </w:pPr>
      <w:r>
        <w:rPr>
          <w:rFonts w:ascii="Arial" w:cs="Arial" w:eastAsia="Arial" w:hAnsi="Arial"/>
          <w:sz w:val="13"/>
          <w:szCs w:val="13"/>
          <w:color w:val="auto"/>
        </w:rPr>
        <w:t>entitled to rely exclusively on officer’s certificates). The indenture governing the debt securities will not obligate us to provide, and we do not intend to provide, holders of the debt securities with financial statements of the Company that are separate from the Guarantor’s.</w:t>
      </w:r>
    </w:p>
    <w:p>
      <w:pPr>
        <w:spacing w:after="0" w:line="182"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Certain Covenants</w:t>
      </w:r>
    </w:p>
    <w:p>
      <w:pPr>
        <w:spacing w:after="0" w:line="80" w:lineRule="exact"/>
        <w:rPr>
          <w:sz w:val="20"/>
          <w:szCs w:val="20"/>
          <w:color w:val="auto"/>
        </w:rPr>
      </w:pPr>
    </w:p>
    <w:p>
      <w:pPr>
        <w:ind w:left="1360" w:right="299" w:firstLine="342"/>
        <w:spacing w:after="0" w:line="243" w:lineRule="auto"/>
        <w:rPr>
          <w:sz w:val="20"/>
          <w:szCs w:val="20"/>
          <w:color w:val="auto"/>
        </w:rPr>
      </w:pPr>
      <w:r>
        <w:rPr>
          <w:rFonts w:ascii="Arial" w:cs="Arial" w:eastAsia="Arial" w:hAnsi="Arial"/>
          <w:sz w:val="14"/>
          <w:szCs w:val="14"/>
          <w:color w:val="auto"/>
        </w:rPr>
        <w:t>Other than the restrictions on liens described below, the indenture and the debt securities will not contain any covenants or other provisions designed to protect holders of the debt securities in the event of a highly leveraged transaction. The indenture and the debt securities also will not contain provisions that give holders of the debt securities the right to require the Company or the Guarantor to repurchase any debt securities in the event of a decline in credit rating resulting from a takeover, recapitalization or similar restructuring or otherwise.</w:t>
      </w:r>
    </w:p>
    <w:p>
      <w:pPr>
        <w:spacing w:after="0" w:line="223"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Limitation on Liens</w:t>
      </w:r>
    </w:p>
    <w:p>
      <w:pPr>
        <w:spacing w:after="0" w:line="80" w:lineRule="exact"/>
        <w:rPr>
          <w:sz w:val="20"/>
          <w:szCs w:val="20"/>
          <w:color w:val="auto"/>
        </w:rPr>
      </w:pPr>
    </w:p>
    <w:p>
      <w:pPr>
        <w:ind w:left="1360" w:right="259" w:firstLine="342"/>
        <w:spacing w:after="0" w:line="238" w:lineRule="auto"/>
        <w:rPr>
          <w:sz w:val="20"/>
          <w:szCs w:val="20"/>
          <w:color w:val="auto"/>
        </w:rPr>
      </w:pPr>
      <w:r>
        <w:rPr>
          <w:rFonts w:ascii="Arial" w:cs="Arial" w:eastAsia="Arial" w:hAnsi="Arial"/>
          <w:sz w:val="14"/>
          <w:szCs w:val="14"/>
          <w:color w:val="auto"/>
        </w:rPr>
        <w:t>The Guarantor will not, and will not permit any of its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debt securities (together with, if the Company or the Guarantor so determine, any of its other indebtedness or the indebtedness of any such restricted subsidiary then existing or thereafter created ranking on a parity with the debt securities or guarantees) will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the Guarantor’s most recent consolidated quarterly financial statements; provided, however, that these provisions will not apply to:</w:t>
      </w:r>
    </w:p>
    <w:p>
      <w:pPr>
        <w:spacing w:after="0" w:line="70" w:lineRule="exact"/>
        <w:rPr>
          <w:sz w:val="20"/>
          <w:szCs w:val="20"/>
          <w:color w:val="auto"/>
        </w:rPr>
      </w:pPr>
    </w:p>
    <w:p>
      <w:pPr>
        <w:ind w:left="2120" w:hanging="418"/>
        <w:spacing w:after="0"/>
        <w:tabs>
          <w:tab w:leader="none" w:pos="21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mortgages existing on the date of original issuance of any debt securities;</w:t>
      </w:r>
    </w:p>
    <w:p>
      <w:pPr>
        <w:spacing w:after="0" w:line="90" w:lineRule="exact"/>
        <w:rPr>
          <w:rFonts w:ascii="Arial" w:cs="Arial" w:eastAsia="Arial" w:hAnsi="Arial"/>
          <w:sz w:val="14"/>
          <w:szCs w:val="14"/>
          <w:color w:val="auto"/>
        </w:rPr>
      </w:pPr>
    </w:p>
    <w:p>
      <w:pPr>
        <w:ind w:left="2120" w:right="339" w:hanging="418"/>
        <w:spacing w:after="0" w:line="269" w:lineRule="auto"/>
        <w:tabs>
          <w:tab w:leader="none" w:pos="21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mortgages on property or assets of, or on any shares of stock, ownership interests in or indebtedness of, any person existing at the time such person becomes a subsidiary (including a restricted subsidiary) of the Company or the Guarantor;</w:t>
      </w:r>
    </w:p>
    <w:p>
      <w:pPr>
        <w:spacing w:after="0" w:line="47" w:lineRule="exact"/>
        <w:rPr>
          <w:rFonts w:ascii="Arial" w:cs="Arial" w:eastAsia="Arial" w:hAnsi="Arial"/>
          <w:sz w:val="14"/>
          <w:szCs w:val="14"/>
          <w:color w:val="auto"/>
        </w:rPr>
      </w:pPr>
    </w:p>
    <w:p>
      <w:pPr>
        <w:ind w:left="2120" w:right="459" w:hanging="418"/>
        <w:spacing w:after="0" w:line="241" w:lineRule="auto"/>
        <w:tabs>
          <w:tab w:leader="none" w:pos="21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67" w:lineRule="exact"/>
        <w:rPr>
          <w:rFonts w:ascii="Arial" w:cs="Arial" w:eastAsia="Arial" w:hAnsi="Arial"/>
          <w:sz w:val="14"/>
          <w:szCs w:val="14"/>
          <w:color w:val="auto"/>
        </w:rPr>
      </w:pPr>
    </w:p>
    <w:p>
      <w:pPr>
        <w:ind w:left="2120" w:hanging="418"/>
        <w:spacing w:after="0"/>
        <w:tabs>
          <w:tab w:leader="none" w:pos="21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mortgages in favor of the Company, the Guarantor or any other subsidiary of the Guarantor;</w:t>
      </w:r>
    </w:p>
    <w:p>
      <w:pPr>
        <w:spacing w:after="0" w:line="90" w:lineRule="exact"/>
        <w:rPr>
          <w:rFonts w:ascii="Arial" w:cs="Arial" w:eastAsia="Arial" w:hAnsi="Arial"/>
          <w:sz w:val="14"/>
          <w:szCs w:val="14"/>
          <w:color w:val="auto"/>
        </w:rPr>
      </w:pPr>
    </w:p>
    <w:p>
      <w:pPr>
        <w:ind w:left="2120" w:right="259" w:hanging="418"/>
        <w:spacing w:after="0" w:line="271" w:lineRule="auto"/>
        <w:tabs>
          <w:tab w:leader="none" w:pos="21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mortgage of any of the Guarantor’s property or assets or any property or assets of any of its restricted subsidiaries in favor of the United States of America, the Grand Duchy of Luxembourg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48" w:lineRule="exact"/>
        <w:rPr>
          <w:rFonts w:ascii="Arial" w:cs="Arial" w:eastAsia="Arial" w:hAnsi="Arial"/>
          <w:sz w:val="13"/>
          <w:szCs w:val="13"/>
          <w:color w:val="auto"/>
        </w:rPr>
      </w:pPr>
    </w:p>
    <w:p>
      <w:pPr>
        <w:ind w:left="2120" w:right="499" w:hanging="418"/>
        <w:spacing w:after="0" w:line="269" w:lineRule="auto"/>
        <w:tabs>
          <w:tab w:leader="none" w:pos="21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mortgage of any property or assets to secure indebtedness of the pollution control, industrial revenue or other revenue bond type;</w:t>
      </w:r>
    </w:p>
    <w:p>
      <w:pPr>
        <w:spacing w:after="0" w:line="6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0159"/>
          </w:cols>
          <w:pgMar w:left="300" w:top="385"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2120" w:right="339" w:hanging="418"/>
        <w:spacing w:after="0" w:line="246" w:lineRule="auto"/>
        <w:tabs>
          <w:tab w:leader="none" w:pos="21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63" w:lineRule="exact"/>
        <w:rPr>
          <w:rFonts w:ascii="Arial" w:cs="Arial" w:eastAsia="Arial" w:hAnsi="Arial"/>
          <w:sz w:val="14"/>
          <w:szCs w:val="14"/>
          <w:color w:val="auto"/>
        </w:rPr>
      </w:pPr>
    </w:p>
    <w:p>
      <w:pPr>
        <w:ind w:left="2120" w:right="459" w:hanging="418"/>
        <w:spacing w:after="0" w:line="269" w:lineRule="auto"/>
        <w:tabs>
          <w:tab w:leader="none" w:pos="21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47" w:lineRule="exact"/>
        <w:rPr>
          <w:rFonts w:ascii="Arial" w:cs="Arial" w:eastAsia="Arial" w:hAnsi="Arial"/>
          <w:sz w:val="14"/>
          <w:szCs w:val="14"/>
          <w:color w:val="auto"/>
        </w:rPr>
      </w:pPr>
    </w:p>
    <w:p>
      <w:pPr>
        <w:ind w:left="2120" w:hanging="418"/>
        <w:spacing w:after="0"/>
        <w:tabs>
          <w:tab w:leader="none" w:pos="21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mortgages created in connection with the acquisition of property or assets, or a project financed with, non-recourse debt; and</w:t>
      </w:r>
    </w:p>
    <w:p>
      <w:pPr>
        <w:spacing w:after="0" w:line="90" w:lineRule="exact"/>
        <w:rPr>
          <w:rFonts w:ascii="Arial" w:cs="Arial" w:eastAsia="Arial" w:hAnsi="Arial"/>
          <w:sz w:val="14"/>
          <w:szCs w:val="14"/>
          <w:color w:val="auto"/>
        </w:rPr>
      </w:pPr>
    </w:p>
    <w:p>
      <w:pPr>
        <w:ind w:left="2120" w:right="339" w:hanging="418"/>
        <w:spacing w:after="0" w:line="246" w:lineRule="auto"/>
        <w:tabs>
          <w:tab w:leader="none" w:pos="21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any extension, renewal or replacement (or successive extensions, renewals or replacements), as a whole or in part, of any mortgage referred to in the foregoing clauses, inclusive; provided, that such extension, renewal or replacement mortgage will be limited to all or a part of the same property or assets that secured the mortgage extended, renewed or replaced, plus improvements on such property or assets.</w:t>
      </w:r>
    </w:p>
    <w:p>
      <w:pPr>
        <w:spacing w:after="0" w:line="137"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The foregoing covenant and certain other provisions of the indenture use the following defined terms.</w:t>
      </w:r>
    </w:p>
    <w:p>
      <w:pPr>
        <w:spacing w:after="0" w:line="164" w:lineRule="exact"/>
        <w:rPr>
          <w:sz w:val="20"/>
          <w:szCs w:val="20"/>
          <w:color w:val="auto"/>
        </w:rPr>
      </w:pPr>
    </w:p>
    <w:p>
      <w:pPr>
        <w:ind w:left="1360" w:right="239" w:firstLine="342"/>
        <w:spacing w:after="0" w:line="241" w:lineRule="auto"/>
        <w:rPr>
          <w:sz w:val="20"/>
          <w:szCs w:val="20"/>
          <w:color w:val="auto"/>
        </w:rPr>
      </w:pPr>
      <w:r>
        <w:rPr>
          <w:rFonts w:ascii="Arial" w:cs="Arial" w:eastAsia="Arial" w:hAnsi="Arial"/>
          <w:sz w:val="14"/>
          <w:szCs w:val="14"/>
          <w:color w:val="auto"/>
        </w:rPr>
        <w:t>“capital stock” means (a) in the case of a corporation, corporate stock;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41" w:lineRule="exact"/>
        <w:rPr>
          <w:sz w:val="20"/>
          <w:szCs w:val="20"/>
          <w:color w:val="auto"/>
        </w:rPr>
      </w:pPr>
    </w:p>
    <w:p>
      <w:pPr>
        <w:ind w:left="1360" w:right="279" w:firstLine="342"/>
        <w:spacing w:after="0" w:line="269" w:lineRule="auto"/>
        <w:rPr>
          <w:sz w:val="20"/>
          <w:szCs w:val="20"/>
          <w:color w:val="auto"/>
        </w:rPr>
      </w:pPr>
      <w:r>
        <w:rPr>
          <w:rFonts w:ascii="Arial" w:cs="Arial" w:eastAsia="Arial" w:hAnsi="Arial"/>
          <w:sz w:val="14"/>
          <w:szCs w:val="14"/>
          <w:color w:val="auto"/>
        </w:rPr>
        <w:t>“consolidated net worth” means the amount of total stockholders’ equity shown in the Guarantor’s most recent quarterly consolidated statement of financial position.</w:t>
      </w:r>
    </w:p>
    <w:p>
      <w:pPr>
        <w:spacing w:after="0" w:line="121" w:lineRule="exact"/>
        <w:rPr>
          <w:sz w:val="20"/>
          <w:szCs w:val="20"/>
          <w:color w:val="auto"/>
        </w:rPr>
      </w:pPr>
    </w:p>
    <w:p>
      <w:pPr>
        <w:ind w:left="1360" w:right="479" w:firstLine="342"/>
        <w:spacing w:after="0" w:line="269" w:lineRule="auto"/>
        <w:rPr>
          <w:sz w:val="20"/>
          <w:szCs w:val="20"/>
          <w:color w:val="auto"/>
        </w:rPr>
      </w:pPr>
      <w:r>
        <w:rPr>
          <w:rFonts w:ascii="Arial" w:cs="Arial" w:eastAsia="Arial" w:hAnsi="Arial"/>
          <w:sz w:val="14"/>
          <w:szCs w:val="14"/>
          <w:color w:val="auto"/>
        </w:rPr>
        <w:t>“mortgage” means and includes any mortgage, pledge, lien, security interest, conditional sale or other title retention agreement or other similar encumbrance.</w:t>
      </w:r>
    </w:p>
    <w:p>
      <w:pPr>
        <w:spacing w:after="0" w:line="121" w:lineRule="exact"/>
        <w:rPr>
          <w:sz w:val="20"/>
          <w:szCs w:val="20"/>
          <w:color w:val="auto"/>
        </w:rPr>
      </w:pPr>
    </w:p>
    <w:p>
      <w:pPr>
        <w:ind w:left="1360" w:right="259" w:firstLine="342"/>
        <w:spacing w:after="0" w:line="280" w:lineRule="auto"/>
        <w:rPr>
          <w:sz w:val="20"/>
          <w:szCs w:val="20"/>
          <w:color w:val="auto"/>
        </w:rPr>
      </w:pPr>
      <w:r>
        <w:rPr>
          <w:rFonts w:ascii="Arial" w:cs="Arial" w:eastAsia="Arial" w:hAnsi="Arial"/>
          <w:sz w:val="13"/>
          <w:szCs w:val="13"/>
          <w:color w:val="auto"/>
        </w:rPr>
        <w:t>“non-recourse debt” means indebtedness as to which (a) none of the Company, the Guarantor and its subsidiaries (x) provides credit support of any kind or (y) is directly or indirectly liable as a guarantor or otherwise and (b) as to which the lenders have been notified in writing that they will not have any recourse to the stock or assets of the Company, the Guarantor or any of its other subsidiaries.</w:t>
      </w:r>
    </w:p>
    <w:p>
      <w:pPr>
        <w:spacing w:after="0" w:line="116" w:lineRule="exact"/>
        <w:rPr>
          <w:sz w:val="20"/>
          <w:szCs w:val="20"/>
          <w:color w:val="auto"/>
        </w:rPr>
      </w:pPr>
    </w:p>
    <w:p>
      <w:pPr>
        <w:ind w:left="1360" w:right="719" w:firstLine="342"/>
        <w:spacing w:after="0" w:line="308" w:lineRule="auto"/>
        <w:rPr>
          <w:sz w:val="20"/>
          <w:szCs w:val="20"/>
          <w:color w:val="auto"/>
        </w:rPr>
      </w:pPr>
      <w:r>
        <w:rPr>
          <w:rFonts w:ascii="Arial" w:cs="Arial" w:eastAsia="Arial" w:hAnsi="Arial"/>
          <w:sz w:val="13"/>
          <w:szCs w:val="13"/>
          <w:color w:val="auto"/>
        </w:rPr>
        <w:t>“person”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99" w:lineRule="exact"/>
        <w:rPr>
          <w:sz w:val="20"/>
          <w:szCs w:val="20"/>
          <w:color w:val="auto"/>
        </w:rPr>
      </w:pPr>
    </w:p>
    <w:p>
      <w:pPr>
        <w:ind w:left="1360" w:right="299" w:firstLine="342"/>
        <w:spacing w:after="0" w:line="243" w:lineRule="auto"/>
        <w:rPr>
          <w:sz w:val="20"/>
          <w:szCs w:val="20"/>
          <w:color w:val="auto"/>
        </w:rPr>
      </w:pPr>
      <w:r>
        <w:rPr>
          <w:rFonts w:ascii="Arial" w:cs="Arial" w:eastAsia="Arial" w:hAnsi="Arial"/>
          <w:sz w:val="14"/>
          <w:szCs w:val="14"/>
          <w:color w:val="auto"/>
        </w:rPr>
        <w:t>“restricted property” means any real property, manufacturing plant, warehouse, office building or other physical facility, or any item of marine, transportation or construction equipment or other like depreciable assets of the Guarantor or any of its restricted subsidiaries, whether owned on or acquired after the Issue Date, unless, in the opinion of the board of directors of the Guarantor, such plant or facility or other asset is not of material importance to the total business conducted by the Guarantor and its restricted subsidiaries taken as a whole.</w:t>
      </w:r>
    </w:p>
    <w:p>
      <w:pPr>
        <w:spacing w:after="0" w:line="139"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“restricted subsidiary” means any subsidiary of the Guarantor which owns a restricted property.</w:t>
      </w:r>
    </w:p>
    <w:p>
      <w:pPr>
        <w:spacing w:after="0" w:line="11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0159"/>
          </w:cols>
          <w:pgMar w:left="300" w:top="385"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right="239" w:firstLine="342"/>
        <w:spacing w:after="0" w:line="256" w:lineRule="auto"/>
        <w:rPr>
          <w:sz w:val="20"/>
          <w:szCs w:val="20"/>
          <w:color w:val="auto"/>
        </w:rPr>
      </w:pPr>
      <w:r>
        <w:rPr>
          <w:rFonts w:ascii="Arial" w:cs="Arial" w:eastAsia="Arial" w:hAnsi="Arial"/>
          <w:sz w:val="13"/>
          <w:szCs w:val="13"/>
          <w:color w:val="auto"/>
        </w:rPr>
        <w:t>“subsidiary”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w:t>
      </w:r>
    </w:p>
    <w:p>
      <w:pPr>
        <w:spacing w:after="0" w:line="3" w:lineRule="exact"/>
        <w:rPr>
          <w:sz w:val="20"/>
          <w:szCs w:val="20"/>
          <w:color w:val="auto"/>
        </w:rPr>
      </w:pPr>
    </w:p>
    <w:p>
      <w:pPr>
        <w:ind w:left="1360" w:right="259" w:firstLine="7"/>
        <w:spacing w:after="0" w:line="239" w:lineRule="auto"/>
        <w:tabs>
          <w:tab w:leader="none" w:pos="1562" w:val="left"/>
        </w:tabs>
        <w:numPr>
          <w:ilvl w:val="0"/>
          <w:numId w:val="15"/>
        </w:numPr>
        <w:rPr>
          <w:rFonts w:ascii="Arial" w:cs="Arial" w:eastAsia="Arial" w:hAnsi="Arial"/>
          <w:sz w:val="14"/>
          <w:szCs w:val="14"/>
          <w:color w:val="auto"/>
        </w:rPr>
      </w:pPr>
      <w:r>
        <w:rPr>
          <w:rFonts w:ascii="Arial" w:cs="Arial" w:eastAsia="Arial" w:hAnsi="Arial"/>
          <w:sz w:val="14"/>
          <w:szCs w:val="14"/>
          <w:color w:val="auto"/>
        </w:rPr>
        <w:t>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Consolidation, Merger and Sale of Assets</w:t>
      </w:r>
    </w:p>
    <w:p>
      <w:pPr>
        <w:spacing w:after="0" w:line="80" w:lineRule="exact"/>
        <w:rPr>
          <w:sz w:val="20"/>
          <w:szCs w:val="20"/>
          <w:color w:val="auto"/>
        </w:rPr>
      </w:pPr>
    </w:p>
    <w:p>
      <w:pPr>
        <w:ind w:left="1360" w:right="259" w:firstLine="342"/>
        <w:spacing w:after="0" w:line="241" w:lineRule="auto"/>
        <w:rPr>
          <w:sz w:val="20"/>
          <w:szCs w:val="20"/>
          <w:color w:val="auto"/>
        </w:rPr>
      </w:pPr>
      <w:r>
        <w:rPr>
          <w:rFonts w:ascii="Arial" w:cs="Arial" w:eastAsia="Arial" w:hAnsi="Arial"/>
          <w:sz w:val="14"/>
          <w:szCs w:val="14"/>
          <w:color w:val="auto"/>
        </w:rPr>
        <w:t>Neither the Company nor the Guarantor may consolidate with or merge into any other person or transfer or lease all or substantially all of its assets to any person unless any successor or purchaser (if the Company or the Guarantor, as applicable, is not the surviving entity) expressly assumes its obligations under the debt securities by an indenture supplemental to the indenture to which the Company or the Guarantor is a party, and immediately after which, no event of default, and no event which, after notice or lapse of time, or both, would become an event of default, shall have happened and be continuing. An officer’s certificate and an opinion of counsel will be delivered to the trustee, which will serve as conclusive evidence of compliance with these provisions.</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Assumption by a Subsidiary</w:t>
      </w:r>
    </w:p>
    <w:p>
      <w:pPr>
        <w:spacing w:after="0" w:line="80" w:lineRule="exact"/>
        <w:rPr>
          <w:sz w:val="20"/>
          <w:szCs w:val="20"/>
          <w:color w:val="auto"/>
        </w:rPr>
      </w:pPr>
    </w:p>
    <w:p>
      <w:pPr>
        <w:ind w:left="1360" w:right="799" w:firstLine="342"/>
        <w:spacing w:after="0" w:line="269" w:lineRule="auto"/>
        <w:rPr>
          <w:sz w:val="20"/>
          <w:szCs w:val="20"/>
          <w:color w:val="auto"/>
        </w:rPr>
      </w:pPr>
      <w:r>
        <w:rPr>
          <w:rFonts w:ascii="Arial" w:cs="Arial" w:eastAsia="Arial" w:hAnsi="Arial"/>
          <w:sz w:val="14"/>
          <w:szCs w:val="14"/>
          <w:color w:val="auto"/>
        </w:rPr>
        <w:t>Any subsidiary of the Guarantor may, at its option, assume the obligations of the Company under the indenture and the debt securities, provided that:</w:t>
      </w:r>
    </w:p>
    <w:p>
      <w:pPr>
        <w:spacing w:after="0" w:line="48" w:lineRule="exact"/>
        <w:rPr>
          <w:sz w:val="20"/>
          <w:szCs w:val="20"/>
          <w:color w:val="auto"/>
        </w:rPr>
      </w:pPr>
    </w:p>
    <w:p>
      <w:pPr>
        <w:ind w:left="2120" w:right="459" w:hanging="418"/>
        <w:spacing w:after="0" w:line="269" w:lineRule="auto"/>
        <w:tabs>
          <w:tab w:leader="none" w:pos="21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such subsidiary expressly assumes such obligations in an assumption agreement or supplemental indenture duly executed and delivered to the trustee, and</w:t>
      </w:r>
    </w:p>
    <w:p>
      <w:pPr>
        <w:spacing w:after="0" w:line="47" w:lineRule="exact"/>
        <w:rPr>
          <w:rFonts w:ascii="Arial" w:cs="Arial" w:eastAsia="Arial" w:hAnsi="Arial"/>
          <w:sz w:val="14"/>
          <w:szCs w:val="14"/>
          <w:color w:val="auto"/>
        </w:rPr>
      </w:pPr>
    </w:p>
    <w:p>
      <w:pPr>
        <w:ind w:left="2120" w:right="559" w:hanging="418"/>
        <w:spacing w:after="0" w:line="269" w:lineRule="auto"/>
        <w:tabs>
          <w:tab w:leader="none" w:pos="21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immediately after giving effect to such assumption, no event of default and no event which, after notice or lapse of time or both, would become an event of default, shall have occurred and be continuing.</w:t>
      </w:r>
    </w:p>
    <w:p>
      <w:pPr>
        <w:spacing w:after="0" w:line="121" w:lineRule="exact"/>
        <w:rPr>
          <w:sz w:val="20"/>
          <w:szCs w:val="20"/>
          <w:color w:val="auto"/>
        </w:rPr>
      </w:pPr>
    </w:p>
    <w:p>
      <w:pPr>
        <w:ind w:left="1360" w:right="399" w:firstLine="342"/>
        <w:spacing w:after="0" w:line="243" w:lineRule="auto"/>
        <w:rPr>
          <w:sz w:val="20"/>
          <w:szCs w:val="20"/>
          <w:color w:val="auto"/>
        </w:rPr>
      </w:pPr>
      <w:r>
        <w:rPr>
          <w:rFonts w:ascii="Arial" w:cs="Arial" w:eastAsia="Arial" w:hAnsi="Arial"/>
          <w:sz w:val="14"/>
          <w:szCs w:val="14"/>
          <w:color w:val="auto"/>
        </w:rPr>
        <w:t>Upon any such assumption, the person so assuming the Company’s obligations under the indenture and the debt securities will succeed to, and be substituted for, and may exercise any right and power of, the Company under such debt securities and the indenture with the same effect as if such person had been the issuer thereof, and the Company will be released from its liability as obligor under such debt securities. An officer’s certificate and an opinion of counsel will be delivered to the trustee, which will serve as conclusive evidence of compliance with these provisions.</w:t>
      </w:r>
    </w:p>
    <w:p>
      <w:pPr>
        <w:spacing w:after="0" w:line="225" w:lineRule="exact"/>
        <w:rPr>
          <w:sz w:val="20"/>
          <w:szCs w:val="20"/>
          <w:color w:val="auto"/>
        </w:rPr>
      </w:pPr>
    </w:p>
    <w:p>
      <w:pPr>
        <w:ind w:left="1360" w:right="239" w:firstLine="342"/>
        <w:spacing w:after="0"/>
        <w:rPr>
          <w:sz w:val="20"/>
          <w:szCs w:val="20"/>
          <w:color w:val="auto"/>
        </w:rPr>
      </w:pPr>
      <w:r>
        <w:rPr>
          <w:rFonts w:ascii="Arial" w:cs="Arial" w:eastAsia="Arial" w:hAnsi="Arial"/>
          <w:sz w:val="14"/>
          <w:szCs w:val="14"/>
          <w:i w:val="1"/>
          <w:iCs w:val="1"/>
          <w:color w:val="auto"/>
        </w:rPr>
        <w:t>An assumption of the Company’s obligations as the issuer of the debt securities by a subsidiary of the Guarantor may be treated for U.S. federal income tax purposes as a taxable exchange of the Company’s debt securities for new debt securities issued by such subsidiary of the Guarantor. In that event, beneficial owners of such debt securities may recognize taxable gain for U.S. federal income tax purposes, as well as other possible adverse tax consequences. Beneficial owners of debt securities who are U.S. persons for U.S. federal income tax purposes should consult their tax advisors regarding the U.S. federal, state and local income tax consequences of an assumption of the Company’s obligations as issuer of debt securities by a subsidiary of the Guarantor.</w:t>
      </w:r>
    </w:p>
    <w:p>
      <w:pPr>
        <w:spacing w:after="0" w:line="91"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0159"/>
          </w:cols>
          <w:pgMar w:left="300" w:top="385"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Events of Default</w:t>
      </w:r>
    </w:p>
    <w:p>
      <w:pPr>
        <w:spacing w:after="0" w:line="80" w:lineRule="exact"/>
        <w:rPr>
          <w:sz w:val="20"/>
          <w:szCs w:val="20"/>
          <w:color w:val="auto"/>
        </w:rPr>
      </w:pPr>
    </w:p>
    <w:p>
      <w:pPr>
        <w:ind w:left="1360" w:right="239" w:firstLine="342"/>
        <w:spacing w:after="0" w:line="269" w:lineRule="auto"/>
        <w:rPr>
          <w:sz w:val="20"/>
          <w:szCs w:val="20"/>
          <w:color w:val="auto"/>
        </w:rPr>
      </w:pPr>
      <w:r>
        <w:rPr>
          <w:rFonts w:ascii="Arial" w:cs="Arial" w:eastAsia="Arial" w:hAnsi="Arial"/>
          <w:sz w:val="14"/>
          <w:szCs w:val="14"/>
          <w:color w:val="auto"/>
        </w:rPr>
        <w:t>The following are “Events of Default” with respect to debt securities of a particular series, except to the extent provided in the officer’s certificate, supplemental indenture or resolution of the board of directors pursuant to which a series of debt securities is issued:</w:t>
      </w:r>
    </w:p>
    <w:p>
      <w:pPr>
        <w:spacing w:after="0" w:line="48" w:lineRule="exact"/>
        <w:rPr>
          <w:sz w:val="20"/>
          <w:szCs w:val="20"/>
          <w:color w:val="auto"/>
        </w:rPr>
      </w:pPr>
    </w:p>
    <w:p>
      <w:pPr>
        <w:ind w:left="2120" w:right="739" w:hanging="334"/>
        <w:spacing w:after="0" w:line="269" w:lineRule="auto"/>
        <w:tabs>
          <w:tab w:leader="none" w:pos="21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Company’s failure to pay any interest on any of the debt securities of such series within 30 days after such interest becomes due and payable;</w:t>
      </w:r>
    </w:p>
    <w:p>
      <w:pPr>
        <w:spacing w:after="0" w:line="47" w:lineRule="exact"/>
        <w:rPr>
          <w:rFonts w:ascii="Arial" w:cs="Arial" w:eastAsia="Arial" w:hAnsi="Arial"/>
          <w:sz w:val="14"/>
          <w:szCs w:val="14"/>
          <w:color w:val="auto"/>
        </w:rPr>
      </w:pPr>
    </w:p>
    <w:p>
      <w:pPr>
        <w:ind w:left="2120" w:right="359" w:hanging="334"/>
        <w:spacing w:after="0" w:line="269" w:lineRule="auto"/>
        <w:tabs>
          <w:tab w:leader="none" w:pos="21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Company’s failure to pay principal on any of the debt securities of such series at maturity, or if applicable, the redemption price, when the same become due and payable;</w:t>
      </w:r>
    </w:p>
    <w:p>
      <w:pPr>
        <w:spacing w:after="0" w:line="47" w:lineRule="exact"/>
        <w:rPr>
          <w:rFonts w:ascii="Arial" w:cs="Arial" w:eastAsia="Arial" w:hAnsi="Arial"/>
          <w:sz w:val="14"/>
          <w:szCs w:val="14"/>
          <w:color w:val="auto"/>
        </w:rPr>
      </w:pPr>
    </w:p>
    <w:p>
      <w:pPr>
        <w:ind w:left="2120" w:right="419" w:hanging="334"/>
        <w:spacing w:after="0" w:line="269" w:lineRule="auto"/>
        <w:tabs>
          <w:tab w:leader="none" w:pos="21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Company’s failure to pay any sinking fund installment as and when the same becomes due and payable by the terms of the debt securities of such series, and continuance of such default for a period of 30 days;</w:t>
      </w:r>
    </w:p>
    <w:p>
      <w:pPr>
        <w:spacing w:after="0" w:line="47" w:lineRule="exact"/>
        <w:rPr>
          <w:rFonts w:ascii="Arial" w:cs="Arial" w:eastAsia="Arial" w:hAnsi="Arial"/>
          <w:sz w:val="14"/>
          <w:szCs w:val="14"/>
          <w:color w:val="auto"/>
        </w:rPr>
      </w:pPr>
    </w:p>
    <w:p>
      <w:pPr>
        <w:ind w:left="2120" w:right="519" w:hanging="334"/>
        <w:spacing w:after="0" w:line="243" w:lineRule="auto"/>
        <w:tabs>
          <w:tab w:leader="none" w:pos="21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Company’s failure to comply with any of its covenants or agreements in any of the debt securities of such series or the indenture (other than an agreement or covenant that the Company has included in the indenture solely for the benefit of another series of debt securities that does not constitute part of the Company’s debt securities of such series) for 90 days after written notice by the trustee or by the holders of at least 25% in principal amount of all outstanding debt securities of such series of debt securities;</w:t>
      </w:r>
    </w:p>
    <w:p>
      <w:pPr>
        <w:spacing w:after="0" w:line="65" w:lineRule="exact"/>
        <w:rPr>
          <w:rFonts w:ascii="Arial" w:cs="Arial" w:eastAsia="Arial" w:hAnsi="Arial"/>
          <w:sz w:val="14"/>
          <w:szCs w:val="14"/>
          <w:color w:val="auto"/>
        </w:rPr>
      </w:pPr>
    </w:p>
    <w:p>
      <w:pPr>
        <w:ind w:left="2120" w:right="259" w:hanging="334"/>
        <w:spacing w:after="0" w:line="280" w:lineRule="auto"/>
        <w:tabs>
          <w:tab w:leader="none" w:pos="21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except as permitted by the indenture, the Guarantee of such series of the Company’s debt securities is held in any judicial proceeding to be unenforceable or invalid or ceases for any reason to be in full force and effect, or the Guarantor, or any authorized person acting on behalf of the Guarantor, denies or disaffirms the Guarantor’s obligations under its Guarantee; and</w:t>
      </w:r>
    </w:p>
    <w:p>
      <w:pPr>
        <w:spacing w:after="0" w:line="42" w:lineRule="exact"/>
        <w:rPr>
          <w:rFonts w:ascii="Arial" w:cs="Arial" w:eastAsia="Arial" w:hAnsi="Arial"/>
          <w:sz w:val="13"/>
          <w:szCs w:val="13"/>
          <w:color w:val="auto"/>
        </w:rPr>
      </w:pPr>
    </w:p>
    <w:p>
      <w:pPr>
        <w:ind w:left="2120" w:hanging="334"/>
        <w:spacing w:after="0"/>
        <w:tabs>
          <w:tab w:leader="none" w:pos="21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certain events involving bankruptcy, insolvency or reorganization of the Company or the Guarantor.</w:t>
      </w:r>
    </w:p>
    <w:p>
      <w:pPr>
        <w:spacing w:after="0" w:line="164" w:lineRule="exact"/>
        <w:rPr>
          <w:sz w:val="20"/>
          <w:szCs w:val="20"/>
          <w:color w:val="auto"/>
        </w:rPr>
      </w:pPr>
    </w:p>
    <w:p>
      <w:pPr>
        <w:ind w:left="1360" w:right="279" w:firstLine="342"/>
        <w:spacing w:after="0" w:line="246" w:lineRule="auto"/>
        <w:rPr>
          <w:sz w:val="20"/>
          <w:szCs w:val="20"/>
          <w:color w:val="auto"/>
        </w:rPr>
      </w:pPr>
      <w:r>
        <w:rPr>
          <w:rFonts w:ascii="Arial" w:cs="Arial" w:eastAsia="Arial" w:hAnsi="Arial"/>
          <w:sz w:val="14"/>
          <w:szCs w:val="14"/>
          <w:color w:val="auto"/>
        </w:rPr>
        <w:t>A default under one series of debt securities issued under the indenture will not necessarily be a default under another series of debt securities under the indenture. The trustee may withhold notice to the holders of a series of debt securities issued under the indenture of any default or event of default (except in any payment on the debt securities of such series) if the trustee considers it in the interest of the holders of the debt securities of that series to do so.</w:t>
      </w:r>
    </w:p>
    <w:p>
      <w:pPr>
        <w:spacing w:after="0" w:line="137" w:lineRule="exact"/>
        <w:rPr>
          <w:sz w:val="20"/>
          <w:szCs w:val="20"/>
          <w:color w:val="auto"/>
        </w:rPr>
      </w:pPr>
    </w:p>
    <w:p>
      <w:pPr>
        <w:ind w:left="1360" w:right="239" w:firstLine="342"/>
        <w:spacing w:after="0"/>
        <w:rPr>
          <w:sz w:val="20"/>
          <w:szCs w:val="20"/>
          <w:color w:val="auto"/>
        </w:rPr>
      </w:pPr>
      <w:r>
        <w:rPr>
          <w:rFonts w:ascii="Arial" w:cs="Arial" w:eastAsia="Arial" w:hAnsi="Arial"/>
          <w:sz w:val="14"/>
          <w:szCs w:val="14"/>
          <w:color w:val="auto"/>
        </w:rPr>
        <w:t>If an event of default for a series of the Company’s debt securities occurs and is continuing, the trustee or the holders of at least 25% in principal amount of the outstanding debt securities of that series may require the Company to pay immediately the principal amount plus accrued and unpaid interest on such debt securities of that series. If an event of default relating to certain events of bankruptcy, insolvency or reorganization occurs with respect to the Company (or with respect to the Guarantor), the principal amount plus accrued and unpaid interest on the Company’s debt securities of that series (or in the case of the Guarantor, all debt securities) will become immediately due and payable without any action on the part of the trustee or any holder. The holders of a majority in principal amount of such outstanding debt securities of such series may in some cases rescind this accelerated payment requirement.</w:t>
      </w:r>
    </w:p>
    <w:p>
      <w:pPr>
        <w:spacing w:after="0" w:line="142" w:lineRule="exact"/>
        <w:rPr>
          <w:sz w:val="20"/>
          <w:szCs w:val="20"/>
          <w:color w:val="auto"/>
        </w:rPr>
      </w:pPr>
    </w:p>
    <w:p>
      <w:pPr>
        <w:ind w:left="1360" w:right="379" w:firstLine="342"/>
        <w:spacing w:after="0" w:line="269" w:lineRule="auto"/>
        <w:rPr>
          <w:sz w:val="20"/>
          <w:szCs w:val="20"/>
          <w:color w:val="auto"/>
        </w:rPr>
      </w:pPr>
      <w:r>
        <w:rPr>
          <w:rFonts w:ascii="Arial" w:cs="Arial" w:eastAsia="Arial" w:hAnsi="Arial"/>
          <w:sz w:val="14"/>
          <w:szCs w:val="14"/>
          <w:color w:val="auto"/>
        </w:rPr>
        <w:t>A holder of debt securities of any series may pursue any remedy under the indenture applicable to the debt securities of that series only if:</w:t>
      </w:r>
    </w:p>
    <w:p>
      <w:pPr>
        <w:spacing w:after="0" w:line="48" w:lineRule="exact"/>
        <w:rPr>
          <w:sz w:val="20"/>
          <w:szCs w:val="20"/>
          <w:color w:val="auto"/>
        </w:rPr>
      </w:pPr>
    </w:p>
    <w:p>
      <w:pPr>
        <w:ind w:left="2120" w:hanging="334"/>
        <w:spacing w:after="0"/>
        <w:tabs>
          <w:tab w:leader="none" w:pos="21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holder gives the trustee written notice of a continuing event of default for such debt securities;</w:t>
      </w:r>
    </w:p>
    <w:p>
      <w:pPr>
        <w:spacing w:after="0" w:line="90" w:lineRule="exact"/>
        <w:rPr>
          <w:rFonts w:ascii="Arial" w:cs="Arial" w:eastAsia="Arial" w:hAnsi="Arial"/>
          <w:sz w:val="14"/>
          <w:szCs w:val="14"/>
          <w:color w:val="auto"/>
        </w:rPr>
      </w:pPr>
    </w:p>
    <w:p>
      <w:pPr>
        <w:ind w:left="2120" w:right="259" w:hanging="334"/>
        <w:spacing w:after="0" w:line="269" w:lineRule="auto"/>
        <w:tabs>
          <w:tab w:leader="none" w:pos="21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holders of at least 25% in principal amount of the debt securities of such series then outstanding make a written request to the trustee to pursue the remedy;</w:t>
      </w:r>
    </w:p>
    <w:p>
      <w:pPr>
        <w:spacing w:after="0" w:line="6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0159"/>
          </w:cols>
          <w:pgMar w:left="300" w:top="385"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2120" w:hanging="334"/>
        <w:spacing w:after="0"/>
        <w:tabs>
          <w:tab w:leader="none" w:pos="21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holder furnishes to the trustee indemnity reasonably satisfactory to the trustee;</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trustee fails to act for a period of 60 days after receipt of notice and furnishing of indemnity; and</w:t>
      </w:r>
    </w:p>
    <w:p>
      <w:pPr>
        <w:spacing w:after="0" w:line="90" w:lineRule="exact"/>
        <w:rPr>
          <w:rFonts w:ascii="Arial" w:cs="Arial" w:eastAsia="Arial" w:hAnsi="Arial"/>
          <w:sz w:val="14"/>
          <w:szCs w:val="14"/>
          <w:color w:val="auto"/>
        </w:rPr>
      </w:pPr>
    </w:p>
    <w:p>
      <w:pPr>
        <w:ind w:left="2120" w:right="339" w:hanging="334"/>
        <w:spacing w:after="0" w:line="269" w:lineRule="auto"/>
        <w:tabs>
          <w:tab w:leader="none" w:pos="21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during that 60-day period, the holders of a majority in principal amount of the outstanding debt securities of that series do not give the trustee a direction inconsistent with the request.</w:t>
      </w:r>
    </w:p>
    <w:p>
      <w:pPr>
        <w:spacing w:after="0" w:line="121" w:lineRule="exact"/>
        <w:rPr>
          <w:sz w:val="20"/>
          <w:szCs w:val="20"/>
          <w:color w:val="auto"/>
        </w:rPr>
      </w:pPr>
    </w:p>
    <w:p>
      <w:pPr>
        <w:ind w:left="1360" w:right="459" w:firstLine="342"/>
        <w:spacing w:after="0" w:line="269" w:lineRule="auto"/>
        <w:rPr>
          <w:sz w:val="20"/>
          <w:szCs w:val="20"/>
          <w:color w:val="auto"/>
        </w:rPr>
      </w:pPr>
      <w:r>
        <w:rPr>
          <w:rFonts w:ascii="Arial" w:cs="Arial" w:eastAsia="Arial" w:hAnsi="Arial"/>
          <w:sz w:val="14"/>
          <w:szCs w:val="14"/>
          <w:color w:val="auto"/>
        </w:rPr>
        <w:t>This provision does not, however, affect the right of any holder to sue for enforcement of any overdue payment with respect to the debt securities of such series.</w:t>
      </w:r>
    </w:p>
    <w:p>
      <w:pPr>
        <w:spacing w:after="0" w:line="121" w:lineRule="exact"/>
        <w:rPr>
          <w:sz w:val="20"/>
          <w:szCs w:val="20"/>
          <w:color w:val="auto"/>
        </w:rPr>
      </w:pPr>
    </w:p>
    <w:p>
      <w:pPr>
        <w:ind w:left="1360" w:right="259" w:firstLine="342"/>
        <w:spacing w:after="0" w:line="269" w:lineRule="auto"/>
        <w:rPr>
          <w:sz w:val="20"/>
          <w:szCs w:val="20"/>
          <w:color w:val="auto"/>
        </w:rPr>
      </w:pPr>
      <w:r>
        <w:rPr>
          <w:rFonts w:ascii="Arial" w:cs="Arial" w:eastAsia="Arial" w:hAnsi="Arial"/>
          <w:sz w:val="14"/>
          <w:szCs w:val="14"/>
          <w:color w:val="auto"/>
        </w:rPr>
        <w:t>In most cases, holders of a majority in principal amount of the outstanding debt securities of any series issued by the Company (or of all outstanding debt securities affected, voting as one class) may direct the time, method and place of:</w:t>
      </w:r>
    </w:p>
    <w:p>
      <w:pPr>
        <w:spacing w:after="0" w:line="48" w:lineRule="exact"/>
        <w:rPr>
          <w:sz w:val="20"/>
          <w:szCs w:val="20"/>
          <w:color w:val="auto"/>
        </w:rPr>
      </w:pPr>
    </w:p>
    <w:p>
      <w:pPr>
        <w:ind w:left="2120" w:hanging="334"/>
        <w:spacing w:after="0"/>
        <w:tabs>
          <w:tab w:leader="none" w:pos="21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conducting any proceeding for any remedy available to the trustee with respect to the debt securities of such series; and</w:t>
      </w:r>
    </w:p>
    <w:p>
      <w:pPr>
        <w:spacing w:after="0" w:line="90" w:lineRule="exact"/>
        <w:rPr>
          <w:rFonts w:ascii="Arial" w:cs="Arial" w:eastAsia="Arial" w:hAnsi="Arial"/>
          <w:sz w:val="14"/>
          <w:szCs w:val="14"/>
          <w:color w:val="auto"/>
        </w:rPr>
      </w:pPr>
    </w:p>
    <w:p>
      <w:pPr>
        <w:ind w:left="2120" w:right="479" w:hanging="334"/>
        <w:spacing w:after="0" w:line="269" w:lineRule="auto"/>
        <w:tabs>
          <w:tab w:leader="none" w:pos="21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exercising any trust or power conferred on the trustee not relating to or arising under an event of default with respect to the debt securities of such series.</w:t>
      </w:r>
    </w:p>
    <w:p>
      <w:pPr>
        <w:spacing w:after="0" w:line="121" w:lineRule="exact"/>
        <w:rPr>
          <w:sz w:val="20"/>
          <w:szCs w:val="20"/>
          <w:color w:val="auto"/>
        </w:rPr>
      </w:pPr>
    </w:p>
    <w:p>
      <w:pPr>
        <w:ind w:left="1360" w:right="479" w:firstLine="342"/>
        <w:spacing w:after="0" w:line="269" w:lineRule="auto"/>
        <w:rPr>
          <w:sz w:val="20"/>
          <w:szCs w:val="20"/>
          <w:color w:val="auto"/>
        </w:rPr>
      </w:pPr>
      <w:r>
        <w:rPr>
          <w:rFonts w:ascii="Arial" w:cs="Arial" w:eastAsia="Arial" w:hAnsi="Arial"/>
          <w:sz w:val="14"/>
          <w:szCs w:val="14"/>
          <w:color w:val="auto"/>
        </w:rPr>
        <w:t>The indenture requires the Company to file with the trustee each year a written statement as to its compliance with the covenants contained in the indenture.</w:t>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Modification and Waiver</w:t>
      </w:r>
    </w:p>
    <w:p>
      <w:pPr>
        <w:spacing w:after="0" w:line="80" w:lineRule="exact"/>
        <w:rPr>
          <w:sz w:val="20"/>
          <w:szCs w:val="20"/>
          <w:color w:val="auto"/>
        </w:rPr>
      </w:pPr>
    </w:p>
    <w:p>
      <w:pPr>
        <w:ind w:left="1360" w:right="239" w:firstLine="342"/>
        <w:spacing w:after="0" w:line="237" w:lineRule="auto"/>
        <w:rPr>
          <w:sz w:val="20"/>
          <w:szCs w:val="20"/>
          <w:color w:val="auto"/>
        </w:rPr>
      </w:pPr>
      <w:r>
        <w:rPr>
          <w:rFonts w:ascii="Arial" w:cs="Arial" w:eastAsia="Arial" w:hAnsi="Arial"/>
          <w:sz w:val="14"/>
          <w:szCs w:val="14"/>
          <w:color w:val="auto"/>
        </w:rPr>
        <w:t>Except as provided in the next two succeeding paragraphs, the indenture or the debt securities of any series or Guarantee may be amended or supplemented, and waivers may be obtained, with the consent of the holders of at least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 and any existing default or Event of Default (other than a default or Event of Default in the payment of the principal of, premium on, if any, interest or Additional Amounts, if any, on, debt securities of such series, except a payment default resulting from an acceleration that has been rescinded) or compliance with any provision of the indenture or the debt securities of such series or Guarantee may be waived with the consent of the holders of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 (other than in respect of a provision contained in the applicable indenture that cannot be modified or amended without the consent of the holder of each outstanding debt security affected thereby).</w:t>
      </w:r>
    </w:p>
    <w:p>
      <w:pPr>
        <w:spacing w:after="0" w:line="147" w:lineRule="exact"/>
        <w:rPr>
          <w:sz w:val="20"/>
          <w:szCs w:val="20"/>
          <w:color w:val="auto"/>
        </w:rPr>
      </w:pPr>
    </w:p>
    <w:p>
      <w:pPr>
        <w:ind w:left="1360" w:right="319" w:firstLine="342"/>
        <w:spacing w:after="0" w:line="269" w:lineRule="auto"/>
        <w:rPr>
          <w:sz w:val="20"/>
          <w:szCs w:val="20"/>
          <w:color w:val="auto"/>
        </w:rPr>
      </w:pPr>
      <w:r>
        <w:rPr>
          <w:rFonts w:ascii="Arial" w:cs="Arial" w:eastAsia="Arial" w:hAnsi="Arial"/>
          <w:sz w:val="14"/>
          <w:szCs w:val="14"/>
          <w:color w:val="auto"/>
        </w:rPr>
        <w:t>Without the consent of each holder of outstanding debt securities of any series, an amendment, supplement or waiver may not (with respect to any debt securities held by a non-consenting holder):</w:t>
      </w:r>
    </w:p>
    <w:p>
      <w:pPr>
        <w:spacing w:after="0" w:line="48" w:lineRule="exact"/>
        <w:rPr>
          <w:sz w:val="20"/>
          <w:szCs w:val="20"/>
          <w:color w:val="auto"/>
        </w:rPr>
      </w:pPr>
    </w:p>
    <w:p>
      <w:pPr>
        <w:ind w:left="2120" w:hanging="334"/>
        <w:spacing w:after="0"/>
        <w:tabs>
          <w:tab w:leader="none" w:pos="21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reduce the amount of debt securities of such series whose holders must consent to an amendment, supplement or waiver;</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reduce the rate of or change the time for payment of interest on the debt securities of such series;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reduce the principal or change the stated maturity of any debt securities of such series;</w:t>
      </w:r>
    </w:p>
    <w:p>
      <w:pPr>
        <w:spacing w:after="0" w:line="90" w:lineRule="exact"/>
        <w:rPr>
          <w:rFonts w:ascii="Arial" w:cs="Arial" w:eastAsia="Arial" w:hAnsi="Arial"/>
          <w:sz w:val="14"/>
          <w:szCs w:val="14"/>
          <w:color w:val="auto"/>
        </w:rPr>
      </w:pPr>
    </w:p>
    <w:p>
      <w:pPr>
        <w:ind w:left="2120" w:right="599" w:hanging="334"/>
        <w:spacing w:after="0" w:line="269" w:lineRule="auto"/>
        <w:tabs>
          <w:tab w:leader="none" w:pos="21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reduce any premium payable on the redemption of any debt security of such series or change the time at which any debt security of such series may or must be redeemed;</w:t>
      </w:r>
    </w:p>
    <w:p>
      <w:pPr>
        <w:spacing w:after="0" w:line="6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0159"/>
          </w:cols>
          <w:pgMar w:left="300" w:top="385"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2120" w:hanging="334"/>
        <w:spacing w:after="0"/>
        <w:tabs>
          <w:tab w:leader="none" w:pos="2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change any obligation to pay Additional Amounts on the debt securities of such series;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make payments on any debt security of such series payable in currency other than as originally stated in such debt security;</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impair the holder’s right to institute suit for the enforcement of any payment on any debt security of such series;</w:t>
      </w:r>
    </w:p>
    <w:p>
      <w:pPr>
        <w:spacing w:after="0" w:line="90" w:lineRule="exact"/>
        <w:rPr>
          <w:rFonts w:ascii="Arial" w:cs="Arial" w:eastAsia="Arial" w:hAnsi="Arial"/>
          <w:sz w:val="14"/>
          <w:szCs w:val="14"/>
          <w:color w:val="auto"/>
        </w:rPr>
      </w:pPr>
    </w:p>
    <w:p>
      <w:pPr>
        <w:ind w:left="2120" w:right="399" w:hanging="334"/>
        <w:spacing w:after="0" w:line="251" w:lineRule="auto"/>
        <w:tabs>
          <w:tab w:leader="none" w:pos="2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make any change in the percentage of principal amount of the debt securities of such series necessary to waive compliance with certain provisions of the indenture the debt securities of such series were issued under or to make any change in this provision for modification; or</w:t>
      </w:r>
    </w:p>
    <w:p>
      <w:pPr>
        <w:spacing w:after="0" w:line="60" w:lineRule="exact"/>
        <w:rPr>
          <w:rFonts w:ascii="Arial" w:cs="Arial" w:eastAsia="Arial" w:hAnsi="Arial"/>
          <w:sz w:val="14"/>
          <w:szCs w:val="14"/>
          <w:color w:val="auto"/>
        </w:rPr>
      </w:pPr>
    </w:p>
    <w:p>
      <w:pPr>
        <w:ind w:left="2120" w:hanging="334"/>
        <w:spacing w:after="0"/>
        <w:tabs>
          <w:tab w:leader="none" w:pos="2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waive a continuing default or Event of Default regarding any payment on the debt securities.</w:t>
      </w:r>
    </w:p>
    <w:p>
      <w:pPr>
        <w:spacing w:after="0" w:line="164" w:lineRule="exact"/>
        <w:rPr>
          <w:sz w:val="20"/>
          <w:szCs w:val="20"/>
          <w:color w:val="auto"/>
        </w:rPr>
      </w:pPr>
    </w:p>
    <w:p>
      <w:pPr>
        <w:ind w:left="1360" w:right="399" w:firstLine="342"/>
        <w:spacing w:after="0" w:line="251" w:lineRule="auto"/>
        <w:rPr>
          <w:sz w:val="20"/>
          <w:szCs w:val="20"/>
          <w:color w:val="auto"/>
        </w:rPr>
      </w:pPr>
      <w:r>
        <w:rPr>
          <w:rFonts w:ascii="Arial" w:cs="Arial" w:eastAsia="Arial" w:hAnsi="Arial"/>
          <w:sz w:val="14"/>
          <w:szCs w:val="14"/>
          <w:color w:val="auto"/>
        </w:rPr>
        <w:t>Notwithstanding the preceding, without the consent of any holder of debt securities of any series, the Company, the Guarantor and the trustee may amend or supplement the indenture, the applicable debt securities of any series or the Guarantee in certain circumstances, including:</w:t>
      </w:r>
    </w:p>
    <w:p>
      <w:pPr>
        <w:spacing w:after="0" w:line="61" w:lineRule="exact"/>
        <w:rPr>
          <w:sz w:val="20"/>
          <w:szCs w:val="20"/>
          <w:color w:val="auto"/>
        </w:rPr>
      </w:pPr>
    </w:p>
    <w:p>
      <w:pPr>
        <w:ind w:left="2120" w:hanging="334"/>
        <w:spacing w:after="0"/>
        <w:tabs>
          <w:tab w:leader="none" w:pos="21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to cure any ambiguity, omission, defect or inconsistency;</w:t>
      </w:r>
    </w:p>
    <w:p>
      <w:pPr>
        <w:spacing w:after="0" w:line="90" w:lineRule="exact"/>
        <w:rPr>
          <w:rFonts w:ascii="Arial" w:cs="Arial" w:eastAsia="Arial" w:hAnsi="Arial"/>
          <w:sz w:val="14"/>
          <w:szCs w:val="14"/>
          <w:color w:val="auto"/>
        </w:rPr>
      </w:pPr>
    </w:p>
    <w:p>
      <w:pPr>
        <w:ind w:left="2120" w:right="279" w:hanging="334"/>
        <w:spacing w:after="0" w:line="243" w:lineRule="auto"/>
        <w:tabs>
          <w:tab w:leader="none" w:pos="21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to provide for the assumption of the Company’s or the Guarantor’s obligations under the indenture, and such series of debt securities or the Guarantee, as applicable, by a successor upon any merger, consolidation or asset transfer in accordance with the requirements under “—Consolidation, Merger and Sale of Assets” or to provide for the assumption of the Company’s obligations under the indenture by a subsidiary of the Guarantor in accordance with the requirements under “—Assumption by a Subsidiary” above;</w:t>
      </w:r>
    </w:p>
    <w:p>
      <w:pPr>
        <w:spacing w:after="0" w:line="65" w:lineRule="exact"/>
        <w:rPr>
          <w:rFonts w:ascii="Arial" w:cs="Arial" w:eastAsia="Arial" w:hAnsi="Arial"/>
          <w:sz w:val="14"/>
          <w:szCs w:val="14"/>
          <w:color w:val="auto"/>
        </w:rPr>
      </w:pPr>
    </w:p>
    <w:p>
      <w:pPr>
        <w:ind w:left="2120" w:hanging="334"/>
        <w:spacing w:after="0"/>
        <w:tabs>
          <w:tab w:leader="none" w:pos="21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to provide for uncertificated debt securities of any series in addition to or in place of certificated debt securities;</w:t>
      </w:r>
    </w:p>
    <w:p>
      <w:pPr>
        <w:spacing w:after="0" w:line="90" w:lineRule="exact"/>
        <w:rPr>
          <w:rFonts w:ascii="Arial" w:cs="Arial" w:eastAsia="Arial" w:hAnsi="Arial"/>
          <w:sz w:val="14"/>
          <w:szCs w:val="14"/>
          <w:color w:val="auto"/>
        </w:rPr>
      </w:pPr>
    </w:p>
    <w:p>
      <w:pPr>
        <w:ind w:left="2120" w:right="899" w:hanging="334"/>
        <w:spacing w:after="0" w:line="269" w:lineRule="auto"/>
        <w:tabs>
          <w:tab w:leader="none" w:pos="21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to provide any security for or guarantees of the debt securities or for the addition of an additional obligor on the debt securities;</w:t>
      </w:r>
    </w:p>
    <w:p>
      <w:pPr>
        <w:spacing w:after="0" w:line="47" w:lineRule="exact"/>
        <w:rPr>
          <w:rFonts w:ascii="Arial" w:cs="Arial" w:eastAsia="Arial" w:hAnsi="Arial"/>
          <w:sz w:val="14"/>
          <w:szCs w:val="14"/>
          <w:color w:val="auto"/>
        </w:rPr>
      </w:pPr>
    </w:p>
    <w:p>
      <w:pPr>
        <w:ind w:left="2120" w:right="819" w:hanging="334"/>
        <w:spacing w:after="0" w:line="269" w:lineRule="auto"/>
        <w:tabs>
          <w:tab w:leader="none" w:pos="21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to comply with any requirement to effect or maintain the qualification of the indenture under the Trust Indenture Act, if applicable;</w:t>
      </w:r>
    </w:p>
    <w:p>
      <w:pPr>
        <w:spacing w:after="0" w:line="47" w:lineRule="exact"/>
        <w:rPr>
          <w:rFonts w:ascii="Arial" w:cs="Arial" w:eastAsia="Arial" w:hAnsi="Arial"/>
          <w:sz w:val="14"/>
          <w:szCs w:val="14"/>
          <w:color w:val="auto"/>
        </w:rPr>
      </w:pPr>
    </w:p>
    <w:p>
      <w:pPr>
        <w:ind w:left="2120" w:right="579" w:hanging="334"/>
        <w:spacing w:after="0" w:line="269" w:lineRule="auto"/>
        <w:tabs>
          <w:tab w:leader="none" w:pos="21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to add covenants that would benefit the holders of any outstanding series of debt securities or to surrender any rights the Company has under the indenture;</w:t>
      </w:r>
    </w:p>
    <w:p>
      <w:pPr>
        <w:spacing w:after="0" w:line="47" w:lineRule="exact"/>
        <w:rPr>
          <w:rFonts w:ascii="Arial" w:cs="Arial" w:eastAsia="Arial" w:hAnsi="Arial"/>
          <w:sz w:val="14"/>
          <w:szCs w:val="14"/>
          <w:color w:val="auto"/>
        </w:rPr>
      </w:pPr>
    </w:p>
    <w:p>
      <w:pPr>
        <w:ind w:left="2120" w:right="479" w:hanging="334"/>
        <w:spacing w:after="0" w:line="251" w:lineRule="auto"/>
        <w:tabs>
          <w:tab w:leader="none" w:pos="21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to change or eliminate any of the provisions of the indenture, provided that any such change or elimination will not become effective with respect to any outstanding debt security of any series created prior to the execution of such supplemental indenture which is entitled to the benefit of such provision;</w:t>
      </w:r>
    </w:p>
    <w:p>
      <w:pPr>
        <w:spacing w:after="0" w:line="60" w:lineRule="exact"/>
        <w:rPr>
          <w:rFonts w:ascii="Arial" w:cs="Arial" w:eastAsia="Arial" w:hAnsi="Arial"/>
          <w:sz w:val="14"/>
          <w:szCs w:val="14"/>
          <w:color w:val="auto"/>
        </w:rPr>
      </w:pPr>
    </w:p>
    <w:p>
      <w:pPr>
        <w:ind w:left="2120" w:hanging="334"/>
        <w:spacing w:after="0"/>
        <w:tabs>
          <w:tab w:leader="none" w:pos="21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to provide for the issuance of and establish forms and terms and conditions of a new series of debt securities;</w:t>
      </w:r>
    </w:p>
    <w:p>
      <w:pPr>
        <w:spacing w:after="0" w:line="90" w:lineRule="exact"/>
        <w:rPr>
          <w:rFonts w:ascii="Arial" w:cs="Arial" w:eastAsia="Arial" w:hAnsi="Arial"/>
          <w:sz w:val="14"/>
          <w:szCs w:val="14"/>
          <w:color w:val="auto"/>
        </w:rPr>
      </w:pPr>
    </w:p>
    <w:p>
      <w:pPr>
        <w:ind w:left="2120" w:right="319" w:hanging="334"/>
        <w:spacing w:after="0" w:line="269" w:lineRule="auto"/>
        <w:tabs>
          <w:tab w:leader="none" w:pos="21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to issue additional debt securities of any series; provided that such additional debt securities have the same terms as, and be deemed part of the same series as, the applicable series of debt securities to the extent required under the indenture;</w:t>
      </w:r>
    </w:p>
    <w:p>
      <w:pPr>
        <w:spacing w:after="0" w:line="47" w:lineRule="exact"/>
        <w:rPr>
          <w:rFonts w:ascii="Arial" w:cs="Arial" w:eastAsia="Arial" w:hAnsi="Arial"/>
          <w:sz w:val="14"/>
          <w:szCs w:val="14"/>
          <w:color w:val="auto"/>
        </w:rPr>
      </w:pPr>
    </w:p>
    <w:p>
      <w:pPr>
        <w:ind w:left="2120" w:right="339" w:hanging="334"/>
        <w:spacing w:after="0" w:line="251" w:lineRule="auto"/>
        <w:tabs>
          <w:tab w:leader="none" w:pos="21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to evidence and provide for the acceptance and appointment of a successor trustee with respect to the debt securities of one or more series and to add to or change any of the provisions of the indenture as are necessary to provide for or facilitate the administration of the trust by more than one trustee;</w:t>
      </w:r>
    </w:p>
    <w:p>
      <w:pPr>
        <w:spacing w:after="0" w:line="60" w:lineRule="exact"/>
        <w:rPr>
          <w:rFonts w:ascii="Arial" w:cs="Arial" w:eastAsia="Arial" w:hAnsi="Arial"/>
          <w:sz w:val="14"/>
          <w:szCs w:val="14"/>
          <w:color w:val="auto"/>
        </w:rPr>
      </w:pPr>
    </w:p>
    <w:p>
      <w:pPr>
        <w:ind w:left="2120" w:hanging="334"/>
        <w:spacing w:after="0"/>
        <w:tabs>
          <w:tab w:leader="none" w:pos="21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to add additional Events of Default with respect to any series of debt securities; and</w:t>
      </w:r>
    </w:p>
    <w:p>
      <w:pPr>
        <w:spacing w:after="0" w:line="90" w:lineRule="exact"/>
        <w:rPr>
          <w:rFonts w:ascii="Arial" w:cs="Arial" w:eastAsia="Arial" w:hAnsi="Arial"/>
          <w:sz w:val="14"/>
          <w:szCs w:val="14"/>
          <w:color w:val="auto"/>
        </w:rPr>
      </w:pPr>
    </w:p>
    <w:p>
      <w:pPr>
        <w:ind w:left="2120" w:right="779" w:hanging="334"/>
        <w:spacing w:after="0" w:line="269" w:lineRule="auto"/>
        <w:tabs>
          <w:tab w:leader="none" w:pos="21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to make any change that does not adversely affect any of its outstanding debt securities of such series in any material respect.</w:t>
      </w:r>
    </w:p>
    <w:p>
      <w:pPr>
        <w:spacing w:after="0" w:line="6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0159"/>
          </w:cols>
          <w:pgMar w:left="300" w:top="385"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2"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No Personal Liability of Directors, Officers, Employees, Stockholders and Certain Others</w:t>
      </w:r>
    </w:p>
    <w:p>
      <w:pPr>
        <w:spacing w:after="0" w:line="78" w:lineRule="exact"/>
        <w:rPr>
          <w:sz w:val="20"/>
          <w:szCs w:val="20"/>
          <w:color w:val="auto"/>
        </w:rPr>
      </w:pPr>
    </w:p>
    <w:p>
      <w:pPr>
        <w:ind w:left="1360" w:right="299" w:firstLine="342"/>
        <w:spacing w:after="0" w:line="243" w:lineRule="auto"/>
        <w:rPr>
          <w:sz w:val="20"/>
          <w:szCs w:val="20"/>
          <w:color w:val="auto"/>
        </w:rPr>
      </w:pPr>
      <w:r>
        <w:rPr>
          <w:rFonts w:ascii="Arial" w:cs="Arial" w:eastAsia="Arial" w:hAnsi="Arial"/>
          <w:sz w:val="14"/>
          <w:szCs w:val="14"/>
          <w:color w:val="auto"/>
        </w:rPr>
        <w:t>No director, officer, employee, incorporator or similar founder, stockholder or member of the Company or the Guarantor, as such, will have any liability for any obligations of the Company or the Guarantor under the applicable debt securities, indenture or Guarantee or for any claim based on, in respect of, or by reason of, such obligations or their creation. Each holder of debt securities by accepting a debt security waives and releases all such liability. The waiver and release are part of the consideration for issuance of the debt securities. The waiver may not be effective to waive liabilities under the federal securities laws.</w:t>
      </w:r>
    </w:p>
    <w:p>
      <w:pPr>
        <w:spacing w:after="0" w:line="223"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Defeasance</w:t>
      </w:r>
    </w:p>
    <w:p>
      <w:pPr>
        <w:spacing w:after="0" w:line="80" w:lineRule="exact"/>
        <w:rPr>
          <w:sz w:val="20"/>
          <w:szCs w:val="20"/>
          <w:color w:val="auto"/>
        </w:rPr>
      </w:pPr>
    </w:p>
    <w:p>
      <w:pPr>
        <w:ind w:left="1360" w:right="419" w:firstLine="342"/>
        <w:spacing w:after="0" w:line="246" w:lineRule="auto"/>
        <w:rPr>
          <w:sz w:val="20"/>
          <w:szCs w:val="20"/>
          <w:color w:val="auto"/>
        </w:rPr>
      </w:pPr>
      <w:r>
        <w:rPr>
          <w:rFonts w:ascii="Arial" w:cs="Arial" w:eastAsia="Arial" w:hAnsi="Arial"/>
          <w:sz w:val="14"/>
          <w:szCs w:val="14"/>
          <w:color w:val="auto"/>
        </w:rPr>
        <w:t>The term defeasance means the discharge of the Company from some or all of its obligations under the indenture. If the Company deposits with the trustee funds or government obligations (as defined in the indenture) sufficient to make payments on any particular series of debt securities on the dates those payments are due and payable, then, at the Company’s option, either of the following will occur:</w:t>
      </w:r>
    </w:p>
    <w:p>
      <w:pPr>
        <w:spacing w:after="0" w:line="63" w:lineRule="exact"/>
        <w:rPr>
          <w:sz w:val="20"/>
          <w:szCs w:val="20"/>
          <w:color w:val="auto"/>
        </w:rPr>
      </w:pPr>
    </w:p>
    <w:p>
      <w:pPr>
        <w:ind w:left="2120" w:right="899" w:hanging="334"/>
        <w:spacing w:after="0" w:line="269" w:lineRule="auto"/>
        <w:tabs>
          <w:tab w:leader="none" w:pos="21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it will be discharged from its obligations with respect to the debt securities of such series, except as described in the paragraph immediately below (“legal defeasance”); or</w:t>
      </w:r>
    </w:p>
    <w:p>
      <w:pPr>
        <w:spacing w:after="0" w:line="47" w:lineRule="exact"/>
        <w:rPr>
          <w:rFonts w:ascii="Arial" w:cs="Arial" w:eastAsia="Arial" w:hAnsi="Arial"/>
          <w:sz w:val="14"/>
          <w:szCs w:val="14"/>
          <w:color w:val="auto"/>
        </w:rPr>
      </w:pPr>
    </w:p>
    <w:p>
      <w:pPr>
        <w:ind w:left="2120" w:right="599" w:hanging="334"/>
        <w:spacing w:after="0" w:line="308" w:lineRule="auto"/>
        <w:tabs>
          <w:tab w:leader="none" w:pos="21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it will no longer have any obligation to comply with the restrictive covenants under the indenture with respect to the debt securities of such series, and the related Events of Default will no longer apply to the Company (“covenant defeasance”).</w:t>
      </w:r>
    </w:p>
    <w:p>
      <w:pPr>
        <w:spacing w:after="0" w:line="99" w:lineRule="exact"/>
        <w:rPr>
          <w:sz w:val="20"/>
          <w:szCs w:val="20"/>
          <w:color w:val="auto"/>
        </w:rPr>
      </w:pPr>
    </w:p>
    <w:p>
      <w:pPr>
        <w:ind w:left="1360" w:right="239" w:firstLine="342"/>
        <w:spacing w:after="0" w:line="241" w:lineRule="auto"/>
        <w:rPr>
          <w:sz w:val="20"/>
          <w:szCs w:val="20"/>
          <w:color w:val="auto"/>
        </w:rPr>
      </w:pPr>
      <w:r>
        <w:rPr>
          <w:rFonts w:ascii="Arial" w:cs="Arial" w:eastAsia="Arial" w:hAnsi="Arial"/>
          <w:sz w:val="14"/>
          <w:szCs w:val="14"/>
          <w:color w:val="auto"/>
        </w:rPr>
        <w:t>We may exercise our legal defeasance option notwithstanding our prior exercise of our covenant defeasance option. If we defease any series of debt securities, the holders of the defeased debt securities will not be entitled to the benefits of the indenture under which such debt securities were issued, except for the Company’s obligations to register the transfer or exchange of debt securities of such series, replace stolen, lost or mutilated debt securities, pay Additional Amounts, maintain paying agencies and hold moneys for payment in trust and to compensate and indemnify the trustee. In the case of covenant defeasance, the Company’s obligation to pay principal, premium and interest on the debt securities of such series will also survive.</w:t>
      </w:r>
    </w:p>
    <w:p>
      <w:pPr>
        <w:spacing w:after="0" w:line="141" w:lineRule="exact"/>
        <w:rPr>
          <w:sz w:val="20"/>
          <w:szCs w:val="20"/>
          <w:color w:val="auto"/>
        </w:rPr>
      </w:pPr>
    </w:p>
    <w:p>
      <w:pPr>
        <w:jc w:val="both"/>
        <w:ind w:left="1360" w:right="339" w:firstLine="342"/>
        <w:spacing w:after="0" w:line="246" w:lineRule="auto"/>
        <w:rPr>
          <w:sz w:val="20"/>
          <w:szCs w:val="20"/>
          <w:color w:val="auto"/>
        </w:rPr>
      </w:pPr>
      <w:r>
        <w:rPr>
          <w:rFonts w:ascii="Arial" w:cs="Arial" w:eastAsia="Arial" w:hAnsi="Arial"/>
          <w:sz w:val="14"/>
          <w:szCs w:val="14"/>
          <w:color w:val="auto"/>
        </w:rPr>
        <w:t>In addition to the other requirements, we will be required to deliver to the trustee an opinion of counsel that the deposit and related defeasance would not cause the beneficial owners of the debt securities of such series to recognize income, gain or loss for U.S. federal income tax purposes. If the Company elects legal defeasance, that opinion of counsel must be based upon a ruling from the U.S. Internal Revenue Service addressed to the Company or trustee or a change in law to that effect.</w:t>
      </w:r>
    </w:p>
    <w:p>
      <w:pPr>
        <w:spacing w:after="0" w:line="221"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Concerning the Trustee</w:t>
      </w:r>
    </w:p>
    <w:p>
      <w:pPr>
        <w:spacing w:after="0" w:line="80" w:lineRule="exact"/>
        <w:rPr>
          <w:sz w:val="20"/>
          <w:szCs w:val="20"/>
          <w:color w:val="auto"/>
        </w:rPr>
      </w:pPr>
    </w:p>
    <w:p>
      <w:pPr>
        <w:ind w:left="1360" w:right="359" w:firstLine="342"/>
        <w:spacing w:after="0" w:line="269" w:lineRule="auto"/>
        <w:rPr>
          <w:sz w:val="20"/>
          <w:szCs w:val="20"/>
          <w:color w:val="auto"/>
        </w:rPr>
      </w:pPr>
      <w:r>
        <w:rPr>
          <w:rFonts w:ascii="Arial" w:cs="Arial" w:eastAsia="Arial" w:hAnsi="Arial"/>
          <w:sz w:val="14"/>
          <w:szCs w:val="14"/>
          <w:color w:val="auto"/>
        </w:rPr>
        <w:t>The Bank of New York Mellon is trustee under the indenture. The trustee performs services for the Guarantor and its subsidiaries in the ordinary course of business.</w:t>
      </w:r>
    </w:p>
    <w:p>
      <w:pPr>
        <w:spacing w:after="0" w:line="121" w:lineRule="exact"/>
        <w:rPr>
          <w:sz w:val="20"/>
          <w:szCs w:val="20"/>
          <w:color w:val="auto"/>
        </w:rPr>
      </w:pPr>
    </w:p>
    <w:p>
      <w:pPr>
        <w:ind w:left="1360" w:right="319" w:firstLine="342"/>
        <w:spacing w:after="0" w:line="246" w:lineRule="auto"/>
        <w:rPr>
          <w:sz w:val="20"/>
          <w:szCs w:val="20"/>
          <w:color w:val="auto"/>
        </w:rPr>
      </w:pPr>
      <w:r>
        <w:rPr>
          <w:rFonts w:ascii="Arial" w:cs="Arial" w:eastAsia="Arial" w:hAnsi="Arial"/>
          <w:sz w:val="14"/>
          <w:szCs w:val="14"/>
          <w:color w:val="auto"/>
        </w:rPr>
        <w:t>If an Event of Default occurs and is continuing, the trustee will be required to use the degree of care and skill of a prudent person in the conduct of his or her own affairs. The trustee will become obligated to exercise any of its powers under the indenture at the request of any of the holders of any debt securities issued under the indenture only after those holders have furnished the trustee indemnity reasonably satisfactory to it.</w:t>
      </w:r>
    </w:p>
    <w:p>
      <w:pPr>
        <w:spacing w:after="0" w:line="137" w:lineRule="exact"/>
        <w:rPr>
          <w:sz w:val="20"/>
          <w:szCs w:val="20"/>
          <w:color w:val="auto"/>
        </w:rPr>
      </w:pPr>
    </w:p>
    <w:p>
      <w:pPr>
        <w:ind w:left="1360" w:right="339" w:firstLine="342"/>
        <w:spacing w:after="0" w:line="269" w:lineRule="auto"/>
        <w:rPr>
          <w:sz w:val="20"/>
          <w:szCs w:val="20"/>
          <w:color w:val="auto"/>
        </w:rPr>
      </w:pPr>
      <w:r>
        <w:rPr>
          <w:rFonts w:ascii="Arial" w:cs="Arial" w:eastAsia="Arial" w:hAnsi="Arial"/>
          <w:sz w:val="14"/>
          <w:szCs w:val="14"/>
          <w:color w:val="auto"/>
        </w:rPr>
        <w:t>If the trustee becomes a creditor of the Company, it will be subject to limitations in the indenture to which the Company is a party on its rights to obtain payment of claims or to realize on certain property</w:t>
      </w:r>
    </w:p>
    <w:p>
      <w:pPr>
        <w:spacing w:after="0" w:line="6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0159"/>
          </w:cols>
          <w:pgMar w:left="300" w:top="385"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right="399"/>
        <w:spacing w:after="0" w:line="308" w:lineRule="auto"/>
        <w:rPr>
          <w:sz w:val="20"/>
          <w:szCs w:val="20"/>
          <w:color w:val="auto"/>
        </w:rPr>
      </w:pPr>
      <w:r>
        <w:rPr>
          <w:rFonts w:ascii="Arial" w:cs="Arial" w:eastAsia="Arial" w:hAnsi="Arial"/>
          <w:sz w:val="13"/>
          <w:szCs w:val="13"/>
          <w:color w:val="auto"/>
        </w:rPr>
        <w:t>received for any such claim, as security or otherwise. The trustee is permitted to engage in other transactions with us. If, however, it acquires any conflicting interest, it must eliminate such conflict, resign or obtain an order from the SEC permitting it to remain as trustee.</w:t>
      </w:r>
    </w:p>
    <w:p>
      <w:pPr>
        <w:spacing w:after="0" w:line="182"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Paying Agent and Registrar for the Debt Securities</w:t>
      </w:r>
    </w:p>
    <w:p>
      <w:pPr>
        <w:spacing w:after="0" w:line="80" w:lineRule="exact"/>
        <w:rPr>
          <w:sz w:val="20"/>
          <w:szCs w:val="20"/>
          <w:color w:val="auto"/>
        </w:rPr>
      </w:pPr>
    </w:p>
    <w:p>
      <w:pPr>
        <w:ind w:left="1360" w:right="239" w:firstLine="342"/>
        <w:spacing w:after="0" w:line="239" w:lineRule="auto"/>
        <w:rPr>
          <w:sz w:val="20"/>
          <w:szCs w:val="20"/>
          <w:color w:val="auto"/>
        </w:rPr>
      </w:pPr>
      <w:r>
        <w:rPr>
          <w:rFonts w:ascii="Arial" w:cs="Arial" w:eastAsia="Arial" w:hAnsi="Arial"/>
          <w:sz w:val="14"/>
          <w:szCs w:val="14"/>
          <w:color w:val="auto"/>
        </w:rPr>
        <w:t>We will maintain one or more paying agents (each, a “Paying Agent”) for any debt securities we issue in the Borough of Manhattan, City of New York. We will also maintain a Paying Agent in a member state of the European Union that is not obligated to withhold or deduct tax pursuant to the European Union Directive 2003/48/EC or any other directive implementing the conclusions of the ECOFIN Council meeting of 26 and 27 November 2000 on the taxation of savings income, or any law implementing, or complying with or introduced in order to conform to, such directive. Upon written notice to the trustee accompanied by an officer’s certificate, we may appoint one or more Paying Agents, other than the trustee, for all or any series of such debt securities. If we fail to appoint or maintain another entity as Paying Agent, the trustee will act as such. The Company, the Guarantor or any of the Guarantor’s subsidiaries, upon notice to the trustee, may act as Paying Agent.</w:t>
      </w:r>
    </w:p>
    <w:p>
      <w:pPr>
        <w:spacing w:after="0" w:line="143" w:lineRule="exact"/>
        <w:rPr>
          <w:sz w:val="20"/>
          <w:szCs w:val="20"/>
          <w:color w:val="auto"/>
        </w:rPr>
      </w:pPr>
    </w:p>
    <w:p>
      <w:pPr>
        <w:ind w:left="1360" w:right="259" w:firstLine="342"/>
        <w:spacing w:after="0" w:line="246" w:lineRule="auto"/>
        <w:rPr>
          <w:sz w:val="20"/>
          <w:szCs w:val="20"/>
          <w:color w:val="auto"/>
        </w:rPr>
      </w:pPr>
      <w:r>
        <w:rPr>
          <w:rFonts w:ascii="Arial" w:cs="Arial" w:eastAsia="Arial" w:hAnsi="Arial"/>
          <w:sz w:val="14"/>
          <w:szCs w:val="14"/>
          <w:color w:val="auto"/>
        </w:rPr>
        <w:t>We will also maintain one or more registrars (each, a “Registrar”) with an office in the Borough of Manhattan, City of New York. Upon written notice to the trustee accompanied by an officer’s certificate, we may appoint one or more registrars, other than the trustee, for all or any series of debt securities. If we fail to appoint or maintain another entity as registrar, the trustee will act as such. The Company, the Guarantor or any of the Guarantor’s subsidiaries, upon notice to the trustee, may act as registrar.</w:t>
      </w:r>
    </w:p>
    <w:p>
      <w:pPr>
        <w:spacing w:after="0" w:line="137" w:lineRule="exact"/>
        <w:rPr>
          <w:sz w:val="20"/>
          <w:szCs w:val="20"/>
          <w:color w:val="auto"/>
        </w:rPr>
      </w:pPr>
    </w:p>
    <w:p>
      <w:pPr>
        <w:ind w:left="1360" w:right="259" w:firstLine="342"/>
        <w:spacing w:after="0" w:line="243" w:lineRule="auto"/>
        <w:rPr>
          <w:sz w:val="20"/>
          <w:szCs w:val="20"/>
          <w:color w:val="auto"/>
        </w:rPr>
      </w:pPr>
      <w:r>
        <w:rPr>
          <w:rFonts w:ascii="Arial" w:cs="Arial" w:eastAsia="Arial" w:hAnsi="Arial"/>
          <w:sz w:val="14"/>
          <w:szCs w:val="14"/>
          <w:color w:val="auto"/>
        </w:rPr>
        <w:t>We will also maintain a transfer agent with an office in the Borough of Manhattan, City of New York. Each transfer agent will perform the functions of a transfer agent. Upon written notice to the trustee accompanied by an officer’s certificate, we may appoint one or more transfer agents, other than the trustee, for all or any series of debt securities. If we fail to appoint or maintain another entity as transfer agent, the trustee will act as such. The Company, the Guarantor or any of the Guarantor’s subsidiaries, upon notice to the trustee, may act as transfer agent.</w:t>
      </w:r>
    </w:p>
    <w:p>
      <w:pPr>
        <w:spacing w:after="0" w:line="139" w:lineRule="exact"/>
        <w:rPr>
          <w:sz w:val="20"/>
          <w:szCs w:val="20"/>
          <w:color w:val="auto"/>
        </w:rPr>
      </w:pPr>
    </w:p>
    <w:p>
      <w:pPr>
        <w:ind w:left="1360" w:right="359" w:firstLine="342"/>
        <w:spacing w:after="0" w:line="269" w:lineRule="auto"/>
        <w:rPr>
          <w:sz w:val="20"/>
          <w:szCs w:val="20"/>
          <w:color w:val="auto"/>
        </w:rPr>
      </w:pPr>
      <w:r>
        <w:rPr>
          <w:rFonts w:ascii="Arial" w:cs="Arial" w:eastAsia="Arial" w:hAnsi="Arial"/>
          <w:sz w:val="14"/>
          <w:szCs w:val="14"/>
          <w:color w:val="auto"/>
        </w:rPr>
        <w:t>The Registrar will maintain a register reflecting ownership of debt securities outstanding from time to time and the Paying Agent will make payments on and facilitate transfer of debt securities on our behalf.</w:t>
      </w:r>
    </w:p>
    <w:p>
      <w:pPr>
        <w:spacing w:after="0" w:line="121"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We may change any Paying Agents, Registrars or transfer agents without prior notice to the holders of debt securities.</w:t>
      </w:r>
    </w:p>
    <w:p>
      <w:pPr>
        <w:spacing w:after="0" w:line="248"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Book-Entry, Delivery and Form</w:t>
      </w:r>
    </w:p>
    <w:p>
      <w:pPr>
        <w:spacing w:after="0" w:line="80" w:lineRule="exact"/>
        <w:rPr>
          <w:sz w:val="20"/>
          <w:szCs w:val="20"/>
          <w:color w:val="auto"/>
        </w:rPr>
      </w:pPr>
    </w:p>
    <w:p>
      <w:pPr>
        <w:ind w:left="1360" w:right="479" w:firstLine="342"/>
        <w:spacing w:after="0" w:line="243" w:lineRule="auto"/>
        <w:rPr>
          <w:sz w:val="20"/>
          <w:szCs w:val="20"/>
          <w:color w:val="auto"/>
        </w:rPr>
      </w:pPr>
      <w:r>
        <w:rPr>
          <w:rFonts w:ascii="Arial" w:cs="Arial" w:eastAsia="Arial" w:hAnsi="Arial"/>
          <w:sz w:val="14"/>
          <w:szCs w:val="14"/>
          <w:color w:val="auto"/>
        </w:rPr>
        <w:t>The debt securities of a series may be issued in whole or in part in the form of one or more global securities that will be deposited with, or on behalf of, a depository (a “Debt Depository”) identified in the applicable prospectus supplement. Global securities may be issued in either registered or bearer form and in either temporary or permanent form. Unless otherwise provided in such prospectus supplement, debt securities that are represented by a global security will be issued in authorized denominations and will be issued in registered form only, without coupons.</w:t>
      </w:r>
    </w:p>
    <w:p>
      <w:pPr>
        <w:spacing w:after="0" w:line="139" w:lineRule="exact"/>
        <w:rPr>
          <w:sz w:val="20"/>
          <w:szCs w:val="20"/>
          <w:color w:val="auto"/>
        </w:rPr>
      </w:pPr>
    </w:p>
    <w:p>
      <w:pPr>
        <w:ind w:left="1360" w:right="259" w:firstLine="342"/>
        <w:spacing w:after="0" w:line="243" w:lineRule="auto"/>
        <w:rPr>
          <w:sz w:val="20"/>
          <w:szCs w:val="20"/>
          <w:color w:val="auto"/>
        </w:rPr>
      </w:pPr>
      <w:r>
        <w:rPr>
          <w:rFonts w:ascii="Arial" w:cs="Arial" w:eastAsia="Arial" w:hAnsi="Arial"/>
          <w:sz w:val="14"/>
          <w:szCs w:val="14"/>
          <w:color w:val="auto"/>
        </w:rPr>
        <w:t>We anticipate that the Debt Depository for the debt securities will be, and any global securities will be deposited with, or on behalf of, The Depository Trust Company (“DTC”), and that such global securities will be registered in the name of Cede &amp; Co., DTC’s nominee. We further anticipate that the following provisions will apply to the depository arrangements with respect to any such global securities. Any additional or differing terms of the depository arrangements will be described in the prospectus supplement relating to a particular series of debt securities issued in the form of global securities.</w:t>
      </w:r>
    </w:p>
    <w:p>
      <w:pPr>
        <w:spacing w:after="0" w:line="8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0159"/>
          </w:cols>
          <w:pgMar w:left="300" w:top="385"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right="239" w:firstLine="342"/>
        <w:spacing w:after="0" w:line="269" w:lineRule="auto"/>
        <w:rPr>
          <w:sz w:val="20"/>
          <w:szCs w:val="20"/>
          <w:color w:val="auto"/>
        </w:rPr>
      </w:pPr>
      <w:r>
        <w:rPr>
          <w:rFonts w:ascii="Arial" w:cs="Arial" w:eastAsia="Arial" w:hAnsi="Arial"/>
          <w:sz w:val="14"/>
          <w:szCs w:val="14"/>
          <w:color w:val="auto"/>
        </w:rPr>
        <w:t>Beneficial interests in the global securities will be represented through book-entry accounts of financial institutions acting on behalf of beneficial owners as direct or indirect participants in DTC.</w:t>
      </w:r>
    </w:p>
    <w:p>
      <w:pPr>
        <w:spacing w:after="0" w:line="121" w:lineRule="exact"/>
        <w:rPr>
          <w:sz w:val="20"/>
          <w:szCs w:val="20"/>
          <w:color w:val="auto"/>
        </w:rPr>
      </w:pPr>
    </w:p>
    <w:p>
      <w:pPr>
        <w:ind w:left="1360" w:right="319" w:firstLine="342"/>
        <w:spacing w:after="0" w:line="239" w:lineRule="auto"/>
        <w:rPr>
          <w:sz w:val="20"/>
          <w:szCs w:val="20"/>
          <w:color w:val="auto"/>
        </w:rPr>
      </w:pPr>
      <w:r>
        <w:rPr>
          <w:rFonts w:ascii="Arial" w:cs="Arial" w:eastAsia="Arial" w:hAnsi="Arial"/>
          <w:sz w:val="14"/>
          <w:szCs w:val="14"/>
          <w:color w:val="auto"/>
        </w:rPr>
        <w:t>Investors may elect to hold their interests in the global securities in DTC (in the United States) through its direct and indirect participants, including Euroclear Bank SA/NV, or “Euroclear,” and Clearstream Banking S.A., or “Clearstream.” Investors may hold their interests in the global securities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 U.S. depositaries, which in turn will hold these interests in customers’ securities accounts in the depositaries’ names on the books of DTC. Beneficial interests in the global securities will be held in authorized denominations. Except as set forth below, the global securities may be transferred, in whole and not in part, only to another nominee of DTC or to a successor of DTC or its nominee.</w:t>
      </w:r>
    </w:p>
    <w:p>
      <w:pPr>
        <w:spacing w:after="0" w:line="143"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Debt securities represented by a global security can be exchanged for definitive securities in registered form only if:</w:t>
      </w:r>
    </w:p>
    <w:p>
      <w:pPr>
        <w:spacing w:after="0" w:line="91" w:lineRule="exact"/>
        <w:rPr>
          <w:sz w:val="20"/>
          <w:szCs w:val="20"/>
          <w:color w:val="auto"/>
        </w:rPr>
      </w:pPr>
    </w:p>
    <w:p>
      <w:pPr>
        <w:ind w:left="2120" w:right="479" w:hanging="334"/>
        <w:spacing w:after="0" w:line="269" w:lineRule="auto"/>
        <w:tabs>
          <w:tab w:leader="none" w:pos="21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DTC notifies us that it is unwilling or unable to continue as Debt Depository for that global security and we do not appoint a successor Debt Depository within 90 days after receiving that notice;</w:t>
      </w:r>
    </w:p>
    <w:p>
      <w:pPr>
        <w:spacing w:after="0" w:line="47" w:lineRule="exact"/>
        <w:rPr>
          <w:rFonts w:ascii="Arial" w:cs="Arial" w:eastAsia="Arial" w:hAnsi="Arial"/>
          <w:sz w:val="14"/>
          <w:szCs w:val="14"/>
          <w:color w:val="auto"/>
        </w:rPr>
      </w:pPr>
    </w:p>
    <w:p>
      <w:pPr>
        <w:ind w:left="2120" w:right="259" w:hanging="334"/>
        <w:spacing w:after="0" w:line="251" w:lineRule="auto"/>
        <w:tabs>
          <w:tab w:leader="none" w:pos="21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at any time DTC ceases to be a clearing agency registered or in good standing under the Exchange Act, or other applicable statute or regulation and we do not appoint a successor depositary within 90 days after becoming aware that DTC has ceased to be registered as a clearing agency; or</w:t>
      </w:r>
    </w:p>
    <w:p>
      <w:pPr>
        <w:spacing w:after="0" w:line="60" w:lineRule="exact"/>
        <w:rPr>
          <w:rFonts w:ascii="Arial" w:cs="Arial" w:eastAsia="Arial" w:hAnsi="Arial"/>
          <w:sz w:val="14"/>
          <w:szCs w:val="14"/>
          <w:color w:val="auto"/>
        </w:rPr>
      </w:pPr>
    </w:p>
    <w:p>
      <w:pPr>
        <w:ind w:left="2120" w:right="339" w:hanging="334"/>
        <w:spacing w:after="0" w:line="269" w:lineRule="auto"/>
        <w:tabs>
          <w:tab w:leader="none" w:pos="21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determine that that global security will be exchangeable for definitive securities in registered form and notify the trustee of such decision in writing.</w:t>
      </w:r>
    </w:p>
    <w:p>
      <w:pPr>
        <w:spacing w:after="0" w:line="121" w:lineRule="exact"/>
        <w:rPr>
          <w:sz w:val="20"/>
          <w:szCs w:val="20"/>
          <w:color w:val="auto"/>
        </w:rPr>
      </w:pPr>
    </w:p>
    <w:p>
      <w:pPr>
        <w:ind w:left="1360" w:right="339" w:firstLine="342"/>
        <w:spacing w:after="0" w:line="251" w:lineRule="auto"/>
        <w:rPr>
          <w:sz w:val="20"/>
          <w:szCs w:val="20"/>
          <w:color w:val="auto"/>
        </w:rPr>
      </w:pPr>
      <w:r>
        <w:rPr>
          <w:rFonts w:ascii="Arial" w:cs="Arial" w:eastAsia="Arial" w:hAnsi="Arial"/>
          <w:sz w:val="14"/>
          <w:szCs w:val="14"/>
          <w:color w:val="auto"/>
        </w:rPr>
        <w:t>A global security that can be exchanged as described in the preceding sentence will be exchanged for definitive securities issued in authorized denominations in registered form for the same aggregate amount. The definitive securities will be registered in the names of the owners of the beneficial interests in the global security as directed by DTC.</w:t>
      </w:r>
    </w:p>
    <w:p>
      <w:pPr>
        <w:spacing w:after="0" w:line="134" w:lineRule="exact"/>
        <w:rPr>
          <w:sz w:val="20"/>
          <w:szCs w:val="20"/>
          <w:color w:val="auto"/>
        </w:rPr>
      </w:pPr>
    </w:p>
    <w:p>
      <w:pPr>
        <w:ind w:left="1360" w:right="359" w:firstLine="342"/>
        <w:spacing w:after="0" w:line="246" w:lineRule="auto"/>
        <w:rPr>
          <w:sz w:val="20"/>
          <w:szCs w:val="20"/>
          <w:color w:val="auto"/>
        </w:rPr>
      </w:pPr>
      <w:r>
        <w:rPr>
          <w:rFonts w:ascii="Arial" w:cs="Arial" w:eastAsia="Arial" w:hAnsi="Arial"/>
          <w:sz w:val="14"/>
          <w:szCs w:val="14"/>
          <w:color w:val="auto"/>
        </w:rPr>
        <w:t>We will make principal and interest payments on all debt securities represented by a global security to a Paying Agent which in turn will make payment to DTC or its nominee, as the case may be, as the sole registered owner and the sole holder of the debt securities represented by a global security for all purposes under the indenture. Accordingly, we, the Guarantor, the trustee, any Paying Agent, Registrar or transfer agent will have no responsibility or liability for:</w:t>
      </w:r>
    </w:p>
    <w:p>
      <w:pPr>
        <w:spacing w:after="0" w:line="63" w:lineRule="exact"/>
        <w:rPr>
          <w:sz w:val="20"/>
          <w:szCs w:val="20"/>
          <w:color w:val="auto"/>
        </w:rPr>
      </w:pPr>
    </w:p>
    <w:p>
      <w:pPr>
        <w:ind w:left="2120" w:right="499" w:hanging="334"/>
        <w:spacing w:after="0" w:line="269" w:lineRule="auto"/>
        <w:tabs>
          <w:tab w:leader="none" w:pos="21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any aspect of DTC’s records relating to, or payments made on account of, beneficial ownership interests in a debt security represented by a global security; or</w:t>
      </w:r>
    </w:p>
    <w:p>
      <w:pPr>
        <w:spacing w:after="0" w:line="47" w:lineRule="exact"/>
        <w:rPr>
          <w:rFonts w:ascii="Arial" w:cs="Arial" w:eastAsia="Arial" w:hAnsi="Arial"/>
          <w:sz w:val="14"/>
          <w:szCs w:val="14"/>
          <w:color w:val="auto"/>
        </w:rPr>
      </w:pPr>
    </w:p>
    <w:p>
      <w:pPr>
        <w:ind w:left="2120" w:right="279" w:hanging="334"/>
        <w:spacing w:after="0" w:line="251" w:lineRule="auto"/>
        <w:tabs>
          <w:tab w:leader="none" w:pos="21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any other aspect of the relationship between DTC and its participants or the relationship between those participants and the owners of beneficial interests in a global security held through those participants; or the maintenance, supervision or review of any of DTC’s records relating to those beneficial ownership interests.</w:t>
      </w:r>
    </w:p>
    <w:p>
      <w:pPr>
        <w:spacing w:after="0" w:line="134" w:lineRule="exact"/>
        <w:rPr>
          <w:sz w:val="20"/>
          <w:szCs w:val="20"/>
          <w:color w:val="auto"/>
        </w:rPr>
      </w:pPr>
    </w:p>
    <w:p>
      <w:pPr>
        <w:ind w:left="1360" w:right="419" w:firstLine="342"/>
        <w:spacing w:after="0" w:line="243" w:lineRule="auto"/>
        <w:rPr>
          <w:sz w:val="20"/>
          <w:szCs w:val="20"/>
          <w:color w:val="auto"/>
        </w:rPr>
      </w:pPr>
      <w:r>
        <w:rPr>
          <w:rFonts w:ascii="Arial" w:cs="Arial" w:eastAsia="Arial" w:hAnsi="Arial"/>
          <w:sz w:val="14"/>
          <w:szCs w:val="14"/>
          <w:color w:val="auto"/>
        </w:rPr>
        <w:t>DTC has advised us that its current practice is to credit participants’ accounts on each payment date with payments in amounts proportionate to their respective beneficial interests in the principal amount of such global security as shown on DTC’s records, upon DTC’s receipt of funds and corresponding detail information. The underwriters or agents for the debt securities represented by a global security will initially designate the accounts to be credited. Payments by participants to owners of beneficial interests in a global security will be governed by standing instructions and customary</w:t>
      </w:r>
    </w:p>
    <w:p>
      <w:pPr>
        <w:spacing w:after="0" w:line="8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0159"/>
          </w:cols>
          <w:pgMar w:left="300" w:top="385"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right="339"/>
        <w:spacing w:after="0" w:line="269" w:lineRule="auto"/>
        <w:rPr>
          <w:sz w:val="20"/>
          <w:szCs w:val="20"/>
          <w:color w:val="auto"/>
        </w:rPr>
      </w:pPr>
      <w:r>
        <w:rPr>
          <w:rFonts w:ascii="Arial" w:cs="Arial" w:eastAsia="Arial" w:hAnsi="Arial"/>
          <w:sz w:val="14"/>
          <w:szCs w:val="14"/>
          <w:color w:val="auto"/>
        </w:rPr>
        <w:t>practices, as is the case with securities held for customer accounts registered in “street name,” and will be the sole responsibility of those participants. Book-entry notes may be more difficult to pledge because of the lack of a physical note.</w:t>
      </w:r>
    </w:p>
    <w:p>
      <w:pPr>
        <w:spacing w:after="0" w:line="207"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DTC</w:t>
      </w:r>
    </w:p>
    <w:p>
      <w:pPr>
        <w:spacing w:after="0" w:line="78" w:lineRule="exact"/>
        <w:rPr>
          <w:sz w:val="20"/>
          <w:szCs w:val="20"/>
          <w:color w:val="auto"/>
        </w:rPr>
      </w:pPr>
    </w:p>
    <w:p>
      <w:pPr>
        <w:ind w:left="1360" w:right="259" w:firstLine="342"/>
        <w:spacing w:after="0" w:line="238" w:lineRule="auto"/>
        <w:rPr>
          <w:sz w:val="20"/>
          <w:szCs w:val="20"/>
          <w:color w:val="auto"/>
        </w:rPr>
      </w:pPr>
      <w:r>
        <w:rPr>
          <w:rFonts w:ascii="Arial" w:cs="Arial" w:eastAsia="Arial" w:hAnsi="Arial"/>
          <w:sz w:val="14"/>
          <w:szCs w:val="14"/>
          <w:color w:val="auto"/>
        </w:rPr>
        <w:t>So long as DTC or its nominee is the registered owner of a global security, DTC or its nominee, as the case may be, will be considered the sole owner and holder of the debt securities represented by that global security for all purposes of the debt securities. Except as set forth above, owners of beneficial interests in the debt securities will not be entitled to have debt securities registered in their names, will not receive or be entitled to receive physical delivery of the debt securities in definitive form and will not be considered owners or holders of debt securities under the indenture. Accordingly, each person owning a beneficial interest in a global security must rely on the procedures of DTC and, if that person is not a DTC participant, on the procedures of the participant through which that person owns its interest, to exercise any rights of a holder of debt securities. The laws of some jurisdictions require that certain purchasers of securities take physical delivery of the securities in certificated form. These laws may impair the ability to transfer beneficial interests in a global security. Beneficial owners may experience delays in receiving distributions on their debt securities since distributions will initially be made to DTC and must then be transferred through the chain of intermediaries to the beneficial owner’s account.</w:t>
      </w:r>
    </w:p>
    <w:p>
      <w:pPr>
        <w:spacing w:after="0" w:line="144" w:lineRule="exact"/>
        <w:rPr>
          <w:sz w:val="20"/>
          <w:szCs w:val="20"/>
          <w:color w:val="auto"/>
        </w:rPr>
      </w:pPr>
    </w:p>
    <w:p>
      <w:pPr>
        <w:ind w:left="1360" w:right="339" w:firstLine="342"/>
        <w:spacing w:after="0" w:line="243" w:lineRule="auto"/>
        <w:rPr>
          <w:sz w:val="20"/>
          <w:szCs w:val="20"/>
          <w:color w:val="auto"/>
        </w:rPr>
      </w:pPr>
      <w:r>
        <w:rPr>
          <w:rFonts w:ascii="Arial" w:cs="Arial" w:eastAsia="Arial" w:hAnsi="Arial"/>
          <w:sz w:val="14"/>
          <w:szCs w:val="14"/>
          <w:color w:val="auto"/>
        </w:rPr>
        <w:t>We understand that, under existing industry practices, if we request holders to take any action, or if an owner of a beneficial interest in a global security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139" w:lineRule="exact"/>
        <w:rPr>
          <w:sz w:val="20"/>
          <w:szCs w:val="20"/>
          <w:color w:val="auto"/>
        </w:rPr>
      </w:pPr>
    </w:p>
    <w:p>
      <w:pPr>
        <w:ind w:left="1360" w:right="399" w:firstLine="342"/>
        <w:spacing w:after="0" w:line="246" w:lineRule="auto"/>
        <w:rPr>
          <w:sz w:val="20"/>
          <w:szCs w:val="20"/>
          <w:color w:val="auto"/>
        </w:rPr>
      </w:pPr>
      <w:r>
        <w:rPr>
          <w:rFonts w:ascii="Arial" w:cs="Arial" w:eastAsia="Arial" w:hAnsi="Arial"/>
          <w:sz w:val="14"/>
          <w:szCs w:val="14"/>
          <w:color w:val="auto"/>
        </w:rPr>
        <w:t>Beneficial interests in a global security will be shown on, and transfers of those ownership interests will be effected only through, records maintained by DTC and its participants for that global security. The conveyance of notices and other communications by DTC to its participants and by its participants to owners of beneficial interests in the debt securities will be governed by arrangements among them, subject to any statutory or regulatory requirements in effect.</w:t>
      </w:r>
    </w:p>
    <w:p>
      <w:pPr>
        <w:spacing w:after="0" w:line="137" w:lineRule="exact"/>
        <w:rPr>
          <w:sz w:val="20"/>
          <w:szCs w:val="20"/>
          <w:color w:val="auto"/>
        </w:rPr>
      </w:pPr>
    </w:p>
    <w:p>
      <w:pPr>
        <w:jc w:val="both"/>
        <w:ind w:left="1360" w:right="319" w:firstLine="342"/>
        <w:spacing w:after="0" w:line="280" w:lineRule="auto"/>
        <w:rPr>
          <w:sz w:val="20"/>
          <w:szCs w:val="20"/>
          <w:color w:val="auto"/>
        </w:rPr>
      </w:pPr>
      <w:r>
        <w:rPr>
          <w:rFonts w:ascii="Arial" w:cs="Arial" w:eastAsia="Arial" w:hAnsi="Arial"/>
          <w:sz w:val="13"/>
          <w:szCs w:val="13"/>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w:t>
      </w:r>
    </w:p>
    <w:p>
      <w:pPr>
        <w:spacing w:after="0" w:line="116" w:lineRule="exact"/>
        <w:rPr>
          <w:sz w:val="20"/>
          <w:szCs w:val="20"/>
          <w:color w:val="auto"/>
        </w:rPr>
      </w:pPr>
    </w:p>
    <w:p>
      <w:pPr>
        <w:ind w:left="1360" w:right="319" w:firstLine="342"/>
        <w:spacing w:after="0" w:line="238" w:lineRule="auto"/>
        <w:rPr>
          <w:sz w:val="20"/>
          <w:szCs w:val="20"/>
          <w:color w:val="auto"/>
        </w:rPr>
      </w:pPr>
      <w:r>
        <w:rPr>
          <w:rFonts w:ascii="Arial" w:cs="Arial" w:eastAsia="Arial" w:hAnsi="Arial"/>
          <w:sz w:val="14"/>
          <w:szCs w:val="14"/>
          <w:color w:val="auto"/>
        </w:rPr>
        <w:t>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w:t>
      </w:r>
    </w:p>
    <w:p>
      <w:pPr>
        <w:spacing w:after="0" w:line="94"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0159"/>
          </w:cols>
          <w:pgMar w:left="300" w:top="385"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right="319" w:firstLine="342"/>
        <w:spacing w:after="0" w:line="269" w:lineRule="auto"/>
        <w:rPr>
          <w:sz w:val="20"/>
          <w:szCs w:val="20"/>
          <w:color w:val="auto"/>
        </w:rPr>
      </w:pPr>
      <w:r>
        <w:rPr>
          <w:rFonts w:ascii="Arial" w:cs="Arial" w:eastAsia="Arial" w:hAnsi="Arial"/>
          <w:sz w:val="14"/>
          <w:szCs w:val="14"/>
          <w:color w:val="auto"/>
        </w:rPr>
        <w:t>The information in this section concerning DTC and DTC’s book-entry system has been obtained from sources that we believe to be reliable, but none of us, the trustee or any of our respective agents takes any responsibility for the accuracy thereof.</w:t>
      </w:r>
    </w:p>
    <w:p>
      <w:pPr>
        <w:spacing w:after="0" w:line="207"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Clearstream</w:t>
      </w:r>
    </w:p>
    <w:p>
      <w:pPr>
        <w:spacing w:after="0" w:line="78" w:lineRule="exact"/>
        <w:rPr>
          <w:sz w:val="20"/>
          <w:szCs w:val="20"/>
          <w:color w:val="auto"/>
        </w:rPr>
      </w:pPr>
    </w:p>
    <w:p>
      <w:pPr>
        <w:ind w:left="1360" w:right="259" w:firstLine="342"/>
        <w:spacing w:after="0" w:line="237" w:lineRule="auto"/>
        <w:rPr>
          <w:sz w:val="20"/>
          <w:szCs w:val="20"/>
          <w:color w:val="auto"/>
        </w:rPr>
      </w:pPr>
      <w:r>
        <w:rPr>
          <w:rFonts w:ascii="Arial" w:cs="Arial" w:eastAsia="Arial" w:hAnsi="Arial"/>
          <w:sz w:val="14"/>
          <w:szCs w:val="14"/>
          <w:color w:val="auto"/>
        </w:rPr>
        <w:t>Clearstream has advised us that it is incorporated under the laws of Luxembourg as a professional depositary. Clearstream holds securities for its participating organizations, or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w:t>
      </w:r>
      <w:r>
        <w:rPr>
          <w:rFonts w:ascii="Arial" w:cs="Arial" w:eastAsia="Arial" w:hAnsi="Arial"/>
          <w:sz w:val="14"/>
          <w:szCs w:val="14"/>
          <w:i w:val="1"/>
          <w:iCs w:val="1"/>
          <w:color w:val="auto"/>
        </w:rPr>
        <w:t>Commission de Surveillance du Secteur</w:t>
      </w:r>
      <w:r>
        <w:rPr>
          <w:rFonts w:ascii="Arial" w:cs="Arial" w:eastAsia="Arial" w:hAnsi="Arial"/>
          <w:sz w:val="14"/>
          <w:szCs w:val="14"/>
          <w:color w:val="auto"/>
        </w:rPr>
        <w:t xml:space="preserve"> </w:t>
      </w:r>
      <w:r>
        <w:rPr>
          <w:rFonts w:ascii="Arial" w:cs="Arial" w:eastAsia="Arial" w:hAnsi="Arial"/>
          <w:sz w:val="14"/>
          <w:szCs w:val="14"/>
          <w:i w:val="1"/>
          <w:iCs w:val="1"/>
          <w:color w:val="auto"/>
        </w:rPr>
        <w:t>Financier</w:t>
      </w:r>
      <w:r>
        <w:rPr>
          <w:rFonts w:ascii="Arial" w:cs="Arial" w:eastAsia="Arial" w:hAnsi="Arial"/>
          <w:sz w:val="14"/>
          <w:szCs w:val="14"/>
          <w:color w:val="auto"/>
        </w:rPr>
        <w:t>). Clearstream Participants are recognized financial institutions around the world, including underwriters, securities brokers and</w:t>
      </w:r>
      <w:r>
        <w:rPr>
          <w:rFonts w:ascii="Arial" w:cs="Arial" w:eastAsia="Arial" w:hAnsi="Arial"/>
          <w:sz w:val="14"/>
          <w:szCs w:val="14"/>
          <w:i w:val="1"/>
          <w:iCs w:val="1"/>
          <w:color w:val="auto"/>
        </w:rPr>
        <w:t xml:space="preserve"> </w:t>
      </w:r>
      <w:r>
        <w:rPr>
          <w:rFonts w:ascii="Arial" w:cs="Arial" w:eastAsia="Arial" w:hAnsi="Arial"/>
          <w:sz w:val="14"/>
          <w:szCs w:val="14"/>
          <w:color w:val="auto"/>
        </w:rPr>
        <w:t>dealers, banks, trust companies and clearing corporations. In the United States,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w:t>
      </w:r>
    </w:p>
    <w:p>
      <w:pPr>
        <w:spacing w:after="0" w:line="147" w:lineRule="exact"/>
        <w:rPr>
          <w:sz w:val="20"/>
          <w:szCs w:val="20"/>
          <w:color w:val="auto"/>
        </w:rPr>
      </w:pPr>
    </w:p>
    <w:p>
      <w:pPr>
        <w:ind w:left="1360" w:right="459" w:firstLine="342"/>
        <w:spacing w:after="0" w:line="269" w:lineRule="auto"/>
        <w:rPr>
          <w:sz w:val="20"/>
          <w:szCs w:val="20"/>
          <w:color w:val="auto"/>
        </w:rPr>
      </w:pPr>
      <w:r>
        <w:rPr>
          <w:rFonts w:ascii="Arial" w:cs="Arial" w:eastAsia="Arial" w:hAnsi="Arial"/>
          <w:sz w:val="14"/>
          <w:szCs w:val="14"/>
          <w:color w:val="auto"/>
        </w:rPr>
        <w:t>Distributions with respect to debt securities held beneficially through Clearstream will be credited to cash accounts of Clearstream Participants in accordance with its rules and procedures, to the extent received by the U.S. depositary for Clearstream.</w:t>
      </w:r>
    </w:p>
    <w:p>
      <w:pPr>
        <w:spacing w:after="0" w:line="207"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Euroclear</w:t>
      </w:r>
    </w:p>
    <w:p>
      <w:pPr>
        <w:spacing w:after="0" w:line="78" w:lineRule="exact"/>
        <w:rPr>
          <w:sz w:val="20"/>
          <w:szCs w:val="20"/>
          <w:color w:val="auto"/>
        </w:rPr>
      </w:pPr>
    </w:p>
    <w:p>
      <w:pPr>
        <w:ind w:left="1360" w:right="259" w:firstLine="342"/>
        <w:spacing w:after="0" w:line="238" w:lineRule="auto"/>
        <w:rPr>
          <w:sz w:val="20"/>
          <w:szCs w:val="20"/>
          <w:color w:val="auto"/>
        </w:rPr>
      </w:pPr>
      <w:r>
        <w:rPr>
          <w:rFonts w:ascii="Arial" w:cs="Arial" w:eastAsia="Arial" w:hAnsi="Arial"/>
          <w:sz w:val="14"/>
          <w:szCs w:val="14"/>
          <w:color w:val="auto"/>
        </w:rPr>
        <w:t>Euroclear has advised us that it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The Euroclear System is owned by Euroclear Clearance System Public Limited Company (ECSplc) and operated through Euroclear, or the “Euroclear Operator,” a bank incorporated under the laws of the Kingdom of Belgium, under contract with Euroclear Clearance Systems S.C., a Belgian cooperative corporation, or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w:t>
      </w:r>
    </w:p>
    <w:p>
      <w:pPr>
        <w:spacing w:after="0" w:line="141" w:lineRule="exact"/>
        <w:rPr>
          <w:sz w:val="20"/>
          <w:szCs w:val="20"/>
          <w:color w:val="auto"/>
        </w:rPr>
      </w:pPr>
    </w:p>
    <w:p>
      <w:pPr>
        <w:ind w:left="1360" w:right="659" w:firstLine="342"/>
        <w:spacing w:after="0" w:line="269" w:lineRule="auto"/>
        <w:rPr>
          <w:sz w:val="20"/>
          <w:szCs w:val="20"/>
          <w:color w:val="auto"/>
        </w:rPr>
      </w:pPr>
      <w:r>
        <w:rPr>
          <w:rFonts w:ascii="Arial" w:cs="Arial" w:eastAsia="Arial" w:hAnsi="Arial"/>
          <w:sz w:val="14"/>
          <w:szCs w:val="14"/>
          <w:color w:val="auto"/>
        </w:rPr>
        <w:t>The Euroclear Operator advises us that it is regulated and examined by the Belgian banking and Finance Commission and the National Bank of Belgium.</w:t>
      </w:r>
    </w:p>
    <w:p>
      <w:pPr>
        <w:spacing w:after="0" w:line="121" w:lineRule="exact"/>
        <w:rPr>
          <w:sz w:val="20"/>
          <w:szCs w:val="20"/>
          <w:color w:val="auto"/>
        </w:rPr>
      </w:pPr>
    </w:p>
    <w:p>
      <w:pPr>
        <w:ind w:left="1360" w:right="279" w:firstLine="342"/>
        <w:spacing w:after="0" w:line="251" w:lineRule="auto"/>
        <w:rPr>
          <w:sz w:val="20"/>
          <w:szCs w:val="20"/>
          <w:color w:val="auto"/>
        </w:rPr>
      </w:pPr>
      <w:r>
        <w:rPr>
          <w:rFonts w:ascii="Arial" w:cs="Arial" w:eastAsia="Arial" w:hAnsi="Arial"/>
          <w:sz w:val="14"/>
          <w:szCs w:val="14"/>
          <w:color w:val="auto"/>
        </w:rPr>
        <w:t>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w:t>
      </w:r>
    </w:p>
    <w:p>
      <w:pPr>
        <w:spacing w:after="0" w:line="8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0159"/>
          </w:cols>
          <w:pgMar w:left="300" w:top="385"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right="499"/>
        <w:spacing w:after="0" w:line="246" w:lineRule="auto"/>
        <w:rPr>
          <w:sz w:val="20"/>
          <w:szCs w:val="20"/>
          <w:color w:val="auto"/>
        </w:rPr>
      </w:pPr>
      <w:r>
        <w:rPr>
          <w:rFonts w:ascii="Arial" w:cs="Arial" w:eastAsia="Arial" w:hAnsi="Arial"/>
          <w:sz w:val="14"/>
          <w:szCs w:val="14"/>
          <w:color w:val="auto"/>
        </w:rPr>
        <w:t>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37" w:lineRule="exact"/>
        <w:rPr>
          <w:sz w:val="20"/>
          <w:szCs w:val="20"/>
          <w:color w:val="auto"/>
        </w:rPr>
      </w:pPr>
    </w:p>
    <w:p>
      <w:pPr>
        <w:ind w:left="1360" w:right="539" w:firstLine="342"/>
        <w:spacing w:after="0" w:line="269" w:lineRule="auto"/>
        <w:rPr>
          <w:sz w:val="20"/>
          <w:szCs w:val="20"/>
          <w:color w:val="auto"/>
        </w:rPr>
      </w:pPr>
      <w:r>
        <w:rPr>
          <w:rFonts w:ascii="Arial" w:cs="Arial" w:eastAsia="Arial" w:hAnsi="Arial"/>
          <w:sz w:val="14"/>
          <w:szCs w:val="14"/>
          <w:color w:val="auto"/>
        </w:rPr>
        <w:t>Distributions with respect to debt securities held beneficially through Euroclear will be credited to the cash accounts of Euroclear Participants in accordance with the Terms and Conditions, to the extent received by the U.S. depositary for Euroclear.</w:t>
      </w:r>
    </w:p>
    <w:p>
      <w:pPr>
        <w:spacing w:after="0" w:line="121" w:lineRule="exact"/>
        <w:rPr>
          <w:sz w:val="20"/>
          <w:szCs w:val="20"/>
          <w:color w:val="auto"/>
        </w:rPr>
      </w:pPr>
    </w:p>
    <w:p>
      <w:pPr>
        <w:ind w:left="1360" w:right="379" w:firstLine="342"/>
        <w:spacing w:after="0" w:line="246" w:lineRule="auto"/>
        <w:rPr>
          <w:sz w:val="20"/>
          <w:szCs w:val="20"/>
          <w:color w:val="auto"/>
        </w:rPr>
      </w:pPr>
      <w:r>
        <w:rPr>
          <w:rFonts w:ascii="Arial" w:cs="Arial" w:eastAsia="Arial" w:hAnsi="Arial"/>
          <w:sz w:val="14"/>
          <w:szCs w:val="14"/>
          <w:color w:val="auto"/>
        </w:rPr>
        <w:t>Euroclear has further advised us that investors that acquire, hold and transfer interests in the debt securities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global securities.</w:t>
      </w:r>
    </w:p>
    <w:p>
      <w:pPr>
        <w:spacing w:after="0" w:line="223"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Global Clearance and Settlement Procedures</w:t>
      </w:r>
    </w:p>
    <w:p>
      <w:pPr>
        <w:spacing w:after="0" w:line="78" w:lineRule="exact"/>
        <w:rPr>
          <w:sz w:val="20"/>
          <w:szCs w:val="20"/>
          <w:color w:val="auto"/>
        </w:rPr>
      </w:pPr>
    </w:p>
    <w:p>
      <w:pPr>
        <w:ind w:left="1360" w:right="539" w:firstLine="342"/>
        <w:spacing w:after="0" w:line="243" w:lineRule="auto"/>
        <w:rPr>
          <w:sz w:val="20"/>
          <w:szCs w:val="20"/>
          <w:color w:val="auto"/>
        </w:rPr>
      </w:pPr>
      <w:r>
        <w:rPr>
          <w:rFonts w:ascii="Arial" w:cs="Arial" w:eastAsia="Arial" w:hAnsi="Arial"/>
          <w:sz w:val="14"/>
          <w:szCs w:val="14"/>
          <w:color w:val="auto"/>
        </w:rPr>
        <w:t>Initial settlement for the debt securities will be made in immediately available funds. Secondary market trading between DTC participants will occur in the ordinary way in accordance with DTC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139" w:lineRule="exact"/>
        <w:rPr>
          <w:sz w:val="20"/>
          <w:szCs w:val="20"/>
          <w:color w:val="auto"/>
        </w:rPr>
      </w:pPr>
    </w:p>
    <w:p>
      <w:pPr>
        <w:ind w:left="1360" w:right="279" w:firstLine="342"/>
        <w:spacing w:after="0" w:line="238" w:lineRule="auto"/>
        <w:rPr>
          <w:sz w:val="20"/>
          <w:szCs w:val="20"/>
          <w:color w:val="auto"/>
        </w:rPr>
      </w:pPr>
      <w:r>
        <w:rPr>
          <w:rFonts w:ascii="Arial" w:cs="Arial" w:eastAsia="Arial" w:hAnsi="Arial"/>
          <w:sz w:val="14"/>
          <w:szCs w:val="14"/>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debt securities through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46" w:lineRule="exact"/>
        <w:rPr>
          <w:sz w:val="20"/>
          <w:szCs w:val="20"/>
          <w:color w:val="auto"/>
        </w:rPr>
      </w:pPr>
    </w:p>
    <w:p>
      <w:pPr>
        <w:ind w:left="1360" w:right="239" w:firstLine="342"/>
        <w:spacing w:after="0"/>
        <w:rPr>
          <w:sz w:val="20"/>
          <w:szCs w:val="20"/>
          <w:color w:val="auto"/>
        </w:rPr>
      </w:pPr>
      <w:r>
        <w:rPr>
          <w:rFonts w:ascii="Arial" w:cs="Arial" w:eastAsia="Arial" w:hAnsi="Arial"/>
          <w:sz w:val="14"/>
          <w:szCs w:val="14"/>
          <w:color w:val="auto"/>
        </w:rPr>
        <w:t>Because of time-zone differences, credits of debt securities received through Clearstream or Euroclear as a result of a transaction with a DTC participant will be made during subsequent securities settlement processing and dated the business day following the DTC settlement date. Such credits or any transactions in such debt securities settled during such processing will be reported to the relevant Euroclear Participants or Clearstream Participants on such business day. Cash received in Clearstream or Euroclear as a result of sales of debt securities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42" w:lineRule="exact"/>
        <w:rPr>
          <w:sz w:val="20"/>
          <w:szCs w:val="20"/>
          <w:color w:val="auto"/>
        </w:rPr>
      </w:pPr>
    </w:p>
    <w:p>
      <w:pPr>
        <w:ind w:left="1360" w:right="699" w:firstLine="342"/>
        <w:spacing w:after="0" w:line="269" w:lineRule="auto"/>
        <w:rPr>
          <w:sz w:val="20"/>
          <w:szCs w:val="20"/>
          <w:color w:val="auto"/>
        </w:rPr>
      </w:pPr>
      <w:r>
        <w:rPr>
          <w:rFonts w:ascii="Arial" w:cs="Arial" w:eastAsia="Arial" w:hAnsi="Arial"/>
          <w:sz w:val="14"/>
          <w:szCs w:val="14"/>
          <w:color w:val="auto"/>
        </w:rPr>
        <w:t>If the debt securities are cleared only through Euroclear and Clearstream (and not DTC), you will be able to make and receive through Euroclear and Clearstream payments, deliveries, transfers,</w:t>
      </w:r>
    </w:p>
    <w:p>
      <w:pPr>
        <w:spacing w:after="0" w:line="6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0159"/>
          </w:cols>
          <w:pgMar w:left="300" w:top="385"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right="279"/>
        <w:spacing w:after="0"/>
        <w:rPr>
          <w:sz w:val="20"/>
          <w:szCs w:val="20"/>
          <w:color w:val="auto"/>
        </w:rPr>
      </w:pPr>
      <w:r>
        <w:rPr>
          <w:rFonts w:ascii="Arial" w:cs="Arial" w:eastAsia="Arial" w:hAnsi="Arial"/>
          <w:sz w:val="14"/>
          <w:szCs w:val="14"/>
          <w:color w:val="auto"/>
        </w:rPr>
        <w:t>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w:t>
      </w:r>
    </w:p>
    <w:p>
      <w:pPr>
        <w:spacing w:after="0" w:line="142" w:lineRule="exact"/>
        <w:rPr>
          <w:sz w:val="20"/>
          <w:szCs w:val="20"/>
          <w:color w:val="auto"/>
        </w:rPr>
      </w:pPr>
    </w:p>
    <w:p>
      <w:pPr>
        <w:ind w:left="1360" w:right="359" w:firstLine="342"/>
        <w:spacing w:after="0" w:line="243" w:lineRule="auto"/>
        <w:rPr>
          <w:sz w:val="20"/>
          <w:szCs w:val="20"/>
          <w:color w:val="auto"/>
        </w:rPr>
      </w:pPr>
      <w:r>
        <w:rPr>
          <w:rFonts w:ascii="Arial" w:cs="Arial" w:eastAsia="Arial" w:hAnsi="Arial"/>
          <w:sz w:val="14"/>
          <w:szCs w:val="14"/>
          <w:color w:val="auto"/>
        </w:rPr>
        <w:t>Although DTC, Clearstream and Euroclear have agreed to the foregoing procedures in order to facilitate transfers of debt securities among participants of DTC, Clearstream and Euroclear, they are under no obligation to perform or continue to perform such procedures and such procedures may be modified or discontinued at any time. None of the Company, the Guarantor, the trustee, the Registrar, any Paying Agent or any transfer agent will have any responsibility for the performance by DTC, Euroclear or Clearstream or their respective direct or indirect participants of their obligations under the rules and procedures governing their operations.</w:t>
      </w:r>
    </w:p>
    <w:p>
      <w:pPr>
        <w:spacing w:after="0" w:line="8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0159"/>
          </w:cols>
          <w:pgMar w:left="300" w:top="385"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5000"/>
        <w:spacing w:after="0"/>
        <w:rPr>
          <w:sz w:val="20"/>
          <w:szCs w:val="20"/>
          <w:color w:val="auto"/>
        </w:rPr>
      </w:pPr>
      <w:r>
        <w:rPr>
          <w:rFonts w:ascii="Arial" w:cs="Arial" w:eastAsia="Arial" w:hAnsi="Arial"/>
          <w:sz w:val="14"/>
          <w:szCs w:val="14"/>
          <w:b w:val="1"/>
          <w:bCs w:val="1"/>
          <w:color w:val="auto"/>
        </w:rPr>
        <w:t>Plan of Distribution</w:t>
      </w:r>
    </w:p>
    <w:p>
      <w:pPr>
        <w:spacing w:after="0" w:line="164"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We may sell the securities offered pursuant to this prospectus in any of the following ways:</w:t>
      </w:r>
    </w:p>
    <w:p>
      <w:pPr>
        <w:spacing w:after="0" w:line="91" w:lineRule="exact"/>
        <w:rPr>
          <w:sz w:val="20"/>
          <w:szCs w:val="20"/>
          <w:color w:val="auto"/>
        </w:rPr>
      </w:pPr>
    </w:p>
    <w:p>
      <w:pPr>
        <w:ind w:left="2120" w:hanging="334"/>
        <w:spacing w:after="0"/>
        <w:tabs>
          <w:tab w:leader="none" w:pos="21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directly to one or more purchasers;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through agents;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through underwriters, brokers or dealers;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through a combination of any of these methods of sale; or</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through any other methods described in a prospectus supplement.</w:t>
      </w:r>
    </w:p>
    <w:p>
      <w:pPr>
        <w:spacing w:after="0" w:line="164" w:lineRule="exact"/>
        <w:rPr>
          <w:sz w:val="20"/>
          <w:szCs w:val="20"/>
          <w:color w:val="auto"/>
        </w:rPr>
      </w:pPr>
    </w:p>
    <w:p>
      <w:pPr>
        <w:ind w:left="1360" w:right="479" w:firstLine="342"/>
        <w:spacing w:after="0" w:line="269" w:lineRule="auto"/>
        <w:rPr>
          <w:sz w:val="20"/>
          <w:szCs w:val="20"/>
          <w:color w:val="auto"/>
        </w:rPr>
      </w:pPr>
      <w:r>
        <w:rPr>
          <w:rFonts w:ascii="Arial" w:cs="Arial" w:eastAsia="Arial" w:hAnsi="Arial"/>
          <w:sz w:val="14"/>
          <w:szCs w:val="14"/>
          <w:color w:val="auto"/>
        </w:rPr>
        <w:t>We will identify the specific plan of distribution, including any underwriters, brokers, dealers, agents or direct purchasers and their compensation in a prospectus supplement.</w:t>
      </w:r>
    </w:p>
    <w:p>
      <w:pPr>
        <w:spacing w:after="0" w:line="121" w:lineRule="exact"/>
        <w:rPr>
          <w:sz w:val="20"/>
          <w:szCs w:val="20"/>
          <w:color w:val="auto"/>
        </w:rPr>
      </w:pPr>
    </w:p>
    <w:p>
      <w:pPr>
        <w:ind w:left="1360" w:right="339" w:firstLine="342"/>
        <w:spacing w:after="0" w:line="243" w:lineRule="auto"/>
        <w:rPr>
          <w:sz w:val="20"/>
          <w:szCs w:val="20"/>
          <w:color w:val="auto"/>
        </w:rPr>
      </w:pPr>
      <w:r>
        <w:rPr>
          <w:rFonts w:ascii="Arial" w:cs="Arial" w:eastAsia="Arial" w:hAnsi="Arial"/>
          <w:sz w:val="14"/>
          <w:szCs w:val="14"/>
          <w:color w:val="auto"/>
        </w:rPr>
        <w:t>Underwriters and agents may be entitled under agreements entered into with the Company or the Guarantor, if applicable, to indemnification by the Company or the Guarantor, if applicable, against certain civil liabilities, including liabilities under the Securities Act, or to contribution with respect to payments which the underwriters or agents may be required to make. Underwriters and agents may be customers of, engage in transactions with, or perform services for the Company, the Guarantor and our affiliates in the ordinary course of business.</w:t>
      </w:r>
    </w:p>
    <w:p>
      <w:pPr>
        <w:spacing w:after="0" w:line="8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0159"/>
          </w:cols>
          <w:pgMar w:left="300" w:top="385"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Validity of the Securities</w:t>
      </w:r>
    </w:p>
    <w:p>
      <w:pPr>
        <w:spacing w:after="0" w:line="164" w:lineRule="exact"/>
        <w:rPr>
          <w:sz w:val="20"/>
          <w:szCs w:val="20"/>
          <w:color w:val="auto"/>
        </w:rPr>
      </w:pPr>
    </w:p>
    <w:p>
      <w:pPr>
        <w:ind w:left="1360" w:right="399" w:firstLine="342"/>
        <w:spacing w:after="0" w:line="246" w:lineRule="auto"/>
        <w:rPr>
          <w:sz w:val="20"/>
          <w:szCs w:val="20"/>
          <w:color w:val="auto"/>
        </w:rPr>
      </w:pPr>
      <w:r>
        <w:rPr>
          <w:rFonts w:ascii="Arial" w:cs="Arial" w:eastAsia="Arial" w:hAnsi="Arial"/>
          <w:sz w:val="14"/>
          <w:szCs w:val="14"/>
          <w:color w:val="auto"/>
        </w:rPr>
        <w:t>The validity of the debt securities and guarantees offered hereby will be passed upon for us by Gibson, Dunn &amp; Crutcher LLP, New York, New York. Certain matters of Luxembourg law will be passed upon by Loyens &amp; Loeff Luxembourg SARL, Luxembourg, Grand Duchy of Luxembourg; and certain matters of Curaçao will be passed upon by STvB Advocaten (Europe) N.V., Amsterdam, The Netherlands.</w:t>
      </w:r>
    </w:p>
    <w:p>
      <w:pPr>
        <w:spacing w:after="0" w:line="84"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0159"/>
          </w:cols>
          <w:pgMar w:left="300" w:top="385"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Experts</w:t>
      </w:r>
    </w:p>
    <w:p>
      <w:pPr>
        <w:spacing w:after="0" w:line="164" w:lineRule="exact"/>
        <w:rPr>
          <w:sz w:val="20"/>
          <w:szCs w:val="20"/>
          <w:color w:val="auto"/>
        </w:rPr>
      </w:pPr>
    </w:p>
    <w:p>
      <w:pPr>
        <w:ind w:left="1360" w:right="359" w:firstLine="342"/>
        <w:spacing w:after="0" w:line="243" w:lineRule="auto"/>
        <w:rPr>
          <w:sz w:val="20"/>
          <w:szCs w:val="20"/>
          <w:color w:val="auto"/>
        </w:rPr>
      </w:pPr>
      <w:r>
        <w:rPr>
          <w:rFonts w:ascii="Arial" w:cs="Arial" w:eastAsia="Arial" w:hAnsi="Arial"/>
          <w:sz w:val="14"/>
          <w:szCs w:val="14"/>
          <w:color w:val="auto"/>
        </w:rPr>
        <w:t>The financial statements and management’s assessment of the effectiveness of internal control over financial reporting (which is included in Management’s Report on Internal Control over Financial Reporting) incorporated in this Prospectus by reference to SLB Limited’s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spacing w:after="0" w:line="8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0159"/>
          </w:cols>
          <w:pgMar w:left="300" w:top="385"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3700"/>
        <w:spacing w:after="0"/>
        <w:rPr>
          <w:sz w:val="20"/>
          <w:szCs w:val="20"/>
          <w:color w:val="auto"/>
        </w:rPr>
      </w:pPr>
      <w:r>
        <w:rPr>
          <w:rFonts w:ascii="Arial" w:cs="Arial" w:eastAsia="Arial" w:hAnsi="Arial"/>
          <w:sz w:val="14"/>
          <w:szCs w:val="14"/>
          <w:b w:val="1"/>
          <w:bCs w:val="1"/>
          <w:color w:val="auto"/>
        </w:rPr>
        <w:t>PART II—INFORMATION NOT REQUIRED IN PROSPECTUS</w:t>
      </w:r>
    </w:p>
    <w:p>
      <w:pPr>
        <w:spacing w:after="0" w:line="185" w:lineRule="exact"/>
        <w:rPr>
          <w:sz w:val="20"/>
          <w:szCs w:val="20"/>
          <w:color w:val="auto"/>
        </w:rPr>
      </w:pPr>
    </w:p>
    <w:p>
      <w:pPr>
        <w:ind w:left="1360"/>
        <w:spacing w:after="0"/>
        <w:tabs>
          <w:tab w:leader="none" w:pos="2120" w:val="left"/>
        </w:tabs>
        <w:rPr>
          <w:sz w:val="20"/>
          <w:szCs w:val="20"/>
          <w:color w:val="auto"/>
        </w:rPr>
      </w:pPr>
      <w:r>
        <w:rPr>
          <w:rFonts w:ascii="Arial" w:cs="Arial" w:eastAsia="Arial" w:hAnsi="Arial"/>
          <w:sz w:val="14"/>
          <w:szCs w:val="14"/>
          <w:b w:val="1"/>
          <w:bCs w:val="1"/>
          <w:color w:val="auto"/>
        </w:rPr>
        <w:t>Item 14.</w:t>
      </w:r>
      <w:r>
        <w:rPr>
          <w:sz w:val="20"/>
          <w:szCs w:val="20"/>
          <w:color w:val="auto"/>
        </w:rPr>
        <w:tab/>
      </w:r>
      <w:r>
        <w:rPr>
          <w:rFonts w:ascii="Arial" w:cs="Arial" w:eastAsia="Arial" w:hAnsi="Arial"/>
          <w:sz w:val="14"/>
          <w:szCs w:val="14"/>
          <w:b w:val="1"/>
          <w:bCs w:val="1"/>
          <w:i w:val="1"/>
          <w:iCs w:val="1"/>
          <w:color w:val="auto"/>
        </w:rPr>
        <w:t>Other Expenses of Issuance and Distribution.</w:t>
      </w:r>
    </w:p>
    <w:p>
      <w:pPr>
        <w:spacing w:after="0" w:line="80" w:lineRule="exact"/>
        <w:rPr>
          <w:sz w:val="20"/>
          <w:szCs w:val="20"/>
          <w:color w:val="auto"/>
        </w:rPr>
      </w:pPr>
    </w:p>
    <w:p>
      <w:pPr>
        <w:ind w:left="1360" w:right="379" w:firstLine="342"/>
        <w:spacing w:after="0" w:line="246" w:lineRule="auto"/>
        <w:rPr>
          <w:sz w:val="20"/>
          <w:szCs w:val="20"/>
          <w:color w:val="auto"/>
        </w:rPr>
      </w:pPr>
      <w:r>
        <w:rPr>
          <w:rFonts w:ascii="Arial" w:cs="Arial" w:eastAsia="Arial" w:hAnsi="Arial"/>
          <w:sz w:val="14"/>
          <w:szCs w:val="14"/>
          <w:color w:val="auto"/>
        </w:rPr>
        <w:t>The following table sets forth the estimated expenses, other than underwriting discounts and commissions, to be paid by us in connection with the offering of the securities registered hereby. The assumed amount has been used to demonstrate the expenses of an offering and does not represent an estimate of the amount of securities that may be registered or distributed because such amount is unknown at this time.</w:t>
      </w:r>
    </w:p>
    <w:p>
      <w:pPr>
        <w:spacing w:after="0" w:line="166" w:lineRule="exact"/>
        <w:rPr>
          <w:sz w:val="20"/>
          <w:szCs w:val="20"/>
          <w:color w:val="auto"/>
        </w:rPr>
      </w:pPr>
    </w:p>
    <w:tbl>
      <w:tblPr>
        <w:tblLayout w:type="fixed"/>
        <w:tblInd w:w="2740" w:type="dxa"/>
        <w:tblCellMar>
          <w:top w:w="0" w:type="dxa"/>
          <w:left w:w="0" w:type="dxa"/>
          <w:bottom w:w="0" w:type="dxa"/>
          <w:right w:w="0" w:type="dxa"/>
        </w:tblCellMar>
      </w:tblPr>
      <w:tr>
        <w:trPr>
          <w:trHeight w:val="132"/>
        </w:trPr>
        <w:tc>
          <w:tcPr>
            <w:tcW w:w="2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7"/>
              </w:rPr>
              <w:t>Item</w:t>
            </w:r>
          </w:p>
        </w:tc>
        <w:tc>
          <w:tcPr>
            <w:tcW w:w="504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6"/>
              </w:rPr>
              <w:t>Amount</w:t>
            </w:r>
          </w:p>
        </w:tc>
        <w:tc>
          <w:tcPr>
            <w:tcW w:w="0" w:type="dxa"/>
            <w:vAlign w:val="bottom"/>
          </w:tcPr>
          <w:p>
            <w:pPr>
              <w:spacing w:after="0"/>
              <w:rPr>
                <w:sz w:val="1"/>
                <w:szCs w:val="1"/>
                <w:color w:val="auto"/>
              </w:rPr>
            </w:pPr>
          </w:p>
        </w:tc>
      </w:tr>
      <w:tr>
        <w:trPr>
          <w:trHeight w:val="20"/>
        </w:trPr>
        <w:tc>
          <w:tcPr>
            <w:tcW w:w="5280" w:type="dxa"/>
            <w:vAlign w:val="bottom"/>
            <w:gridSpan w:val="2"/>
            <w:vMerge w:val="restart"/>
            <w:shd w:val="clear" w:color="auto" w:fill="CCEEFF"/>
          </w:tcPr>
          <w:p>
            <w:pPr>
              <w:spacing w:after="0" w:line="158" w:lineRule="exact"/>
              <w:rPr>
                <w:sz w:val="20"/>
                <w:szCs w:val="20"/>
                <w:color w:val="auto"/>
              </w:rPr>
            </w:pPr>
            <w:r>
              <w:rPr>
                <w:rFonts w:ascii="Arial" w:cs="Arial" w:eastAsia="Arial" w:hAnsi="Arial"/>
                <w:sz w:val="14"/>
                <w:szCs w:val="14"/>
                <w:color w:val="auto"/>
              </w:rPr>
              <w:t>SEC registration fee</w:t>
            </w: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280" w:type="dxa"/>
            <w:vAlign w:val="bottom"/>
            <w:gridSpan w:val="2"/>
            <w:vMerge w:val="continue"/>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8"/>
        </w:trPr>
        <w:tc>
          <w:tcPr>
            <w:tcW w:w="5280" w:type="dxa"/>
            <w:vAlign w:val="bottom"/>
            <w:gridSpan w:val="2"/>
          </w:tcPr>
          <w:p>
            <w:pPr>
              <w:spacing w:after="0"/>
              <w:rPr>
                <w:sz w:val="20"/>
                <w:szCs w:val="20"/>
                <w:color w:val="auto"/>
              </w:rPr>
            </w:pPr>
            <w:r>
              <w:rPr>
                <w:rFonts w:ascii="Arial" w:cs="Arial" w:eastAsia="Arial" w:hAnsi="Arial"/>
                <w:sz w:val="14"/>
                <w:szCs w:val="14"/>
                <w:color w:val="auto"/>
              </w:rPr>
              <w:t>Printing expenses</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8"/>
        </w:trPr>
        <w:tc>
          <w:tcPr>
            <w:tcW w:w="5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Legal fees and expenses</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8"/>
        </w:trPr>
        <w:tc>
          <w:tcPr>
            <w:tcW w:w="5280" w:type="dxa"/>
            <w:vAlign w:val="bottom"/>
            <w:gridSpan w:val="2"/>
          </w:tcPr>
          <w:p>
            <w:pPr>
              <w:spacing w:after="0"/>
              <w:rPr>
                <w:sz w:val="20"/>
                <w:szCs w:val="20"/>
                <w:color w:val="auto"/>
              </w:rPr>
            </w:pPr>
            <w:r>
              <w:rPr>
                <w:rFonts w:ascii="Arial" w:cs="Arial" w:eastAsia="Arial" w:hAnsi="Arial"/>
                <w:sz w:val="14"/>
                <w:szCs w:val="14"/>
                <w:color w:val="auto"/>
              </w:rPr>
              <w:t>Accounting fees and expenses</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8"/>
        </w:trPr>
        <w:tc>
          <w:tcPr>
            <w:tcW w:w="5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Trustee fees and expenses</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8"/>
        </w:trPr>
        <w:tc>
          <w:tcPr>
            <w:tcW w:w="5280" w:type="dxa"/>
            <w:vAlign w:val="bottom"/>
            <w:gridSpan w:val="2"/>
          </w:tcPr>
          <w:p>
            <w:pPr>
              <w:spacing w:after="0"/>
              <w:rPr>
                <w:sz w:val="20"/>
                <w:szCs w:val="20"/>
                <w:color w:val="auto"/>
              </w:rPr>
            </w:pPr>
            <w:r>
              <w:rPr>
                <w:rFonts w:ascii="Arial" w:cs="Arial" w:eastAsia="Arial" w:hAnsi="Arial"/>
                <w:sz w:val="14"/>
                <w:szCs w:val="14"/>
                <w:color w:val="auto"/>
              </w:rPr>
              <w:t>Miscellaneous expenses</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8"/>
        </w:trPr>
        <w:tc>
          <w:tcPr>
            <w:tcW w:w="240" w:type="dxa"/>
            <w:vAlign w:val="bottom"/>
            <w:shd w:val="clear" w:color="auto" w:fill="CCEEFF"/>
          </w:tcPr>
          <w:p>
            <w:pPr>
              <w:spacing w:after="0"/>
              <w:rPr>
                <w:sz w:val="14"/>
                <w:szCs w:val="14"/>
                <w:color w:val="auto"/>
              </w:rPr>
            </w:pPr>
          </w:p>
        </w:tc>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868045</wp:posOffset>
            </wp:positionH>
            <wp:positionV relativeFrom="paragraph">
              <wp:posOffset>66675</wp:posOffset>
            </wp:positionV>
            <wp:extent cx="59944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599440" cy="6350"/>
                    </a:xfrm>
                    <a:prstGeom prst="rect">
                      <a:avLst/>
                    </a:prstGeom>
                    <a:noFill/>
                  </pic:spPr>
                </pic:pic>
              </a:graphicData>
            </a:graphic>
          </wp:anchor>
        </w:drawing>
      </w:r>
    </w:p>
    <w:p>
      <w:pPr>
        <w:spacing w:after="0" w:line="112" w:lineRule="exact"/>
        <w:rPr>
          <w:sz w:val="20"/>
          <w:szCs w:val="20"/>
          <w:color w:val="auto"/>
        </w:rPr>
      </w:pPr>
    </w:p>
    <w:p>
      <w:pPr>
        <w:ind w:left="1700" w:right="499" w:hanging="333"/>
        <w:spacing w:after="0" w:line="244" w:lineRule="auto"/>
        <w:tabs>
          <w:tab w:leader="none" w:pos="17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 accordance with Rule 456(b) and Rule 457(r) of the Securities Act of 1933, as amended, we are deferring payment of all of the registration fee for the securities offered by this registration statement.</w:t>
      </w:r>
    </w:p>
    <w:p>
      <w:pPr>
        <w:spacing w:after="0" w:line="1" w:lineRule="exact"/>
        <w:rPr>
          <w:rFonts w:ascii="Arial" w:cs="Arial" w:eastAsia="Arial" w:hAnsi="Arial"/>
          <w:sz w:val="14"/>
          <w:szCs w:val="14"/>
          <w:color w:val="auto"/>
        </w:rPr>
      </w:pPr>
    </w:p>
    <w:p>
      <w:pPr>
        <w:ind w:left="1700" w:hanging="333"/>
        <w:spacing w:after="0"/>
        <w:tabs>
          <w:tab w:leader="none" w:pos="17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An estimate of the aggregate amount of these expenses will be reflected in the applicable prospectus supplement.</w:t>
      </w:r>
    </w:p>
    <w:p>
      <w:pPr>
        <w:spacing w:after="0" w:line="265" w:lineRule="exact"/>
        <w:rPr>
          <w:sz w:val="20"/>
          <w:szCs w:val="20"/>
          <w:color w:val="auto"/>
        </w:rPr>
      </w:pPr>
    </w:p>
    <w:p>
      <w:pPr>
        <w:ind w:left="1360"/>
        <w:spacing w:after="0"/>
        <w:tabs>
          <w:tab w:leader="none" w:pos="2200" w:val="left"/>
        </w:tabs>
        <w:rPr>
          <w:sz w:val="20"/>
          <w:szCs w:val="20"/>
          <w:color w:val="auto"/>
        </w:rPr>
      </w:pPr>
      <w:r>
        <w:rPr>
          <w:rFonts w:ascii="Arial" w:cs="Arial" w:eastAsia="Arial" w:hAnsi="Arial"/>
          <w:sz w:val="14"/>
          <w:szCs w:val="14"/>
          <w:b w:val="1"/>
          <w:bCs w:val="1"/>
          <w:color w:val="auto"/>
        </w:rPr>
        <w:t>Item 15.</w:t>
      </w:r>
      <w:r>
        <w:rPr>
          <w:sz w:val="20"/>
          <w:szCs w:val="20"/>
          <w:color w:val="auto"/>
        </w:rPr>
        <w:tab/>
      </w:r>
      <w:r>
        <w:rPr>
          <w:rFonts w:ascii="Arial" w:cs="Arial" w:eastAsia="Arial" w:hAnsi="Arial"/>
          <w:sz w:val="14"/>
          <w:szCs w:val="14"/>
          <w:b w:val="1"/>
          <w:bCs w:val="1"/>
          <w:i w:val="1"/>
          <w:iCs w:val="1"/>
          <w:color w:val="auto"/>
        </w:rPr>
        <w:t>Indemnification of Directors and Officers.</w:t>
      </w:r>
    </w:p>
    <w:p>
      <w:pPr>
        <w:spacing w:after="0" w:line="80"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SLB N.V. (SLB Limited)</w:t>
      </w:r>
    </w:p>
    <w:p>
      <w:pPr>
        <w:spacing w:after="0" w:line="80" w:lineRule="exact"/>
        <w:rPr>
          <w:sz w:val="20"/>
          <w:szCs w:val="20"/>
          <w:color w:val="auto"/>
        </w:rPr>
      </w:pPr>
    </w:p>
    <w:p>
      <w:pPr>
        <w:ind w:left="1360" w:right="319" w:firstLine="342"/>
        <w:spacing w:after="0"/>
        <w:rPr>
          <w:sz w:val="20"/>
          <w:szCs w:val="20"/>
          <w:color w:val="auto"/>
        </w:rPr>
      </w:pPr>
      <w:r>
        <w:rPr>
          <w:rFonts w:ascii="Arial" w:cs="Arial" w:eastAsia="Arial" w:hAnsi="Arial"/>
          <w:sz w:val="14"/>
          <w:szCs w:val="14"/>
          <w:color w:val="auto"/>
        </w:rPr>
        <w:t>Article 10 of SLB N.V. (SLB Limited)’s Articles of Incorporation and Article V of SLB N.V. (SLB Limited)’s Amended and Restated By-laws contain provisions providing for indemnification of the Guarantor’s directors, officers, employees and agents, as well as directors and officers of the Guarantor’s subsidiaries. Article 10 of the Articles of Incorporation permits (but does not require) the Guarantor to indemnify directors, officers, employees and agents, except that indemnification is mandatory with respect to a current or former officer or director in the event of a “Change of Control” (as defined below) or if such current or former officer or director has been successful on the merits or otherwise in the defense of any action, suit or proceeding. Article V of the Guarantor’s Amended and Restated By-laws contains mandatory indemnification for current and former directors and officers as described below.</w:t>
      </w:r>
    </w:p>
    <w:p>
      <w:pPr>
        <w:spacing w:after="0" w:line="142" w:lineRule="exact"/>
        <w:rPr>
          <w:sz w:val="20"/>
          <w:szCs w:val="20"/>
          <w:color w:val="auto"/>
        </w:rPr>
      </w:pPr>
    </w:p>
    <w:p>
      <w:pPr>
        <w:ind w:left="1360" w:right="239" w:firstLine="342"/>
        <w:spacing w:after="0" w:line="238" w:lineRule="auto"/>
        <w:rPr>
          <w:sz w:val="20"/>
          <w:szCs w:val="20"/>
          <w:color w:val="auto"/>
        </w:rPr>
      </w:pPr>
      <w:r>
        <w:rPr>
          <w:rFonts w:ascii="Arial" w:cs="Arial" w:eastAsia="Arial" w:hAnsi="Arial"/>
          <w:sz w:val="14"/>
          <w:szCs w:val="14"/>
          <w:color w:val="auto"/>
        </w:rPr>
        <w:t>To the fullest extent permitted by applicable law, the Guarantor will indemnify any current or former director or officer who was or is a party or is threatened to be made a party to any threatened, pending or completed action, suit or proceeding, whether civil, criminal, administrative or investigative (other than an action by or in the right of the Guarantor) by reason of the fact that he or she is or was a director or officer of the Guarantor, or is or was a director of any subsidiary of the Guarantor or an officer appointed or elected by the board of directors of the Guarantor or of a subsidiary, or is or was serving at the request of the Guarantor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Guarantor, and, with respect to any criminal action or proceeding, had no reasonable cause to believe that such person’s conduct was unlawful. The termination of any action, suit or proceeding by</w:t>
      </w:r>
    </w:p>
    <w:p>
      <w:pPr>
        <w:spacing w:after="0" w:line="91"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II-1</w:t>
      </w:r>
    </w:p>
    <w:p>
      <w:pPr>
        <w:sectPr>
          <w:pgSz w:w="11900" w:h="16838" w:orient="portrait"/>
          <w:cols w:equalWidth="0" w:num="1">
            <w:col w:w="10159"/>
          </w:cols>
          <w:pgMar w:left="300" w:top="385"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right="239"/>
        <w:spacing w:after="0" w:line="246" w:lineRule="auto"/>
        <w:rPr>
          <w:sz w:val="20"/>
          <w:szCs w:val="20"/>
          <w:color w:val="auto"/>
        </w:rPr>
      </w:pPr>
      <w:r>
        <w:rPr>
          <w:rFonts w:ascii="Arial" w:cs="Arial" w:eastAsia="Arial" w:hAnsi="Arial"/>
          <w:sz w:val="14"/>
          <w:szCs w:val="14"/>
          <w:color w:val="auto"/>
        </w:rPr>
        <w:t>judgment, order, settlement, conviction, or upon a plea of nolo contendere or its equivalent, does not, of itself, create a presumption that the person did not act in good faith and in a manner which such person reasonably believed to be in or not opposed to the best interests of the Guarantor, and, with respect to any criminal action or proceeding, had reasonable cause to believe that such person’s conduct was unlawful.</w:t>
      </w:r>
    </w:p>
    <w:p>
      <w:pPr>
        <w:spacing w:after="0" w:line="137" w:lineRule="exact"/>
        <w:rPr>
          <w:sz w:val="20"/>
          <w:szCs w:val="20"/>
          <w:color w:val="auto"/>
        </w:rPr>
      </w:pPr>
    </w:p>
    <w:p>
      <w:pPr>
        <w:ind w:left="1360" w:right="239" w:firstLine="342"/>
        <w:spacing w:after="0" w:line="251" w:lineRule="auto"/>
        <w:rPr>
          <w:sz w:val="20"/>
          <w:szCs w:val="20"/>
          <w:color w:val="auto"/>
        </w:rPr>
      </w:pPr>
      <w:r>
        <w:rPr>
          <w:rFonts w:ascii="Arial" w:cs="Arial" w:eastAsia="Arial" w:hAnsi="Arial"/>
          <w:sz w:val="14"/>
          <w:szCs w:val="14"/>
          <w:color w:val="auto"/>
        </w:rPr>
        <w:t>The Guarantor is required to indemnify any current or former officer or director of the Guarantor to the fullest extent allowed by the preceding paragraphs in the event of a “Change of Control.” “Change of Control” means a change in control of the Guarantor, which will be deemed to have occurred if at any time:</w:t>
      </w:r>
    </w:p>
    <w:p>
      <w:pPr>
        <w:spacing w:after="0" w:line="61" w:lineRule="exact"/>
        <w:rPr>
          <w:sz w:val="20"/>
          <w:szCs w:val="20"/>
          <w:color w:val="auto"/>
        </w:rPr>
      </w:pPr>
    </w:p>
    <w:p>
      <w:pPr>
        <w:ind w:left="2120" w:right="379" w:hanging="334"/>
        <w:spacing w:after="0" w:line="246" w:lineRule="auto"/>
        <w:tabs>
          <w:tab w:leader="none" w:pos="21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any entity, person or organization is or becomes the legal or beneficial owner, directly or indirectly, of securities of the Guarantor representing 30% or more of the combined voting power of the Guarantor’s then outstanding shares without the prior approval of at least two-thirds of the members of our board of directors in office immediately prior to such entity, person or organization attaining such percentage interest;</w:t>
      </w:r>
    </w:p>
    <w:p>
      <w:pPr>
        <w:spacing w:after="0" w:line="63" w:lineRule="exact"/>
        <w:rPr>
          <w:rFonts w:ascii="Arial" w:cs="Arial" w:eastAsia="Arial" w:hAnsi="Arial"/>
          <w:sz w:val="14"/>
          <w:szCs w:val="14"/>
          <w:color w:val="auto"/>
        </w:rPr>
      </w:pPr>
    </w:p>
    <w:p>
      <w:pPr>
        <w:ind w:left="2120" w:right="259" w:hanging="334"/>
        <w:spacing w:after="0" w:line="251" w:lineRule="auto"/>
        <w:tabs>
          <w:tab w:leader="none" w:pos="21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Guarantor is a party to a merger, consolidation, share exchange, sale of assets or other reorganization, or a proxy contest, as a consequence of which members of our board of directors in office immediately prior to such transaction or event constitute less than a majority of our board of directors thereafter; or</w:t>
      </w:r>
    </w:p>
    <w:p>
      <w:pPr>
        <w:spacing w:after="0" w:line="60" w:lineRule="exact"/>
        <w:rPr>
          <w:rFonts w:ascii="Arial" w:cs="Arial" w:eastAsia="Arial" w:hAnsi="Arial"/>
          <w:sz w:val="14"/>
          <w:szCs w:val="14"/>
          <w:color w:val="auto"/>
        </w:rPr>
      </w:pPr>
    </w:p>
    <w:p>
      <w:pPr>
        <w:jc w:val="both"/>
        <w:ind w:left="2120" w:right="359" w:hanging="334"/>
        <w:spacing w:after="0" w:line="246" w:lineRule="auto"/>
        <w:tabs>
          <w:tab w:leader="none" w:pos="21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during any 15-month period, individuals who at the beginning of such period constituted our board of directors (including for this purpose any new director whose election or nomination for election by the Guarantor’s stockholders was approved by a vote of at least two-thirds of the directors then still in office who were directors at the beginning of such period) cease for any reason to constitute at least a majority of our board of directors.</w:t>
      </w:r>
    </w:p>
    <w:p>
      <w:pPr>
        <w:spacing w:after="0" w:line="137" w:lineRule="exact"/>
        <w:rPr>
          <w:sz w:val="20"/>
          <w:szCs w:val="20"/>
          <w:color w:val="auto"/>
        </w:rPr>
      </w:pPr>
    </w:p>
    <w:p>
      <w:pPr>
        <w:ind w:left="1360" w:right="279" w:firstLine="342"/>
        <w:spacing w:after="0" w:line="237" w:lineRule="auto"/>
        <w:rPr>
          <w:sz w:val="20"/>
          <w:szCs w:val="20"/>
          <w:color w:val="auto"/>
        </w:rPr>
      </w:pPr>
      <w:r>
        <w:rPr>
          <w:rFonts w:ascii="Arial" w:cs="Arial" w:eastAsia="Arial" w:hAnsi="Arial"/>
          <w:sz w:val="14"/>
          <w:szCs w:val="14"/>
          <w:color w:val="auto"/>
        </w:rPr>
        <w:t>To the fullest extent permitted by applicable law, the Guarantor will indemnify any current or former director or officer of the Guarantor who was or is a party or is threatened to be made a party to any threatened, pending or completed action or suit by or in the right of the Guarantor to procure a judgment in the Guarantor’s favor by reason of the fact that such person is or was a director, officer, employee or agent of the Guarantor, or is or was serving at the request of the Guarantor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Guarantor and except that no indemnification may be made with respect to any claim, issue or matter as to which such person has been finally adjudged to be liable to the Guarantor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The Guarantor is required to indemnify any present or former officer or director of the Guarantor to the fullest extent allowed by this paragraph in the event of a Change of Control (as defined above).</w:t>
      </w:r>
    </w:p>
    <w:p>
      <w:pPr>
        <w:spacing w:after="0" w:line="144" w:lineRule="exact"/>
        <w:rPr>
          <w:sz w:val="20"/>
          <w:szCs w:val="20"/>
          <w:color w:val="auto"/>
        </w:rPr>
      </w:pPr>
    </w:p>
    <w:p>
      <w:pPr>
        <w:ind w:left="1360" w:right="499" w:firstLine="342"/>
        <w:spacing w:after="0" w:line="246" w:lineRule="auto"/>
        <w:rPr>
          <w:sz w:val="20"/>
          <w:szCs w:val="20"/>
          <w:color w:val="auto"/>
        </w:rPr>
      </w:pPr>
      <w:r>
        <w:rPr>
          <w:rFonts w:ascii="Arial" w:cs="Arial" w:eastAsia="Arial" w:hAnsi="Arial"/>
          <w:sz w:val="14"/>
          <w:szCs w:val="14"/>
          <w:color w:val="auto"/>
        </w:rPr>
        <w:t>Any indemnification under the preceding three paragraphs (unless ordered by a court) may be extended to current or former employees or agents of the Guarantor or a subsidiary of the Guarantor only as authorized by the Chief Executive Officer or by contract approved, or by-laws, resolution or other action adopted or taken, by the Guarantor’s board of directors or by the Guarantor’s stockholders.</w:t>
      </w:r>
    </w:p>
    <w:p>
      <w:pPr>
        <w:spacing w:after="0" w:line="84"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II-2</w:t>
      </w:r>
    </w:p>
    <w:p>
      <w:pPr>
        <w:sectPr>
          <w:pgSz w:w="11900" w:h="16838" w:orient="portrait"/>
          <w:cols w:equalWidth="0" w:num="1">
            <w:col w:w="10159"/>
          </w:cols>
          <w:pgMar w:left="300" w:top="385"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jc w:val="both"/>
        <w:ind w:left="1360" w:right="399" w:firstLine="342"/>
        <w:spacing w:after="0" w:line="246" w:lineRule="auto"/>
        <w:rPr>
          <w:sz w:val="20"/>
          <w:szCs w:val="20"/>
          <w:color w:val="auto"/>
        </w:rPr>
      </w:pPr>
      <w:r>
        <w:rPr>
          <w:rFonts w:ascii="Arial" w:cs="Arial" w:eastAsia="Arial" w:hAnsi="Arial"/>
          <w:sz w:val="14"/>
          <w:szCs w:val="14"/>
          <w:color w:val="auto"/>
        </w:rPr>
        <w:t>Expenses (including attorneys’ fees) incurred by a current or former director or a current officer of the Guarantor or a subsidiary of the Guarantor in defending any civil or criminal, administrative or investigative action, suit or proceeding will be paid by the Guarantor in advance of the final disposition of such action, suit or proceeding upon receipt of an undertaking by or on behalf of such person to repay such amount if it is ultimately determined that such person is not entitled to be indemnified by the Guarantor.</w:t>
      </w:r>
    </w:p>
    <w:p>
      <w:pPr>
        <w:spacing w:after="0" w:line="137" w:lineRule="exact"/>
        <w:rPr>
          <w:sz w:val="20"/>
          <w:szCs w:val="20"/>
          <w:color w:val="auto"/>
        </w:rPr>
      </w:pPr>
    </w:p>
    <w:p>
      <w:pPr>
        <w:jc w:val="both"/>
        <w:ind w:left="1360" w:right="399" w:firstLine="342"/>
        <w:spacing w:after="0" w:line="269" w:lineRule="auto"/>
        <w:rPr>
          <w:sz w:val="20"/>
          <w:szCs w:val="20"/>
          <w:color w:val="auto"/>
        </w:rPr>
      </w:pPr>
      <w:r>
        <w:rPr>
          <w:rFonts w:ascii="Arial" w:cs="Arial" w:eastAsia="Arial" w:hAnsi="Arial"/>
          <w:sz w:val="14"/>
          <w:szCs w:val="14"/>
          <w:color w:val="auto"/>
        </w:rPr>
        <w:t>The Guarantor may pay such expenses (including attorneys’ fees) incurred by former officers or other employees and agents upon such terms and conditions, if any, it deems appropriate.</w:t>
      </w:r>
    </w:p>
    <w:p>
      <w:pPr>
        <w:spacing w:after="0" w:line="121" w:lineRule="exact"/>
        <w:rPr>
          <w:sz w:val="20"/>
          <w:szCs w:val="20"/>
          <w:color w:val="auto"/>
        </w:rPr>
      </w:pPr>
    </w:p>
    <w:p>
      <w:pPr>
        <w:ind w:left="1360" w:right="279" w:firstLine="342"/>
        <w:spacing w:after="0" w:line="243" w:lineRule="auto"/>
        <w:rPr>
          <w:sz w:val="20"/>
          <w:szCs w:val="20"/>
          <w:color w:val="auto"/>
        </w:rPr>
      </w:pPr>
      <w:r>
        <w:rPr>
          <w:rFonts w:ascii="Arial" w:cs="Arial" w:eastAsia="Arial" w:hAnsi="Arial"/>
          <w:sz w:val="14"/>
          <w:szCs w:val="14"/>
          <w:color w:val="auto"/>
        </w:rPr>
        <w:t>The indemnification and advancement of expenses described above are not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unless otherwise provided when authorized or ratified, continues as to a person who has ceased to be a director, officer, employee or agent and inures to the benefit of the heirs, executors and administrators of that person.</w:t>
      </w:r>
    </w:p>
    <w:p>
      <w:pPr>
        <w:spacing w:after="0" w:line="139" w:lineRule="exact"/>
        <w:rPr>
          <w:sz w:val="20"/>
          <w:szCs w:val="20"/>
          <w:color w:val="auto"/>
        </w:rPr>
      </w:pPr>
    </w:p>
    <w:p>
      <w:pPr>
        <w:ind w:left="1360" w:right="239" w:firstLine="342"/>
        <w:spacing w:after="0" w:line="243" w:lineRule="auto"/>
        <w:rPr>
          <w:sz w:val="20"/>
          <w:szCs w:val="20"/>
          <w:color w:val="auto"/>
        </w:rPr>
      </w:pPr>
      <w:r>
        <w:rPr>
          <w:rFonts w:ascii="Arial" w:cs="Arial" w:eastAsia="Arial" w:hAnsi="Arial"/>
          <w:sz w:val="14"/>
          <w:szCs w:val="14"/>
          <w:color w:val="auto"/>
        </w:rPr>
        <w:t>The Guarantor has the power to purchase and maintain insurance on behalf of any person who is or was a director, officer, employee or agent of the Guarantor, or is or was serving at the request of the Guarantor in such a capacity for another corporation, partnership, joint venture, trust or other enterprise or entity against any liability asserted against that person and incurred by that person in any of those capacities or arising out of such person’s status as such, whether or not the Guarantor would have the power to indemnify such person against such liability.</w:t>
      </w:r>
    </w:p>
    <w:p>
      <w:pPr>
        <w:spacing w:after="0" w:line="139" w:lineRule="exact"/>
        <w:rPr>
          <w:sz w:val="20"/>
          <w:szCs w:val="20"/>
          <w:color w:val="auto"/>
        </w:rPr>
      </w:pPr>
    </w:p>
    <w:p>
      <w:pPr>
        <w:ind w:left="1360" w:right="259" w:firstLine="342"/>
        <w:spacing w:after="0"/>
        <w:rPr>
          <w:sz w:val="20"/>
          <w:szCs w:val="20"/>
          <w:color w:val="auto"/>
        </w:rPr>
      </w:pPr>
      <w:r>
        <w:rPr>
          <w:rFonts w:ascii="Arial" w:cs="Arial" w:eastAsia="Arial" w:hAnsi="Arial"/>
          <w:sz w:val="14"/>
          <w:szCs w:val="14"/>
          <w:color w:val="auto"/>
        </w:rPr>
        <w:t>References in this Item 15 to the Guarantor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stands in the same position with respect to the resulting or surviving corporation as such person would have had with respect to such constituent corporation if its separate existence had continued.</w:t>
      </w:r>
    </w:p>
    <w:p>
      <w:pPr>
        <w:spacing w:after="0" w:line="142" w:lineRule="exact"/>
        <w:rPr>
          <w:sz w:val="20"/>
          <w:szCs w:val="20"/>
          <w:color w:val="auto"/>
        </w:rPr>
      </w:pPr>
    </w:p>
    <w:p>
      <w:pPr>
        <w:ind w:left="1360" w:right="299" w:firstLine="342"/>
        <w:spacing w:after="0" w:line="241" w:lineRule="auto"/>
        <w:rPr>
          <w:sz w:val="20"/>
          <w:szCs w:val="20"/>
          <w:color w:val="auto"/>
        </w:rPr>
      </w:pPr>
      <w:r>
        <w:rPr>
          <w:rFonts w:ascii="Arial" w:cs="Arial" w:eastAsia="Arial" w:hAnsi="Arial"/>
          <w:sz w:val="14"/>
          <w:szCs w:val="14"/>
          <w:color w:val="auto"/>
        </w:rPr>
        <w:t>References in this Item 15 to “other enterprises” includes employee benefit plans; references to “fines” includes any excise taxes assessed on a person with respect to any employee benefit plan; and references to “serving at the request of the Guarantor” includes any service as a director, officer, employee or agent of the Guarantor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will be deemed to have acted in a manner “not opposed to the best interests of the Guarantor.”</w:t>
      </w:r>
    </w:p>
    <w:p>
      <w:pPr>
        <w:spacing w:after="0" w:line="141" w:lineRule="exact"/>
        <w:rPr>
          <w:sz w:val="20"/>
          <w:szCs w:val="20"/>
          <w:color w:val="auto"/>
        </w:rPr>
      </w:pPr>
    </w:p>
    <w:p>
      <w:pPr>
        <w:ind w:left="1360" w:right="259" w:firstLine="342"/>
        <w:spacing w:after="0" w:line="243" w:lineRule="auto"/>
        <w:rPr>
          <w:sz w:val="20"/>
          <w:szCs w:val="20"/>
          <w:color w:val="auto"/>
        </w:rPr>
      </w:pPr>
      <w:r>
        <w:rPr>
          <w:rFonts w:ascii="Arial" w:cs="Arial" w:eastAsia="Arial" w:hAnsi="Arial"/>
          <w:sz w:val="14"/>
          <w:szCs w:val="14"/>
          <w:color w:val="auto"/>
        </w:rPr>
        <w:t>A member of our board of directors, or a member of any committee designated by our board of directors, will, in the performance of such member’s duties, be fully protected in relying in good faith upon the records of the Guarantor and upon such information, opinions, reports or statements presented to the Guarantor by any of the Guarantor’s officers or employees, or committees of our board of directors, or by any other person as to matters the member reasonably believes are within such other person’s professional or expert competence and who has been selected with reasonable care by or on behalf of the Guarantor.</w:t>
      </w:r>
    </w:p>
    <w:p>
      <w:pPr>
        <w:spacing w:after="0" w:line="87"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II-3</w:t>
      </w:r>
    </w:p>
    <w:p>
      <w:pPr>
        <w:sectPr>
          <w:pgSz w:w="11900" w:h="16838" w:orient="portrait"/>
          <w:cols w:equalWidth="0" w:num="1">
            <w:col w:w="10159"/>
          </w:cols>
          <w:pgMar w:left="300" w:top="385"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right="459" w:firstLine="342"/>
        <w:spacing w:after="0" w:line="269" w:lineRule="auto"/>
        <w:rPr>
          <w:sz w:val="20"/>
          <w:szCs w:val="20"/>
          <w:color w:val="auto"/>
        </w:rPr>
      </w:pPr>
      <w:r>
        <w:rPr>
          <w:rFonts w:ascii="Arial" w:cs="Arial" w:eastAsia="Arial" w:hAnsi="Arial"/>
          <w:sz w:val="14"/>
          <w:szCs w:val="14"/>
          <w:color w:val="auto"/>
        </w:rPr>
        <w:t>In addition, the Guarantor maintains directors’ and officers’ liability insurance that insures against certain liabilities that the officers and directors of the Guarantor may incur in such capacities.</w:t>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Schlumberger Investment S.A.</w:t>
      </w:r>
    </w:p>
    <w:p>
      <w:pPr>
        <w:spacing w:after="0" w:line="80" w:lineRule="exact"/>
        <w:rPr>
          <w:sz w:val="20"/>
          <w:szCs w:val="20"/>
          <w:color w:val="auto"/>
        </w:rPr>
      </w:pPr>
    </w:p>
    <w:p>
      <w:pPr>
        <w:ind w:left="1360" w:right="259" w:firstLine="342"/>
        <w:spacing w:after="0" w:line="241" w:lineRule="auto"/>
        <w:rPr>
          <w:sz w:val="20"/>
          <w:szCs w:val="20"/>
          <w:color w:val="auto"/>
        </w:rPr>
      </w:pPr>
      <w:r>
        <w:rPr>
          <w:rFonts w:ascii="Arial" w:cs="Arial" w:eastAsia="Arial" w:hAnsi="Arial"/>
          <w:sz w:val="14"/>
          <w:szCs w:val="14"/>
          <w:color w:val="auto"/>
        </w:rPr>
        <w:t>The coordinated version of the articles of association of Schlumberger Investment S.A. dated 2 September 2011 (the “Articles of Association”), provide that directors may not be held personally liable by reason of their mandate for any commitment they have legally and validly made in the Company’s name, provided those commitments comply with the Articles of Association and the Luxembourg law of 10 August 1915 on commercial companies, as amended (the “Luxembourg Companies Law”). Under Luxembourg law, the Company may not indemnify its directors against any matter arising from a director’s fraud, dishonesty, gross negligence or willful misconduct or any criminal actions.</w:t>
      </w:r>
    </w:p>
    <w:p>
      <w:pPr>
        <w:spacing w:after="0" w:line="141" w:lineRule="exact"/>
        <w:rPr>
          <w:sz w:val="20"/>
          <w:szCs w:val="20"/>
          <w:color w:val="auto"/>
        </w:rPr>
      </w:pPr>
    </w:p>
    <w:p>
      <w:pPr>
        <w:ind w:left="1360" w:right="239" w:firstLine="342"/>
        <w:spacing w:after="0"/>
        <w:rPr>
          <w:sz w:val="20"/>
          <w:szCs w:val="20"/>
          <w:color w:val="auto"/>
        </w:rPr>
      </w:pPr>
      <w:r>
        <w:rPr>
          <w:rFonts w:ascii="Arial" w:cs="Arial" w:eastAsia="Arial" w:hAnsi="Arial"/>
          <w:sz w:val="14"/>
          <w:szCs w:val="14"/>
          <w:color w:val="auto"/>
        </w:rPr>
        <w:t>The board of directors is the Company’s main decision-making body. Directors are agents of the company and owe a duty of care and loyalty to the company (as opposed to any individual shareholder), in whose interest they execute their mandate. The directors’ duty is to manage the affairs of the Company and have the power to take any action they consider necessary or useful to achieve the Company’s purpose, as defined in the Articles of Association, unless that action is reserved to the general meeting of shareholders (e.g., approval of the annual accounts) by the Luxembourg Companies Law or the Articles of Association. Although Luxembourg law, unlike common law jurisdictions, contains no such concept as “fiduciary duty” of directors, the directors of the Company are subject to various duties including the duty to act with loyalty, honesty and in good faith, in the Company’s corporate interest.</w:t>
      </w:r>
    </w:p>
    <w:p>
      <w:pPr>
        <w:spacing w:after="0" w:line="142" w:lineRule="exact"/>
        <w:rPr>
          <w:sz w:val="20"/>
          <w:szCs w:val="20"/>
          <w:color w:val="auto"/>
        </w:rPr>
      </w:pPr>
    </w:p>
    <w:p>
      <w:pPr>
        <w:ind w:left="1360" w:right="339" w:firstLine="342"/>
        <w:spacing w:after="0" w:line="239" w:lineRule="auto"/>
        <w:rPr>
          <w:sz w:val="20"/>
          <w:szCs w:val="20"/>
          <w:color w:val="auto"/>
        </w:rPr>
      </w:pPr>
      <w:r>
        <w:rPr>
          <w:rFonts w:ascii="Arial" w:cs="Arial" w:eastAsia="Arial" w:hAnsi="Arial"/>
          <w:sz w:val="14"/>
          <w:szCs w:val="14"/>
          <w:color w:val="auto"/>
        </w:rPr>
        <w:t>Luxembourg law provides that the directors are liable to the Company in accordance with general law for the execution of the mandate given to them and for any misconduct in the management of the Company’s affairs. They are, in principle, not held personally liable for the indebtedness or other obligations of the Company. They will be jointly and severally liable both towards the Company and any third parties for damages resulting from the violation of the Luxembourg Companies Law or the Articles of Association. They will be discharged from such liability in a case of violation to which they were not a party provided no misconduct is attributable to them and they have reported such violation in the first general meeting after they had acquired knowledge thereof. In addition, directors may under specific circumstances also be subject to criminal liability, such as in the case of an abuse of corporate assets. In the event of bankruptcy directors may be subject to specific criminal and civil liabilities, including the extension of the bankruptcy to the directors.</w:t>
      </w:r>
    </w:p>
    <w:p>
      <w:pPr>
        <w:spacing w:after="0" w:line="143" w:lineRule="exact"/>
        <w:rPr>
          <w:sz w:val="20"/>
          <w:szCs w:val="20"/>
          <w:color w:val="auto"/>
        </w:rPr>
      </w:pPr>
    </w:p>
    <w:p>
      <w:pPr>
        <w:ind w:left="1360" w:right="299" w:firstLine="342"/>
        <w:spacing w:after="0" w:line="239" w:lineRule="auto"/>
        <w:rPr>
          <w:sz w:val="20"/>
          <w:szCs w:val="20"/>
          <w:color w:val="auto"/>
        </w:rPr>
      </w:pPr>
      <w:r>
        <w:rPr>
          <w:rFonts w:ascii="Arial" w:cs="Arial" w:eastAsia="Arial" w:hAnsi="Arial"/>
          <w:sz w:val="14"/>
          <w:szCs w:val="14"/>
          <w:color w:val="auto"/>
        </w:rPr>
        <w:t xml:space="preserve">Luxembourg law </w:t>
      </w:r>
      <w:r>
        <w:rPr>
          <w:rFonts w:ascii="Arial" w:cs="Arial" w:eastAsia="Arial" w:hAnsi="Arial"/>
          <w:sz w:val="14"/>
          <w:szCs w:val="14"/>
          <w:i w:val="1"/>
          <w:iCs w:val="1"/>
          <w:color w:val="auto"/>
        </w:rPr>
        <w:t>considers</w:t>
      </w:r>
      <w:r>
        <w:rPr>
          <w:rFonts w:ascii="Arial" w:cs="Arial" w:eastAsia="Arial" w:hAnsi="Arial"/>
          <w:sz w:val="14"/>
          <w:szCs w:val="14"/>
          <w:color w:val="auto"/>
        </w:rPr>
        <w:t xml:space="preserve"> the provisions relating to the directors’ liability towards the Company to be of public order (</w:t>
      </w:r>
      <w:r>
        <w:rPr>
          <w:rFonts w:ascii="Arial" w:cs="Arial" w:eastAsia="Arial" w:hAnsi="Arial"/>
          <w:sz w:val="14"/>
          <w:szCs w:val="14"/>
          <w:i w:val="1"/>
          <w:iCs w:val="1"/>
          <w:color w:val="auto"/>
        </w:rPr>
        <w:t>ordre public</w:t>
      </w:r>
      <w:r>
        <w:rPr>
          <w:rFonts w:ascii="Arial" w:cs="Arial" w:eastAsia="Arial" w:hAnsi="Arial"/>
          <w:sz w:val="14"/>
          <w:szCs w:val="14"/>
          <w:color w:val="auto"/>
        </w:rPr>
        <w:t>). As a result, the Company cannot exonerate a director in advance of his or her liability being triggered towards the Company. Similarly, the Company cannot hold a director harmless for such liability. However, the Company can hold directors harmless for their liability towards third parties (i.e., other than the Company). The Company can purchase directors’ and officers’ liability insurance for its directors to cover both their civil liability towards the Company and third parties. Such insurances would, in principle, be valid, as they would only shift the monetary consequences of the directors’ liability, without affecting the right of the Company or third parties to bring such an action. Directors’ and officers’ liability insurance can never cover willful misconduct, fraudulent acts or acts caused by gross negligence since it would be contrary to public order and it is not effective in relation to fines and penalties related to criminal offenses.</w:t>
      </w:r>
    </w:p>
    <w:p>
      <w:pPr>
        <w:spacing w:after="0" w:line="143" w:lineRule="exact"/>
        <w:rPr>
          <w:sz w:val="20"/>
          <w:szCs w:val="20"/>
          <w:color w:val="auto"/>
        </w:rPr>
      </w:pPr>
    </w:p>
    <w:p>
      <w:pPr>
        <w:ind w:left="1360" w:right="319" w:firstLine="342"/>
        <w:spacing w:after="0" w:line="251" w:lineRule="auto"/>
        <w:rPr>
          <w:sz w:val="20"/>
          <w:szCs w:val="20"/>
          <w:color w:val="auto"/>
        </w:rPr>
      </w:pPr>
      <w:r>
        <w:rPr>
          <w:rFonts w:ascii="Arial" w:cs="Arial" w:eastAsia="Arial" w:hAnsi="Arial"/>
          <w:sz w:val="14"/>
          <w:szCs w:val="14"/>
          <w:color w:val="auto"/>
        </w:rPr>
        <w:t>The approval of the Company’s purchase of directors’ and officers’ liability insurance itself, however, may raise a conflict of interest issue for its directors. In this respect, under Luxembourg law, any director having directly or indirectly a financial interest (</w:t>
      </w:r>
      <w:r>
        <w:rPr>
          <w:rFonts w:ascii="Arial" w:cs="Arial" w:eastAsia="Arial" w:hAnsi="Arial"/>
          <w:sz w:val="14"/>
          <w:szCs w:val="14"/>
          <w:i w:val="1"/>
          <w:iCs w:val="1"/>
          <w:color w:val="auto"/>
        </w:rPr>
        <w:t>intérêt de nature</w:t>
      </w:r>
      <w:r>
        <w:rPr>
          <w:rFonts w:ascii="Arial" w:cs="Arial" w:eastAsia="Arial" w:hAnsi="Arial"/>
          <w:sz w:val="14"/>
          <w:szCs w:val="14"/>
          <w:color w:val="auto"/>
        </w:rPr>
        <w:t xml:space="preserve"> </w:t>
      </w:r>
      <w:r>
        <w:rPr>
          <w:rFonts w:ascii="Arial" w:cs="Arial" w:eastAsia="Arial" w:hAnsi="Arial"/>
          <w:sz w:val="14"/>
          <w:szCs w:val="14"/>
          <w:i w:val="1"/>
          <w:iCs w:val="1"/>
          <w:color w:val="auto"/>
        </w:rPr>
        <w:t>patrimoniale</w:t>
      </w:r>
      <w:r>
        <w:rPr>
          <w:rFonts w:ascii="Arial" w:cs="Arial" w:eastAsia="Arial" w:hAnsi="Arial"/>
          <w:sz w:val="14"/>
          <w:szCs w:val="14"/>
          <w:color w:val="auto"/>
        </w:rPr>
        <w:t>) in a</w:t>
      </w:r>
    </w:p>
    <w:p>
      <w:pPr>
        <w:spacing w:after="0" w:line="82"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II-4</w:t>
      </w:r>
    </w:p>
    <w:p>
      <w:pPr>
        <w:sectPr>
          <w:pgSz w:w="11900" w:h="16838" w:orient="portrait"/>
          <w:cols w:equalWidth="0" w:num="1">
            <w:col w:w="10159"/>
          </w:cols>
          <w:pgMar w:left="300" w:top="385"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right="239"/>
        <w:spacing w:after="0" w:line="241" w:lineRule="auto"/>
        <w:rPr>
          <w:sz w:val="20"/>
          <w:szCs w:val="20"/>
          <w:color w:val="auto"/>
        </w:rPr>
      </w:pPr>
      <w:r>
        <w:rPr>
          <w:rFonts w:ascii="Arial" w:cs="Arial" w:eastAsia="Arial" w:hAnsi="Arial"/>
          <w:sz w:val="14"/>
          <w:szCs w:val="14"/>
          <w:color w:val="auto"/>
        </w:rPr>
        <w:t>transaction submitted for approval to the board of directors that conflicts with that of the Company shall be obliged to advise the board of directors of the conflict and to cause a record of his or her statement to be included in the minutes of the meeting of the board of directors. Such director may not take part in these deliberations and shall abstain from voting on any such transaction. At the next general meeting of shareholders of the Company, before any other resolution is put to vote, a special report shall be made on any transactions in which any director may have an interest conflicting with that of the Company. These provisions do not apply where the decision of the board of directors relates to transactions entered into under normal conditions in the ordinary course of business.</w:t>
      </w:r>
    </w:p>
    <w:p>
      <w:pPr>
        <w:spacing w:after="0" w:line="141" w:lineRule="exact"/>
        <w:rPr>
          <w:sz w:val="20"/>
          <w:szCs w:val="20"/>
          <w:color w:val="auto"/>
        </w:rPr>
      </w:pPr>
    </w:p>
    <w:p>
      <w:pPr>
        <w:ind w:left="1360" w:right="459" w:firstLine="342"/>
        <w:spacing w:after="0" w:line="251" w:lineRule="auto"/>
        <w:rPr>
          <w:sz w:val="20"/>
          <w:szCs w:val="20"/>
          <w:color w:val="auto"/>
        </w:rPr>
      </w:pPr>
      <w:r>
        <w:rPr>
          <w:rFonts w:ascii="Arial" w:cs="Arial" w:eastAsia="Arial" w:hAnsi="Arial"/>
          <w:sz w:val="14"/>
          <w:szCs w:val="14"/>
          <w:color w:val="auto"/>
        </w:rPr>
        <w:t>If the number of directors required by the articles of association of the Company to decide and vote on the relevant matter is not reached because of conflicts of interest, the board of directors may decide to refer the decision on that matter to the general meeting of shareholders of the Company.</w:t>
      </w:r>
    </w:p>
    <w:p>
      <w:pPr>
        <w:spacing w:after="0" w:line="250" w:lineRule="exact"/>
        <w:rPr>
          <w:sz w:val="20"/>
          <w:szCs w:val="20"/>
          <w:color w:val="auto"/>
        </w:rPr>
      </w:pPr>
    </w:p>
    <w:p>
      <w:pPr>
        <w:ind w:left="1360"/>
        <w:spacing w:after="0"/>
        <w:tabs>
          <w:tab w:leader="none" w:pos="2120" w:val="left"/>
        </w:tabs>
        <w:rPr>
          <w:sz w:val="20"/>
          <w:szCs w:val="20"/>
          <w:color w:val="auto"/>
        </w:rPr>
      </w:pPr>
      <w:r>
        <w:rPr>
          <w:rFonts w:ascii="Arial" w:cs="Arial" w:eastAsia="Arial" w:hAnsi="Arial"/>
          <w:sz w:val="14"/>
          <w:szCs w:val="14"/>
          <w:b w:val="1"/>
          <w:bCs w:val="1"/>
          <w:color w:val="auto"/>
        </w:rPr>
        <w:t>Item 16.</w:t>
      </w:r>
      <w:r>
        <w:rPr>
          <w:sz w:val="20"/>
          <w:szCs w:val="20"/>
          <w:color w:val="auto"/>
        </w:rPr>
        <w:tab/>
      </w:r>
      <w:r>
        <w:rPr>
          <w:rFonts w:ascii="Arial" w:cs="Arial" w:eastAsia="Arial" w:hAnsi="Arial"/>
          <w:sz w:val="14"/>
          <w:szCs w:val="14"/>
          <w:b w:val="1"/>
          <w:bCs w:val="1"/>
          <w:i w:val="1"/>
          <w:iCs w:val="1"/>
          <w:color w:val="auto"/>
        </w:rPr>
        <w:t>Exhibits.</w:t>
      </w:r>
    </w:p>
    <w:p>
      <w:pPr>
        <w:spacing w:after="0" w:line="80"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Set forth below are the exhibits included as part of this Registration Statement.</w:t>
      </w:r>
    </w:p>
    <w:p>
      <w:pPr>
        <w:spacing w:after="0" w:line="112"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II-5</w:t>
      </w:r>
    </w:p>
    <w:p>
      <w:pPr>
        <w:sectPr>
          <w:pgSz w:w="11900" w:h="16838" w:orient="portrait"/>
          <w:cols w:equalWidth="0" w:num="1">
            <w:col w:w="10159"/>
          </w:cols>
          <w:pgMar w:left="300" w:top="385"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1360" w:type="dxa"/>
        <w:tblCellMar>
          <w:top w:w="0" w:type="dxa"/>
          <w:left w:w="0" w:type="dxa"/>
          <w:bottom w:w="0" w:type="dxa"/>
          <w:right w:w="0" w:type="dxa"/>
        </w:tblCellMar>
      </w:tblPr>
      <w:tr>
        <w:trPr>
          <w:trHeight w:val="192"/>
        </w:trPr>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40" w:type="dxa"/>
            <w:vAlign w:val="bottom"/>
            <w:gridSpan w:val="6"/>
          </w:tcPr>
          <w:p>
            <w:pPr>
              <w:ind w:left="46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288"/>
        </w:trPr>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Exhibit</w:t>
            </w:r>
          </w:p>
        </w:tc>
        <w:tc>
          <w:tcPr>
            <w:tcW w:w="2460" w:type="dxa"/>
            <w:vAlign w:val="bottom"/>
          </w:tcPr>
          <w:p>
            <w:pPr>
              <w:spacing w:after="0"/>
              <w:rPr>
                <w:sz w:val="24"/>
                <w:szCs w:val="24"/>
                <w:color w:val="auto"/>
              </w:rPr>
            </w:pPr>
          </w:p>
        </w:tc>
        <w:tc>
          <w:tcPr>
            <w:tcW w:w="5240" w:type="dxa"/>
            <w:vAlign w:val="bottom"/>
            <w:gridSpan w:val="6"/>
            <w:vMerge w:val="restart"/>
          </w:tcPr>
          <w:p>
            <w:pPr>
              <w:ind w:left="1080"/>
              <w:spacing w:after="0"/>
              <w:rPr>
                <w:sz w:val="20"/>
                <w:szCs w:val="20"/>
                <w:color w:val="auto"/>
              </w:rPr>
            </w:pPr>
            <w:r>
              <w:rPr>
                <w:rFonts w:ascii="Arial" w:cs="Arial" w:eastAsia="Arial" w:hAnsi="Arial"/>
                <w:sz w:val="11"/>
                <w:szCs w:val="11"/>
                <w:b w:val="1"/>
                <w:bCs w:val="1"/>
                <w:color w:val="auto"/>
              </w:rPr>
              <w:t>Description</w:t>
            </w:r>
          </w:p>
        </w:tc>
        <w:tc>
          <w:tcPr>
            <w:tcW w:w="0" w:type="dxa"/>
            <w:vAlign w:val="bottom"/>
          </w:tcPr>
          <w:p>
            <w:pPr>
              <w:spacing w:after="0"/>
              <w:rPr>
                <w:sz w:val="1"/>
                <w:szCs w:val="1"/>
                <w:color w:val="auto"/>
              </w:rPr>
            </w:pPr>
          </w:p>
        </w:tc>
      </w:tr>
      <w:tr>
        <w:trPr>
          <w:trHeight w:val="132"/>
        </w:trPr>
        <w:tc>
          <w:tcPr>
            <w:tcW w:w="4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w w:val="96"/>
              </w:rPr>
              <w:t>Number</w:t>
            </w:r>
          </w:p>
        </w:tc>
        <w:tc>
          <w:tcPr>
            <w:tcW w:w="420" w:type="dxa"/>
            <w:vAlign w:val="bottom"/>
          </w:tcPr>
          <w:p>
            <w:pPr>
              <w:spacing w:after="0"/>
              <w:rPr>
                <w:sz w:val="11"/>
                <w:szCs w:val="11"/>
                <w:color w:val="auto"/>
              </w:rPr>
            </w:pPr>
          </w:p>
        </w:tc>
        <w:tc>
          <w:tcPr>
            <w:tcW w:w="2460" w:type="dxa"/>
            <w:vAlign w:val="bottom"/>
            <w:tcBorders>
              <w:bottom w:val="single" w:sz="8" w:color="auto"/>
            </w:tcBorders>
          </w:tcPr>
          <w:p>
            <w:pPr>
              <w:spacing w:after="0"/>
              <w:rPr>
                <w:sz w:val="11"/>
                <w:szCs w:val="11"/>
                <w:color w:val="auto"/>
              </w:rPr>
            </w:pPr>
          </w:p>
        </w:tc>
        <w:tc>
          <w:tcPr>
            <w:tcW w:w="5240" w:type="dxa"/>
            <w:vAlign w:val="bottom"/>
            <w:tcBorders>
              <w:bottom w:val="single" w:sz="8" w:color="auto"/>
            </w:tcBorders>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860" w:type="dxa"/>
            <w:vAlign w:val="bottom"/>
            <w:gridSpan w:val="2"/>
          </w:tcPr>
          <w:p>
            <w:pPr>
              <w:spacing w:after="0"/>
              <w:rPr>
                <w:sz w:val="20"/>
                <w:szCs w:val="20"/>
                <w:color w:val="auto"/>
              </w:rPr>
            </w:pPr>
            <w:r>
              <w:rPr>
                <w:rFonts w:ascii="Arial" w:cs="Arial" w:eastAsia="Arial" w:hAnsi="Arial"/>
                <w:sz w:val="14"/>
                <w:szCs w:val="14"/>
                <w:color w:val="auto"/>
              </w:rPr>
              <w:t>    1</w:t>
            </w:r>
          </w:p>
        </w:tc>
        <w:tc>
          <w:tcPr>
            <w:tcW w:w="7700" w:type="dxa"/>
            <w:vAlign w:val="bottom"/>
            <w:gridSpan w:val="7"/>
          </w:tcPr>
          <w:p>
            <w:pPr>
              <w:spacing w:after="0"/>
              <w:rPr>
                <w:sz w:val="20"/>
                <w:szCs w:val="20"/>
                <w:color w:val="auto"/>
              </w:rPr>
            </w:pPr>
            <w:r>
              <w:rPr>
                <w:rFonts w:ascii="Arial" w:cs="Arial" w:eastAsia="Arial" w:hAnsi="Arial"/>
                <w:sz w:val="14"/>
                <w:szCs w:val="14"/>
                <w:color w:val="auto"/>
              </w:rPr>
              <w:t>Form of Underwriting Agreement.*</w:t>
            </w:r>
          </w:p>
        </w:tc>
        <w:tc>
          <w:tcPr>
            <w:tcW w:w="0" w:type="dxa"/>
            <w:vAlign w:val="bottom"/>
          </w:tcPr>
          <w:p>
            <w:pPr>
              <w:spacing w:after="0"/>
              <w:rPr>
                <w:sz w:val="1"/>
                <w:szCs w:val="1"/>
                <w:color w:val="auto"/>
              </w:rPr>
            </w:pPr>
          </w:p>
        </w:tc>
      </w:tr>
      <w:tr>
        <w:trPr>
          <w:trHeight w:val="218"/>
        </w:trPr>
        <w:tc>
          <w:tcPr>
            <w:tcW w:w="860" w:type="dxa"/>
            <w:vAlign w:val="bottom"/>
            <w:gridSpan w:val="2"/>
          </w:tcPr>
          <w:p>
            <w:pPr>
              <w:spacing w:after="0"/>
              <w:rPr>
                <w:sz w:val="20"/>
                <w:szCs w:val="20"/>
                <w:color w:val="auto"/>
              </w:rPr>
            </w:pPr>
            <w:r>
              <w:rPr>
                <w:rFonts w:ascii="Arial" w:cs="Arial" w:eastAsia="Arial" w:hAnsi="Arial"/>
                <w:sz w:val="14"/>
                <w:szCs w:val="14"/>
                <w:color w:val="auto"/>
              </w:rPr>
              <w:t>    3.1</w:t>
            </w:r>
          </w:p>
        </w:tc>
        <w:tc>
          <w:tcPr>
            <w:tcW w:w="7700" w:type="dxa"/>
            <w:vAlign w:val="bottom"/>
            <w:gridSpan w:val="7"/>
          </w:tcPr>
          <w:p>
            <w:pPr>
              <w:spacing w:after="0"/>
              <w:rPr>
                <w:rFonts w:ascii="Arial" w:cs="Arial" w:eastAsia="Arial" w:hAnsi="Arial"/>
                <w:sz w:val="14"/>
                <w:szCs w:val="14"/>
                <w:color w:val="0000EE"/>
              </w:rPr>
            </w:pPr>
            <w:hyperlink r:id="rId66">
              <w:r>
                <w:rPr>
                  <w:rFonts w:ascii="Arial" w:cs="Arial" w:eastAsia="Arial" w:hAnsi="Arial"/>
                  <w:sz w:val="14"/>
                  <w:szCs w:val="14"/>
                  <w:color w:val="0000EE"/>
                </w:rPr>
                <w:t>Articles of Incorporation of SLB N.V. (incorporated by reference to Exhibit 3.1 to SLB’s Quarterly Report on Form 10-Q for</w:t>
              </w:r>
            </w:hyperlink>
          </w:p>
        </w:tc>
        <w:tc>
          <w:tcPr>
            <w:tcW w:w="0" w:type="dxa"/>
            <w:vAlign w:val="bottom"/>
          </w:tcPr>
          <w:p>
            <w:pPr>
              <w:spacing w:after="0"/>
              <w:rPr>
                <w:sz w:val="1"/>
                <w:szCs w:val="1"/>
                <w:color w:val="auto"/>
              </w:rPr>
            </w:pPr>
          </w:p>
        </w:tc>
      </w:tr>
      <w:tr>
        <w:trPr>
          <w:trHeight w:val="137"/>
        </w:trPr>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500" w:type="dxa"/>
            <w:vAlign w:val="bottom"/>
            <w:tcBorders>
              <w:top w:val="single" w:sz="8" w:color="0000EE"/>
            </w:tcBorders>
            <w:gridSpan w:val="5"/>
          </w:tcPr>
          <w:p>
            <w:pPr>
              <w:spacing w:after="0" w:line="137" w:lineRule="exact"/>
              <w:rPr>
                <w:rFonts w:ascii="Arial" w:cs="Arial" w:eastAsia="Arial" w:hAnsi="Arial"/>
                <w:sz w:val="14"/>
                <w:szCs w:val="14"/>
                <w:color w:val="0000EE"/>
              </w:rPr>
            </w:pPr>
            <w:hyperlink r:id="rId66">
              <w:r>
                <w:rPr>
                  <w:rFonts w:ascii="Arial" w:cs="Arial" w:eastAsia="Arial" w:hAnsi="Arial"/>
                  <w:sz w:val="14"/>
                  <w:szCs w:val="14"/>
                  <w:color w:val="0000EE"/>
                </w:rPr>
                <w:t>the quarter ended September 30, 2025)</w:t>
              </w:r>
              <w:r>
                <w:rPr>
                  <w:rFonts w:ascii="Arial" w:cs="Arial" w:eastAsia="Arial" w:hAnsi="Arial"/>
                  <w:sz w:val="14"/>
                  <w:szCs w:val="14"/>
                  <w:color w:val="000000"/>
                </w:rPr>
                <w:t>.</w:t>
              </w:r>
            </w:hyperlink>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60" w:type="dxa"/>
            <w:vAlign w:val="bottom"/>
            <w:gridSpan w:val="2"/>
          </w:tcPr>
          <w:p>
            <w:pPr>
              <w:spacing w:after="0"/>
              <w:rPr>
                <w:sz w:val="20"/>
                <w:szCs w:val="20"/>
                <w:color w:val="auto"/>
              </w:rPr>
            </w:pPr>
            <w:r>
              <w:rPr>
                <w:rFonts w:ascii="Arial" w:cs="Arial" w:eastAsia="Arial" w:hAnsi="Arial"/>
                <w:sz w:val="14"/>
                <w:szCs w:val="14"/>
                <w:color w:val="auto"/>
              </w:rPr>
              <w:t>    3.2</w:t>
            </w:r>
          </w:p>
        </w:tc>
        <w:tc>
          <w:tcPr>
            <w:tcW w:w="7700" w:type="dxa"/>
            <w:vAlign w:val="bottom"/>
            <w:gridSpan w:val="7"/>
          </w:tcPr>
          <w:p>
            <w:pPr>
              <w:spacing w:after="0"/>
              <w:rPr>
                <w:rFonts w:ascii="Arial" w:cs="Arial" w:eastAsia="Arial" w:hAnsi="Arial"/>
                <w:sz w:val="14"/>
                <w:szCs w:val="14"/>
                <w:color w:val="0000EE"/>
              </w:rPr>
            </w:pPr>
            <w:hyperlink r:id="rId67">
              <w:r>
                <w:rPr>
                  <w:rFonts w:ascii="Arial" w:cs="Arial" w:eastAsia="Arial" w:hAnsi="Arial"/>
                  <w:sz w:val="14"/>
                  <w:szCs w:val="14"/>
                  <w:color w:val="0000EE"/>
                </w:rPr>
                <w:t>Amended and Restated By-Laws of SLB Limited (SLB N.V.) (incorporated by reference to Exhibit 3.2 to SLB’s Quarterly</w:t>
              </w:r>
            </w:hyperlink>
          </w:p>
        </w:tc>
        <w:tc>
          <w:tcPr>
            <w:tcW w:w="0" w:type="dxa"/>
            <w:vAlign w:val="bottom"/>
          </w:tcPr>
          <w:p>
            <w:pPr>
              <w:spacing w:after="0"/>
              <w:rPr>
                <w:sz w:val="1"/>
                <w:szCs w:val="1"/>
                <w:color w:val="auto"/>
              </w:rPr>
            </w:pPr>
          </w:p>
        </w:tc>
      </w:tr>
      <w:tr>
        <w:trPr>
          <w:trHeight w:val="137"/>
        </w:trPr>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380" w:type="dxa"/>
            <w:vAlign w:val="bottom"/>
            <w:tcBorders>
              <w:top w:val="single" w:sz="8" w:color="0000EE"/>
            </w:tcBorders>
            <w:gridSpan w:val="4"/>
          </w:tcPr>
          <w:p>
            <w:pPr>
              <w:spacing w:after="0" w:line="137" w:lineRule="exact"/>
              <w:rPr>
                <w:rFonts w:ascii="Arial" w:cs="Arial" w:eastAsia="Arial" w:hAnsi="Arial"/>
                <w:sz w:val="14"/>
                <w:szCs w:val="14"/>
                <w:color w:val="0000EE"/>
              </w:rPr>
            </w:pPr>
            <w:hyperlink r:id="rId67">
              <w:r>
                <w:rPr>
                  <w:rFonts w:ascii="Arial" w:cs="Arial" w:eastAsia="Arial" w:hAnsi="Arial"/>
                  <w:sz w:val="14"/>
                  <w:szCs w:val="14"/>
                  <w:color w:val="0000EE"/>
                </w:rPr>
                <w:t>Report on Form 10-Q for the quarter ended September 30, 2025)</w:t>
              </w:r>
              <w:r>
                <w:rPr>
                  <w:rFonts w:ascii="Arial" w:cs="Arial" w:eastAsia="Arial" w:hAnsi="Arial"/>
                  <w:sz w:val="14"/>
                  <w:szCs w:val="14"/>
                  <w:color w:val="000000"/>
                </w:rPr>
                <w:t>.</w:t>
              </w:r>
            </w:hyperlink>
          </w:p>
        </w:tc>
        <w:tc>
          <w:tcPr>
            <w:tcW w:w="3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40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60" w:type="dxa"/>
            <w:vAlign w:val="bottom"/>
            <w:gridSpan w:val="2"/>
          </w:tcPr>
          <w:p>
            <w:pPr>
              <w:spacing w:after="0"/>
              <w:rPr>
                <w:sz w:val="20"/>
                <w:szCs w:val="20"/>
                <w:color w:val="auto"/>
              </w:rPr>
            </w:pPr>
            <w:r>
              <w:rPr>
                <w:rFonts w:ascii="Arial" w:cs="Arial" w:eastAsia="Arial" w:hAnsi="Arial"/>
                <w:sz w:val="14"/>
                <w:szCs w:val="14"/>
                <w:color w:val="auto"/>
              </w:rPr>
              <w:t>    3.3</w:t>
            </w:r>
          </w:p>
        </w:tc>
        <w:tc>
          <w:tcPr>
            <w:tcW w:w="7700" w:type="dxa"/>
            <w:vAlign w:val="bottom"/>
            <w:gridSpan w:val="7"/>
          </w:tcPr>
          <w:p>
            <w:pPr>
              <w:spacing w:after="0"/>
              <w:rPr>
                <w:rFonts w:ascii="Arial" w:cs="Arial" w:eastAsia="Arial" w:hAnsi="Arial"/>
                <w:sz w:val="14"/>
                <w:szCs w:val="14"/>
                <w:color w:val="0000EE"/>
                <w:w w:val="99"/>
              </w:rPr>
            </w:pPr>
            <w:hyperlink r:id="rId68">
              <w:r>
                <w:rPr>
                  <w:rFonts w:ascii="Arial" w:cs="Arial" w:eastAsia="Arial" w:hAnsi="Arial"/>
                  <w:sz w:val="14"/>
                  <w:szCs w:val="14"/>
                  <w:color w:val="0000EE"/>
                  <w:w w:val="99"/>
                </w:rPr>
                <w:t>Consolidated Text of the Articles of Association of Schlumberger Investment S.A. (incorporated by reference to Exhibit 3.3 to</w:t>
              </w:r>
            </w:hyperlink>
          </w:p>
        </w:tc>
        <w:tc>
          <w:tcPr>
            <w:tcW w:w="0" w:type="dxa"/>
            <w:vAlign w:val="bottom"/>
          </w:tcPr>
          <w:p>
            <w:pPr>
              <w:spacing w:after="0"/>
              <w:rPr>
                <w:sz w:val="1"/>
                <w:szCs w:val="1"/>
                <w:color w:val="auto"/>
              </w:rPr>
            </w:pPr>
          </w:p>
        </w:tc>
      </w:tr>
      <w:tr>
        <w:trPr>
          <w:trHeight w:val="137"/>
        </w:trPr>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80" w:type="dxa"/>
            <w:vAlign w:val="bottom"/>
            <w:tcBorders>
              <w:top w:val="single" w:sz="8" w:color="0000EE"/>
            </w:tcBorders>
            <w:gridSpan w:val="6"/>
          </w:tcPr>
          <w:p>
            <w:pPr>
              <w:spacing w:after="0" w:line="137" w:lineRule="exact"/>
              <w:rPr>
                <w:rFonts w:ascii="Arial" w:cs="Arial" w:eastAsia="Arial" w:hAnsi="Arial"/>
                <w:sz w:val="14"/>
                <w:szCs w:val="14"/>
                <w:color w:val="0000EE"/>
              </w:rPr>
            </w:pPr>
            <w:hyperlink r:id="rId68">
              <w:r>
                <w:rPr>
                  <w:rFonts w:ascii="Arial" w:cs="Arial" w:eastAsia="Arial" w:hAnsi="Arial"/>
                  <w:sz w:val="14"/>
                  <w:szCs w:val="14"/>
                  <w:color w:val="0000EE"/>
                </w:rPr>
                <w:t>SLB’s Registration Statement on Form S-3 filed on August 26, 2013)</w:t>
              </w:r>
              <w:r>
                <w:rPr>
                  <w:rFonts w:ascii="Arial" w:cs="Arial" w:eastAsia="Arial" w:hAnsi="Arial"/>
                  <w:sz w:val="14"/>
                  <w:szCs w:val="14"/>
                  <w:color w:val="000000"/>
                </w:rPr>
                <w:t>.</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2220" w:right="379" w:hanging="853"/>
        <w:spacing w:after="0" w:line="251" w:lineRule="auto"/>
        <w:tabs>
          <w:tab w:leader="none" w:pos="1438" w:val="left"/>
        </w:tabs>
        <w:numPr>
          <w:ilvl w:val="0"/>
          <w:numId w:val="30"/>
        </w:numPr>
        <w:rPr>
          <w:rFonts w:ascii="Arial" w:cs="Arial" w:eastAsia="Arial" w:hAnsi="Arial"/>
          <w:sz w:val="14"/>
          <w:szCs w:val="14"/>
          <w:color w:val="0000EE"/>
        </w:rPr>
      </w:pPr>
      <w:r>
        <w:rPr>
          <w:rFonts w:ascii="Arial" w:cs="Arial" w:eastAsia="Arial" w:hAnsi="Arial"/>
          <w:sz w:val="14"/>
          <w:szCs w:val="14"/>
          <w:color w:val="auto"/>
        </w:rPr>
        <w:t>  4.1</w:t>
      </w:r>
      <w:hyperlink r:id="rId69">
        <w:r>
          <w:rPr>
            <w:rFonts w:ascii="Arial" w:cs="Arial" w:eastAsia="Arial" w:hAnsi="Arial"/>
            <w:sz w:val="14"/>
            <w:szCs w:val="14"/>
            <w:u w:val="single" w:color="auto"/>
            <w:color w:val="0000EE"/>
          </w:rPr>
          <w:t>Indenture dated as of December 3, 2013, by and among Schlumberger Investment S.A., as issuer, Schlumberger Limited,</w:t>
        </w:r>
      </w:hyperlink>
      <w:r>
        <w:rPr>
          <w:rFonts w:ascii="Arial" w:cs="Arial" w:eastAsia="Arial" w:hAnsi="Arial"/>
          <w:sz w:val="14"/>
          <w:szCs w:val="14"/>
          <w:u w:val="single" w:color="auto"/>
          <w:color w:val="0000EE"/>
        </w:rPr>
        <w:t xml:space="preserve"> </w:t>
      </w:r>
      <w:hyperlink r:id="rId69">
        <w:r>
          <w:rPr>
            <w:rFonts w:ascii="Arial" w:cs="Arial" w:eastAsia="Arial" w:hAnsi="Arial"/>
            <w:sz w:val="14"/>
            <w:szCs w:val="14"/>
            <w:u w:val="single" w:color="auto"/>
            <w:color w:val="0000EE"/>
          </w:rPr>
          <w:t>as guarantor, and The Bank of New York Mellon, as trustee (incorporated by reference to Exhibit 4.1 to SLB’s Current</w:t>
        </w:r>
      </w:hyperlink>
      <w:r>
        <w:rPr>
          <w:rFonts w:ascii="Arial" w:cs="Arial" w:eastAsia="Arial" w:hAnsi="Arial"/>
          <w:sz w:val="14"/>
          <w:szCs w:val="14"/>
          <w:u w:val="single" w:color="auto"/>
          <w:color w:val="0000EE"/>
        </w:rPr>
        <w:t xml:space="preserve"> </w:t>
      </w:r>
      <w:hyperlink r:id="rId69">
        <w:r>
          <w:rPr>
            <w:rFonts w:ascii="Arial" w:cs="Arial" w:eastAsia="Arial" w:hAnsi="Arial"/>
            <w:sz w:val="14"/>
            <w:szCs w:val="14"/>
            <w:u w:val="single" w:color="auto"/>
            <w:color w:val="0000EE"/>
          </w:rPr>
          <w:t>Report on Form 8-K filed on December 3, 2013)</w:t>
        </w:r>
        <w:r>
          <w:rPr>
            <w:rFonts w:ascii="Arial" w:cs="Arial" w:eastAsia="Arial" w:hAnsi="Arial"/>
            <w:sz w:val="14"/>
            <w:szCs w:val="14"/>
            <w:color w:val="000000"/>
          </w:rPr>
          <w:t>.</w:t>
        </w:r>
      </w:hyperlink>
    </w:p>
    <w:p>
      <w:pPr>
        <w:spacing w:after="0" w:line="50" w:lineRule="exact"/>
        <w:rPr>
          <w:rFonts w:ascii="Arial" w:cs="Arial" w:eastAsia="Arial" w:hAnsi="Arial"/>
          <w:sz w:val="14"/>
          <w:szCs w:val="14"/>
          <w:color w:val="0000EE"/>
        </w:rPr>
      </w:pPr>
    </w:p>
    <w:p>
      <w:pPr>
        <w:ind w:left="2220" w:right="319" w:hanging="853"/>
        <w:spacing w:after="0" w:line="251" w:lineRule="auto"/>
        <w:tabs>
          <w:tab w:leader="none" w:pos="1438" w:val="left"/>
        </w:tabs>
        <w:numPr>
          <w:ilvl w:val="0"/>
          <w:numId w:val="30"/>
        </w:numPr>
        <w:rPr>
          <w:rFonts w:ascii="Arial" w:cs="Arial" w:eastAsia="Arial" w:hAnsi="Arial"/>
          <w:sz w:val="14"/>
          <w:szCs w:val="14"/>
          <w:color w:val="0000EE"/>
        </w:rPr>
      </w:pPr>
      <w:r>
        <w:rPr>
          <w:rFonts w:ascii="Arial" w:cs="Arial" w:eastAsia="Arial" w:hAnsi="Arial"/>
          <w:sz w:val="14"/>
          <w:szCs w:val="14"/>
          <w:color w:val="auto"/>
        </w:rPr>
        <w:t>  4.2</w:t>
      </w:r>
      <w:hyperlink r:id="rId70">
        <w:r>
          <w:rPr>
            <w:rFonts w:ascii="Arial" w:cs="Arial" w:eastAsia="Arial" w:hAnsi="Arial"/>
            <w:sz w:val="14"/>
            <w:szCs w:val="14"/>
            <w:u w:val="single" w:color="auto"/>
            <w:color w:val="0000EE"/>
          </w:rPr>
          <w:t>Second Supplemental Indenture dated as of June 26, 2020, by and among Schlumberger Investment S.A., as issuer,</w:t>
        </w:r>
      </w:hyperlink>
      <w:r>
        <w:rPr>
          <w:rFonts w:ascii="Arial" w:cs="Arial" w:eastAsia="Arial" w:hAnsi="Arial"/>
          <w:sz w:val="14"/>
          <w:szCs w:val="14"/>
          <w:u w:val="single" w:color="auto"/>
          <w:color w:val="0000EE"/>
        </w:rPr>
        <w:t xml:space="preserve"> </w:t>
      </w:r>
      <w:hyperlink r:id="rId70">
        <w:r>
          <w:rPr>
            <w:rFonts w:ascii="Arial" w:cs="Arial" w:eastAsia="Arial" w:hAnsi="Arial"/>
            <w:sz w:val="14"/>
            <w:szCs w:val="14"/>
            <w:u w:val="single" w:color="auto"/>
            <w:color w:val="0000EE"/>
          </w:rPr>
          <w:t>Schlumberger Limited, as guarantor, and The Bank of New York Mellon, as trustee (incorporated by reference to Exhibit 4.1</w:t>
        </w:r>
      </w:hyperlink>
      <w:r>
        <w:rPr>
          <w:rFonts w:ascii="Arial" w:cs="Arial" w:eastAsia="Arial" w:hAnsi="Arial"/>
          <w:sz w:val="14"/>
          <w:szCs w:val="14"/>
          <w:u w:val="single" w:color="auto"/>
          <w:color w:val="0000EE"/>
        </w:rPr>
        <w:t xml:space="preserve"> </w:t>
      </w:r>
      <w:hyperlink r:id="rId70">
        <w:r>
          <w:rPr>
            <w:rFonts w:ascii="Arial" w:cs="Arial" w:eastAsia="Arial" w:hAnsi="Arial"/>
            <w:sz w:val="14"/>
            <w:szCs w:val="14"/>
            <w:u w:val="single" w:color="auto"/>
            <w:color w:val="0000EE"/>
          </w:rPr>
          <w:t>to SLB’s Current Report on Form 8-K filed on June 26, 2020)</w:t>
        </w:r>
        <w:r>
          <w:rPr>
            <w:rFonts w:ascii="Arial" w:cs="Arial" w:eastAsia="Arial" w:hAnsi="Arial"/>
            <w:sz w:val="14"/>
            <w:szCs w:val="14"/>
            <w:color w:val="000000"/>
          </w:rPr>
          <w:t>.</w:t>
        </w:r>
      </w:hyperlink>
    </w:p>
    <w:p>
      <w:pPr>
        <w:spacing w:after="0" w:line="51" w:lineRule="exact"/>
        <w:rPr>
          <w:rFonts w:ascii="Arial" w:cs="Arial" w:eastAsia="Arial" w:hAnsi="Arial"/>
          <w:sz w:val="14"/>
          <w:szCs w:val="14"/>
          <w:u w:val="single" w:color="auto"/>
          <w:color w:val="0000EE"/>
        </w:rPr>
      </w:pPr>
    </w:p>
    <w:tbl>
      <w:tblPr>
        <w:tblLayout w:type="fixed"/>
        <w:tblInd w:w="1360" w:type="dxa"/>
        <w:tblCellMar>
          <w:top w:w="0" w:type="dxa"/>
          <w:left w:w="0" w:type="dxa"/>
          <w:bottom w:w="0" w:type="dxa"/>
          <w:right w:w="0" w:type="dxa"/>
        </w:tblCellMar>
      </w:tblPr>
      <w:tr>
        <w:trPr>
          <w:trHeight w:val="184"/>
        </w:trPr>
        <w:tc>
          <w:tcPr>
            <w:tcW w:w="860" w:type="dxa"/>
            <w:vAlign w:val="bottom"/>
          </w:tcPr>
          <w:p>
            <w:pPr>
              <w:spacing w:after="0"/>
              <w:rPr>
                <w:sz w:val="20"/>
                <w:szCs w:val="20"/>
                <w:color w:val="auto"/>
              </w:rPr>
            </w:pPr>
            <w:r>
              <w:rPr>
                <w:rFonts w:ascii="Arial" w:cs="Arial" w:eastAsia="Arial" w:hAnsi="Arial"/>
                <w:sz w:val="14"/>
                <w:szCs w:val="14"/>
                <w:color w:val="auto"/>
              </w:rPr>
              <w:t>    4.3</w:t>
            </w:r>
          </w:p>
        </w:tc>
        <w:tc>
          <w:tcPr>
            <w:tcW w:w="2560" w:type="dxa"/>
            <w:vAlign w:val="bottom"/>
          </w:tcPr>
          <w:p>
            <w:pPr>
              <w:spacing w:after="0"/>
              <w:rPr>
                <w:sz w:val="20"/>
                <w:szCs w:val="20"/>
                <w:color w:val="auto"/>
              </w:rPr>
            </w:pPr>
            <w:r>
              <w:rPr>
                <w:rFonts w:ascii="Arial" w:cs="Arial" w:eastAsia="Arial" w:hAnsi="Arial"/>
                <w:sz w:val="14"/>
                <w:szCs w:val="14"/>
                <w:color w:val="auto"/>
              </w:rPr>
              <w:t>Form of Debt Securities.*</w:t>
            </w:r>
          </w:p>
        </w:tc>
      </w:tr>
      <w:tr>
        <w:trPr>
          <w:trHeight w:val="218"/>
        </w:trPr>
        <w:tc>
          <w:tcPr>
            <w:tcW w:w="860" w:type="dxa"/>
            <w:vAlign w:val="bottom"/>
          </w:tcPr>
          <w:p>
            <w:pPr>
              <w:spacing w:after="0"/>
              <w:rPr>
                <w:sz w:val="20"/>
                <w:szCs w:val="20"/>
                <w:color w:val="auto"/>
              </w:rPr>
            </w:pPr>
            <w:r>
              <w:rPr>
                <w:rFonts w:ascii="Arial" w:cs="Arial" w:eastAsia="Arial" w:hAnsi="Arial"/>
                <w:sz w:val="14"/>
                <w:szCs w:val="14"/>
                <w:color w:val="auto"/>
              </w:rPr>
              <w:t>    5.1</w:t>
            </w:r>
          </w:p>
        </w:tc>
        <w:tc>
          <w:tcPr>
            <w:tcW w:w="2560" w:type="dxa"/>
            <w:vAlign w:val="bottom"/>
            <w:tcBorders>
              <w:bottom w:val="single" w:sz="8" w:color="0000EE"/>
            </w:tcBorders>
          </w:tcPr>
          <w:p>
            <w:pPr>
              <w:spacing w:after="0"/>
              <w:rPr>
                <w:sz w:val="20"/>
                <w:szCs w:val="20"/>
                <w:color w:val="auto"/>
              </w:rPr>
            </w:pPr>
            <w:r>
              <w:rPr>
                <w:rFonts w:ascii="Arial" w:cs="Arial" w:eastAsia="Arial" w:hAnsi="Arial"/>
                <w:sz w:val="14"/>
                <w:szCs w:val="14"/>
                <w:color w:val="0000EE"/>
                <w:w w:val="98"/>
              </w:rPr>
              <w:t>Opinion of Gibson, Dunn &amp; Crutcher LLP.</w:t>
            </w:r>
          </w:p>
        </w:tc>
      </w:tr>
    </w:tbl>
    <w:p>
      <w:pPr>
        <w:spacing w:after="0" w:line="90" w:lineRule="exact"/>
        <w:rPr>
          <w:rFonts w:ascii="Arial" w:cs="Arial" w:eastAsia="Arial" w:hAnsi="Arial"/>
          <w:sz w:val="14"/>
          <w:szCs w:val="14"/>
          <w:u w:val="single" w:color="auto"/>
          <w:color w:val="0000EE"/>
        </w:rPr>
      </w:pPr>
    </w:p>
    <w:p>
      <w:pPr>
        <w:ind w:left="1440" w:hanging="73"/>
        <w:spacing w:after="0"/>
        <w:tabs>
          <w:tab w:leader="none" w:pos="14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  5.2</w:t>
      </w:r>
      <w:r>
        <w:rPr>
          <w:rFonts w:ascii="Arial" w:cs="Arial" w:eastAsia="Arial" w:hAnsi="Arial"/>
          <w:sz w:val="13"/>
          <w:szCs w:val="13"/>
          <w:u w:val="single" w:color="auto"/>
          <w:color w:val="0000EE"/>
        </w:rPr>
        <w:t>Opinion of STvB Advocaten (Europe) N.V.</w:t>
      </w:r>
    </w:p>
    <w:p>
      <w:pPr>
        <w:spacing w:after="0" w:line="102" w:lineRule="exact"/>
        <w:rPr>
          <w:rFonts w:ascii="Arial" w:cs="Arial" w:eastAsia="Arial" w:hAnsi="Arial"/>
          <w:sz w:val="13"/>
          <w:szCs w:val="13"/>
          <w:color w:val="auto"/>
        </w:rPr>
      </w:pPr>
    </w:p>
    <w:p>
      <w:pPr>
        <w:ind w:left="1440" w:hanging="73"/>
        <w:spacing w:after="0"/>
        <w:tabs>
          <w:tab w:leader="none" w:pos="14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  5.3</w:t>
      </w:r>
      <w:r>
        <w:rPr>
          <w:rFonts w:ascii="Arial" w:cs="Arial" w:eastAsia="Arial" w:hAnsi="Arial"/>
          <w:sz w:val="14"/>
          <w:szCs w:val="14"/>
          <w:u w:val="single" w:color="auto"/>
          <w:color w:val="0000EE"/>
        </w:rPr>
        <w:t>Opinion of Loyens &amp; Loeff Luxembourg SARL.</w:t>
      </w:r>
    </w:p>
    <w:p>
      <w:pPr>
        <w:spacing w:after="0" w:line="81" w:lineRule="exact"/>
        <w:rPr>
          <w:rFonts w:ascii="Arial" w:cs="Arial" w:eastAsia="Arial" w:hAnsi="Arial"/>
          <w:sz w:val="14"/>
          <w:szCs w:val="14"/>
          <w:u w:val="single" w:color="auto"/>
          <w:color w:val="0000EE"/>
        </w:rPr>
      </w:pPr>
    </w:p>
    <w:tbl>
      <w:tblPr>
        <w:tblLayout w:type="fixed"/>
        <w:tblInd w:w="1360" w:type="dxa"/>
        <w:tblCellMar>
          <w:top w:w="0" w:type="dxa"/>
          <w:left w:w="0" w:type="dxa"/>
          <w:bottom w:w="0" w:type="dxa"/>
          <w:right w:w="0" w:type="dxa"/>
        </w:tblCellMar>
      </w:tblPr>
      <w:tr>
        <w:trPr>
          <w:trHeight w:val="161"/>
        </w:trPr>
        <w:tc>
          <w:tcPr>
            <w:tcW w:w="860" w:type="dxa"/>
            <w:vAlign w:val="bottom"/>
          </w:tcPr>
          <w:p>
            <w:pPr>
              <w:spacing w:after="0"/>
              <w:rPr>
                <w:sz w:val="20"/>
                <w:szCs w:val="20"/>
                <w:color w:val="auto"/>
              </w:rPr>
            </w:pPr>
            <w:r>
              <w:rPr>
                <w:rFonts w:ascii="Arial" w:cs="Arial" w:eastAsia="Arial" w:hAnsi="Arial"/>
                <w:sz w:val="14"/>
                <w:szCs w:val="14"/>
                <w:color w:val="auto"/>
              </w:rPr>
              <w:t>  22</w:t>
            </w:r>
          </w:p>
        </w:tc>
        <w:tc>
          <w:tcPr>
            <w:tcW w:w="7620" w:type="dxa"/>
            <w:vAlign w:val="bottom"/>
            <w:tcBorders>
              <w:bottom w:val="single" w:sz="8" w:color="0000EE"/>
            </w:tcBorders>
            <w:gridSpan w:val="2"/>
          </w:tcPr>
          <w:p>
            <w:pPr>
              <w:spacing w:after="0"/>
              <w:rPr>
                <w:rFonts w:ascii="Arial" w:cs="Arial" w:eastAsia="Arial" w:hAnsi="Arial"/>
                <w:sz w:val="14"/>
                <w:szCs w:val="14"/>
                <w:color w:val="0000EE"/>
                <w:w w:val="99"/>
              </w:rPr>
            </w:pPr>
            <w:hyperlink r:id="rId71">
              <w:r>
                <w:rPr>
                  <w:rFonts w:ascii="Arial" w:cs="Arial" w:eastAsia="Arial" w:hAnsi="Arial"/>
                  <w:sz w:val="14"/>
                  <w:szCs w:val="14"/>
                  <w:color w:val="0000EE"/>
                  <w:w w:val="99"/>
                </w:rPr>
                <w:t>Issuers of Registered Guaranteed Debt Securities (incorporated by reference to Exhibit 22 to SLB’s Annual Report on Form</w:t>
              </w:r>
            </w:hyperlink>
          </w:p>
        </w:tc>
      </w:tr>
      <w:tr>
        <w:trPr>
          <w:trHeight w:val="137"/>
        </w:trPr>
        <w:tc>
          <w:tcPr>
            <w:tcW w:w="860" w:type="dxa"/>
            <w:vAlign w:val="bottom"/>
          </w:tcPr>
          <w:p>
            <w:pPr>
              <w:spacing w:after="0"/>
              <w:rPr>
                <w:sz w:val="11"/>
                <w:szCs w:val="11"/>
                <w:color w:val="auto"/>
              </w:rPr>
            </w:pPr>
          </w:p>
        </w:tc>
        <w:tc>
          <w:tcPr>
            <w:tcW w:w="2000" w:type="dxa"/>
            <w:vAlign w:val="bottom"/>
            <w:tcBorders>
              <w:bottom w:val="single" w:sz="8" w:color="0000EE"/>
            </w:tcBorders>
          </w:tcPr>
          <w:p>
            <w:pPr>
              <w:spacing w:after="0" w:line="137" w:lineRule="exact"/>
              <w:rPr>
                <w:rFonts w:ascii="Arial" w:cs="Arial" w:eastAsia="Arial" w:hAnsi="Arial"/>
                <w:sz w:val="14"/>
                <w:szCs w:val="14"/>
                <w:color w:val="0000EE"/>
                <w:w w:val="99"/>
              </w:rPr>
            </w:pPr>
            <w:hyperlink r:id="rId71">
              <w:r>
                <w:rPr>
                  <w:rFonts w:ascii="Arial" w:cs="Arial" w:eastAsia="Arial" w:hAnsi="Arial"/>
                  <w:sz w:val="14"/>
                  <w:szCs w:val="14"/>
                  <w:color w:val="0000EE"/>
                  <w:w w:val="99"/>
                </w:rPr>
                <w:t>10-K filed on January 23, 2026).</w:t>
              </w:r>
            </w:hyperlink>
          </w:p>
        </w:tc>
        <w:tc>
          <w:tcPr>
            <w:tcW w:w="5620" w:type="dxa"/>
            <w:vAlign w:val="bottom"/>
          </w:tcPr>
          <w:p>
            <w:pPr>
              <w:spacing w:after="0"/>
              <w:rPr>
                <w:sz w:val="11"/>
                <w:szCs w:val="11"/>
                <w:color w:val="auto"/>
              </w:rPr>
            </w:pPr>
          </w:p>
        </w:tc>
      </w:tr>
    </w:tbl>
    <w:p>
      <w:pPr>
        <w:spacing w:after="0" w:line="80" w:lineRule="exact"/>
        <w:rPr>
          <w:sz w:val="20"/>
          <w:szCs w:val="20"/>
          <w:color w:val="auto"/>
        </w:rPr>
      </w:pPr>
    </w:p>
    <w:p>
      <w:pPr>
        <w:ind w:left="1440" w:hanging="73"/>
        <w:spacing w:after="0"/>
        <w:tabs>
          <w:tab w:leader="none" w:pos="14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23.1</w:t>
      </w:r>
      <w:r>
        <w:rPr>
          <w:rFonts w:ascii="Arial" w:cs="Arial" w:eastAsia="Arial" w:hAnsi="Arial"/>
          <w:sz w:val="13"/>
          <w:szCs w:val="13"/>
          <w:u w:val="single" w:color="auto"/>
          <w:color w:val="0000EE"/>
        </w:rPr>
        <w:t>Consent of PricewaterhouseCoopers LLP.</w:t>
      </w:r>
    </w:p>
    <w:p>
      <w:pPr>
        <w:spacing w:after="0" w:line="92"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860" w:type="dxa"/>
            <w:vAlign w:val="bottom"/>
          </w:tcPr>
          <w:p>
            <w:pPr>
              <w:spacing w:after="0"/>
              <w:rPr>
                <w:sz w:val="20"/>
                <w:szCs w:val="20"/>
                <w:color w:val="auto"/>
              </w:rPr>
            </w:pPr>
            <w:r>
              <w:rPr>
                <w:rFonts w:ascii="Arial" w:cs="Arial" w:eastAsia="Arial" w:hAnsi="Arial"/>
                <w:sz w:val="14"/>
                <w:szCs w:val="14"/>
                <w:color w:val="auto"/>
              </w:rPr>
              <w:t>  23.2</w:t>
            </w:r>
          </w:p>
        </w:tc>
        <w:tc>
          <w:tcPr>
            <w:tcW w:w="7580" w:type="dxa"/>
            <w:vAlign w:val="bottom"/>
            <w:gridSpan w:val="5"/>
          </w:tcPr>
          <w:p>
            <w:pPr>
              <w:spacing w:after="0"/>
              <w:rPr>
                <w:sz w:val="20"/>
                <w:szCs w:val="20"/>
                <w:color w:val="auto"/>
              </w:rPr>
            </w:pPr>
            <w:r>
              <w:rPr>
                <w:rFonts w:ascii="Arial" w:cs="Arial" w:eastAsia="Arial" w:hAnsi="Arial"/>
                <w:sz w:val="14"/>
                <w:szCs w:val="14"/>
                <w:color w:val="0000EE"/>
              </w:rPr>
              <w:t>Consent of Gibson, Dunn &amp; Crutcher LLP (set forth in Exhibit 5.1).</w:t>
            </w:r>
          </w:p>
        </w:tc>
      </w:tr>
      <w:tr>
        <w:trPr>
          <w:trHeight w:val="20"/>
        </w:trPr>
        <w:tc>
          <w:tcPr>
            <w:tcW w:w="86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32"/>
        </w:trPr>
        <w:tc>
          <w:tcPr>
            <w:tcW w:w="860" w:type="dxa"/>
            <w:vAlign w:val="bottom"/>
          </w:tcPr>
          <w:p>
            <w:pPr>
              <w:spacing w:after="0"/>
              <w:rPr>
                <w:sz w:val="20"/>
                <w:szCs w:val="20"/>
                <w:color w:val="auto"/>
              </w:rPr>
            </w:pPr>
            <w:r>
              <w:rPr>
                <w:rFonts w:ascii="Arial" w:cs="Arial" w:eastAsia="Arial" w:hAnsi="Arial"/>
                <w:sz w:val="14"/>
                <w:szCs w:val="14"/>
                <w:color w:val="auto"/>
              </w:rPr>
              <w:t>  23.3</w:t>
            </w:r>
          </w:p>
        </w:tc>
        <w:tc>
          <w:tcPr>
            <w:tcW w:w="416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color w:val="0000EE"/>
                <w:w w:val="99"/>
              </w:rPr>
              <w:t>Consent of STvB Advocaten (Europe) N.V. (set forth in Exhibit 5.2).</w:t>
            </w:r>
          </w:p>
        </w:tc>
        <w:tc>
          <w:tcPr>
            <w:tcW w:w="3420" w:type="dxa"/>
            <w:vAlign w:val="bottom"/>
            <w:gridSpan w:val="2"/>
          </w:tcPr>
          <w:p>
            <w:pPr>
              <w:spacing w:after="0"/>
              <w:rPr>
                <w:sz w:val="20"/>
                <w:szCs w:val="20"/>
                <w:color w:val="auto"/>
              </w:rPr>
            </w:pPr>
          </w:p>
        </w:tc>
      </w:tr>
      <w:tr>
        <w:trPr>
          <w:trHeight w:val="232"/>
        </w:trPr>
        <w:tc>
          <w:tcPr>
            <w:tcW w:w="860" w:type="dxa"/>
            <w:vAlign w:val="bottom"/>
          </w:tcPr>
          <w:p>
            <w:pPr>
              <w:spacing w:after="0"/>
              <w:rPr>
                <w:sz w:val="20"/>
                <w:szCs w:val="20"/>
                <w:color w:val="auto"/>
              </w:rPr>
            </w:pPr>
            <w:r>
              <w:rPr>
                <w:rFonts w:ascii="Arial" w:cs="Arial" w:eastAsia="Arial" w:hAnsi="Arial"/>
                <w:sz w:val="14"/>
                <w:szCs w:val="14"/>
                <w:color w:val="auto"/>
              </w:rPr>
              <w:t>  23.4</w:t>
            </w:r>
          </w:p>
        </w:tc>
        <w:tc>
          <w:tcPr>
            <w:tcW w:w="7580" w:type="dxa"/>
            <w:vAlign w:val="bottom"/>
            <w:gridSpan w:val="5"/>
          </w:tcPr>
          <w:p>
            <w:pPr>
              <w:spacing w:after="0"/>
              <w:rPr>
                <w:sz w:val="20"/>
                <w:szCs w:val="20"/>
                <w:color w:val="auto"/>
              </w:rPr>
            </w:pPr>
            <w:r>
              <w:rPr>
                <w:rFonts w:ascii="Arial" w:cs="Arial" w:eastAsia="Arial" w:hAnsi="Arial"/>
                <w:sz w:val="14"/>
                <w:szCs w:val="14"/>
                <w:color w:val="0000EE"/>
              </w:rPr>
              <w:t>Consent of Loyens &amp; Loeff Luxembourg SARL. (set forth in Exhibit 5.3).</w:t>
            </w:r>
          </w:p>
        </w:tc>
      </w:tr>
      <w:tr>
        <w:trPr>
          <w:trHeight w:val="232"/>
        </w:trPr>
        <w:tc>
          <w:tcPr>
            <w:tcW w:w="860" w:type="dxa"/>
            <w:vAlign w:val="bottom"/>
          </w:tcPr>
          <w:p>
            <w:pPr>
              <w:spacing w:after="0"/>
              <w:rPr>
                <w:sz w:val="20"/>
                <w:szCs w:val="20"/>
                <w:color w:val="auto"/>
              </w:rPr>
            </w:pPr>
            <w:r>
              <w:rPr>
                <w:rFonts w:ascii="Arial" w:cs="Arial" w:eastAsia="Arial" w:hAnsi="Arial"/>
                <w:sz w:val="14"/>
                <w:szCs w:val="14"/>
                <w:color w:val="auto"/>
              </w:rPr>
              <w:t>  24</w:t>
            </w:r>
          </w:p>
        </w:tc>
        <w:tc>
          <w:tcPr>
            <w:tcW w:w="4420" w:type="dxa"/>
            <w:vAlign w:val="bottom"/>
            <w:tcBorders>
              <w:top w:val="single" w:sz="8" w:color="0000EE"/>
            </w:tcBorders>
            <w:gridSpan w:val="4"/>
          </w:tcPr>
          <w:p>
            <w:pPr>
              <w:spacing w:after="0"/>
              <w:rPr>
                <w:sz w:val="20"/>
                <w:szCs w:val="20"/>
                <w:color w:val="auto"/>
              </w:rPr>
            </w:pPr>
            <w:r>
              <w:rPr>
                <w:rFonts w:ascii="Arial" w:cs="Arial" w:eastAsia="Arial" w:hAnsi="Arial"/>
                <w:sz w:val="14"/>
                <w:szCs w:val="14"/>
                <w:color w:val="0000EE"/>
              </w:rPr>
              <w:t>Power of Attorney.</w:t>
            </w:r>
          </w:p>
        </w:tc>
        <w:tc>
          <w:tcPr>
            <w:tcW w:w="3160" w:type="dxa"/>
            <w:vAlign w:val="bottom"/>
          </w:tcPr>
          <w:p>
            <w:pPr>
              <w:spacing w:after="0"/>
              <w:rPr>
                <w:sz w:val="20"/>
                <w:szCs w:val="20"/>
                <w:color w:val="auto"/>
              </w:rPr>
            </w:pPr>
          </w:p>
        </w:tc>
      </w:tr>
      <w:tr>
        <w:trPr>
          <w:trHeight w:val="20"/>
        </w:trPr>
        <w:tc>
          <w:tcPr>
            <w:tcW w:w="86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440" w:type="dxa"/>
            <w:vAlign w:val="bottom"/>
            <w:gridSpan w:val="4"/>
          </w:tcPr>
          <w:p>
            <w:pPr>
              <w:spacing w:after="0" w:line="20" w:lineRule="exact"/>
              <w:rPr>
                <w:sz w:val="1"/>
                <w:szCs w:val="1"/>
                <w:color w:val="auto"/>
              </w:rPr>
            </w:pPr>
          </w:p>
        </w:tc>
      </w:tr>
      <w:tr>
        <w:trPr>
          <w:trHeight w:val="232"/>
        </w:trPr>
        <w:tc>
          <w:tcPr>
            <w:tcW w:w="860" w:type="dxa"/>
            <w:vAlign w:val="bottom"/>
          </w:tcPr>
          <w:p>
            <w:pPr>
              <w:spacing w:after="0"/>
              <w:rPr>
                <w:sz w:val="20"/>
                <w:szCs w:val="20"/>
                <w:color w:val="auto"/>
              </w:rPr>
            </w:pPr>
            <w:r>
              <w:rPr>
                <w:rFonts w:ascii="Arial" w:cs="Arial" w:eastAsia="Arial" w:hAnsi="Arial"/>
                <w:sz w:val="14"/>
                <w:szCs w:val="14"/>
                <w:color w:val="auto"/>
              </w:rPr>
              <w:t>  25</w:t>
            </w:r>
          </w:p>
        </w:tc>
        <w:tc>
          <w:tcPr>
            <w:tcW w:w="7580" w:type="dxa"/>
            <w:vAlign w:val="bottom"/>
            <w:tcBorders>
              <w:bottom w:val="single" w:sz="8" w:color="0000EE"/>
            </w:tcBorders>
            <w:gridSpan w:val="5"/>
          </w:tcPr>
          <w:p>
            <w:pPr>
              <w:spacing w:after="0"/>
              <w:rPr>
                <w:sz w:val="20"/>
                <w:szCs w:val="20"/>
                <w:color w:val="auto"/>
              </w:rPr>
            </w:pPr>
            <w:r>
              <w:rPr>
                <w:rFonts w:ascii="Arial" w:cs="Arial" w:eastAsia="Arial" w:hAnsi="Arial"/>
                <w:sz w:val="14"/>
                <w:szCs w:val="14"/>
                <w:color w:val="0000EE"/>
                <w:w w:val="99"/>
              </w:rPr>
              <w:t>Statement of Eligibility and Qualification under the Trust Indenture Act of 1939 of The Bank of New York Mellon, as trustee.</w:t>
            </w:r>
          </w:p>
        </w:tc>
      </w:tr>
    </w:tbl>
    <w:p>
      <w:pPr>
        <w:spacing w:after="0" w:line="90" w:lineRule="exact"/>
        <w:rPr>
          <w:sz w:val="20"/>
          <w:szCs w:val="20"/>
          <w:color w:val="auto"/>
        </w:rPr>
      </w:pPr>
    </w:p>
    <w:p>
      <w:pPr>
        <w:ind w:left="2220" w:hanging="853"/>
        <w:spacing w:after="0"/>
        <w:tabs>
          <w:tab w:leader="none" w:pos="2220" w:val="left"/>
        </w:tabs>
        <w:numPr>
          <w:ilvl w:val="0"/>
          <w:numId w:val="33"/>
        </w:numPr>
        <w:rPr>
          <w:rFonts w:ascii="Arial" w:cs="Arial" w:eastAsia="Arial" w:hAnsi="Arial"/>
          <w:sz w:val="14"/>
          <w:szCs w:val="14"/>
          <w:color w:val="auto"/>
        </w:rPr>
      </w:pPr>
      <w:r>
        <w:rPr>
          <w:rFonts w:ascii="Arial" w:cs="Arial" w:eastAsia="Arial" w:hAnsi="Arial"/>
          <w:sz w:val="14"/>
          <w:szCs w:val="14"/>
          <w:u w:val="single" w:color="auto"/>
          <w:color w:val="0000EE"/>
        </w:rPr>
        <w:t>Filing Fee Table.</w:t>
      </w:r>
    </w:p>
    <w:p>
      <w:pPr>
        <w:spacing w:after="0" w:line="195" w:lineRule="exact"/>
        <w:rPr>
          <w:sz w:val="20"/>
          <w:szCs w:val="20"/>
          <w:color w:val="auto"/>
        </w:rPr>
      </w:pPr>
    </w:p>
    <w:p>
      <w:pPr>
        <w:ind w:left="1700" w:right="799" w:hanging="333"/>
        <w:spacing w:after="0" w:line="269" w:lineRule="auto"/>
        <w:tabs>
          <w:tab w:leader="none" w:pos="17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To be filed by amendment or as an exhibit to a Current Report on Form 8-K and incorporated by reference in the registration statement.</w:t>
      </w:r>
    </w:p>
    <w:p>
      <w:pPr>
        <w:spacing w:after="0" w:line="237" w:lineRule="exact"/>
        <w:rPr>
          <w:sz w:val="20"/>
          <w:szCs w:val="20"/>
          <w:color w:val="auto"/>
        </w:rPr>
      </w:pPr>
    </w:p>
    <w:p>
      <w:pPr>
        <w:ind w:left="1360"/>
        <w:spacing w:after="0"/>
        <w:tabs>
          <w:tab w:leader="none" w:pos="2120" w:val="left"/>
        </w:tabs>
        <w:rPr>
          <w:sz w:val="20"/>
          <w:szCs w:val="20"/>
          <w:color w:val="auto"/>
        </w:rPr>
      </w:pPr>
      <w:r>
        <w:rPr>
          <w:rFonts w:ascii="Arial" w:cs="Arial" w:eastAsia="Arial" w:hAnsi="Arial"/>
          <w:sz w:val="14"/>
          <w:szCs w:val="14"/>
          <w:b w:val="1"/>
          <w:bCs w:val="1"/>
          <w:color w:val="auto"/>
        </w:rPr>
        <w:t>Item 17.</w:t>
      </w:r>
      <w:r>
        <w:rPr>
          <w:sz w:val="20"/>
          <w:szCs w:val="20"/>
          <w:color w:val="auto"/>
        </w:rPr>
        <w:tab/>
      </w:r>
      <w:r>
        <w:rPr>
          <w:rFonts w:ascii="Arial" w:cs="Arial" w:eastAsia="Arial" w:hAnsi="Arial"/>
          <w:sz w:val="14"/>
          <w:szCs w:val="14"/>
          <w:b w:val="1"/>
          <w:bCs w:val="1"/>
          <w:color w:val="auto"/>
        </w:rPr>
        <w:t>Undertakings.</w:t>
      </w:r>
    </w:p>
    <w:p>
      <w:pPr>
        <w:spacing w:after="0" w:line="80" w:lineRule="exact"/>
        <w:rPr>
          <w:sz w:val="20"/>
          <w:szCs w:val="20"/>
          <w:color w:val="auto"/>
        </w:rPr>
      </w:pPr>
    </w:p>
    <w:p>
      <w:pPr>
        <w:ind w:left="1920" w:hanging="211"/>
        <w:spacing w:after="0"/>
        <w:tabs>
          <w:tab w:leader="none" w:pos="1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undersigned registrants hereby undertake:</w:t>
      </w:r>
    </w:p>
    <w:p>
      <w:pPr>
        <w:spacing w:after="0" w:line="80" w:lineRule="exact"/>
        <w:rPr>
          <w:rFonts w:ascii="Arial" w:cs="Arial" w:eastAsia="Arial" w:hAnsi="Arial"/>
          <w:sz w:val="14"/>
          <w:szCs w:val="14"/>
          <w:color w:val="auto"/>
        </w:rPr>
      </w:pPr>
    </w:p>
    <w:p>
      <w:pPr>
        <w:ind w:left="2240" w:hanging="203"/>
        <w:spacing w:after="0"/>
        <w:tabs>
          <w:tab w:leader="none" w:pos="2240" w:val="left"/>
        </w:tabs>
        <w:numPr>
          <w:ilvl w:val="1"/>
          <w:numId w:val="35"/>
        </w:numPr>
        <w:rPr>
          <w:rFonts w:ascii="Arial" w:cs="Arial" w:eastAsia="Arial" w:hAnsi="Arial"/>
          <w:sz w:val="14"/>
          <w:szCs w:val="14"/>
          <w:color w:val="auto"/>
        </w:rPr>
      </w:pPr>
      <w:r>
        <w:rPr>
          <w:rFonts w:ascii="Arial" w:cs="Arial" w:eastAsia="Arial" w:hAnsi="Arial"/>
          <w:sz w:val="14"/>
          <w:szCs w:val="14"/>
          <w:color w:val="auto"/>
        </w:rPr>
        <w:t>To file, during any period in which offers or sales are being made, a post-effective amendment to this registration statement:</w:t>
      </w:r>
    </w:p>
    <w:p>
      <w:pPr>
        <w:spacing w:after="0" w:line="80" w:lineRule="exact"/>
        <w:rPr>
          <w:rFonts w:ascii="Arial" w:cs="Arial" w:eastAsia="Arial" w:hAnsi="Arial"/>
          <w:sz w:val="14"/>
          <w:szCs w:val="14"/>
          <w:color w:val="auto"/>
        </w:rPr>
      </w:pPr>
    </w:p>
    <w:p>
      <w:pPr>
        <w:ind w:left="2620" w:hanging="172"/>
        <w:spacing w:after="0"/>
        <w:tabs>
          <w:tab w:leader="none" w:pos="2620" w:val="left"/>
        </w:tabs>
        <w:numPr>
          <w:ilvl w:val="2"/>
          <w:numId w:val="35"/>
        </w:numPr>
        <w:rPr>
          <w:rFonts w:ascii="Arial" w:cs="Arial" w:eastAsia="Arial" w:hAnsi="Arial"/>
          <w:sz w:val="14"/>
          <w:szCs w:val="14"/>
          <w:color w:val="auto"/>
        </w:rPr>
      </w:pPr>
      <w:r>
        <w:rPr>
          <w:rFonts w:ascii="Arial" w:cs="Arial" w:eastAsia="Arial" w:hAnsi="Arial"/>
          <w:sz w:val="14"/>
          <w:szCs w:val="14"/>
          <w:color w:val="auto"/>
        </w:rPr>
        <w:t>to include any prospectus required by Section 10(a)(3) of the Securities Act of 1933, as amended (the “Securities</w:t>
      </w:r>
    </w:p>
    <w:p>
      <w:pPr>
        <w:spacing w:after="0" w:line="10" w:lineRule="exact"/>
        <w:rPr>
          <w:rFonts w:ascii="Arial" w:cs="Arial" w:eastAsia="Arial" w:hAnsi="Arial"/>
          <w:sz w:val="14"/>
          <w:szCs w:val="14"/>
          <w:color w:val="auto"/>
        </w:rPr>
      </w:pPr>
    </w:p>
    <w:p>
      <w:pPr>
        <w:ind w:left="2140"/>
        <w:spacing w:after="0"/>
        <w:rPr>
          <w:rFonts w:ascii="Arial" w:cs="Arial" w:eastAsia="Arial" w:hAnsi="Arial"/>
          <w:sz w:val="14"/>
          <w:szCs w:val="14"/>
          <w:color w:val="auto"/>
        </w:rPr>
      </w:pPr>
      <w:r>
        <w:rPr>
          <w:rFonts w:ascii="Arial" w:cs="Arial" w:eastAsia="Arial" w:hAnsi="Arial"/>
          <w:sz w:val="14"/>
          <w:szCs w:val="14"/>
          <w:color w:val="auto"/>
        </w:rPr>
        <w:t>Act”);</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II-6</w:t>
      </w:r>
    </w:p>
    <w:p>
      <w:pPr>
        <w:sectPr>
          <w:pgSz w:w="11900" w:h="16838" w:orient="portrait"/>
          <w:cols w:equalWidth="0" w:num="1">
            <w:col w:w="10159"/>
          </w:cols>
          <w:pgMar w:left="300" w:top="385"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2140" w:right="239" w:firstLine="308"/>
        <w:spacing w:after="0" w:line="239" w:lineRule="auto"/>
        <w:tabs>
          <w:tab w:leader="none" w:pos="2645" w:val="left"/>
        </w:tabs>
        <w:numPr>
          <w:ilvl w:val="0"/>
          <w:numId w:val="36"/>
        </w:numPr>
        <w:rPr>
          <w:rFonts w:ascii="Arial" w:cs="Arial" w:eastAsia="Arial" w:hAnsi="Arial"/>
          <w:sz w:val="14"/>
          <w:szCs w:val="14"/>
          <w:color w:val="auto"/>
        </w:rPr>
      </w:pPr>
      <w:r>
        <w:rPr>
          <w:rFonts w:ascii="Arial" w:cs="Arial" w:eastAsia="Arial" w:hAnsi="Arial"/>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59" w:lineRule="exact"/>
        <w:rPr>
          <w:rFonts w:ascii="Arial" w:cs="Arial" w:eastAsia="Arial" w:hAnsi="Arial"/>
          <w:sz w:val="14"/>
          <w:szCs w:val="14"/>
          <w:color w:val="auto"/>
        </w:rPr>
      </w:pPr>
    </w:p>
    <w:p>
      <w:pPr>
        <w:ind w:left="2140" w:right="379" w:firstLine="308"/>
        <w:spacing w:after="0" w:line="269" w:lineRule="auto"/>
        <w:tabs>
          <w:tab w:leader="none" w:pos="2676" w:val="left"/>
        </w:tabs>
        <w:numPr>
          <w:ilvl w:val="0"/>
          <w:numId w:val="36"/>
        </w:numPr>
        <w:rPr>
          <w:rFonts w:ascii="Arial" w:cs="Arial" w:eastAsia="Arial" w:hAnsi="Arial"/>
          <w:sz w:val="14"/>
          <w:szCs w:val="14"/>
          <w:color w:val="auto"/>
        </w:rPr>
      </w:pPr>
      <w:r>
        <w:rPr>
          <w:rFonts w:ascii="Arial" w:cs="Arial" w:eastAsia="Arial" w:hAnsi="Arial"/>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37" w:lineRule="exact"/>
        <w:rPr>
          <w:sz w:val="20"/>
          <w:szCs w:val="20"/>
          <w:color w:val="auto"/>
        </w:rPr>
      </w:pPr>
    </w:p>
    <w:p>
      <w:pPr>
        <w:ind w:left="2140" w:right="319"/>
        <w:spacing w:after="0" w:line="243" w:lineRule="auto"/>
        <w:rPr>
          <w:sz w:val="20"/>
          <w:szCs w:val="20"/>
          <w:color w:val="auto"/>
        </w:rPr>
      </w:pPr>
      <w:r>
        <w:rPr>
          <w:rFonts w:ascii="Arial" w:cs="Arial" w:eastAsia="Arial" w:hAnsi="Arial"/>
          <w:sz w:val="14"/>
          <w:szCs w:val="14"/>
          <w:i w:val="1"/>
          <w:iCs w:val="1"/>
          <w:color w:val="auto"/>
        </w:rPr>
        <w:t xml:space="preserve">provided, however, </w:t>
      </w:r>
      <w:r>
        <w:rPr>
          <w:rFonts w:ascii="Arial" w:cs="Arial" w:eastAsia="Arial" w:hAnsi="Arial"/>
          <w:sz w:val="14"/>
          <w:szCs w:val="14"/>
          <w:color w:val="auto"/>
        </w:rPr>
        <w:t>that paragraphs (a)(1)(i), (a)(1)(ii) and (a)(1)(iii) above do not apply if the information required to be</w:t>
      </w:r>
      <w:r>
        <w:rPr>
          <w:rFonts w:ascii="Arial" w:cs="Arial" w:eastAsia="Arial" w:hAnsi="Arial"/>
          <w:sz w:val="14"/>
          <w:szCs w:val="14"/>
          <w:i w:val="1"/>
          <w:iCs w:val="1"/>
          <w:color w:val="auto"/>
        </w:rPr>
        <w:t xml:space="preserve"> </w:t>
      </w:r>
      <w:r>
        <w:rPr>
          <w:rFonts w:ascii="Arial" w:cs="Arial" w:eastAsia="Arial" w:hAnsi="Arial"/>
          <w:sz w:val="14"/>
          <w:szCs w:val="14"/>
          <w:color w:val="auto"/>
        </w:rPr>
        <w:t>included in a post-effective amendment by those paragraphs is contained in reports filed with or furnished to the SEC by a registrant pursuant to Section 13 or Section 15(d) of the Securities Exchange Act of 1934, as amended (the “Exchange Act”), that are incorporated by reference in the registration statement, or is contained in a form of prospectus filed pursuant to Rule 424(b) that is part of the registration statement.</w:t>
      </w:r>
    </w:p>
    <w:p>
      <w:pPr>
        <w:spacing w:after="0" w:line="55" w:lineRule="exact"/>
        <w:rPr>
          <w:sz w:val="20"/>
          <w:szCs w:val="20"/>
          <w:color w:val="auto"/>
        </w:rPr>
      </w:pPr>
    </w:p>
    <w:p>
      <w:pPr>
        <w:ind w:left="1700" w:right="459" w:firstLine="337"/>
        <w:spacing w:after="0" w:line="251" w:lineRule="auto"/>
        <w:tabs>
          <w:tab w:leader="none" w:pos="2238"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50" w:lineRule="exact"/>
        <w:rPr>
          <w:rFonts w:ascii="Arial" w:cs="Arial" w:eastAsia="Arial" w:hAnsi="Arial"/>
          <w:sz w:val="14"/>
          <w:szCs w:val="14"/>
          <w:color w:val="auto"/>
        </w:rPr>
      </w:pPr>
    </w:p>
    <w:p>
      <w:pPr>
        <w:ind w:left="1700" w:right="459" w:firstLine="337"/>
        <w:spacing w:after="0" w:line="269" w:lineRule="auto"/>
        <w:tabs>
          <w:tab w:leader="none" w:pos="2238" w:val="left"/>
        </w:tabs>
        <w:numPr>
          <w:ilvl w:val="0"/>
          <w:numId w:val="37"/>
        </w:numPr>
        <w:rPr>
          <w:rFonts w:ascii="Arial" w:cs="Arial" w:eastAsia="Arial" w:hAnsi="Arial"/>
          <w:sz w:val="14"/>
          <w:szCs w:val="14"/>
          <w:color w:val="auto"/>
        </w:rPr>
      </w:pPr>
      <w:r>
        <w:rPr>
          <w:rFonts w:ascii="Arial" w:cs="Arial" w:eastAsia="Arial" w:hAnsi="Arial"/>
          <w:sz w:val="14"/>
          <w:szCs w:val="14"/>
          <w:color w:val="auto"/>
        </w:rPr>
        <w:t>To remove from registration by means of a post-effective amendment any of the securities being registered which remain unsold at the termination of the offering.</w:t>
      </w:r>
    </w:p>
    <w:p>
      <w:pPr>
        <w:spacing w:after="0" w:line="37" w:lineRule="exact"/>
        <w:rPr>
          <w:rFonts w:ascii="Arial" w:cs="Arial" w:eastAsia="Arial" w:hAnsi="Arial"/>
          <w:sz w:val="14"/>
          <w:szCs w:val="14"/>
          <w:color w:val="auto"/>
        </w:rPr>
      </w:pPr>
    </w:p>
    <w:p>
      <w:pPr>
        <w:ind w:left="2240" w:hanging="203"/>
        <w:spacing w:after="0"/>
        <w:tabs>
          <w:tab w:leader="none" w:pos="22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That, for the purpose of determining liability under the Securities Act to any purchaser:</w:t>
      </w:r>
    </w:p>
    <w:p>
      <w:pPr>
        <w:spacing w:after="0" w:line="80" w:lineRule="exact"/>
        <w:rPr>
          <w:rFonts w:ascii="Arial" w:cs="Arial" w:eastAsia="Arial" w:hAnsi="Arial"/>
          <w:sz w:val="14"/>
          <w:szCs w:val="14"/>
          <w:color w:val="auto"/>
        </w:rPr>
      </w:pPr>
    </w:p>
    <w:p>
      <w:pPr>
        <w:ind w:left="2140" w:right="799" w:firstLine="308"/>
        <w:spacing w:after="0" w:line="308" w:lineRule="auto"/>
        <w:tabs>
          <w:tab w:leader="none" w:pos="2614" w:val="left"/>
        </w:tabs>
        <w:numPr>
          <w:ilvl w:val="1"/>
          <w:numId w:val="37"/>
        </w:numPr>
        <w:rPr>
          <w:rFonts w:ascii="Arial" w:cs="Arial" w:eastAsia="Arial" w:hAnsi="Arial"/>
          <w:sz w:val="13"/>
          <w:szCs w:val="13"/>
          <w:color w:val="auto"/>
        </w:rPr>
      </w:pPr>
      <w:r>
        <w:rPr>
          <w:rFonts w:ascii="Arial" w:cs="Arial" w:eastAsia="Arial" w:hAnsi="Arial"/>
          <w:sz w:val="13"/>
          <w:szCs w:val="13"/>
          <w:color w:val="auto"/>
        </w:rPr>
        <w:t>Each prospectus filed by a registrant pursuant to Rule 424(b)(3) shall be deemed to be part of the registration statement as of the date the filed prospectus was deemed part of and included in the registration statement; and</w:t>
      </w:r>
    </w:p>
    <w:p>
      <w:pPr>
        <w:spacing w:after="0" w:line="14" w:lineRule="exact"/>
        <w:rPr>
          <w:rFonts w:ascii="Arial" w:cs="Arial" w:eastAsia="Arial" w:hAnsi="Arial"/>
          <w:sz w:val="13"/>
          <w:szCs w:val="13"/>
          <w:color w:val="auto"/>
        </w:rPr>
      </w:pPr>
    </w:p>
    <w:p>
      <w:pPr>
        <w:ind w:left="2140" w:right="339" w:firstLine="308"/>
        <w:spacing w:after="0" w:line="237" w:lineRule="auto"/>
        <w:tabs>
          <w:tab w:leader="none" w:pos="2645" w:val="left"/>
        </w:tabs>
        <w:numPr>
          <w:ilvl w:val="1"/>
          <w:numId w:val="37"/>
        </w:numPr>
        <w:rPr>
          <w:rFonts w:ascii="Arial" w:cs="Arial" w:eastAsia="Arial" w:hAnsi="Arial"/>
          <w:sz w:val="14"/>
          <w:szCs w:val="14"/>
          <w:color w:val="auto"/>
        </w:rPr>
      </w:pPr>
      <w:r>
        <w:rPr>
          <w:rFonts w:ascii="Arial" w:cs="Arial" w:eastAsia="Arial" w:hAnsi="Arial"/>
          <w:sz w:val="14"/>
          <w:szCs w:val="14"/>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4"/>
          <w:szCs w:val="14"/>
          <w:i w:val="1"/>
          <w:iCs w:val="1"/>
          <w:color w:val="auto"/>
        </w:rPr>
        <w:t>bona fide</w:t>
      </w:r>
      <w:r>
        <w:rPr>
          <w:rFonts w:ascii="Arial" w:cs="Arial" w:eastAsia="Arial" w:hAnsi="Arial"/>
          <w:sz w:val="14"/>
          <w:szCs w:val="14"/>
          <w:color w:val="auto"/>
        </w:rPr>
        <w:t xml:space="preserve"> offering thereof.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61" w:lineRule="exact"/>
        <w:rPr>
          <w:rFonts w:ascii="Arial" w:cs="Arial" w:eastAsia="Arial" w:hAnsi="Arial"/>
          <w:sz w:val="14"/>
          <w:szCs w:val="14"/>
          <w:color w:val="auto"/>
        </w:rPr>
      </w:pPr>
    </w:p>
    <w:p>
      <w:pPr>
        <w:ind w:left="1700" w:right="279" w:firstLine="337"/>
        <w:spacing w:after="0" w:line="269" w:lineRule="auto"/>
        <w:tabs>
          <w:tab w:leader="none" w:pos="2238"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That, for the purpose of determining liability of a registrant under the Securities Act to any purchaser in the initial distribution of the securities, each undersigned registrant undertakes that in</w:t>
      </w:r>
    </w:p>
    <w:p>
      <w:pPr>
        <w:spacing w:after="0" w:line="69"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II-7</w:t>
      </w:r>
    </w:p>
    <w:p>
      <w:pPr>
        <w:sectPr>
          <w:pgSz w:w="11900" w:h="16838" w:orient="portrait"/>
          <w:cols w:equalWidth="0" w:num="1">
            <w:col w:w="10159"/>
          </w:cols>
          <w:pgMar w:left="300" w:top="385"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700" w:right="439"/>
        <w:spacing w:after="0" w:line="246" w:lineRule="auto"/>
        <w:rPr>
          <w:sz w:val="20"/>
          <w:szCs w:val="20"/>
          <w:color w:val="auto"/>
        </w:rPr>
      </w:pPr>
      <w:r>
        <w:rPr>
          <w:rFonts w:ascii="Arial" w:cs="Arial" w:eastAsia="Arial" w:hAnsi="Arial"/>
          <w:sz w:val="14"/>
          <w:szCs w:val="14"/>
          <w:color w:val="auto"/>
        </w:rPr>
        <w:t>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each undersigned registrant will be a seller to the purchaser and will be considered to offer or sell such securities to such purchaser:</w:t>
      </w:r>
    </w:p>
    <w:p>
      <w:pPr>
        <w:spacing w:after="0" w:line="53" w:lineRule="exact"/>
        <w:rPr>
          <w:sz w:val="20"/>
          <w:szCs w:val="20"/>
          <w:color w:val="auto"/>
        </w:rPr>
      </w:pPr>
    </w:p>
    <w:p>
      <w:pPr>
        <w:ind w:left="2140" w:right="619" w:firstLine="308"/>
        <w:spacing w:after="0" w:line="269" w:lineRule="auto"/>
        <w:tabs>
          <w:tab w:leader="none" w:pos="2614" w:val="left"/>
        </w:tabs>
        <w:numPr>
          <w:ilvl w:val="1"/>
          <w:numId w:val="38"/>
        </w:numPr>
        <w:rPr>
          <w:rFonts w:ascii="Arial" w:cs="Arial" w:eastAsia="Arial" w:hAnsi="Arial"/>
          <w:sz w:val="14"/>
          <w:szCs w:val="14"/>
          <w:color w:val="auto"/>
        </w:rPr>
      </w:pPr>
      <w:r>
        <w:rPr>
          <w:rFonts w:ascii="Arial" w:cs="Arial" w:eastAsia="Arial" w:hAnsi="Arial"/>
          <w:sz w:val="14"/>
          <w:szCs w:val="14"/>
          <w:color w:val="auto"/>
        </w:rPr>
        <w:t>Any preliminary prospectus or prospectus of an undersigned registrant relating to the offering required to be filed pursuant to Rule 424;</w:t>
      </w:r>
    </w:p>
    <w:p>
      <w:pPr>
        <w:spacing w:after="0" w:line="37" w:lineRule="exact"/>
        <w:rPr>
          <w:rFonts w:ascii="Arial" w:cs="Arial" w:eastAsia="Arial" w:hAnsi="Arial"/>
          <w:sz w:val="14"/>
          <w:szCs w:val="14"/>
          <w:color w:val="auto"/>
        </w:rPr>
      </w:pPr>
    </w:p>
    <w:p>
      <w:pPr>
        <w:ind w:left="2140" w:right="439" w:firstLine="308"/>
        <w:spacing w:after="0" w:line="269" w:lineRule="auto"/>
        <w:tabs>
          <w:tab w:leader="none" w:pos="2645" w:val="left"/>
        </w:tabs>
        <w:numPr>
          <w:ilvl w:val="1"/>
          <w:numId w:val="38"/>
        </w:numPr>
        <w:rPr>
          <w:rFonts w:ascii="Arial" w:cs="Arial" w:eastAsia="Arial" w:hAnsi="Arial"/>
          <w:sz w:val="14"/>
          <w:szCs w:val="14"/>
          <w:color w:val="auto"/>
        </w:rPr>
      </w:pPr>
      <w:r>
        <w:rPr>
          <w:rFonts w:ascii="Arial" w:cs="Arial" w:eastAsia="Arial" w:hAnsi="Arial"/>
          <w:sz w:val="14"/>
          <w:szCs w:val="14"/>
          <w:color w:val="auto"/>
        </w:rPr>
        <w:t>Any free writing prospectus relating to the offering prepared by or on behalf of an undersigned registrant or used or referred to by an undersigned registrant;</w:t>
      </w:r>
    </w:p>
    <w:p>
      <w:pPr>
        <w:spacing w:after="0" w:line="37" w:lineRule="exact"/>
        <w:rPr>
          <w:rFonts w:ascii="Arial" w:cs="Arial" w:eastAsia="Arial" w:hAnsi="Arial"/>
          <w:sz w:val="14"/>
          <w:szCs w:val="14"/>
          <w:color w:val="auto"/>
        </w:rPr>
      </w:pPr>
    </w:p>
    <w:p>
      <w:pPr>
        <w:ind w:left="2140" w:right="639" w:firstLine="308"/>
        <w:spacing w:after="0" w:line="269" w:lineRule="auto"/>
        <w:tabs>
          <w:tab w:leader="none" w:pos="2676" w:val="left"/>
        </w:tabs>
        <w:numPr>
          <w:ilvl w:val="1"/>
          <w:numId w:val="38"/>
        </w:numPr>
        <w:rPr>
          <w:rFonts w:ascii="Arial" w:cs="Arial" w:eastAsia="Arial" w:hAnsi="Arial"/>
          <w:sz w:val="14"/>
          <w:szCs w:val="14"/>
          <w:color w:val="auto"/>
        </w:rPr>
      </w:pPr>
      <w:r>
        <w:rPr>
          <w:rFonts w:ascii="Arial" w:cs="Arial" w:eastAsia="Arial" w:hAnsi="Arial"/>
          <w:sz w:val="14"/>
          <w:szCs w:val="14"/>
          <w:color w:val="auto"/>
        </w:rPr>
        <w:t>The portion of any other free writing prospectus relating to the offering containing material information about an undersigned registrant or its securities provided by or on behalf of an undersigned registrant; and</w:t>
      </w:r>
    </w:p>
    <w:p>
      <w:pPr>
        <w:spacing w:after="0" w:line="37" w:lineRule="exact"/>
        <w:rPr>
          <w:rFonts w:ascii="Arial" w:cs="Arial" w:eastAsia="Arial" w:hAnsi="Arial"/>
          <w:sz w:val="14"/>
          <w:szCs w:val="14"/>
          <w:color w:val="auto"/>
        </w:rPr>
      </w:pPr>
    </w:p>
    <w:p>
      <w:pPr>
        <w:ind w:left="2680" w:hanging="232"/>
        <w:spacing w:after="0"/>
        <w:tabs>
          <w:tab w:leader="none" w:pos="2680" w:val="left"/>
        </w:tabs>
        <w:numPr>
          <w:ilvl w:val="1"/>
          <w:numId w:val="38"/>
        </w:numPr>
        <w:rPr>
          <w:rFonts w:ascii="Arial" w:cs="Arial" w:eastAsia="Arial" w:hAnsi="Arial"/>
          <w:sz w:val="14"/>
          <w:szCs w:val="14"/>
          <w:color w:val="auto"/>
        </w:rPr>
      </w:pPr>
      <w:r>
        <w:rPr>
          <w:rFonts w:ascii="Arial" w:cs="Arial" w:eastAsia="Arial" w:hAnsi="Arial"/>
          <w:sz w:val="14"/>
          <w:szCs w:val="14"/>
          <w:color w:val="auto"/>
        </w:rPr>
        <w:t>Any other communication that is an offer in the offering made by an undersigned Registrant to the purchaser.</w:t>
      </w:r>
    </w:p>
    <w:p>
      <w:pPr>
        <w:spacing w:after="0" w:line="163" w:lineRule="exact"/>
        <w:rPr>
          <w:rFonts w:ascii="Arial" w:cs="Arial" w:eastAsia="Arial" w:hAnsi="Arial"/>
          <w:sz w:val="14"/>
          <w:szCs w:val="14"/>
          <w:color w:val="auto"/>
        </w:rPr>
      </w:pPr>
    </w:p>
    <w:p>
      <w:pPr>
        <w:ind w:left="1360" w:right="259" w:firstLine="349"/>
        <w:spacing w:after="0" w:line="243" w:lineRule="auto"/>
        <w:tabs>
          <w:tab w:leader="none" w:pos="1912"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undersigned registrants hereby undertake that, for purposes of determining any liability under the Securities Act, each filing of SLB N.V. (SLB Limited)’s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38" w:lineRule="exact"/>
        <w:rPr>
          <w:rFonts w:ascii="Arial" w:cs="Arial" w:eastAsia="Arial" w:hAnsi="Arial"/>
          <w:sz w:val="14"/>
          <w:szCs w:val="14"/>
          <w:color w:val="auto"/>
        </w:rPr>
      </w:pPr>
    </w:p>
    <w:p>
      <w:pPr>
        <w:ind w:left="1360" w:right="399" w:firstLine="349"/>
        <w:spacing w:after="0" w:line="260" w:lineRule="auto"/>
        <w:tabs>
          <w:tab w:leader="none" w:pos="1904"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Insofar as indemnification for liabilities arising under the Securities Act may be permitted to directors, officers and controlling persons of the registrants pursuant to the foregoing provisions, or otherwise, the registrants have been advised that in the opinion of the SEC such indemnification is against public policy as expressed in the Securities Act and is, therefore, unenforceable. In the event that a claim for indemnification against such liabilities (other than the payment by a registrant of expenses incurred or paid by a director, officer or controlling person of a registrant in the successful defense of any action, suit or proceeding) is asserted by such director, officer or controlling person in connection with the securities being registered, the registrants will, unless in the opinion of their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78"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II-8</w:t>
      </w:r>
    </w:p>
    <w:p>
      <w:pPr>
        <w:sectPr>
          <w:pgSz w:w="11900" w:h="16838" w:orient="portrait"/>
          <w:cols w:equalWidth="0" w:num="1">
            <w:col w:w="10159"/>
          </w:cols>
          <w:pgMar w:left="300" w:top="385"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SIGNATURES</w:t>
      </w:r>
    </w:p>
    <w:p>
      <w:pPr>
        <w:spacing w:after="0" w:line="164" w:lineRule="exact"/>
        <w:rPr>
          <w:sz w:val="20"/>
          <w:szCs w:val="20"/>
          <w:color w:val="auto"/>
        </w:rPr>
      </w:pPr>
    </w:p>
    <w:p>
      <w:pPr>
        <w:jc w:val="both"/>
        <w:ind w:left="1360" w:right="519" w:firstLine="342"/>
        <w:spacing w:after="0" w:line="268" w:lineRule="auto"/>
        <w:rPr>
          <w:sz w:val="20"/>
          <w:szCs w:val="20"/>
          <w:color w:val="auto"/>
        </w:rPr>
      </w:pPr>
      <w:r>
        <w:rPr>
          <w:rFonts w:ascii="Arial" w:cs="Arial" w:eastAsia="Arial" w:hAnsi="Arial"/>
          <w:sz w:val="14"/>
          <w:szCs w:val="14"/>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the 30</w:t>
      </w:r>
      <w:r>
        <w:rPr>
          <w:rFonts w:ascii="Arial" w:cs="Arial" w:eastAsia="Arial" w:hAnsi="Arial"/>
          <w:sz w:val="20"/>
          <w:szCs w:val="20"/>
          <w:color w:val="auto"/>
          <w:vertAlign w:val="superscript"/>
        </w:rPr>
        <w:t>th</w:t>
      </w:r>
      <w:r>
        <w:rPr>
          <w:rFonts w:ascii="Arial" w:cs="Arial" w:eastAsia="Arial" w:hAnsi="Arial"/>
          <w:sz w:val="14"/>
          <w:szCs w:val="14"/>
          <w:color w:val="auto"/>
        </w:rPr>
        <w:t xml:space="preserve"> day of April, 2026.</w:t>
      </w:r>
    </w:p>
    <w:p>
      <w:pPr>
        <w:spacing w:after="0" w:line="44" w:lineRule="exact"/>
        <w:rPr>
          <w:sz w:val="20"/>
          <w:szCs w:val="20"/>
          <w:color w:val="auto"/>
        </w:rPr>
      </w:pPr>
    </w:p>
    <w:p>
      <w:pPr>
        <w:ind w:left="6500"/>
        <w:spacing w:after="0"/>
        <w:rPr>
          <w:sz w:val="20"/>
          <w:szCs w:val="20"/>
          <w:color w:val="auto"/>
        </w:rPr>
      </w:pPr>
      <w:r>
        <w:rPr>
          <w:rFonts w:ascii="Arial" w:cs="Arial" w:eastAsia="Arial" w:hAnsi="Arial"/>
          <w:sz w:val="14"/>
          <w:szCs w:val="14"/>
          <w:b w:val="1"/>
          <w:bCs w:val="1"/>
          <w:color w:val="auto"/>
        </w:rPr>
        <w:t>SLB N.V.</w:t>
      </w:r>
    </w:p>
    <w:p>
      <w:pPr>
        <w:spacing w:after="0" w:line="10" w:lineRule="exact"/>
        <w:rPr>
          <w:sz w:val="20"/>
          <w:szCs w:val="20"/>
          <w:color w:val="auto"/>
        </w:rPr>
      </w:pPr>
    </w:p>
    <w:p>
      <w:pPr>
        <w:ind w:left="6500"/>
        <w:spacing w:after="0"/>
        <w:rPr>
          <w:sz w:val="20"/>
          <w:szCs w:val="20"/>
          <w:color w:val="auto"/>
        </w:rPr>
      </w:pPr>
      <w:r>
        <w:rPr>
          <w:rFonts w:ascii="Arial" w:cs="Arial" w:eastAsia="Arial" w:hAnsi="Arial"/>
          <w:sz w:val="14"/>
          <w:szCs w:val="14"/>
          <w:b w:val="1"/>
          <w:bCs w:val="1"/>
          <w:color w:val="auto"/>
        </w:rPr>
        <w:t>(SLB Limited)</w:t>
      </w:r>
    </w:p>
    <w:p>
      <w:pPr>
        <w:spacing w:after="0" w:line="150" w:lineRule="exact"/>
        <w:rPr>
          <w:sz w:val="20"/>
          <w:szCs w:val="20"/>
          <w:color w:val="auto"/>
        </w:rPr>
      </w:pPr>
    </w:p>
    <w:p>
      <w:pPr>
        <w:ind w:left="6500"/>
        <w:spacing w:after="0"/>
        <w:rPr>
          <w:sz w:val="20"/>
          <w:szCs w:val="20"/>
          <w:color w:val="auto"/>
        </w:rPr>
      </w:pPr>
      <w:r>
        <w:rPr>
          <w:rFonts w:ascii="Arial" w:cs="Arial" w:eastAsia="Arial" w:hAnsi="Arial"/>
          <w:sz w:val="14"/>
          <w:szCs w:val="14"/>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13335</wp:posOffset>
            </wp:positionV>
            <wp:extent cx="1997075"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1997075" cy="6350"/>
                    </a:xfrm>
                    <a:prstGeom prst="rect">
                      <a:avLst/>
                    </a:prstGeom>
                    <a:noFill/>
                  </pic:spPr>
                </pic:pic>
              </a:graphicData>
            </a:graphic>
          </wp:anchor>
        </w:drawing>
      </w:r>
    </w:p>
    <w:p>
      <w:pPr>
        <w:spacing w:after="0" w:line="8"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Howard Guild</w:t>
      </w:r>
    </w:p>
    <w:p>
      <w:pPr>
        <w:spacing w:after="0" w:line="21"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Chief Accounting Officer</w:t>
      </w:r>
    </w:p>
    <w:p>
      <w:pPr>
        <w:spacing w:after="0" w:line="150" w:lineRule="exact"/>
        <w:rPr>
          <w:sz w:val="20"/>
          <w:szCs w:val="20"/>
          <w:color w:val="auto"/>
        </w:rPr>
      </w:pPr>
    </w:p>
    <w:p>
      <w:pPr>
        <w:ind w:left="1360" w:right="779" w:firstLine="342"/>
        <w:spacing w:after="0" w:line="269" w:lineRule="auto"/>
        <w:rPr>
          <w:sz w:val="20"/>
          <w:szCs w:val="20"/>
          <w:color w:val="auto"/>
        </w:rPr>
      </w:pPr>
      <w:r>
        <w:rPr>
          <w:rFonts w:ascii="Arial" w:cs="Arial" w:eastAsia="Arial" w:hAnsi="Arial"/>
          <w:sz w:val="14"/>
          <w:szCs w:val="14"/>
          <w:color w:val="auto"/>
        </w:rPr>
        <w:t>Pursuant to the requirements of the Securities Act of 1933, as amended, this Registration Statement has been signed by the following persons in the capacities and on the dates indicated.</w:t>
      </w:r>
    </w:p>
    <w:p>
      <w:pPr>
        <w:spacing w:after="0" w:line="151" w:lineRule="exact"/>
        <w:rPr>
          <w:sz w:val="20"/>
          <w:szCs w:val="20"/>
          <w:color w:val="auto"/>
        </w:rPr>
      </w:pPr>
    </w:p>
    <w:tbl>
      <w:tblPr>
        <w:tblLayout w:type="fixed"/>
        <w:tblInd w:w="1360" w:type="dxa"/>
        <w:tblCellMar>
          <w:top w:w="0" w:type="dxa"/>
          <w:left w:w="0" w:type="dxa"/>
          <w:bottom w:w="0" w:type="dxa"/>
          <w:right w:w="0" w:type="dxa"/>
        </w:tblCellMar>
      </w:tblPr>
      <w:tr>
        <w:trPr>
          <w:trHeight w:val="143"/>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Signature</w:t>
            </w:r>
          </w:p>
        </w:tc>
        <w:tc>
          <w:tcPr>
            <w:tcW w:w="100" w:type="dxa"/>
            <w:vAlign w:val="bottom"/>
          </w:tcPr>
          <w:p>
            <w:pPr>
              <w:spacing w:after="0"/>
              <w:rPr>
                <w:sz w:val="12"/>
                <w:szCs w:val="12"/>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Title</w:t>
            </w:r>
          </w:p>
        </w:tc>
        <w:tc>
          <w:tcPr>
            <w:tcW w:w="180" w:type="dxa"/>
            <w:vAlign w:val="bottom"/>
          </w:tcPr>
          <w:p>
            <w:pPr>
              <w:spacing w:after="0"/>
              <w:rPr>
                <w:sz w:val="12"/>
                <w:szCs w:val="1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Date</w:t>
            </w:r>
          </w:p>
        </w:tc>
      </w:tr>
      <w:tr>
        <w:trPr>
          <w:trHeight w:val="295"/>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316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Chief Executive Officer and Director</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April 30, 2026</w:t>
            </w:r>
          </w:p>
        </w:tc>
      </w:tr>
      <w:tr>
        <w:trPr>
          <w:trHeight w:val="184"/>
        </w:trPr>
        <w:tc>
          <w:tcPr>
            <w:tcW w:w="3860" w:type="dxa"/>
            <w:vAlign w:val="bottom"/>
          </w:tcPr>
          <w:p>
            <w:pPr>
              <w:jc w:val="center"/>
              <w:spacing w:after="0"/>
              <w:rPr>
                <w:sz w:val="20"/>
                <w:szCs w:val="20"/>
                <w:color w:val="auto"/>
              </w:rPr>
            </w:pPr>
            <w:r>
              <w:rPr>
                <w:rFonts w:ascii="Arial" w:cs="Arial" w:eastAsia="Arial" w:hAnsi="Arial"/>
                <w:sz w:val="14"/>
                <w:szCs w:val="14"/>
                <w:color w:val="auto"/>
                <w:w w:val="99"/>
              </w:rPr>
              <w:t>(Olivier Le Peuch)</w:t>
            </w:r>
          </w:p>
        </w:tc>
        <w:tc>
          <w:tcPr>
            <w:tcW w:w="100" w:type="dxa"/>
            <w:vAlign w:val="bottom"/>
          </w:tcPr>
          <w:p>
            <w:pPr>
              <w:spacing w:after="0"/>
              <w:rPr>
                <w:sz w:val="16"/>
                <w:szCs w:val="16"/>
                <w:color w:val="auto"/>
              </w:rPr>
            </w:pPr>
          </w:p>
        </w:tc>
        <w:tc>
          <w:tcPr>
            <w:tcW w:w="3160" w:type="dxa"/>
            <w:vAlign w:val="bottom"/>
            <w:gridSpan w:val="2"/>
          </w:tcPr>
          <w:p>
            <w:pPr>
              <w:jc w:val="center"/>
              <w:ind w:right="160"/>
              <w:spacing w:after="0" w:line="159" w:lineRule="exact"/>
              <w:rPr>
                <w:sz w:val="20"/>
                <w:szCs w:val="20"/>
                <w:color w:val="auto"/>
              </w:rPr>
            </w:pPr>
            <w:r>
              <w:rPr>
                <w:rFonts w:ascii="Arial" w:cs="Arial" w:eastAsia="Arial" w:hAnsi="Arial"/>
                <w:sz w:val="14"/>
                <w:szCs w:val="14"/>
                <w:color w:val="auto"/>
                <w:w w:val="99"/>
              </w:rPr>
              <w:t>(Principal Executive Officer)</w:t>
            </w:r>
          </w:p>
        </w:tc>
        <w:tc>
          <w:tcPr>
            <w:tcW w:w="1440" w:type="dxa"/>
            <w:vAlign w:val="bottom"/>
          </w:tcPr>
          <w:p>
            <w:pPr>
              <w:spacing w:after="0"/>
              <w:rPr>
                <w:sz w:val="16"/>
                <w:szCs w:val="16"/>
                <w:color w:val="auto"/>
              </w:rPr>
            </w:pPr>
          </w:p>
        </w:tc>
      </w:tr>
      <w:tr>
        <w:trPr>
          <w:trHeight w:val="299"/>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316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Executive Vice President and Chief</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April 30, 2026</w:t>
            </w:r>
          </w:p>
        </w:tc>
      </w:tr>
      <w:tr>
        <w:trPr>
          <w:trHeight w:val="132"/>
        </w:trPr>
        <w:tc>
          <w:tcPr>
            <w:tcW w:w="3860" w:type="dxa"/>
            <w:vAlign w:val="bottom"/>
          </w:tcPr>
          <w:p>
            <w:pPr>
              <w:jc w:val="center"/>
              <w:spacing w:after="0" w:line="132" w:lineRule="exact"/>
              <w:rPr>
                <w:sz w:val="20"/>
                <w:szCs w:val="20"/>
                <w:color w:val="auto"/>
              </w:rPr>
            </w:pPr>
            <w:r>
              <w:rPr>
                <w:rFonts w:ascii="Arial" w:cs="Arial" w:eastAsia="Arial" w:hAnsi="Arial"/>
                <w:sz w:val="14"/>
                <w:szCs w:val="14"/>
                <w:color w:val="auto"/>
                <w:w w:val="99"/>
              </w:rPr>
              <w:t>(Stephane Biguet)</w:t>
            </w:r>
          </w:p>
        </w:tc>
        <w:tc>
          <w:tcPr>
            <w:tcW w:w="100" w:type="dxa"/>
            <w:vAlign w:val="bottom"/>
          </w:tcPr>
          <w:p>
            <w:pPr>
              <w:spacing w:after="0"/>
              <w:rPr>
                <w:sz w:val="11"/>
                <w:szCs w:val="11"/>
                <w:color w:val="auto"/>
              </w:rPr>
            </w:pPr>
          </w:p>
        </w:tc>
        <w:tc>
          <w:tcPr>
            <w:tcW w:w="3160" w:type="dxa"/>
            <w:vAlign w:val="bottom"/>
            <w:gridSpan w:val="2"/>
          </w:tcPr>
          <w:p>
            <w:pPr>
              <w:jc w:val="center"/>
              <w:ind w:right="180"/>
              <w:spacing w:after="0" w:line="132" w:lineRule="exact"/>
              <w:rPr>
                <w:sz w:val="20"/>
                <w:szCs w:val="20"/>
                <w:color w:val="auto"/>
              </w:rPr>
            </w:pPr>
            <w:r>
              <w:rPr>
                <w:rFonts w:ascii="Arial" w:cs="Arial" w:eastAsia="Arial" w:hAnsi="Arial"/>
                <w:sz w:val="14"/>
                <w:szCs w:val="14"/>
                <w:color w:val="auto"/>
              </w:rPr>
              <w:t>Financial Officer</w:t>
            </w:r>
          </w:p>
        </w:tc>
        <w:tc>
          <w:tcPr>
            <w:tcW w:w="1440" w:type="dxa"/>
            <w:vAlign w:val="bottom"/>
          </w:tcPr>
          <w:p>
            <w:pPr>
              <w:spacing w:after="0"/>
              <w:rPr>
                <w:sz w:val="11"/>
                <w:szCs w:val="11"/>
                <w:color w:val="auto"/>
              </w:rPr>
            </w:pPr>
          </w:p>
        </w:tc>
      </w:tr>
      <w:tr>
        <w:trPr>
          <w:trHeight w:val="184"/>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(Principal Financial Officer)</w:t>
            </w:r>
          </w:p>
        </w:tc>
        <w:tc>
          <w:tcPr>
            <w:tcW w:w="1440" w:type="dxa"/>
            <w:vAlign w:val="bottom"/>
          </w:tcPr>
          <w:p>
            <w:pPr>
              <w:spacing w:after="0"/>
              <w:rPr>
                <w:sz w:val="16"/>
                <w:szCs w:val="16"/>
                <w:color w:val="auto"/>
              </w:rPr>
            </w:pPr>
          </w:p>
        </w:tc>
      </w:tr>
      <w:tr>
        <w:trPr>
          <w:trHeight w:val="303"/>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Howard Guild</w:t>
            </w:r>
          </w:p>
        </w:tc>
        <w:tc>
          <w:tcPr>
            <w:tcW w:w="100" w:type="dxa"/>
            <w:vAlign w:val="bottom"/>
          </w:tcPr>
          <w:p>
            <w:pPr>
              <w:spacing w:after="0"/>
              <w:rPr>
                <w:sz w:val="24"/>
                <w:szCs w:val="24"/>
                <w:color w:val="auto"/>
              </w:rPr>
            </w:pPr>
          </w:p>
        </w:tc>
        <w:tc>
          <w:tcPr>
            <w:tcW w:w="316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Chief Accounting Officer</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April 30, 2026</w:t>
            </w:r>
          </w:p>
        </w:tc>
      </w:tr>
      <w:tr>
        <w:trPr>
          <w:trHeight w:val="184"/>
        </w:trPr>
        <w:tc>
          <w:tcPr>
            <w:tcW w:w="3860" w:type="dxa"/>
            <w:vAlign w:val="bottom"/>
          </w:tcPr>
          <w:p>
            <w:pPr>
              <w:jc w:val="center"/>
              <w:spacing w:after="0"/>
              <w:rPr>
                <w:sz w:val="20"/>
                <w:szCs w:val="20"/>
                <w:color w:val="auto"/>
              </w:rPr>
            </w:pPr>
            <w:r>
              <w:rPr>
                <w:rFonts w:ascii="Arial" w:cs="Arial" w:eastAsia="Arial" w:hAnsi="Arial"/>
                <w:sz w:val="14"/>
                <w:szCs w:val="14"/>
                <w:color w:val="auto"/>
                <w:w w:val="99"/>
              </w:rPr>
              <w:t>(Howard Guild)</w:t>
            </w:r>
          </w:p>
        </w:tc>
        <w:tc>
          <w:tcPr>
            <w:tcW w:w="100" w:type="dxa"/>
            <w:vAlign w:val="bottom"/>
          </w:tcPr>
          <w:p>
            <w:pPr>
              <w:spacing w:after="0"/>
              <w:rPr>
                <w:sz w:val="16"/>
                <w:szCs w:val="16"/>
                <w:color w:val="auto"/>
              </w:rPr>
            </w:pPr>
          </w:p>
        </w:tc>
        <w:tc>
          <w:tcPr>
            <w:tcW w:w="3160" w:type="dxa"/>
            <w:vAlign w:val="bottom"/>
            <w:gridSpan w:val="2"/>
          </w:tcPr>
          <w:p>
            <w:pPr>
              <w:jc w:val="center"/>
              <w:ind w:right="180"/>
              <w:spacing w:after="0" w:line="159" w:lineRule="exact"/>
              <w:rPr>
                <w:sz w:val="20"/>
                <w:szCs w:val="20"/>
                <w:color w:val="auto"/>
              </w:rPr>
            </w:pPr>
            <w:r>
              <w:rPr>
                <w:rFonts w:ascii="Arial" w:cs="Arial" w:eastAsia="Arial" w:hAnsi="Arial"/>
                <w:sz w:val="14"/>
                <w:szCs w:val="14"/>
                <w:color w:val="auto"/>
              </w:rPr>
              <w:t>(Principal Accounting Officer)</w:t>
            </w:r>
          </w:p>
        </w:tc>
        <w:tc>
          <w:tcPr>
            <w:tcW w:w="1440" w:type="dxa"/>
            <w:vAlign w:val="bottom"/>
          </w:tcPr>
          <w:p>
            <w:pPr>
              <w:spacing w:after="0"/>
              <w:rPr>
                <w:sz w:val="16"/>
                <w:szCs w:val="16"/>
                <w:color w:val="auto"/>
              </w:rPr>
            </w:pPr>
          </w:p>
        </w:tc>
      </w:tr>
      <w:tr>
        <w:trPr>
          <w:trHeight w:val="308"/>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3160" w:type="dxa"/>
            <w:vAlign w:val="bottom"/>
            <w:gridSpan w:val="2"/>
          </w:tcPr>
          <w:p>
            <w:pPr>
              <w:jc w:val="center"/>
              <w:ind w:right="180"/>
              <w:spacing w:after="0"/>
              <w:rPr>
                <w:sz w:val="20"/>
                <w:szCs w:val="20"/>
                <w:color w:val="auto"/>
              </w:rPr>
            </w:pPr>
            <w:r>
              <w:rPr>
                <w:rFonts w:ascii="Arial" w:cs="Arial" w:eastAsia="Arial" w:hAnsi="Arial"/>
                <w:sz w:val="14"/>
                <w:szCs w:val="14"/>
                <w:color w:val="auto"/>
              </w:rPr>
              <w:t>Director</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April 30, 2026</w:t>
            </w:r>
          </w:p>
        </w:tc>
      </w:tr>
      <w:tr>
        <w:trPr>
          <w:trHeight w:val="175"/>
        </w:trPr>
        <w:tc>
          <w:tcPr>
            <w:tcW w:w="3860" w:type="dxa"/>
            <w:vAlign w:val="bottom"/>
          </w:tcPr>
          <w:p>
            <w:pPr>
              <w:jc w:val="center"/>
              <w:spacing w:after="0"/>
              <w:rPr>
                <w:sz w:val="20"/>
                <w:szCs w:val="20"/>
                <w:color w:val="auto"/>
              </w:rPr>
            </w:pPr>
            <w:r>
              <w:rPr>
                <w:rFonts w:ascii="Arial" w:cs="Arial" w:eastAsia="Arial" w:hAnsi="Arial"/>
                <w:sz w:val="14"/>
                <w:szCs w:val="14"/>
                <w:color w:val="auto"/>
                <w:w w:val="99"/>
              </w:rPr>
              <w:t>(Peter Coleman)</w:t>
            </w:r>
          </w:p>
        </w:tc>
        <w:tc>
          <w:tcPr>
            <w:tcW w:w="1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08"/>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3160" w:type="dxa"/>
            <w:vAlign w:val="bottom"/>
            <w:gridSpan w:val="2"/>
          </w:tcPr>
          <w:p>
            <w:pPr>
              <w:jc w:val="center"/>
              <w:ind w:right="180"/>
              <w:spacing w:after="0"/>
              <w:rPr>
                <w:sz w:val="20"/>
                <w:szCs w:val="20"/>
                <w:color w:val="auto"/>
              </w:rPr>
            </w:pPr>
            <w:r>
              <w:rPr>
                <w:rFonts w:ascii="Arial" w:cs="Arial" w:eastAsia="Arial" w:hAnsi="Arial"/>
                <w:sz w:val="14"/>
                <w:szCs w:val="14"/>
                <w:color w:val="auto"/>
              </w:rPr>
              <w:t>Director</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April 30, 2026</w:t>
            </w:r>
          </w:p>
        </w:tc>
      </w:tr>
      <w:tr>
        <w:trPr>
          <w:trHeight w:val="175"/>
        </w:trPr>
        <w:tc>
          <w:tcPr>
            <w:tcW w:w="3860" w:type="dxa"/>
            <w:vAlign w:val="bottom"/>
          </w:tcPr>
          <w:p>
            <w:pPr>
              <w:jc w:val="center"/>
              <w:spacing w:after="0"/>
              <w:rPr>
                <w:sz w:val="20"/>
                <w:szCs w:val="20"/>
                <w:color w:val="auto"/>
              </w:rPr>
            </w:pPr>
            <w:r>
              <w:rPr>
                <w:rFonts w:ascii="Arial" w:cs="Arial" w:eastAsia="Arial" w:hAnsi="Arial"/>
                <w:sz w:val="14"/>
                <w:szCs w:val="14"/>
                <w:color w:val="auto"/>
              </w:rPr>
              <w:t>(Patrick de La Chevardière)</w:t>
            </w:r>
          </w:p>
        </w:tc>
        <w:tc>
          <w:tcPr>
            <w:tcW w:w="1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08"/>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3160" w:type="dxa"/>
            <w:vAlign w:val="bottom"/>
            <w:gridSpan w:val="2"/>
          </w:tcPr>
          <w:p>
            <w:pPr>
              <w:jc w:val="center"/>
              <w:ind w:right="180"/>
              <w:spacing w:after="0"/>
              <w:rPr>
                <w:sz w:val="20"/>
                <w:szCs w:val="20"/>
                <w:color w:val="auto"/>
              </w:rPr>
            </w:pPr>
            <w:r>
              <w:rPr>
                <w:rFonts w:ascii="Arial" w:cs="Arial" w:eastAsia="Arial" w:hAnsi="Arial"/>
                <w:sz w:val="14"/>
                <w:szCs w:val="14"/>
                <w:color w:val="auto"/>
              </w:rPr>
              <w:t>Director</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April 30, 2026</w:t>
            </w:r>
          </w:p>
        </w:tc>
      </w:tr>
      <w:tr>
        <w:trPr>
          <w:trHeight w:val="175"/>
        </w:trPr>
        <w:tc>
          <w:tcPr>
            <w:tcW w:w="3860" w:type="dxa"/>
            <w:vAlign w:val="bottom"/>
          </w:tcPr>
          <w:p>
            <w:pPr>
              <w:jc w:val="center"/>
              <w:spacing w:after="0"/>
              <w:rPr>
                <w:sz w:val="20"/>
                <w:szCs w:val="20"/>
                <w:color w:val="auto"/>
              </w:rPr>
            </w:pPr>
            <w:r>
              <w:rPr>
                <w:rFonts w:ascii="Arial" w:cs="Arial" w:eastAsia="Arial" w:hAnsi="Arial"/>
                <w:sz w:val="14"/>
                <w:szCs w:val="14"/>
                <w:color w:val="auto"/>
                <w:w w:val="99"/>
              </w:rPr>
              <w:t>(Miguel Galuccio)</w:t>
            </w:r>
          </w:p>
        </w:tc>
        <w:tc>
          <w:tcPr>
            <w:tcW w:w="1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08"/>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316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Chairman of the Board</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April 30, 2026</w:t>
            </w:r>
          </w:p>
        </w:tc>
      </w:tr>
      <w:tr>
        <w:trPr>
          <w:trHeight w:val="175"/>
        </w:trPr>
        <w:tc>
          <w:tcPr>
            <w:tcW w:w="3860" w:type="dxa"/>
            <w:vAlign w:val="bottom"/>
          </w:tcPr>
          <w:p>
            <w:pPr>
              <w:jc w:val="center"/>
              <w:spacing w:after="0"/>
              <w:rPr>
                <w:sz w:val="20"/>
                <w:szCs w:val="20"/>
                <w:color w:val="auto"/>
              </w:rPr>
            </w:pPr>
            <w:r>
              <w:rPr>
                <w:rFonts w:ascii="Arial" w:cs="Arial" w:eastAsia="Arial" w:hAnsi="Arial"/>
                <w:sz w:val="14"/>
                <w:szCs w:val="14"/>
                <w:color w:val="auto"/>
              </w:rPr>
              <w:t>(James Hackett)</w:t>
            </w:r>
          </w:p>
        </w:tc>
        <w:tc>
          <w:tcPr>
            <w:tcW w:w="1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08"/>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3160" w:type="dxa"/>
            <w:vAlign w:val="bottom"/>
            <w:gridSpan w:val="2"/>
          </w:tcPr>
          <w:p>
            <w:pPr>
              <w:jc w:val="center"/>
              <w:ind w:right="180"/>
              <w:spacing w:after="0"/>
              <w:rPr>
                <w:sz w:val="20"/>
                <w:szCs w:val="20"/>
                <w:color w:val="auto"/>
              </w:rPr>
            </w:pPr>
            <w:r>
              <w:rPr>
                <w:rFonts w:ascii="Arial" w:cs="Arial" w:eastAsia="Arial" w:hAnsi="Arial"/>
                <w:sz w:val="14"/>
                <w:szCs w:val="14"/>
                <w:color w:val="auto"/>
              </w:rPr>
              <w:t>Director</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April 30, 2026</w:t>
            </w:r>
          </w:p>
        </w:tc>
      </w:tr>
      <w:tr>
        <w:trPr>
          <w:trHeight w:val="175"/>
        </w:trPr>
        <w:tc>
          <w:tcPr>
            <w:tcW w:w="3860" w:type="dxa"/>
            <w:vAlign w:val="bottom"/>
          </w:tcPr>
          <w:p>
            <w:pPr>
              <w:jc w:val="center"/>
              <w:spacing w:after="0"/>
              <w:rPr>
                <w:sz w:val="20"/>
                <w:szCs w:val="20"/>
                <w:color w:val="auto"/>
              </w:rPr>
            </w:pPr>
            <w:r>
              <w:rPr>
                <w:rFonts w:ascii="Arial" w:cs="Arial" w:eastAsia="Arial" w:hAnsi="Arial"/>
                <w:sz w:val="14"/>
                <w:szCs w:val="14"/>
                <w:color w:val="auto"/>
                <w:w w:val="99"/>
              </w:rPr>
              <w:t>(Samuel Leupold)</w:t>
            </w:r>
          </w:p>
        </w:tc>
        <w:tc>
          <w:tcPr>
            <w:tcW w:w="1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08"/>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3160" w:type="dxa"/>
            <w:vAlign w:val="bottom"/>
            <w:gridSpan w:val="2"/>
          </w:tcPr>
          <w:p>
            <w:pPr>
              <w:jc w:val="center"/>
              <w:ind w:right="180"/>
              <w:spacing w:after="0"/>
              <w:rPr>
                <w:sz w:val="20"/>
                <w:szCs w:val="20"/>
                <w:color w:val="auto"/>
              </w:rPr>
            </w:pPr>
            <w:r>
              <w:rPr>
                <w:rFonts w:ascii="Arial" w:cs="Arial" w:eastAsia="Arial" w:hAnsi="Arial"/>
                <w:sz w:val="14"/>
                <w:szCs w:val="14"/>
                <w:color w:val="auto"/>
              </w:rPr>
              <w:t>Director</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April 30, 2026</w:t>
            </w:r>
          </w:p>
        </w:tc>
      </w:tr>
      <w:tr>
        <w:trPr>
          <w:trHeight w:val="175"/>
        </w:trPr>
        <w:tc>
          <w:tcPr>
            <w:tcW w:w="3860" w:type="dxa"/>
            <w:vAlign w:val="bottom"/>
          </w:tcPr>
          <w:p>
            <w:pPr>
              <w:jc w:val="center"/>
              <w:spacing w:after="0"/>
              <w:rPr>
                <w:sz w:val="20"/>
                <w:szCs w:val="20"/>
                <w:color w:val="auto"/>
              </w:rPr>
            </w:pPr>
            <w:r>
              <w:rPr>
                <w:rFonts w:ascii="Arial" w:cs="Arial" w:eastAsia="Arial" w:hAnsi="Arial"/>
                <w:sz w:val="14"/>
                <w:szCs w:val="14"/>
                <w:color w:val="auto"/>
                <w:w w:val="99"/>
              </w:rPr>
              <w:t>(Maria Moræus Hanssen)</w:t>
            </w:r>
          </w:p>
        </w:tc>
        <w:tc>
          <w:tcPr>
            <w:tcW w:w="1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08"/>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3160" w:type="dxa"/>
            <w:vAlign w:val="bottom"/>
            <w:gridSpan w:val="2"/>
          </w:tcPr>
          <w:p>
            <w:pPr>
              <w:jc w:val="center"/>
              <w:ind w:right="180"/>
              <w:spacing w:after="0"/>
              <w:rPr>
                <w:sz w:val="20"/>
                <w:szCs w:val="20"/>
                <w:color w:val="auto"/>
              </w:rPr>
            </w:pPr>
            <w:r>
              <w:rPr>
                <w:rFonts w:ascii="Arial" w:cs="Arial" w:eastAsia="Arial" w:hAnsi="Arial"/>
                <w:sz w:val="14"/>
                <w:szCs w:val="14"/>
                <w:color w:val="auto"/>
              </w:rPr>
              <w:t>Director</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April 30, 2026</w:t>
            </w:r>
          </w:p>
        </w:tc>
      </w:tr>
      <w:tr>
        <w:trPr>
          <w:trHeight w:val="175"/>
        </w:trPr>
        <w:tc>
          <w:tcPr>
            <w:tcW w:w="3860" w:type="dxa"/>
            <w:vAlign w:val="bottom"/>
          </w:tcPr>
          <w:p>
            <w:pPr>
              <w:jc w:val="center"/>
              <w:spacing w:after="0"/>
              <w:rPr>
                <w:sz w:val="20"/>
                <w:szCs w:val="20"/>
                <w:color w:val="auto"/>
              </w:rPr>
            </w:pPr>
            <w:r>
              <w:rPr>
                <w:rFonts w:ascii="Arial" w:cs="Arial" w:eastAsia="Arial" w:hAnsi="Arial"/>
                <w:sz w:val="14"/>
                <w:szCs w:val="14"/>
                <w:color w:val="auto"/>
                <w:w w:val="99"/>
              </w:rPr>
              <w:t>(Vanitha Narayanan)</w:t>
            </w:r>
          </w:p>
        </w:tc>
        <w:tc>
          <w:tcPr>
            <w:tcW w:w="1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68"/>
        </w:trPr>
        <w:tc>
          <w:tcPr>
            <w:tcW w:w="3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160" w:type="dxa"/>
            <w:vAlign w:val="bottom"/>
            <w:gridSpan w:val="2"/>
          </w:tcPr>
          <w:p>
            <w:pPr>
              <w:ind w:left="220"/>
              <w:spacing w:after="0"/>
              <w:rPr>
                <w:sz w:val="20"/>
                <w:szCs w:val="20"/>
                <w:color w:val="auto"/>
              </w:rPr>
            </w:pPr>
            <w:r>
              <w:rPr>
                <w:rFonts w:ascii="Arial" w:cs="Arial" w:eastAsia="Arial" w:hAnsi="Arial"/>
                <w:sz w:val="14"/>
                <w:szCs w:val="14"/>
                <w:color w:val="auto"/>
              </w:rPr>
              <w:t>II-9</w:t>
            </w:r>
          </w:p>
        </w:tc>
        <w:tc>
          <w:tcPr>
            <w:tcW w:w="1440" w:type="dxa"/>
            <w:vAlign w:val="bottom"/>
          </w:tcPr>
          <w:p>
            <w:pPr>
              <w:spacing w:after="0"/>
              <w:rPr>
                <w:sz w:val="23"/>
                <w:szCs w:val="23"/>
                <w:color w:val="auto"/>
              </w:rPr>
            </w:pPr>
          </w:p>
        </w:tc>
      </w:tr>
    </w:tbl>
    <w:p>
      <w:pPr>
        <w:sectPr>
          <w:pgSz w:w="11900" w:h="16838" w:orient="portrait"/>
          <w:cols w:equalWidth="0" w:num="1">
            <w:col w:w="10159"/>
          </w:cols>
          <w:pgMar w:left="300" w:top="385"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8" w:lineRule="exact"/>
        <w:rPr>
          <w:sz w:val="20"/>
          <w:szCs w:val="20"/>
          <w:color w:val="auto"/>
        </w:rPr>
      </w:pPr>
    </w:p>
    <w:tbl>
      <w:tblPr>
        <w:tblLayout w:type="fixed"/>
        <w:tblInd w:w="1360" w:type="dxa"/>
        <w:tblCellMar>
          <w:top w:w="0" w:type="dxa"/>
          <w:left w:w="0" w:type="dxa"/>
          <w:bottom w:w="0" w:type="dxa"/>
          <w:right w:w="0" w:type="dxa"/>
        </w:tblCellMar>
      </w:tblPr>
      <w:tr>
        <w:trPr>
          <w:trHeight w:val="143"/>
        </w:trPr>
        <w:tc>
          <w:tcPr>
            <w:tcW w:w="340" w:type="dxa"/>
            <w:vAlign w:val="bottom"/>
            <w:tcBorders>
              <w:bottom w:val="single" w:sz="8" w:color="auto"/>
            </w:tcBorders>
          </w:tcPr>
          <w:p>
            <w:pPr>
              <w:spacing w:after="0"/>
              <w:rPr>
                <w:sz w:val="12"/>
                <w:szCs w:val="12"/>
                <w:color w:val="auto"/>
              </w:rPr>
            </w:pPr>
          </w:p>
        </w:tc>
        <w:tc>
          <w:tcPr>
            <w:tcW w:w="35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rPr>
              <w:t>Signature</w:t>
            </w:r>
          </w:p>
        </w:tc>
        <w:tc>
          <w:tcPr>
            <w:tcW w:w="100" w:type="dxa"/>
            <w:vAlign w:val="bottom"/>
          </w:tcPr>
          <w:p>
            <w:pPr>
              <w:spacing w:after="0"/>
              <w:rPr>
                <w:sz w:val="12"/>
                <w:szCs w:val="12"/>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Title</w:t>
            </w:r>
          </w:p>
        </w:tc>
        <w:tc>
          <w:tcPr>
            <w:tcW w:w="180" w:type="dxa"/>
            <w:vAlign w:val="bottom"/>
          </w:tcPr>
          <w:p>
            <w:pPr>
              <w:spacing w:after="0"/>
              <w:rPr>
                <w:sz w:val="12"/>
                <w:szCs w:val="1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Date</w:t>
            </w:r>
          </w:p>
        </w:tc>
      </w:tr>
      <w:tr>
        <w:trPr>
          <w:trHeight w:val="305"/>
        </w:trPr>
        <w:tc>
          <w:tcPr>
            <w:tcW w:w="3420" w:type="dxa"/>
            <w:vAlign w:val="bottom"/>
            <w:tcBorders>
              <w:bottom w:val="single" w:sz="8" w:color="auto"/>
            </w:tcBorders>
            <w:gridSpan w:val="2"/>
          </w:tcPr>
          <w:p>
            <w:pPr>
              <w:jc w:val="center"/>
              <w:ind w:left="37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gridSpan w:val="2"/>
          </w:tcPr>
          <w:p>
            <w:pPr>
              <w:jc w:val="center"/>
              <w:ind w:right="180"/>
              <w:spacing w:after="0"/>
              <w:rPr>
                <w:sz w:val="20"/>
                <w:szCs w:val="20"/>
                <w:color w:val="auto"/>
              </w:rPr>
            </w:pPr>
            <w:r>
              <w:rPr>
                <w:rFonts w:ascii="Arial" w:cs="Arial" w:eastAsia="Arial" w:hAnsi="Arial"/>
                <w:sz w:val="14"/>
                <w:szCs w:val="14"/>
                <w:color w:val="auto"/>
              </w:rPr>
              <w:t>Director</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April 30, 2026</w:t>
            </w:r>
          </w:p>
        </w:tc>
      </w:tr>
      <w:tr>
        <w:trPr>
          <w:trHeight w:val="175"/>
        </w:trPr>
        <w:tc>
          <w:tcPr>
            <w:tcW w:w="340" w:type="dxa"/>
            <w:vAlign w:val="bottom"/>
          </w:tcPr>
          <w:p>
            <w:pPr>
              <w:spacing w:after="0"/>
              <w:rPr>
                <w:sz w:val="15"/>
                <w:szCs w:val="15"/>
                <w:color w:val="auto"/>
              </w:rPr>
            </w:pPr>
          </w:p>
        </w:tc>
        <w:tc>
          <w:tcPr>
            <w:tcW w:w="3520" w:type="dxa"/>
            <w:vAlign w:val="bottom"/>
            <w:gridSpan w:val="2"/>
          </w:tcPr>
          <w:p>
            <w:pPr>
              <w:jc w:val="center"/>
              <w:ind w:right="320"/>
              <w:spacing w:after="0"/>
              <w:rPr>
                <w:sz w:val="20"/>
                <w:szCs w:val="20"/>
                <w:color w:val="auto"/>
              </w:rPr>
            </w:pPr>
            <w:r>
              <w:rPr>
                <w:rFonts w:ascii="Arial" w:cs="Arial" w:eastAsia="Arial" w:hAnsi="Arial"/>
                <w:sz w:val="14"/>
                <w:szCs w:val="14"/>
                <w:color w:val="auto"/>
              </w:rPr>
              <w:t>(Jeff Sheets)</w:t>
            </w:r>
          </w:p>
        </w:tc>
        <w:tc>
          <w:tcPr>
            <w:tcW w:w="1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40"/>
        </w:trPr>
        <w:tc>
          <w:tcPr>
            <w:tcW w:w="3860" w:type="dxa"/>
            <w:vAlign w:val="bottom"/>
            <w:gridSpan w:val="3"/>
          </w:tcPr>
          <w:p>
            <w:pPr>
              <w:spacing w:after="0"/>
              <w:rPr>
                <w:sz w:val="20"/>
                <w:szCs w:val="20"/>
                <w:color w:val="auto"/>
              </w:rPr>
            </w:pPr>
            <w:r>
              <w:rPr>
                <w:rFonts w:ascii="Arial" w:cs="Arial" w:eastAsia="Arial" w:hAnsi="Arial"/>
                <w:sz w:val="14"/>
                <w:szCs w:val="14"/>
                <w:color w:val="auto"/>
              </w:rPr>
              <w:t>*By:  /s/ Dianne B. Ralston</w:t>
            </w:r>
          </w:p>
        </w:tc>
        <w:tc>
          <w:tcPr>
            <w:tcW w:w="1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54"/>
        </w:trPr>
        <w:tc>
          <w:tcPr>
            <w:tcW w:w="340" w:type="dxa"/>
            <w:vAlign w:val="bottom"/>
          </w:tcPr>
          <w:p>
            <w:pPr>
              <w:spacing w:after="0"/>
              <w:rPr>
                <w:sz w:val="13"/>
                <w:szCs w:val="13"/>
                <w:color w:val="auto"/>
              </w:rPr>
            </w:pPr>
          </w:p>
        </w:tc>
        <w:tc>
          <w:tcPr>
            <w:tcW w:w="3080" w:type="dxa"/>
            <w:vAlign w:val="bottom"/>
            <w:tcBorders>
              <w:top w:val="single" w:sz="8" w:color="auto"/>
            </w:tcBorders>
          </w:tcPr>
          <w:p>
            <w:pPr>
              <w:ind w:left="40"/>
              <w:spacing w:after="0" w:line="154" w:lineRule="exact"/>
              <w:rPr>
                <w:sz w:val="20"/>
                <w:szCs w:val="20"/>
                <w:color w:val="auto"/>
              </w:rPr>
            </w:pPr>
            <w:r>
              <w:rPr>
                <w:rFonts w:ascii="Arial" w:cs="Arial" w:eastAsia="Arial" w:hAnsi="Arial"/>
                <w:sz w:val="14"/>
                <w:szCs w:val="14"/>
                <w:color w:val="auto"/>
              </w:rPr>
              <w:t>Dianne B. Ralston</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84"/>
        </w:trPr>
        <w:tc>
          <w:tcPr>
            <w:tcW w:w="340" w:type="dxa"/>
            <w:vAlign w:val="bottom"/>
          </w:tcPr>
          <w:p>
            <w:pPr>
              <w:spacing w:after="0"/>
              <w:rPr>
                <w:sz w:val="16"/>
                <w:szCs w:val="16"/>
                <w:color w:val="auto"/>
              </w:rPr>
            </w:pPr>
          </w:p>
        </w:tc>
        <w:tc>
          <w:tcPr>
            <w:tcW w:w="3520" w:type="dxa"/>
            <w:vAlign w:val="bottom"/>
            <w:gridSpan w:val="2"/>
          </w:tcPr>
          <w:p>
            <w:pPr>
              <w:ind w:left="40"/>
              <w:spacing w:after="0"/>
              <w:rPr>
                <w:sz w:val="20"/>
                <w:szCs w:val="20"/>
                <w:color w:val="auto"/>
              </w:rPr>
            </w:pPr>
            <w:r>
              <w:rPr>
                <w:rFonts w:ascii="Arial" w:cs="Arial" w:eastAsia="Arial" w:hAnsi="Arial"/>
                <w:sz w:val="14"/>
                <w:szCs w:val="14"/>
                <w:color w:val="auto"/>
              </w:rPr>
              <w:t>Attorney-in-Fact</w:t>
            </w:r>
          </w:p>
        </w:tc>
        <w:tc>
          <w:tcPr>
            <w:tcW w:w="1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73"/>
        </w:trPr>
        <w:tc>
          <w:tcPr>
            <w:tcW w:w="34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160" w:type="dxa"/>
            <w:vAlign w:val="bottom"/>
            <w:gridSpan w:val="2"/>
          </w:tcPr>
          <w:p>
            <w:pPr>
              <w:ind w:left="180"/>
              <w:spacing w:after="0"/>
              <w:rPr>
                <w:sz w:val="20"/>
                <w:szCs w:val="20"/>
                <w:color w:val="auto"/>
              </w:rPr>
            </w:pPr>
            <w:r>
              <w:rPr>
                <w:rFonts w:ascii="Arial" w:cs="Arial" w:eastAsia="Arial" w:hAnsi="Arial"/>
                <w:sz w:val="14"/>
                <w:szCs w:val="14"/>
                <w:color w:val="auto"/>
              </w:rPr>
              <w:t>II-10</w:t>
            </w:r>
          </w:p>
        </w:tc>
        <w:tc>
          <w:tcPr>
            <w:tcW w:w="1440" w:type="dxa"/>
            <w:vAlign w:val="bottom"/>
          </w:tcPr>
          <w:p>
            <w:pPr>
              <w:spacing w:after="0"/>
              <w:rPr>
                <w:sz w:val="23"/>
                <w:szCs w:val="23"/>
                <w:color w:val="auto"/>
              </w:rPr>
            </w:pPr>
          </w:p>
        </w:tc>
      </w:tr>
    </w:tbl>
    <w:p>
      <w:pPr>
        <w:sectPr>
          <w:pgSz w:w="11900" w:h="16838" w:orient="portrait"/>
          <w:cols w:equalWidth="0" w:num="1">
            <w:col w:w="10159"/>
          </w:cols>
          <w:pgMar w:left="300" w:top="385"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SIGNATURES</w:t>
      </w:r>
    </w:p>
    <w:p>
      <w:pPr>
        <w:spacing w:after="0" w:line="164" w:lineRule="exact"/>
        <w:rPr>
          <w:sz w:val="20"/>
          <w:szCs w:val="20"/>
          <w:color w:val="auto"/>
        </w:rPr>
      </w:pPr>
    </w:p>
    <w:p>
      <w:pPr>
        <w:jc w:val="both"/>
        <w:ind w:left="1360" w:right="519" w:firstLine="342"/>
        <w:spacing w:after="0" w:line="268" w:lineRule="auto"/>
        <w:rPr>
          <w:sz w:val="20"/>
          <w:szCs w:val="20"/>
          <w:color w:val="auto"/>
        </w:rPr>
      </w:pPr>
      <w:r>
        <w:rPr>
          <w:rFonts w:ascii="Arial" w:cs="Arial" w:eastAsia="Arial" w:hAnsi="Arial"/>
          <w:sz w:val="14"/>
          <w:szCs w:val="14"/>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Luxembourg, on the 30</w:t>
      </w:r>
      <w:r>
        <w:rPr>
          <w:rFonts w:ascii="Arial" w:cs="Arial" w:eastAsia="Arial" w:hAnsi="Arial"/>
          <w:sz w:val="20"/>
          <w:szCs w:val="20"/>
          <w:color w:val="auto"/>
          <w:vertAlign w:val="superscript"/>
        </w:rPr>
        <w:t>th</w:t>
      </w:r>
      <w:r>
        <w:rPr>
          <w:rFonts w:ascii="Arial" w:cs="Arial" w:eastAsia="Arial" w:hAnsi="Arial"/>
          <w:sz w:val="14"/>
          <w:szCs w:val="14"/>
          <w:color w:val="auto"/>
        </w:rPr>
        <w:t xml:space="preserve"> day of April, 2026.</w:t>
      </w:r>
    </w:p>
    <w:p>
      <w:pPr>
        <w:spacing w:after="0" w:line="44" w:lineRule="exact"/>
        <w:rPr>
          <w:sz w:val="20"/>
          <w:szCs w:val="20"/>
          <w:color w:val="auto"/>
        </w:rPr>
      </w:pPr>
    </w:p>
    <w:p>
      <w:pPr>
        <w:ind w:left="6500"/>
        <w:spacing w:after="0"/>
        <w:rPr>
          <w:sz w:val="20"/>
          <w:szCs w:val="20"/>
          <w:color w:val="auto"/>
        </w:rPr>
      </w:pPr>
      <w:r>
        <w:rPr>
          <w:rFonts w:ascii="Arial" w:cs="Arial" w:eastAsia="Arial" w:hAnsi="Arial"/>
          <w:sz w:val="14"/>
          <w:szCs w:val="14"/>
          <w:b w:val="1"/>
          <w:bCs w:val="1"/>
          <w:color w:val="auto"/>
        </w:rPr>
        <w:t>SCHLUMBERGER INVESTMENT S.A.</w:t>
      </w:r>
    </w:p>
    <w:p>
      <w:pPr>
        <w:spacing w:after="0" w:line="164" w:lineRule="exact"/>
        <w:rPr>
          <w:sz w:val="20"/>
          <w:szCs w:val="20"/>
          <w:color w:val="auto"/>
        </w:rPr>
      </w:pPr>
    </w:p>
    <w:p>
      <w:pPr>
        <w:ind w:left="6500"/>
        <w:spacing w:after="0"/>
        <w:rPr>
          <w:sz w:val="20"/>
          <w:szCs w:val="20"/>
          <w:color w:val="auto"/>
        </w:rPr>
      </w:pPr>
      <w:r>
        <w:rPr>
          <w:rFonts w:ascii="Arial" w:cs="Arial" w:eastAsia="Arial" w:hAnsi="Arial"/>
          <w:sz w:val="14"/>
          <w:szCs w:val="14"/>
          <w:color w:val="auto"/>
        </w:rPr>
        <w:t>By:  /s/ Colin David Beddall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13335</wp:posOffset>
            </wp:positionV>
            <wp:extent cx="1997075"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1997075" cy="6350"/>
                    </a:xfrm>
                    <a:prstGeom prst="rect">
                      <a:avLst/>
                    </a:prstGeom>
                    <a:noFill/>
                  </pic:spPr>
                </pic:pic>
              </a:graphicData>
            </a:graphic>
          </wp:anchor>
        </w:drawing>
      </w:r>
    </w:p>
    <w:p>
      <w:pPr>
        <w:spacing w:after="0" w:line="8"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Colin David Beddall</w:t>
      </w:r>
    </w:p>
    <w:p>
      <w:pPr>
        <w:spacing w:after="0" w:line="21"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Class B Director</w:t>
      </w:r>
    </w:p>
    <w:p>
      <w:pPr>
        <w:spacing w:after="0" w:line="150" w:lineRule="exact"/>
        <w:rPr>
          <w:sz w:val="20"/>
          <w:szCs w:val="20"/>
          <w:color w:val="auto"/>
        </w:rPr>
      </w:pPr>
    </w:p>
    <w:p>
      <w:pPr>
        <w:ind w:left="1360" w:right="779" w:firstLine="342"/>
        <w:spacing w:after="0" w:line="269" w:lineRule="auto"/>
        <w:rPr>
          <w:sz w:val="20"/>
          <w:szCs w:val="20"/>
          <w:color w:val="auto"/>
        </w:rPr>
      </w:pPr>
      <w:r>
        <w:rPr>
          <w:rFonts w:ascii="Arial" w:cs="Arial" w:eastAsia="Arial" w:hAnsi="Arial"/>
          <w:sz w:val="14"/>
          <w:szCs w:val="14"/>
          <w:color w:val="auto"/>
        </w:rPr>
        <w:t>Pursuant to the requirements of the Securities Act of 1933, as amended, this Registration Statement has been signed by the following persons in the capacities and on the dates indicated.</w:t>
      </w:r>
    </w:p>
    <w:p>
      <w:pPr>
        <w:spacing w:after="0" w:line="151" w:lineRule="exact"/>
        <w:rPr>
          <w:sz w:val="20"/>
          <w:szCs w:val="20"/>
          <w:color w:val="auto"/>
        </w:rPr>
      </w:pPr>
    </w:p>
    <w:tbl>
      <w:tblPr>
        <w:tblLayout w:type="fixed"/>
        <w:tblInd w:w="1360" w:type="dxa"/>
        <w:tblCellMar>
          <w:top w:w="0" w:type="dxa"/>
          <w:left w:w="0" w:type="dxa"/>
          <w:bottom w:w="0" w:type="dxa"/>
          <w:right w:w="0" w:type="dxa"/>
        </w:tblCellMar>
      </w:tblPr>
      <w:tr>
        <w:trPr>
          <w:trHeight w:val="143"/>
        </w:trPr>
        <w:tc>
          <w:tcPr>
            <w:tcW w:w="340" w:type="dxa"/>
            <w:vAlign w:val="bottom"/>
            <w:tcBorders>
              <w:bottom w:val="single" w:sz="8" w:color="auto"/>
            </w:tcBorders>
          </w:tcPr>
          <w:p>
            <w:pPr>
              <w:spacing w:after="0"/>
              <w:rPr>
                <w:sz w:val="12"/>
                <w:szCs w:val="12"/>
                <w:color w:val="auto"/>
              </w:rPr>
            </w:pPr>
          </w:p>
        </w:tc>
        <w:tc>
          <w:tcPr>
            <w:tcW w:w="35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rPr>
              <w:t>Signature</w:t>
            </w:r>
          </w:p>
        </w:tc>
        <w:tc>
          <w:tcPr>
            <w:tcW w:w="100" w:type="dxa"/>
            <w:vAlign w:val="bottom"/>
          </w:tcPr>
          <w:p>
            <w:pPr>
              <w:spacing w:after="0"/>
              <w:rPr>
                <w:sz w:val="12"/>
                <w:szCs w:val="12"/>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Title</w:t>
            </w:r>
          </w:p>
        </w:tc>
        <w:tc>
          <w:tcPr>
            <w:tcW w:w="180" w:type="dxa"/>
            <w:vAlign w:val="bottom"/>
          </w:tcPr>
          <w:p>
            <w:pPr>
              <w:spacing w:after="0"/>
              <w:rPr>
                <w:sz w:val="12"/>
                <w:szCs w:val="1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Date</w:t>
            </w:r>
          </w:p>
        </w:tc>
      </w:tr>
      <w:tr>
        <w:trPr>
          <w:trHeight w:val="305"/>
        </w:trPr>
        <w:tc>
          <w:tcPr>
            <w:tcW w:w="3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color w:val="auto"/>
                <w:w w:val="99"/>
              </w:rPr>
              <w:t>/s/ Colin David Beddall</w:t>
            </w:r>
          </w:p>
        </w:tc>
        <w:tc>
          <w:tcPr>
            <w:tcW w:w="100" w:type="dxa"/>
            <w:vAlign w:val="bottom"/>
          </w:tcPr>
          <w:p>
            <w:pPr>
              <w:spacing w:after="0"/>
              <w:rPr>
                <w:sz w:val="24"/>
                <w:szCs w:val="24"/>
                <w:color w:val="auto"/>
              </w:rPr>
            </w:pPr>
          </w:p>
        </w:tc>
        <w:tc>
          <w:tcPr>
            <w:tcW w:w="3160" w:type="dxa"/>
            <w:vAlign w:val="bottom"/>
            <w:gridSpan w:val="2"/>
          </w:tcPr>
          <w:p>
            <w:pPr>
              <w:jc w:val="center"/>
              <w:ind w:right="180"/>
              <w:spacing w:after="0"/>
              <w:rPr>
                <w:sz w:val="20"/>
                <w:szCs w:val="20"/>
                <w:color w:val="auto"/>
              </w:rPr>
            </w:pPr>
            <w:r>
              <w:rPr>
                <w:rFonts w:ascii="Arial" w:cs="Arial" w:eastAsia="Arial" w:hAnsi="Arial"/>
                <w:sz w:val="14"/>
                <w:szCs w:val="14"/>
                <w:color w:val="auto"/>
              </w:rPr>
              <w:t>Class B Director</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April 30, 2026</w:t>
            </w:r>
          </w:p>
        </w:tc>
      </w:tr>
      <w:tr>
        <w:trPr>
          <w:trHeight w:val="175"/>
        </w:trPr>
        <w:tc>
          <w:tcPr>
            <w:tcW w:w="340" w:type="dxa"/>
            <w:vAlign w:val="bottom"/>
          </w:tcPr>
          <w:p>
            <w:pPr>
              <w:spacing w:after="0"/>
              <w:rPr>
                <w:sz w:val="15"/>
                <w:szCs w:val="15"/>
                <w:color w:val="auto"/>
              </w:rPr>
            </w:pPr>
          </w:p>
        </w:tc>
        <w:tc>
          <w:tcPr>
            <w:tcW w:w="3520" w:type="dxa"/>
            <w:vAlign w:val="bottom"/>
            <w:gridSpan w:val="2"/>
          </w:tcPr>
          <w:p>
            <w:pPr>
              <w:jc w:val="center"/>
              <w:ind w:right="340"/>
              <w:spacing w:after="0"/>
              <w:rPr>
                <w:sz w:val="20"/>
                <w:szCs w:val="20"/>
                <w:color w:val="auto"/>
              </w:rPr>
            </w:pPr>
            <w:r>
              <w:rPr>
                <w:rFonts w:ascii="Arial" w:cs="Arial" w:eastAsia="Arial" w:hAnsi="Arial"/>
                <w:sz w:val="14"/>
                <w:szCs w:val="14"/>
                <w:color w:val="auto"/>
                <w:w w:val="99"/>
              </w:rPr>
              <w:t>Colin David Beddall</w:t>
            </w:r>
          </w:p>
        </w:tc>
        <w:tc>
          <w:tcPr>
            <w:tcW w:w="1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08"/>
        </w:trPr>
        <w:tc>
          <w:tcPr>
            <w:tcW w:w="3420" w:type="dxa"/>
            <w:vAlign w:val="bottom"/>
            <w:tcBorders>
              <w:bottom w:val="single" w:sz="8" w:color="auto"/>
            </w:tcBorders>
            <w:gridSpan w:val="2"/>
          </w:tcPr>
          <w:p>
            <w:pPr>
              <w:jc w:val="center"/>
              <w:ind w:left="37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gridSpan w:val="2"/>
          </w:tcPr>
          <w:p>
            <w:pPr>
              <w:jc w:val="center"/>
              <w:ind w:right="160"/>
              <w:spacing w:after="0"/>
              <w:rPr>
                <w:sz w:val="20"/>
                <w:szCs w:val="20"/>
                <w:color w:val="auto"/>
              </w:rPr>
            </w:pPr>
            <w:r>
              <w:rPr>
                <w:rFonts w:ascii="Arial" w:cs="Arial" w:eastAsia="Arial" w:hAnsi="Arial"/>
                <w:sz w:val="14"/>
                <w:szCs w:val="14"/>
                <w:color w:val="auto"/>
                <w:w w:val="98"/>
              </w:rPr>
              <w:t>Class A Director</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April 30, 2026</w:t>
            </w:r>
          </w:p>
        </w:tc>
      </w:tr>
      <w:tr>
        <w:trPr>
          <w:trHeight w:val="175"/>
        </w:trPr>
        <w:tc>
          <w:tcPr>
            <w:tcW w:w="340" w:type="dxa"/>
            <w:vAlign w:val="bottom"/>
          </w:tcPr>
          <w:p>
            <w:pPr>
              <w:spacing w:after="0"/>
              <w:rPr>
                <w:sz w:val="15"/>
                <w:szCs w:val="15"/>
                <w:color w:val="auto"/>
              </w:rPr>
            </w:pPr>
          </w:p>
        </w:tc>
        <w:tc>
          <w:tcPr>
            <w:tcW w:w="3520" w:type="dxa"/>
            <w:vAlign w:val="bottom"/>
            <w:gridSpan w:val="2"/>
          </w:tcPr>
          <w:p>
            <w:pPr>
              <w:jc w:val="center"/>
              <w:ind w:right="320"/>
              <w:spacing w:after="0"/>
              <w:rPr>
                <w:sz w:val="20"/>
                <w:szCs w:val="20"/>
                <w:color w:val="auto"/>
              </w:rPr>
            </w:pPr>
            <w:r>
              <w:rPr>
                <w:rFonts w:ascii="Arial" w:cs="Arial" w:eastAsia="Arial" w:hAnsi="Arial"/>
                <w:sz w:val="14"/>
                <w:szCs w:val="14"/>
                <w:color w:val="auto"/>
                <w:w w:val="97"/>
              </w:rPr>
              <w:t>Wen Yih Poh</w:t>
            </w:r>
          </w:p>
        </w:tc>
        <w:tc>
          <w:tcPr>
            <w:tcW w:w="1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08"/>
        </w:trPr>
        <w:tc>
          <w:tcPr>
            <w:tcW w:w="3420" w:type="dxa"/>
            <w:vAlign w:val="bottom"/>
            <w:tcBorders>
              <w:bottom w:val="single" w:sz="8" w:color="auto"/>
            </w:tcBorders>
            <w:gridSpan w:val="2"/>
          </w:tcPr>
          <w:p>
            <w:pPr>
              <w:jc w:val="center"/>
              <w:ind w:left="37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gridSpan w:val="2"/>
          </w:tcPr>
          <w:p>
            <w:pPr>
              <w:jc w:val="center"/>
              <w:ind w:right="160"/>
              <w:spacing w:after="0"/>
              <w:rPr>
                <w:sz w:val="20"/>
                <w:szCs w:val="20"/>
                <w:color w:val="auto"/>
              </w:rPr>
            </w:pPr>
            <w:r>
              <w:rPr>
                <w:rFonts w:ascii="Arial" w:cs="Arial" w:eastAsia="Arial" w:hAnsi="Arial"/>
                <w:sz w:val="14"/>
                <w:szCs w:val="14"/>
                <w:color w:val="auto"/>
                <w:w w:val="98"/>
              </w:rPr>
              <w:t>Class A Director</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April 30, 2026</w:t>
            </w:r>
          </w:p>
        </w:tc>
      </w:tr>
      <w:tr>
        <w:trPr>
          <w:trHeight w:val="175"/>
        </w:trPr>
        <w:tc>
          <w:tcPr>
            <w:tcW w:w="340" w:type="dxa"/>
            <w:vAlign w:val="bottom"/>
          </w:tcPr>
          <w:p>
            <w:pPr>
              <w:spacing w:after="0"/>
              <w:rPr>
                <w:sz w:val="15"/>
                <w:szCs w:val="15"/>
                <w:color w:val="auto"/>
              </w:rPr>
            </w:pPr>
          </w:p>
        </w:tc>
        <w:tc>
          <w:tcPr>
            <w:tcW w:w="3520" w:type="dxa"/>
            <w:vAlign w:val="bottom"/>
            <w:gridSpan w:val="2"/>
          </w:tcPr>
          <w:p>
            <w:pPr>
              <w:jc w:val="center"/>
              <w:ind w:right="340"/>
              <w:spacing w:after="0"/>
              <w:rPr>
                <w:sz w:val="20"/>
                <w:szCs w:val="20"/>
                <w:color w:val="auto"/>
              </w:rPr>
            </w:pPr>
            <w:r>
              <w:rPr>
                <w:rFonts w:ascii="Arial" w:cs="Arial" w:eastAsia="Arial" w:hAnsi="Arial"/>
                <w:sz w:val="14"/>
                <w:szCs w:val="14"/>
                <w:color w:val="auto"/>
                <w:w w:val="99"/>
              </w:rPr>
              <w:t>Daniel Andoh Morrison</w:t>
            </w:r>
          </w:p>
        </w:tc>
        <w:tc>
          <w:tcPr>
            <w:tcW w:w="1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40"/>
        </w:trPr>
        <w:tc>
          <w:tcPr>
            <w:tcW w:w="3860" w:type="dxa"/>
            <w:vAlign w:val="bottom"/>
            <w:gridSpan w:val="3"/>
          </w:tcPr>
          <w:p>
            <w:pPr>
              <w:spacing w:after="0"/>
              <w:rPr>
                <w:sz w:val="20"/>
                <w:szCs w:val="20"/>
                <w:color w:val="auto"/>
              </w:rPr>
            </w:pPr>
            <w:r>
              <w:rPr>
                <w:rFonts w:ascii="Arial" w:cs="Arial" w:eastAsia="Arial" w:hAnsi="Arial"/>
                <w:sz w:val="14"/>
                <w:szCs w:val="14"/>
                <w:color w:val="auto"/>
              </w:rPr>
              <w:t>*By:  /s/ Colin David Beddall</w:t>
            </w:r>
          </w:p>
        </w:tc>
        <w:tc>
          <w:tcPr>
            <w:tcW w:w="1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54"/>
        </w:trPr>
        <w:tc>
          <w:tcPr>
            <w:tcW w:w="340" w:type="dxa"/>
            <w:vAlign w:val="bottom"/>
          </w:tcPr>
          <w:p>
            <w:pPr>
              <w:spacing w:after="0"/>
              <w:rPr>
                <w:sz w:val="13"/>
                <w:szCs w:val="13"/>
                <w:color w:val="auto"/>
              </w:rPr>
            </w:pPr>
          </w:p>
        </w:tc>
        <w:tc>
          <w:tcPr>
            <w:tcW w:w="3080" w:type="dxa"/>
            <w:vAlign w:val="bottom"/>
            <w:tcBorders>
              <w:top w:val="single" w:sz="8" w:color="auto"/>
            </w:tcBorders>
          </w:tcPr>
          <w:p>
            <w:pPr>
              <w:ind w:left="40"/>
              <w:spacing w:after="0" w:line="154" w:lineRule="exact"/>
              <w:rPr>
                <w:sz w:val="20"/>
                <w:szCs w:val="20"/>
                <w:color w:val="auto"/>
              </w:rPr>
            </w:pPr>
            <w:r>
              <w:rPr>
                <w:rFonts w:ascii="Arial" w:cs="Arial" w:eastAsia="Arial" w:hAnsi="Arial"/>
                <w:sz w:val="14"/>
                <w:szCs w:val="14"/>
                <w:color w:val="auto"/>
              </w:rPr>
              <w:t>Colin David Beddall</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84"/>
        </w:trPr>
        <w:tc>
          <w:tcPr>
            <w:tcW w:w="340" w:type="dxa"/>
            <w:vAlign w:val="bottom"/>
          </w:tcPr>
          <w:p>
            <w:pPr>
              <w:spacing w:after="0"/>
              <w:rPr>
                <w:sz w:val="16"/>
                <w:szCs w:val="16"/>
                <w:color w:val="auto"/>
              </w:rPr>
            </w:pPr>
          </w:p>
        </w:tc>
        <w:tc>
          <w:tcPr>
            <w:tcW w:w="3520" w:type="dxa"/>
            <w:vAlign w:val="bottom"/>
            <w:gridSpan w:val="2"/>
          </w:tcPr>
          <w:p>
            <w:pPr>
              <w:ind w:left="40"/>
              <w:spacing w:after="0"/>
              <w:rPr>
                <w:sz w:val="20"/>
                <w:szCs w:val="20"/>
                <w:color w:val="auto"/>
              </w:rPr>
            </w:pPr>
            <w:r>
              <w:rPr>
                <w:rFonts w:ascii="Arial" w:cs="Arial" w:eastAsia="Arial" w:hAnsi="Arial"/>
                <w:sz w:val="14"/>
                <w:szCs w:val="14"/>
                <w:color w:val="auto"/>
              </w:rPr>
              <w:t>Attorney-in-Fact</w:t>
            </w:r>
          </w:p>
        </w:tc>
        <w:tc>
          <w:tcPr>
            <w:tcW w:w="1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73"/>
        </w:trPr>
        <w:tc>
          <w:tcPr>
            <w:tcW w:w="34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160" w:type="dxa"/>
            <w:vAlign w:val="bottom"/>
            <w:gridSpan w:val="2"/>
          </w:tcPr>
          <w:p>
            <w:pPr>
              <w:ind w:left="180"/>
              <w:spacing w:after="0"/>
              <w:rPr>
                <w:sz w:val="20"/>
                <w:szCs w:val="20"/>
                <w:color w:val="auto"/>
              </w:rPr>
            </w:pPr>
            <w:r>
              <w:rPr>
                <w:rFonts w:ascii="Arial" w:cs="Arial" w:eastAsia="Arial" w:hAnsi="Arial"/>
                <w:sz w:val="14"/>
                <w:szCs w:val="14"/>
                <w:color w:val="auto"/>
              </w:rPr>
              <w:t>II-11</w:t>
            </w:r>
          </w:p>
        </w:tc>
        <w:tc>
          <w:tcPr>
            <w:tcW w:w="1440" w:type="dxa"/>
            <w:vAlign w:val="bottom"/>
          </w:tcPr>
          <w:p>
            <w:pPr>
              <w:spacing w:after="0"/>
              <w:rPr>
                <w:sz w:val="23"/>
                <w:szCs w:val="23"/>
                <w:color w:val="auto"/>
              </w:rPr>
            </w:pPr>
          </w:p>
        </w:tc>
      </w:tr>
    </w:tbl>
    <w:p>
      <w:pPr>
        <w:sectPr>
          <w:pgSz w:w="11900" w:h="16838" w:orient="portrait"/>
          <w:cols w:equalWidth="0" w:num="1">
            <w:col w:w="10159"/>
          </w:cols>
          <w:pgMar w:left="300" w:top="385" w:right="1440" w:bottom="1440" w:gutter="0" w:footer="0" w:header="0"/>
        </w:sectPr>
      </w:pPr>
    </w:p>
    <w:bookmarkStart w:id="47" w:name="page48"/>
    <w:bookmarkEnd w:id="47"/>
    <w:p>
      <w:pPr>
        <w:jc w:val="right"/>
        <w:ind w:right="239"/>
        <w:spacing w:after="0"/>
        <w:rPr>
          <w:sz w:val="20"/>
          <w:szCs w:val="20"/>
          <w:color w:val="auto"/>
        </w:rPr>
      </w:pPr>
      <w:r>
        <w:rPr>
          <w:rFonts w:ascii="Arial" w:cs="Arial" w:eastAsia="Arial" w:hAnsi="Arial"/>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126365</wp:posOffset>
            </wp:positionV>
            <wp:extent cx="1318260" cy="2393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1318260" cy="23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April 30, 2026</w:t>
      </w:r>
    </w:p>
    <w:p>
      <w:pPr>
        <w:spacing w:after="0" w:line="16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Schlumberger Investment S.A.</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SLB N.V. (SLB Limited)</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c/o SLB N.V. (SLB Limited)</w:t>
      </w:r>
    </w:p>
    <w:p>
      <w:pPr>
        <w:spacing w:after="0" w:line="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5599 San Felipe, 17th Floor</w:t>
      </w:r>
    </w:p>
    <w:p>
      <w:pPr>
        <w:ind w:left="560"/>
        <w:spacing w:after="0"/>
        <w:rPr>
          <w:sz w:val="20"/>
          <w:szCs w:val="20"/>
          <w:color w:val="auto"/>
        </w:rPr>
      </w:pPr>
      <w:r>
        <w:rPr>
          <w:rFonts w:ascii="Arial" w:cs="Arial" w:eastAsia="Arial" w:hAnsi="Arial"/>
          <w:sz w:val="14"/>
          <w:szCs w:val="14"/>
          <w:color w:val="auto"/>
        </w:rPr>
        <w:t>Houston, Texas 77056</w:t>
      </w:r>
    </w:p>
    <w:p>
      <w:pPr>
        <w:spacing w:after="0" w:line="77" w:lineRule="exact"/>
        <w:rPr>
          <w:sz w:val="20"/>
          <w:szCs w:val="20"/>
          <w:color w:val="auto"/>
        </w:rPr>
      </w:pPr>
    </w:p>
    <w:p>
      <w:pPr>
        <w:ind w:left="220"/>
        <w:spacing w:after="0"/>
        <w:tabs>
          <w:tab w:leader="none" w:pos="620" w:val="left"/>
        </w:tabs>
        <w:rPr>
          <w:sz w:val="20"/>
          <w:szCs w:val="20"/>
          <w:color w:val="auto"/>
        </w:rPr>
      </w:pPr>
      <w:r>
        <w:rPr>
          <w:rFonts w:ascii="Arial" w:cs="Arial" w:eastAsia="Arial" w:hAnsi="Arial"/>
          <w:sz w:val="14"/>
          <w:szCs w:val="14"/>
          <w:color w:val="auto"/>
        </w:rPr>
        <w:t>Re:</w:t>
      </w:r>
      <w:r>
        <w:rPr>
          <w:sz w:val="20"/>
          <w:szCs w:val="20"/>
          <w:color w:val="auto"/>
        </w:rPr>
        <w:tab/>
      </w:r>
      <w:r>
        <w:rPr>
          <w:rFonts w:ascii="Arial" w:cs="Arial" w:eastAsia="Arial" w:hAnsi="Arial"/>
          <w:sz w:val="14"/>
          <w:szCs w:val="14"/>
          <w:i w:val="1"/>
          <w:iCs w:val="1"/>
          <w:color w:val="auto"/>
        </w:rPr>
        <w:t>Schlumberger Investment S.A. and SLB N.V. (SLB Limited)</w:t>
      </w:r>
    </w:p>
    <w:p>
      <w:pPr>
        <w:spacing w:after="0" w:line="10" w:lineRule="exact"/>
        <w:rPr>
          <w:sz w:val="20"/>
          <w:szCs w:val="20"/>
          <w:color w:val="auto"/>
        </w:rPr>
      </w:pPr>
    </w:p>
    <w:p>
      <w:pPr>
        <w:ind w:left="820"/>
        <w:spacing w:after="0"/>
        <w:rPr>
          <w:sz w:val="20"/>
          <w:szCs w:val="20"/>
          <w:color w:val="auto"/>
        </w:rPr>
      </w:pPr>
      <w:r>
        <w:rPr>
          <w:rFonts w:ascii="Arial" w:cs="Arial" w:eastAsia="Arial" w:hAnsi="Arial"/>
          <w:sz w:val="14"/>
          <w:szCs w:val="14"/>
          <w:color w:val="auto"/>
        </w:rPr>
        <w:t>Registration Statement on Form S-3</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Ladies and Gentlemen:</w:t>
      </w:r>
    </w:p>
    <w:p>
      <w:pPr>
        <w:spacing w:after="0" w:line="80" w:lineRule="exact"/>
        <w:rPr>
          <w:sz w:val="20"/>
          <w:szCs w:val="20"/>
          <w:color w:val="auto"/>
        </w:rPr>
      </w:pPr>
    </w:p>
    <w:p>
      <w:pPr>
        <w:ind w:left="220" w:right="339"/>
        <w:spacing w:after="0" w:line="241" w:lineRule="auto"/>
        <w:rPr>
          <w:sz w:val="20"/>
          <w:szCs w:val="20"/>
          <w:color w:val="auto"/>
        </w:rPr>
      </w:pPr>
      <w:r>
        <w:rPr>
          <w:rFonts w:ascii="Arial" w:cs="Arial" w:eastAsia="Arial" w:hAnsi="Arial"/>
          <w:sz w:val="14"/>
          <w:szCs w:val="14"/>
          <w:color w:val="auto"/>
        </w:rPr>
        <w:t xml:space="preserve">We have acted as counsel to Schlumberger Investment S.A., a </w:t>
      </w:r>
      <w:r>
        <w:rPr>
          <w:rFonts w:ascii="Arial" w:cs="Arial" w:eastAsia="Arial" w:hAnsi="Arial"/>
          <w:sz w:val="14"/>
          <w:szCs w:val="14"/>
          <w:i w:val="1"/>
          <w:iCs w:val="1"/>
          <w:color w:val="auto"/>
        </w:rPr>
        <w:t>société anonyme</w:t>
      </w:r>
      <w:r>
        <w:rPr>
          <w:rFonts w:ascii="Arial" w:cs="Arial" w:eastAsia="Arial" w:hAnsi="Arial"/>
          <w:sz w:val="14"/>
          <w:szCs w:val="14"/>
          <w:color w:val="auto"/>
        </w:rPr>
        <w:t xml:space="preserve"> organized under the laws of the Grand Duchy of Luxembourg (the “</w:t>
      </w:r>
      <w:r>
        <w:rPr>
          <w:rFonts w:ascii="Arial" w:cs="Arial" w:eastAsia="Arial" w:hAnsi="Arial"/>
          <w:sz w:val="14"/>
          <w:szCs w:val="14"/>
          <w:u w:val="single" w:color="auto"/>
          <w:color w:val="auto"/>
        </w:rPr>
        <w:t>Company</w:t>
      </w:r>
      <w:r>
        <w:rPr>
          <w:rFonts w:ascii="Arial" w:cs="Arial" w:eastAsia="Arial" w:hAnsi="Arial"/>
          <w:sz w:val="14"/>
          <w:szCs w:val="14"/>
          <w:color w:val="auto"/>
        </w:rPr>
        <w:t>”) and SLB N.V. (SLB Limited), a Curaçao company (the “</w:t>
      </w:r>
      <w:r>
        <w:rPr>
          <w:rFonts w:ascii="Arial" w:cs="Arial" w:eastAsia="Arial" w:hAnsi="Arial"/>
          <w:sz w:val="14"/>
          <w:szCs w:val="14"/>
          <w:u w:val="single" w:color="auto"/>
          <w:color w:val="auto"/>
        </w:rPr>
        <w:t>Guarantor</w:t>
      </w:r>
      <w:r>
        <w:rPr>
          <w:rFonts w:ascii="Arial" w:cs="Arial" w:eastAsia="Arial" w:hAnsi="Arial"/>
          <w:sz w:val="14"/>
          <w:szCs w:val="14"/>
          <w:color w:val="auto"/>
        </w:rPr>
        <w:t>”), in connection with the preparation and filing with the Securities and Exchange Commission (the “</w:t>
      </w:r>
      <w:r>
        <w:rPr>
          <w:rFonts w:ascii="Arial" w:cs="Arial" w:eastAsia="Arial" w:hAnsi="Arial"/>
          <w:sz w:val="14"/>
          <w:szCs w:val="14"/>
          <w:u w:val="single" w:color="auto"/>
          <w:color w:val="auto"/>
        </w:rPr>
        <w:t>Commission</w:t>
      </w:r>
      <w:r>
        <w:rPr>
          <w:rFonts w:ascii="Arial" w:cs="Arial" w:eastAsia="Arial" w:hAnsi="Arial"/>
          <w:sz w:val="14"/>
          <w:szCs w:val="14"/>
          <w:color w:val="auto"/>
        </w:rPr>
        <w:t>”) of a Registration Statement on Form S-3 (the “</w:t>
      </w:r>
      <w:r>
        <w:rPr>
          <w:rFonts w:ascii="Arial" w:cs="Arial" w:eastAsia="Arial" w:hAnsi="Arial"/>
          <w:sz w:val="14"/>
          <w:szCs w:val="14"/>
          <w:u w:val="single" w:color="auto"/>
          <w:color w:val="auto"/>
        </w:rPr>
        <w:t>Registration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Statement</w:t>
      </w:r>
      <w:r>
        <w:rPr>
          <w:rFonts w:ascii="Arial" w:cs="Arial" w:eastAsia="Arial" w:hAnsi="Arial"/>
          <w:sz w:val="14"/>
          <w:szCs w:val="14"/>
          <w:color w:val="auto"/>
        </w:rPr>
        <w:t>”) under the Securities Act of 1933, as amended (the “</w:t>
      </w:r>
      <w:r>
        <w:rPr>
          <w:rFonts w:ascii="Arial" w:cs="Arial" w:eastAsia="Arial" w:hAnsi="Arial"/>
          <w:sz w:val="14"/>
          <w:szCs w:val="14"/>
          <w:u w:val="single" w:color="auto"/>
          <w:color w:val="auto"/>
        </w:rPr>
        <w:t>Securities Act</w:t>
      </w:r>
      <w:r>
        <w:rPr>
          <w:rFonts w:ascii="Arial" w:cs="Arial" w:eastAsia="Arial" w:hAnsi="Arial"/>
          <w:sz w:val="14"/>
          <w:szCs w:val="14"/>
          <w:color w:val="auto"/>
        </w:rPr>
        <w:t>”), relating to the registration under the Securities Act and the proposed issuance and sale from time to time pursuant to Rule 415 under the Securities Act, together or separately and in one or more series (if applicable) of:</w:t>
      </w:r>
    </w:p>
    <w:p>
      <w:pPr>
        <w:spacing w:after="0" w:line="57" w:lineRule="exact"/>
        <w:rPr>
          <w:sz w:val="20"/>
          <w:szCs w:val="20"/>
          <w:color w:val="auto"/>
        </w:rPr>
      </w:pPr>
    </w:p>
    <w:p>
      <w:pPr>
        <w:ind w:left="1160" w:hanging="163"/>
        <w:spacing w:after="0"/>
        <w:tabs>
          <w:tab w:leader="none" w:pos="11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Company’s senior unsecured debt securities (the “</w:t>
      </w:r>
      <w:r>
        <w:rPr>
          <w:rFonts w:ascii="Arial" w:cs="Arial" w:eastAsia="Arial" w:hAnsi="Arial"/>
          <w:sz w:val="14"/>
          <w:szCs w:val="14"/>
          <w:u w:val="single" w:color="auto"/>
          <w:color w:val="auto"/>
        </w:rPr>
        <w:t>Debt Securities</w:t>
      </w:r>
      <w:r>
        <w:rPr>
          <w:rFonts w:ascii="Arial" w:cs="Arial" w:eastAsia="Arial" w:hAnsi="Arial"/>
          <w:sz w:val="14"/>
          <w:szCs w:val="14"/>
          <w:color w:val="auto"/>
        </w:rPr>
        <w:t>”); and</w:t>
      </w:r>
    </w:p>
    <w:p>
      <w:pPr>
        <w:spacing w:after="0" w:line="80" w:lineRule="exact"/>
        <w:rPr>
          <w:rFonts w:ascii="Arial" w:cs="Arial" w:eastAsia="Arial" w:hAnsi="Arial"/>
          <w:sz w:val="14"/>
          <w:szCs w:val="14"/>
          <w:color w:val="auto"/>
        </w:rPr>
      </w:pPr>
    </w:p>
    <w:p>
      <w:pPr>
        <w:ind w:left="1200" w:hanging="203"/>
        <w:spacing w:after="0"/>
        <w:tabs>
          <w:tab w:leader="none" w:pos="12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guarantees of the Debt Securities by the Guarantor (the “</w:t>
      </w:r>
      <w:r>
        <w:rPr>
          <w:rFonts w:ascii="Arial" w:cs="Arial" w:eastAsia="Arial" w:hAnsi="Arial"/>
          <w:sz w:val="14"/>
          <w:szCs w:val="14"/>
          <w:u w:val="single" w:color="auto"/>
          <w:color w:val="auto"/>
        </w:rPr>
        <w:t>Debt Securities Guarantees</w:t>
      </w:r>
      <w:r>
        <w:rPr>
          <w:rFonts w:ascii="Arial" w:cs="Arial" w:eastAsia="Arial" w:hAnsi="Arial"/>
          <w:sz w:val="14"/>
          <w:szCs w:val="14"/>
          <w:color w:val="auto"/>
        </w:rPr>
        <w:t>”).</w:t>
      </w:r>
    </w:p>
    <w:p>
      <w:pPr>
        <w:spacing w:after="0" w:line="164" w:lineRule="exact"/>
        <w:rPr>
          <w:sz w:val="20"/>
          <w:szCs w:val="20"/>
          <w:color w:val="auto"/>
        </w:rPr>
      </w:pPr>
    </w:p>
    <w:p>
      <w:pPr>
        <w:ind w:left="220" w:right="299"/>
        <w:spacing w:after="0" w:line="246" w:lineRule="auto"/>
        <w:rPr>
          <w:sz w:val="20"/>
          <w:szCs w:val="20"/>
          <w:color w:val="auto"/>
        </w:rPr>
      </w:pPr>
      <w:r>
        <w:rPr>
          <w:rFonts w:ascii="Arial" w:cs="Arial" w:eastAsia="Arial" w:hAnsi="Arial"/>
          <w:sz w:val="14"/>
          <w:szCs w:val="14"/>
          <w:color w:val="auto"/>
        </w:rPr>
        <w:t>The Debt Securities and Debt Securities Guarantees are collectively referred to herein as the “</w:t>
      </w:r>
      <w:r>
        <w:rPr>
          <w:rFonts w:ascii="Arial" w:cs="Arial" w:eastAsia="Arial" w:hAnsi="Arial"/>
          <w:sz w:val="14"/>
          <w:szCs w:val="14"/>
          <w:u w:val="single" w:color="auto"/>
          <w:color w:val="auto"/>
        </w:rPr>
        <w:t>Securities</w:t>
      </w:r>
      <w:r>
        <w:rPr>
          <w:rFonts w:ascii="Arial" w:cs="Arial" w:eastAsia="Arial" w:hAnsi="Arial"/>
          <w:sz w:val="14"/>
          <w:szCs w:val="14"/>
          <w:color w:val="auto"/>
        </w:rPr>
        <w:t>.” The Debt Securities are to be issued under an indenture dated December 3, 2013, among the Company, the Guarantor and The Bank of New York Mellon, as indenture trustee (the “</w:t>
      </w:r>
      <w:r>
        <w:rPr>
          <w:rFonts w:ascii="Arial" w:cs="Arial" w:eastAsia="Arial" w:hAnsi="Arial"/>
          <w:sz w:val="14"/>
          <w:szCs w:val="14"/>
          <w:u w:val="single" w:color="auto"/>
          <w:color w:val="auto"/>
        </w:rPr>
        <w:t>Base Indenture</w:t>
      </w:r>
      <w:r>
        <w:rPr>
          <w:rFonts w:ascii="Arial" w:cs="Arial" w:eastAsia="Arial" w:hAnsi="Arial"/>
          <w:sz w:val="14"/>
          <w:szCs w:val="14"/>
          <w:color w:val="auto"/>
        </w:rPr>
        <w:t>”). In addition, the Base Indenture may be supplemented or amended as necessary to set forth the terms of the debt securities issued under the indenture.</w:t>
      </w:r>
    </w:p>
    <w:p>
      <w:pPr>
        <w:spacing w:after="0" w:line="137" w:lineRule="exact"/>
        <w:rPr>
          <w:sz w:val="20"/>
          <w:szCs w:val="20"/>
          <w:color w:val="auto"/>
        </w:rPr>
      </w:pPr>
    </w:p>
    <w:p>
      <w:pPr>
        <w:ind w:left="220" w:right="239"/>
        <w:spacing w:after="0" w:line="239" w:lineRule="auto"/>
        <w:rPr>
          <w:sz w:val="20"/>
          <w:szCs w:val="20"/>
          <w:color w:val="auto"/>
        </w:rPr>
      </w:pPr>
      <w:r>
        <w:rPr>
          <w:rFonts w:ascii="Arial" w:cs="Arial" w:eastAsia="Arial" w:hAnsi="Arial"/>
          <w:sz w:val="14"/>
          <w:szCs w:val="14"/>
          <w:color w:val="auto"/>
        </w:rPr>
        <w:t>In arriving at the opinions expressed below, we have examined originals, or copies certified or otherwise identified to our satisfaction as being true and complete copies of the originals, of the Base Indenture and such other documents, corporate records, certificates of officers of the Company, the Guarantor and of public officials and other instruments as we have deemed necessary or advisable to enable us to render these opinions. In our examination, we have assumed the genuineness of all signatures, the legal capacity and competency of all natural persons, the authenticity of all documents submitted to us as originals and the conformity to original documents of all documents submitted to us as copies. As to any facts material to these opinions, we have relied to the extent we deemed appropriate and without independent investigation upon statements and representations of officers and other representatives of the Company, the Guarantor and others.</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Gibson, Dunn &amp; Crutcher LLP</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200 Park Avenue | New York, NY 10166-0193 | T: 212.351.4000 | F: 212.351.4035 | gibsondunn.com</w:t>
      </w:r>
    </w:p>
    <w:p>
      <w:pPr>
        <w:sectPr>
          <w:pgSz w:w="11900" w:h="16838" w:orient="portrait"/>
          <w:cols w:equalWidth="0" w:num="1">
            <w:col w:w="9019"/>
          </w:cols>
          <w:pgMar w:left="1440" w:top="125" w:right="1440" w:bottom="1440" w:gutter="0" w:footer="0" w:header="0"/>
        </w:sectPr>
      </w:pPr>
    </w:p>
    <w:bookmarkStart w:id="48" w:name="page49"/>
    <w:bookmarkEnd w:id="48"/>
    <w:p>
      <w:pPr>
        <w:ind w:left="2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201535" cy="32385"/>
                    </a:xfrm>
                    <a:prstGeom prst="rect">
                      <a:avLst/>
                    </a:prstGeom>
                    <a:noFill/>
                  </pic:spPr>
                </pic:pic>
              </a:graphicData>
            </a:graphic>
          </wp:anchor>
        </w:drawing>
        <w:drawing>
          <wp:anchor simplePos="0" relativeHeight="251657728" behindDoc="1" locked="0" layoutInCell="0" allowOverlap="1">
            <wp:simplePos x="0" y="0"/>
            <wp:positionH relativeFrom="page">
              <wp:posOffset>1058545</wp:posOffset>
            </wp:positionH>
            <wp:positionV relativeFrom="page">
              <wp:posOffset>161925</wp:posOffset>
            </wp:positionV>
            <wp:extent cx="1318260" cy="2393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318260" cy="239395"/>
                    </a:xfrm>
                    <a:prstGeom prst="rect">
                      <a:avLst/>
                    </a:prstGeom>
                    <a:noFill/>
                  </pic:spPr>
                </pic:pic>
              </a:graphicData>
            </a:graphic>
          </wp:anchor>
        </w:drawing>
        <w:t>Schlumberger Investment S.A.</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SLB N.V. (SLB Limited)</w:t>
      </w:r>
    </w:p>
    <w:p>
      <w:pPr>
        <w:spacing w:after="0" w:line="20" w:lineRule="exact"/>
        <w:rPr>
          <w:sz w:val="20"/>
          <w:szCs w:val="20"/>
          <w:color w:val="auto"/>
        </w:rPr>
      </w:pPr>
      <w:r>
        <w:rPr>
          <w:sz w:val="20"/>
          <w:szCs w:val="20"/>
          <w:color w:val="auto"/>
        </w:rPr>
        <w:br w:type="column"/>
      </w:r>
    </w:p>
    <w:p>
      <w:pPr>
        <w:jc w:val="right"/>
        <w:ind w:right="239"/>
        <w:spacing w:after="0"/>
        <w:rPr>
          <w:sz w:val="20"/>
          <w:szCs w:val="20"/>
          <w:color w:val="auto"/>
        </w:rPr>
      </w:pPr>
      <w:r>
        <w:rPr>
          <w:rFonts w:ascii="Arial" w:cs="Arial" w:eastAsia="Arial" w:hAnsi="Arial"/>
          <w:sz w:val="13"/>
          <w:szCs w:val="13"/>
          <w:color w:val="auto"/>
        </w:rPr>
        <w:t>April 30, 2026</w:t>
      </w:r>
    </w:p>
    <w:p>
      <w:pPr>
        <w:spacing w:after="0" w:line="22" w:lineRule="exact"/>
        <w:rPr>
          <w:sz w:val="20"/>
          <w:szCs w:val="20"/>
          <w:color w:val="auto"/>
        </w:rPr>
      </w:pPr>
    </w:p>
    <w:p>
      <w:pPr>
        <w:jc w:val="right"/>
        <w:ind w:right="239"/>
        <w:spacing w:after="0"/>
        <w:rPr>
          <w:sz w:val="20"/>
          <w:szCs w:val="20"/>
          <w:color w:val="auto"/>
        </w:rPr>
      </w:pPr>
      <w:r>
        <w:rPr>
          <w:rFonts w:ascii="Arial" w:cs="Arial" w:eastAsia="Arial" w:hAnsi="Arial"/>
          <w:sz w:val="14"/>
          <w:szCs w:val="14"/>
          <w:color w:val="auto"/>
        </w:rPr>
        <w:t>Page 2</w:t>
      </w:r>
    </w:p>
    <w:p>
      <w:pPr>
        <w:spacing w:after="0" w:line="108" w:lineRule="exact"/>
        <w:rPr>
          <w:sz w:val="20"/>
          <w:szCs w:val="20"/>
          <w:color w:val="auto"/>
        </w:rPr>
      </w:pPr>
    </w:p>
    <w:p>
      <w:pPr>
        <w:sectPr>
          <w:pgSz w:w="11900" w:h="16838" w:orient="portrait"/>
          <w:cols w:equalWidth="0" w:num="2">
            <w:col w:w="7200" w:space="720"/>
            <w:col w:w="1099"/>
          </w:cols>
          <w:pgMar w:left="1440" w:top="806" w:right="1440" w:bottom="1440" w:gutter="0" w:footer="0" w:header="0"/>
        </w:sectPr>
      </w:pPr>
    </w:p>
    <w:p>
      <w:pPr>
        <w:ind w:left="220" w:right="259"/>
        <w:spacing w:after="0" w:line="251" w:lineRule="auto"/>
        <w:rPr>
          <w:sz w:val="20"/>
          <w:szCs w:val="20"/>
          <w:color w:val="auto"/>
        </w:rPr>
      </w:pPr>
      <w:r>
        <w:rPr>
          <w:rFonts w:ascii="Arial" w:cs="Arial" w:eastAsia="Arial" w:hAnsi="Arial"/>
          <w:sz w:val="14"/>
          <w:szCs w:val="14"/>
          <w:color w:val="auto"/>
        </w:rPr>
        <w:t>We are not admitted or qualified to practice law in Luxembourg or Curaçao. Therefore, we have relied upon the opinions of Loyens &amp; Loeff Luxembourg S.à r.l. and STvB Advocaten (Europe) N.V., filed as exhibits to the Registration Statement, with respect to matters governed by the laws of Luxembourg and Curaçao.</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We have assumed without independent investigation that:</w:t>
      </w:r>
    </w:p>
    <w:p>
      <w:pPr>
        <w:spacing w:after="0" w:line="80" w:lineRule="exact"/>
        <w:rPr>
          <w:sz w:val="20"/>
          <w:szCs w:val="20"/>
          <w:color w:val="auto"/>
        </w:rPr>
      </w:pPr>
    </w:p>
    <w:p>
      <w:pPr>
        <w:ind w:left="220" w:right="239" w:firstLine="777"/>
        <w:spacing w:after="0" w:line="251" w:lineRule="auto"/>
        <w:tabs>
          <w:tab w:leader="none" w:pos="1153" w:val="left"/>
        </w:tabs>
        <w:numPr>
          <w:ilvl w:val="0"/>
          <w:numId w:val="41"/>
        </w:numPr>
        <w:rPr>
          <w:rFonts w:ascii="Arial" w:cs="Arial" w:eastAsia="Arial" w:hAnsi="Arial"/>
          <w:sz w:val="14"/>
          <w:szCs w:val="14"/>
          <w:color w:val="auto"/>
        </w:rPr>
      </w:pPr>
      <w:r>
        <w:rPr>
          <w:rFonts w:ascii="Arial" w:cs="Arial" w:eastAsia="Arial" w:hAnsi="Arial"/>
          <w:sz w:val="14"/>
          <w:szCs w:val="14"/>
          <w:color w:val="auto"/>
        </w:rPr>
        <w:t>at the time any Securities are sold pursuant to the Registration Statement (the “</w:t>
      </w:r>
      <w:r>
        <w:rPr>
          <w:rFonts w:ascii="Arial" w:cs="Arial" w:eastAsia="Arial" w:hAnsi="Arial"/>
          <w:sz w:val="14"/>
          <w:szCs w:val="14"/>
          <w:u w:val="single" w:color="auto"/>
          <w:color w:val="auto"/>
        </w:rPr>
        <w:t>Relevant Time</w:t>
      </w:r>
      <w:r>
        <w:rPr>
          <w:rFonts w:ascii="Arial" w:cs="Arial" w:eastAsia="Arial" w:hAnsi="Arial"/>
          <w:sz w:val="14"/>
          <w:szCs w:val="14"/>
          <w:color w:val="auto"/>
        </w:rPr>
        <w:t>”), the Registration Statement and any supplements and amendments thereto (including post-effective amendments) will be effective and will comply with all applicable laws;</w:t>
      </w:r>
    </w:p>
    <w:p>
      <w:pPr>
        <w:spacing w:after="0" w:line="50" w:lineRule="exact"/>
        <w:rPr>
          <w:rFonts w:ascii="Arial" w:cs="Arial" w:eastAsia="Arial" w:hAnsi="Arial"/>
          <w:sz w:val="14"/>
          <w:szCs w:val="14"/>
          <w:color w:val="auto"/>
        </w:rPr>
      </w:pPr>
    </w:p>
    <w:p>
      <w:pPr>
        <w:ind w:left="220" w:right="579" w:firstLine="777"/>
        <w:spacing w:after="0" w:line="269" w:lineRule="auto"/>
        <w:tabs>
          <w:tab w:leader="none" w:pos="1184" w:val="left"/>
        </w:tabs>
        <w:numPr>
          <w:ilvl w:val="0"/>
          <w:numId w:val="41"/>
        </w:numPr>
        <w:rPr>
          <w:rFonts w:ascii="Arial" w:cs="Arial" w:eastAsia="Arial" w:hAnsi="Arial"/>
          <w:sz w:val="14"/>
          <w:szCs w:val="14"/>
          <w:color w:val="auto"/>
        </w:rPr>
      </w:pPr>
      <w:r>
        <w:rPr>
          <w:rFonts w:ascii="Arial" w:cs="Arial" w:eastAsia="Arial" w:hAnsi="Arial"/>
          <w:sz w:val="14"/>
          <w:szCs w:val="14"/>
          <w:color w:val="auto"/>
        </w:rPr>
        <w:t>at the Relevant Time, a prospectus supplement will have been prepared and filed with the Commission describing the Securities offered thereby and all related documentation and will comply with all applicable laws;</w:t>
      </w:r>
    </w:p>
    <w:p>
      <w:pPr>
        <w:spacing w:after="0" w:line="37" w:lineRule="exact"/>
        <w:rPr>
          <w:rFonts w:ascii="Arial" w:cs="Arial" w:eastAsia="Arial" w:hAnsi="Arial"/>
          <w:sz w:val="14"/>
          <w:szCs w:val="14"/>
          <w:color w:val="auto"/>
        </w:rPr>
      </w:pPr>
    </w:p>
    <w:p>
      <w:pPr>
        <w:ind w:left="1220" w:hanging="223"/>
        <w:spacing w:after="0"/>
        <w:tabs>
          <w:tab w:leader="none" w:pos="12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all Securities will be issued and sold in the manner stated in the Registration Statement and the applicable prospectus</w:t>
      </w:r>
    </w:p>
    <w:p>
      <w:pPr>
        <w:spacing w:after="0" w:line="10" w:lineRule="exact"/>
        <w:rPr>
          <w:rFonts w:ascii="Arial" w:cs="Arial" w:eastAsia="Arial" w:hAnsi="Arial"/>
          <w:sz w:val="14"/>
          <w:szCs w:val="14"/>
          <w:color w:val="auto"/>
        </w:rPr>
      </w:pPr>
    </w:p>
    <w:p>
      <w:pPr>
        <w:ind w:left="220"/>
        <w:spacing w:after="0"/>
        <w:rPr>
          <w:rFonts w:ascii="Arial" w:cs="Arial" w:eastAsia="Arial" w:hAnsi="Arial"/>
          <w:sz w:val="14"/>
          <w:szCs w:val="14"/>
          <w:color w:val="auto"/>
        </w:rPr>
      </w:pPr>
      <w:r>
        <w:rPr>
          <w:rFonts w:ascii="Arial" w:cs="Arial" w:eastAsia="Arial" w:hAnsi="Arial"/>
          <w:sz w:val="14"/>
          <w:szCs w:val="14"/>
          <w:color w:val="auto"/>
        </w:rPr>
        <w:t>supplement;</w:t>
      </w:r>
    </w:p>
    <w:p>
      <w:pPr>
        <w:spacing w:after="0" w:line="66" w:lineRule="exact"/>
        <w:rPr>
          <w:rFonts w:ascii="Arial" w:cs="Arial" w:eastAsia="Arial" w:hAnsi="Arial"/>
          <w:sz w:val="14"/>
          <w:szCs w:val="14"/>
          <w:color w:val="auto"/>
        </w:rPr>
      </w:pPr>
    </w:p>
    <w:p>
      <w:pPr>
        <w:jc w:val="both"/>
        <w:ind w:left="220" w:right="379" w:firstLine="777"/>
        <w:spacing w:after="0" w:line="246" w:lineRule="auto"/>
        <w:tabs>
          <w:tab w:leader="none" w:pos="1223" w:val="left"/>
        </w:tabs>
        <w:numPr>
          <w:ilvl w:val="0"/>
          <w:numId w:val="41"/>
        </w:numPr>
        <w:rPr>
          <w:rFonts w:ascii="Arial" w:cs="Arial" w:eastAsia="Arial" w:hAnsi="Arial"/>
          <w:sz w:val="14"/>
          <w:szCs w:val="14"/>
          <w:color w:val="auto"/>
        </w:rPr>
      </w:pPr>
      <w:r>
        <w:rPr>
          <w:rFonts w:ascii="Arial" w:cs="Arial" w:eastAsia="Arial" w:hAnsi="Arial"/>
          <w:sz w:val="14"/>
          <w:szCs w:val="14"/>
          <w:color w:val="auto"/>
        </w:rPr>
        <w:t>at the Relevant Time, all corporate or other action required to be taken by the Company and the Guarantor to duly authorize each proposed issuance of Securities and any related documentation (including the execution (in the case of certificated Securities), delivery and performance of the Securities and any related documentation referred to in paragraphs 1 through 3 below) shall have been duly completed and shall remain in full force and effect;</w:t>
      </w:r>
    </w:p>
    <w:p>
      <w:pPr>
        <w:spacing w:after="0" w:line="52" w:lineRule="exact"/>
        <w:rPr>
          <w:rFonts w:ascii="Arial" w:cs="Arial" w:eastAsia="Arial" w:hAnsi="Arial"/>
          <w:sz w:val="14"/>
          <w:szCs w:val="14"/>
          <w:color w:val="auto"/>
        </w:rPr>
      </w:pPr>
    </w:p>
    <w:p>
      <w:pPr>
        <w:ind w:left="220" w:right="279" w:firstLine="777"/>
        <w:spacing w:after="0" w:line="280" w:lineRule="auto"/>
        <w:tabs>
          <w:tab w:leader="none" w:pos="1192" w:val="left"/>
        </w:tabs>
        <w:numPr>
          <w:ilvl w:val="0"/>
          <w:numId w:val="41"/>
        </w:numPr>
        <w:rPr>
          <w:rFonts w:ascii="Arial" w:cs="Arial" w:eastAsia="Arial" w:hAnsi="Arial"/>
          <w:sz w:val="13"/>
          <w:szCs w:val="13"/>
          <w:color w:val="auto"/>
        </w:rPr>
      </w:pPr>
      <w:r>
        <w:rPr>
          <w:rFonts w:ascii="Arial" w:cs="Arial" w:eastAsia="Arial" w:hAnsi="Arial"/>
          <w:sz w:val="13"/>
          <w:szCs w:val="13"/>
          <w:color w:val="auto"/>
        </w:rPr>
        <w:t>at the Relevant Time, the relevant trustee shall have been qualified under the Trust Indenture Act of 1939, as amended (the “</w:t>
      </w:r>
      <w:r>
        <w:rPr>
          <w:rFonts w:ascii="Arial" w:cs="Arial" w:eastAsia="Arial" w:hAnsi="Arial"/>
          <w:sz w:val="13"/>
          <w:szCs w:val="13"/>
          <w:u w:val="single" w:color="auto"/>
          <w:color w:val="auto"/>
        </w:rPr>
        <w:t>TIA</w:t>
      </w:r>
      <w:r>
        <w:rPr>
          <w:rFonts w:ascii="Arial" w:cs="Arial" w:eastAsia="Arial" w:hAnsi="Arial"/>
          <w:sz w:val="13"/>
          <w:szCs w:val="13"/>
          <w:color w:val="auto"/>
        </w:rPr>
        <w:t>”), a Statement of Eligibility of the Trustee on Form T-1 shall have been properly filed with the Commission and the relevant Base Indenture shall have been duly executed and delivered by the Company and all other parties thereto and duly qualified under the TIA; and</w:t>
      </w:r>
    </w:p>
    <w:p>
      <w:pPr>
        <w:spacing w:after="0" w:line="32" w:lineRule="exact"/>
        <w:rPr>
          <w:rFonts w:ascii="Arial" w:cs="Arial" w:eastAsia="Arial" w:hAnsi="Arial"/>
          <w:sz w:val="13"/>
          <w:szCs w:val="13"/>
          <w:color w:val="auto"/>
        </w:rPr>
      </w:pPr>
    </w:p>
    <w:p>
      <w:pPr>
        <w:ind w:left="220" w:right="379" w:firstLine="777"/>
        <w:spacing w:after="0" w:line="251" w:lineRule="auto"/>
        <w:tabs>
          <w:tab w:leader="none" w:pos="1223" w:val="left"/>
        </w:tabs>
        <w:numPr>
          <w:ilvl w:val="0"/>
          <w:numId w:val="41"/>
        </w:numPr>
        <w:rPr>
          <w:rFonts w:ascii="Arial" w:cs="Arial" w:eastAsia="Arial" w:hAnsi="Arial"/>
          <w:sz w:val="14"/>
          <w:szCs w:val="14"/>
          <w:color w:val="auto"/>
        </w:rPr>
      </w:pPr>
      <w:r>
        <w:rPr>
          <w:rFonts w:ascii="Arial" w:cs="Arial" w:eastAsia="Arial" w:hAnsi="Arial"/>
          <w:sz w:val="14"/>
          <w:szCs w:val="14"/>
          <w:color w:val="auto"/>
        </w:rPr>
        <w:t>at the Relevant Time, a definitive purchase, underwriting or similar agreement and any other necessary agreement with respect to any Securities offered or issued will have been duly authorized by all necessary corporate or other action of the Company and the Guarantor and duly executed and delivered by the Company, the Guarantor and the other parties thereto.</w:t>
      </w:r>
    </w:p>
    <w:p>
      <w:pPr>
        <w:sectPr>
          <w:pgSz w:w="11900" w:h="16838" w:orient="portrait"/>
          <w:cols w:equalWidth="0" w:num="1">
            <w:col w:w="9019"/>
          </w:cols>
          <w:pgMar w:left="1440" w:top="806" w:right="1440" w:bottom="1440" w:gutter="0" w:footer="0" w:header="0"/>
          <w:type w:val="continuous"/>
        </w:sectPr>
      </w:pPr>
    </w:p>
    <w:bookmarkStart w:id="49" w:name="page50"/>
    <w:bookmarkEnd w:id="49"/>
    <w:p>
      <w:pPr>
        <w:ind w:left="2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7201535" cy="32385"/>
                    </a:xfrm>
                    <a:prstGeom prst="rect">
                      <a:avLst/>
                    </a:prstGeom>
                    <a:noFill/>
                  </pic:spPr>
                </pic:pic>
              </a:graphicData>
            </a:graphic>
          </wp:anchor>
        </w:drawing>
        <w:drawing>
          <wp:anchor simplePos="0" relativeHeight="251657728" behindDoc="1" locked="0" layoutInCell="0" allowOverlap="1">
            <wp:simplePos x="0" y="0"/>
            <wp:positionH relativeFrom="page">
              <wp:posOffset>1058545</wp:posOffset>
            </wp:positionH>
            <wp:positionV relativeFrom="page">
              <wp:posOffset>161925</wp:posOffset>
            </wp:positionV>
            <wp:extent cx="1318260" cy="2393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1318260" cy="239395"/>
                    </a:xfrm>
                    <a:prstGeom prst="rect">
                      <a:avLst/>
                    </a:prstGeom>
                    <a:noFill/>
                  </pic:spPr>
                </pic:pic>
              </a:graphicData>
            </a:graphic>
          </wp:anchor>
        </w:drawing>
        <w:t>Schlumberger Investment S.A.</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SLB N.V. (SLB Limited)</w:t>
      </w:r>
    </w:p>
    <w:p>
      <w:pPr>
        <w:spacing w:after="0" w:line="20" w:lineRule="exact"/>
        <w:rPr>
          <w:sz w:val="20"/>
          <w:szCs w:val="20"/>
          <w:color w:val="auto"/>
        </w:rPr>
      </w:pPr>
      <w:r>
        <w:rPr>
          <w:sz w:val="20"/>
          <w:szCs w:val="20"/>
          <w:color w:val="auto"/>
        </w:rPr>
        <w:br w:type="column"/>
      </w:r>
    </w:p>
    <w:p>
      <w:pPr>
        <w:jc w:val="right"/>
        <w:ind w:right="239"/>
        <w:spacing w:after="0"/>
        <w:rPr>
          <w:sz w:val="20"/>
          <w:szCs w:val="20"/>
          <w:color w:val="auto"/>
        </w:rPr>
      </w:pPr>
      <w:r>
        <w:rPr>
          <w:rFonts w:ascii="Arial" w:cs="Arial" w:eastAsia="Arial" w:hAnsi="Arial"/>
          <w:sz w:val="13"/>
          <w:szCs w:val="13"/>
          <w:color w:val="auto"/>
        </w:rPr>
        <w:t>April 30, 2026</w:t>
      </w:r>
    </w:p>
    <w:p>
      <w:pPr>
        <w:spacing w:after="0" w:line="22" w:lineRule="exact"/>
        <w:rPr>
          <w:sz w:val="20"/>
          <w:szCs w:val="20"/>
          <w:color w:val="auto"/>
        </w:rPr>
      </w:pPr>
    </w:p>
    <w:p>
      <w:pPr>
        <w:jc w:val="right"/>
        <w:ind w:right="239"/>
        <w:spacing w:after="0"/>
        <w:rPr>
          <w:sz w:val="20"/>
          <w:szCs w:val="20"/>
          <w:color w:val="auto"/>
        </w:rPr>
      </w:pPr>
      <w:r>
        <w:rPr>
          <w:rFonts w:ascii="Arial" w:cs="Arial" w:eastAsia="Arial" w:hAnsi="Arial"/>
          <w:sz w:val="14"/>
          <w:szCs w:val="14"/>
          <w:color w:val="auto"/>
        </w:rPr>
        <w:t>Page 3</w:t>
      </w:r>
    </w:p>
    <w:p>
      <w:pPr>
        <w:spacing w:after="0" w:line="108" w:lineRule="exact"/>
        <w:rPr>
          <w:sz w:val="20"/>
          <w:szCs w:val="20"/>
          <w:color w:val="auto"/>
        </w:rPr>
      </w:pPr>
    </w:p>
    <w:p>
      <w:pPr>
        <w:sectPr>
          <w:pgSz w:w="11900" w:h="16838" w:orient="portrait"/>
          <w:cols w:equalWidth="0" w:num="2">
            <w:col w:w="7200" w:space="720"/>
            <w:col w:w="1099"/>
          </w:cols>
          <w:pgMar w:left="1440" w:top="806" w:right="1440" w:bottom="1440" w:gutter="0" w:footer="0" w:header="0"/>
        </w:sectPr>
      </w:pPr>
    </w:p>
    <w:p>
      <w:pPr>
        <w:ind w:left="220" w:right="319"/>
        <w:spacing w:after="0" w:line="269" w:lineRule="auto"/>
        <w:rPr>
          <w:sz w:val="20"/>
          <w:szCs w:val="20"/>
          <w:color w:val="auto"/>
        </w:rPr>
      </w:pPr>
      <w:r>
        <w:rPr>
          <w:rFonts w:ascii="Arial" w:cs="Arial" w:eastAsia="Arial" w:hAnsi="Arial"/>
          <w:sz w:val="14"/>
          <w:szCs w:val="14"/>
          <w:color w:val="auto"/>
        </w:rPr>
        <w:t>Based on the foregoing and in reliance thereon, and subject to the assumptions, exceptions, qualifications and limitations set forth herein, we are of the opinion that with respect to any Debt Securities and related Debt Securities Guarantees, when:</w:t>
      </w:r>
    </w:p>
    <w:p>
      <w:pPr>
        <w:spacing w:after="0" w:line="37" w:lineRule="exact"/>
        <w:rPr>
          <w:sz w:val="20"/>
          <w:szCs w:val="20"/>
          <w:color w:val="auto"/>
        </w:rPr>
      </w:pPr>
    </w:p>
    <w:p>
      <w:pPr>
        <w:ind w:left="220" w:right="319" w:firstLine="777"/>
        <w:spacing w:after="0" w:line="269" w:lineRule="auto"/>
        <w:tabs>
          <w:tab w:leader="none" w:pos="1145"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terms and conditions of such Securities have been duly established by supplemental indenture or officers’ certificate in accordance with the terms and conditions of the relevant Base Indenture,</w:t>
      </w:r>
    </w:p>
    <w:p>
      <w:pPr>
        <w:spacing w:after="0" w:line="37" w:lineRule="exact"/>
        <w:rPr>
          <w:rFonts w:ascii="Arial" w:cs="Arial" w:eastAsia="Arial" w:hAnsi="Arial"/>
          <w:sz w:val="14"/>
          <w:szCs w:val="14"/>
          <w:color w:val="auto"/>
        </w:rPr>
      </w:pPr>
    </w:p>
    <w:p>
      <w:pPr>
        <w:ind w:left="220" w:right="399" w:firstLine="777"/>
        <w:spacing w:after="0" w:line="269" w:lineRule="auto"/>
        <w:tabs>
          <w:tab w:leader="none" w:pos="1145" w:val="left"/>
        </w:tabs>
        <w:numPr>
          <w:ilvl w:val="0"/>
          <w:numId w:val="42"/>
        </w:numPr>
        <w:rPr>
          <w:rFonts w:ascii="Arial" w:cs="Arial" w:eastAsia="Arial" w:hAnsi="Arial"/>
          <w:sz w:val="14"/>
          <w:szCs w:val="14"/>
          <w:color w:val="auto"/>
        </w:rPr>
      </w:pPr>
      <w:r>
        <w:rPr>
          <w:rFonts w:ascii="Arial" w:cs="Arial" w:eastAsia="Arial" w:hAnsi="Arial"/>
          <w:sz w:val="14"/>
          <w:szCs w:val="14"/>
          <w:color w:val="auto"/>
        </w:rPr>
        <w:t>any such supplemental indenture has been duly executed and delivered by the Company, the Guarantor and the relevant trustee (together with the relevant Base Indenture, the “</w:t>
      </w:r>
      <w:r>
        <w:rPr>
          <w:rFonts w:ascii="Arial" w:cs="Arial" w:eastAsia="Arial" w:hAnsi="Arial"/>
          <w:sz w:val="14"/>
          <w:szCs w:val="14"/>
          <w:u w:val="single" w:color="auto"/>
          <w:color w:val="auto"/>
        </w:rPr>
        <w:t>Indenture</w:t>
      </w:r>
      <w:r>
        <w:rPr>
          <w:rFonts w:ascii="Arial" w:cs="Arial" w:eastAsia="Arial" w:hAnsi="Arial"/>
          <w:sz w:val="14"/>
          <w:szCs w:val="14"/>
          <w:color w:val="auto"/>
        </w:rPr>
        <w:t>”), and</w:t>
      </w:r>
    </w:p>
    <w:p>
      <w:pPr>
        <w:spacing w:after="0" w:line="37" w:lineRule="exact"/>
        <w:rPr>
          <w:rFonts w:ascii="Arial" w:cs="Arial" w:eastAsia="Arial" w:hAnsi="Arial"/>
          <w:sz w:val="14"/>
          <w:szCs w:val="14"/>
          <w:color w:val="auto"/>
        </w:rPr>
      </w:pPr>
    </w:p>
    <w:p>
      <w:pPr>
        <w:jc w:val="both"/>
        <w:ind w:left="220" w:right="679" w:firstLine="777"/>
        <w:spacing w:after="0" w:line="251" w:lineRule="auto"/>
        <w:tabs>
          <w:tab w:leader="none" w:pos="1145" w:val="left"/>
        </w:tabs>
        <w:numPr>
          <w:ilvl w:val="0"/>
          <w:numId w:val="42"/>
        </w:numPr>
        <w:rPr>
          <w:rFonts w:ascii="Arial" w:cs="Arial" w:eastAsia="Arial" w:hAnsi="Arial"/>
          <w:sz w:val="14"/>
          <w:szCs w:val="14"/>
          <w:color w:val="auto"/>
        </w:rPr>
      </w:pPr>
      <w:r>
        <w:rPr>
          <w:rFonts w:ascii="Arial" w:cs="Arial" w:eastAsia="Arial" w:hAnsi="Arial"/>
          <w:sz w:val="14"/>
          <w:szCs w:val="14"/>
          <w:color w:val="auto"/>
        </w:rPr>
        <w:t>such Debt Securities have been executed (in the case of certificated Debt Securities), delivered and authenticated in accordance with the terms of the applicable Indenture and issued and sold for the consideration set forth in the applicable definitive purchase, underwriting or similar agreement,</w:t>
      </w:r>
    </w:p>
    <w:p>
      <w:pPr>
        <w:spacing w:after="0" w:line="50" w:lineRule="exact"/>
        <w:rPr>
          <w:rFonts w:ascii="Arial" w:cs="Arial" w:eastAsia="Arial" w:hAnsi="Arial"/>
          <w:sz w:val="14"/>
          <w:szCs w:val="14"/>
          <w:color w:val="auto"/>
        </w:rPr>
      </w:pPr>
    </w:p>
    <w:p>
      <w:pPr>
        <w:jc w:val="both"/>
        <w:ind w:left="220" w:right="639" w:firstLine="777"/>
        <w:spacing w:after="0" w:line="251" w:lineRule="auto"/>
        <w:tabs>
          <w:tab w:leader="none" w:pos="1145" w:val="left"/>
        </w:tabs>
        <w:numPr>
          <w:ilvl w:val="0"/>
          <w:numId w:val="42"/>
        </w:numPr>
        <w:rPr>
          <w:rFonts w:ascii="Arial" w:cs="Arial" w:eastAsia="Arial" w:hAnsi="Arial"/>
          <w:sz w:val="14"/>
          <w:szCs w:val="14"/>
          <w:color w:val="auto"/>
        </w:rPr>
      </w:pPr>
      <w:r>
        <w:rPr>
          <w:rFonts w:ascii="Arial" w:cs="Arial" w:eastAsia="Arial" w:hAnsi="Arial"/>
          <w:sz w:val="14"/>
          <w:szCs w:val="14"/>
          <w:color w:val="auto"/>
        </w:rPr>
        <w:t>such Debt Securities will be legal, valid and binding obligations of the Company, enforceable against the Company in accordance with their respective terms, and the Guarantees of such Debt Securities will be legal, valid and binding obligations of the Guarantor obligated thereon, enforceable against such Guarantor in accordance with their respective terms.</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The opinions expressed above are subject to the following exceptions, qualifications, limitations and assumptions:</w:t>
      </w:r>
    </w:p>
    <w:p>
      <w:pPr>
        <w:spacing w:after="0" w:line="80" w:lineRule="exact"/>
        <w:rPr>
          <w:sz w:val="20"/>
          <w:szCs w:val="20"/>
          <w:color w:val="auto"/>
        </w:rPr>
      </w:pPr>
    </w:p>
    <w:p>
      <w:pPr>
        <w:ind w:left="220" w:right="259" w:firstLine="770"/>
        <w:spacing w:after="0" w:line="246" w:lineRule="auto"/>
        <w:rPr>
          <w:sz w:val="20"/>
          <w:szCs w:val="20"/>
          <w:color w:val="auto"/>
        </w:rPr>
      </w:pPr>
      <w:r>
        <w:rPr>
          <w:rFonts w:ascii="Arial" w:cs="Arial" w:eastAsia="Arial" w:hAnsi="Arial"/>
          <w:sz w:val="14"/>
          <w:szCs w:val="14"/>
          <w:color w:val="auto"/>
        </w:rPr>
        <w:t>A. We render no opinion herein as to matters involving the laws of any jurisdiction other than the State of New York and the United States of America. This opinion is limited to the effect of the current state of the laws of the State of New York and the United States of America and the facts as they currently exist. We assume no obligation to revise or supplement this opinion in the event of future changes in such laws or the interpretations thereof or such facts.</w:t>
      </w:r>
    </w:p>
    <w:p>
      <w:pPr>
        <w:spacing w:after="0" w:line="53" w:lineRule="exact"/>
        <w:rPr>
          <w:sz w:val="20"/>
          <w:szCs w:val="20"/>
          <w:color w:val="auto"/>
        </w:rPr>
      </w:pPr>
    </w:p>
    <w:p>
      <w:pPr>
        <w:ind w:left="220" w:right="299" w:firstLine="770"/>
        <w:spacing w:after="0" w:line="241" w:lineRule="auto"/>
        <w:rPr>
          <w:sz w:val="20"/>
          <w:szCs w:val="20"/>
          <w:color w:val="auto"/>
        </w:rPr>
      </w:pPr>
      <w:r>
        <w:rPr>
          <w:rFonts w:ascii="Arial" w:cs="Arial" w:eastAsia="Arial" w:hAnsi="Arial"/>
          <w:sz w:val="14"/>
          <w:szCs w:val="14"/>
          <w:color w:val="auto"/>
        </w:rPr>
        <w:t>B. The opinions above with respect to the Indenture, the Debt Securities and the related Debt Securities Guarantees (collectively, the “</w:t>
      </w:r>
      <w:r>
        <w:rPr>
          <w:rFonts w:ascii="Arial" w:cs="Arial" w:eastAsia="Arial" w:hAnsi="Arial"/>
          <w:sz w:val="14"/>
          <w:szCs w:val="14"/>
          <w:u w:val="single" w:color="auto"/>
          <w:color w:val="auto"/>
        </w:rPr>
        <w:t>Documents</w:t>
      </w:r>
      <w:r>
        <w:rPr>
          <w:rFonts w:ascii="Arial" w:cs="Arial" w:eastAsia="Arial" w:hAnsi="Arial"/>
          <w:sz w:val="14"/>
          <w:szCs w:val="14"/>
          <w:color w:val="auto"/>
        </w:rPr>
        <w:t>”) are each subject to (i) the effect of any bankruptcy, insolvency, reorganization, moratorium, arrangement or similar laws affecting the rights and remedies of creditors generally, including without limitation the effect of statutory or other laws regarding fraudulent transfers or preferential transfers, and (ii) general principles of equity, including without limitation concepts of materiality, reasonableness, good faith and fair dealing and the possible unavailability of specific performance, injunctive relief or other equitable remedies regardless of whether enforceability is considered in a proceeding in equity or at law.</w:t>
      </w:r>
    </w:p>
    <w:p>
      <w:pPr>
        <w:spacing w:after="0" w:line="57" w:lineRule="exact"/>
        <w:rPr>
          <w:sz w:val="20"/>
          <w:szCs w:val="20"/>
          <w:color w:val="auto"/>
        </w:rPr>
      </w:pPr>
    </w:p>
    <w:p>
      <w:pPr>
        <w:ind w:left="220" w:right="279" w:firstLine="770"/>
        <w:spacing w:after="0" w:line="243" w:lineRule="auto"/>
        <w:rPr>
          <w:sz w:val="20"/>
          <w:szCs w:val="20"/>
          <w:color w:val="auto"/>
        </w:rPr>
      </w:pPr>
      <w:r>
        <w:rPr>
          <w:rFonts w:ascii="Arial" w:cs="Arial" w:eastAsia="Arial" w:hAnsi="Arial"/>
          <w:sz w:val="14"/>
          <w:szCs w:val="14"/>
          <w:color w:val="auto"/>
        </w:rPr>
        <w:t>C. We express no opinion regarding the effectiveness of (i) any waiver of stay, extension or usury laws or of unknown future rights; (ii) any waiver (whether or not stated as such) under the Indenture or any other Document of, or any consent thereunder relating to, unknown future rights or the rights of any party thereto existing, or duties owing to it, as a matter of law; (iii) any waiver (whether or not stated as such) contained in the Indenture or any other Document of rights of any party, or duties owing to it, that is broadly or vaguely stated or does</w:t>
      </w:r>
    </w:p>
    <w:p>
      <w:pPr>
        <w:sectPr>
          <w:pgSz w:w="11900" w:h="16838" w:orient="portrait"/>
          <w:cols w:equalWidth="0" w:num="1">
            <w:col w:w="9019"/>
          </w:cols>
          <w:pgMar w:left="1440" w:top="806" w:right="1440" w:bottom="1440" w:gutter="0" w:footer="0" w:header="0"/>
          <w:type w:val="continuous"/>
        </w:sectPr>
      </w:pPr>
    </w:p>
    <w:bookmarkStart w:id="50" w:name="page51"/>
    <w:bookmarkEnd w:id="50"/>
    <w:p>
      <w:pPr>
        <w:ind w:left="2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201535" cy="32385"/>
                    </a:xfrm>
                    <a:prstGeom prst="rect">
                      <a:avLst/>
                    </a:prstGeom>
                    <a:noFill/>
                  </pic:spPr>
                </pic:pic>
              </a:graphicData>
            </a:graphic>
          </wp:anchor>
        </w:drawing>
        <w:drawing>
          <wp:anchor simplePos="0" relativeHeight="251657728" behindDoc="1" locked="0" layoutInCell="0" allowOverlap="1">
            <wp:simplePos x="0" y="0"/>
            <wp:positionH relativeFrom="page">
              <wp:posOffset>1058545</wp:posOffset>
            </wp:positionH>
            <wp:positionV relativeFrom="page">
              <wp:posOffset>161925</wp:posOffset>
            </wp:positionV>
            <wp:extent cx="1318260" cy="2393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318260" cy="239395"/>
                    </a:xfrm>
                    <a:prstGeom prst="rect">
                      <a:avLst/>
                    </a:prstGeom>
                    <a:noFill/>
                  </pic:spPr>
                </pic:pic>
              </a:graphicData>
            </a:graphic>
          </wp:anchor>
        </w:drawing>
        <w:t>Schlumberger Investment S.A.</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SLB N.V. (SLB Limited)</w:t>
      </w:r>
    </w:p>
    <w:p>
      <w:pPr>
        <w:spacing w:after="0" w:line="20" w:lineRule="exact"/>
        <w:rPr>
          <w:sz w:val="20"/>
          <w:szCs w:val="20"/>
          <w:color w:val="auto"/>
        </w:rPr>
      </w:pPr>
      <w:r>
        <w:rPr>
          <w:sz w:val="20"/>
          <w:szCs w:val="20"/>
          <w:color w:val="auto"/>
        </w:rPr>
        <w:br w:type="column"/>
      </w:r>
    </w:p>
    <w:p>
      <w:pPr>
        <w:jc w:val="right"/>
        <w:ind w:right="239"/>
        <w:spacing w:after="0"/>
        <w:rPr>
          <w:sz w:val="20"/>
          <w:szCs w:val="20"/>
          <w:color w:val="auto"/>
        </w:rPr>
      </w:pPr>
      <w:r>
        <w:rPr>
          <w:rFonts w:ascii="Arial" w:cs="Arial" w:eastAsia="Arial" w:hAnsi="Arial"/>
          <w:sz w:val="13"/>
          <w:szCs w:val="13"/>
          <w:color w:val="auto"/>
        </w:rPr>
        <w:t>April 30, 2026</w:t>
      </w:r>
    </w:p>
    <w:p>
      <w:pPr>
        <w:spacing w:after="0" w:line="22" w:lineRule="exact"/>
        <w:rPr>
          <w:sz w:val="20"/>
          <w:szCs w:val="20"/>
          <w:color w:val="auto"/>
        </w:rPr>
      </w:pPr>
    </w:p>
    <w:p>
      <w:pPr>
        <w:jc w:val="right"/>
        <w:ind w:right="239"/>
        <w:spacing w:after="0"/>
        <w:rPr>
          <w:sz w:val="20"/>
          <w:szCs w:val="20"/>
          <w:color w:val="auto"/>
        </w:rPr>
      </w:pPr>
      <w:r>
        <w:rPr>
          <w:rFonts w:ascii="Arial" w:cs="Arial" w:eastAsia="Arial" w:hAnsi="Arial"/>
          <w:sz w:val="14"/>
          <w:szCs w:val="14"/>
          <w:color w:val="auto"/>
        </w:rPr>
        <w:t>Page 4</w:t>
      </w:r>
    </w:p>
    <w:p>
      <w:pPr>
        <w:spacing w:after="0" w:line="108" w:lineRule="exact"/>
        <w:rPr>
          <w:sz w:val="20"/>
          <w:szCs w:val="20"/>
          <w:color w:val="auto"/>
        </w:rPr>
      </w:pPr>
    </w:p>
    <w:p>
      <w:pPr>
        <w:sectPr>
          <w:pgSz w:w="11900" w:h="16838" w:orient="portrait"/>
          <w:cols w:equalWidth="0" w:num="2">
            <w:col w:w="7200" w:space="720"/>
            <w:col w:w="1099"/>
          </w:cols>
          <w:pgMar w:left="1440" w:top="806" w:right="1440" w:bottom="1440" w:gutter="0" w:footer="0" w:header="0"/>
        </w:sectPr>
      </w:pPr>
    </w:p>
    <w:p>
      <w:pPr>
        <w:ind w:left="220" w:right="299"/>
        <w:spacing w:after="0" w:line="258" w:lineRule="auto"/>
        <w:rPr>
          <w:sz w:val="20"/>
          <w:szCs w:val="20"/>
          <w:color w:val="auto"/>
        </w:rPr>
      </w:pPr>
      <w:r>
        <w:rPr>
          <w:rFonts w:ascii="Arial" w:cs="Arial" w:eastAsia="Arial" w:hAnsi="Arial"/>
          <w:sz w:val="13"/>
          <w:szCs w:val="13"/>
          <w:color w:val="auto"/>
        </w:rPr>
        <w:t>not describe the right or duty purportedly waived with reasonable specificity; (iv) provisions relating to indemnification, exculpation or contribution, to the extent such provisions may be held unenforceable as contrary to public policy or federal or state securities laws or due to the negligence or willful misconduct of the indemnified party; (v) any purported fraudulent transfer “savings” clause; (vi) any provision in any Documents waiving the right to object to venue in any court; (vii) any agreement to submit to the jurisdiction of any Federal court;</w:t>
      </w:r>
    </w:p>
    <w:p>
      <w:pPr>
        <w:ind w:left="220" w:right="359" w:firstLine="7"/>
        <w:spacing w:after="0" w:line="248" w:lineRule="auto"/>
        <w:tabs>
          <w:tab w:leader="none" w:pos="515" w:val="left"/>
        </w:tabs>
        <w:numPr>
          <w:ilvl w:val="0"/>
          <w:numId w:val="43"/>
        </w:numPr>
        <w:rPr>
          <w:rFonts w:ascii="Arial" w:cs="Arial" w:eastAsia="Arial" w:hAnsi="Arial"/>
          <w:sz w:val="14"/>
          <w:szCs w:val="14"/>
          <w:color w:val="auto"/>
        </w:rPr>
      </w:pPr>
      <w:r>
        <w:rPr>
          <w:rFonts w:ascii="Arial" w:cs="Arial" w:eastAsia="Arial" w:hAnsi="Arial"/>
          <w:sz w:val="14"/>
          <w:szCs w:val="14"/>
          <w:color w:val="auto"/>
        </w:rPr>
        <w:t>any waiver of the right to jury trial; or (ix) any provision to the effect that every right or remedy is cumulative and may be exercised in addition to any other right or remedy or that the election of some particular remedy does not preclude recourse to one or more others.</w:t>
      </w:r>
    </w:p>
    <w:p>
      <w:pPr>
        <w:spacing w:after="0" w:line="136" w:lineRule="exact"/>
        <w:rPr>
          <w:sz w:val="20"/>
          <w:szCs w:val="20"/>
          <w:color w:val="auto"/>
        </w:rPr>
      </w:pPr>
    </w:p>
    <w:p>
      <w:pPr>
        <w:ind w:left="220" w:right="299"/>
        <w:spacing w:after="0" w:line="243" w:lineRule="auto"/>
        <w:rPr>
          <w:sz w:val="20"/>
          <w:szCs w:val="20"/>
          <w:color w:val="auto"/>
        </w:rPr>
      </w:pPr>
      <w:r>
        <w:rPr>
          <w:rFonts w:ascii="Arial" w:cs="Arial" w:eastAsia="Arial" w:hAnsi="Arial"/>
          <w:sz w:val="14"/>
          <w:szCs w:val="14"/>
          <w:color w:val="auto"/>
        </w:rPr>
        <w:t>You have informed us that you intend to issue Securities from time to time on a delayed or continuous basis, and we understand that prior to issuing any Securities pursuant to the Registration Statement (i) you will advise us in writing of the terms thereof, and (ii) you will afford us an opportunity to (x) review the operative documents pursuant to which such Securities are to be issued or sold (including the applicable offering documents), and (y) file such supplement or amendment to this opinion (if any) as we may reasonably consider necessary or appropriate.</w:t>
      </w:r>
    </w:p>
    <w:p>
      <w:pPr>
        <w:spacing w:after="0" w:line="139" w:lineRule="exact"/>
        <w:rPr>
          <w:sz w:val="20"/>
          <w:szCs w:val="20"/>
          <w:color w:val="auto"/>
        </w:rPr>
      </w:pPr>
    </w:p>
    <w:p>
      <w:pPr>
        <w:ind w:left="220" w:right="279"/>
        <w:spacing w:after="0" w:line="246" w:lineRule="auto"/>
        <w:rPr>
          <w:sz w:val="20"/>
          <w:szCs w:val="20"/>
          <w:color w:val="auto"/>
        </w:rPr>
      </w:pPr>
      <w:r>
        <w:rPr>
          <w:rFonts w:ascii="Arial" w:cs="Arial" w:eastAsia="Arial" w:hAnsi="Arial"/>
          <w:sz w:val="14"/>
          <w:szCs w:val="14"/>
          <w:color w:val="auto"/>
        </w:rPr>
        <w:t>We consent to the filing of this opinion as an exhibit to the Registration Statement, and we further consent to the use of our name under the caption “Validity of the Securities” in the Registration Statement and the prospectus that forms a part thereof. In giving these consents, we do not thereby admit that we are within the category of persons whose consent is required under Section 7 of the Securities Act or the rules and regulations of the Commission promulgated thereunder.</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Very truly yours,</w:t>
      </w:r>
    </w:p>
    <w:p>
      <w:pPr>
        <w:spacing w:after="0" w:line="16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 Gibson, Dunn &amp; Crutcher LLP</w:t>
      </w:r>
    </w:p>
    <w:p>
      <w:pPr>
        <w:sectPr>
          <w:pgSz w:w="11900" w:h="16838" w:orient="portrait"/>
          <w:cols w:equalWidth="0" w:num="1">
            <w:col w:w="9019"/>
          </w:cols>
          <w:pgMar w:left="1440" w:top="806" w:right="1440" w:bottom="1440" w:gutter="0" w:footer="0" w:header="0"/>
          <w:type w:val="continuous"/>
        </w:sectPr>
      </w:pPr>
    </w:p>
    <w:bookmarkStart w:id="51" w:name="page52"/>
    <w:bookmarkEnd w:id="51"/>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Exhibit 5.2</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SLB N.V.</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(SLB Limited)</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5599 San Felipe, 17th Floor</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Houston, Texas 77056</w:t>
      </w:r>
    </w:p>
    <w:p>
      <w:pPr>
        <w:spacing w:after="0" w:line="160"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color w:val="auto"/>
        </w:rPr>
        <w:t>30 April 2026</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We have acted as legal counsel to SLB N.V. (also referred to as SLB Limited), a limited liability company organized under the laws of Curaçao (the</w:t>
      </w:r>
    </w:p>
    <w:p>
      <w:pPr>
        <w:spacing w:after="0" w:line="22" w:lineRule="exact"/>
        <w:rPr>
          <w:sz w:val="20"/>
          <w:szCs w:val="20"/>
          <w:color w:val="auto"/>
        </w:rPr>
      </w:pPr>
    </w:p>
    <w:p>
      <w:pPr>
        <w:ind w:left="220" w:right="279"/>
        <w:spacing w:after="0" w:line="25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in connection with the preparation of the filing by the Company and Schlumberger Investment S.A., a public company limited by shares (</w:t>
      </w:r>
      <w:r>
        <w:rPr>
          <w:rFonts w:ascii="Times New Roman" w:cs="Times New Roman" w:eastAsia="Times New Roman" w:hAnsi="Times New Roman"/>
          <w:sz w:val="14"/>
          <w:szCs w:val="14"/>
          <w:i w:val="1"/>
          <w:iCs w:val="1"/>
          <w:color w:val="auto"/>
        </w:rPr>
        <w:t>société anonyme</w:t>
      </w:r>
      <w:r>
        <w:rPr>
          <w:rFonts w:ascii="Times New Roman" w:cs="Times New Roman" w:eastAsia="Times New Roman" w:hAnsi="Times New Roman"/>
          <w:sz w:val="14"/>
          <w:szCs w:val="14"/>
          <w:color w:val="auto"/>
        </w:rPr>
        <w:t>) organized under the laws of the Grand Duchy of Luxembourg (“</w:t>
      </w:r>
      <w:r>
        <w:rPr>
          <w:rFonts w:ascii="Times New Roman" w:cs="Times New Roman" w:eastAsia="Times New Roman" w:hAnsi="Times New Roman"/>
          <w:sz w:val="14"/>
          <w:szCs w:val="14"/>
          <w:b w:val="1"/>
          <w:bCs w:val="1"/>
          <w:color w:val="auto"/>
        </w:rPr>
        <w:t>SISA</w:t>
      </w:r>
      <w:r>
        <w:rPr>
          <w:rFonts w:ascii="Times New Roman" w:cs="Times New Roman" w:eastAsia="Times New Roman" w:hAnsi="Times New Roman"/>
          <w:sz w:val="14"/>
          <w:szCs w:val="14"/>
          <w:color w:val="auto"/>
        </w:rPr>
        <w:t>”), of a Registration Statement on Form S-3 (the “</w:t>
      </w:r>
      <w:r>
        <w:rPr>
          <w:rFonts w:ascii="Times New Roman" w:cs="Times New Roman" w:eastAsia="Times New Roman" w:hAnsi="Times New Roman"/>
          <w:sz w:val="14"/>
          <w:szCs w:val="14"/>
          <w:b w:val="1"/>
          <w:bCs w:val="1"/>
          <w:color w:val="auto"/>
        </w:rPr>
        <w:t>Registration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Statement</w:t>
      </w:r>
      <w:r>
        <w:rPr>
          <w:rFonts w:ascii="Times New Roman" w:cs="Times New Roman" w:eastAsia="Times New Roman" w:hAnsi="Times New Roman"/>
          <w:sz w:val="14"/>
          <w:szCs w:val="14"/>
          <w:color w:val="auto"/>
        </w:rPr>
        <w:t>”), with the Securities and Exchange Commission (the “</w:t>
      </w:r>
      <w:r>
        <w:rPr>
          <w:rFonts w:ascii="Times New Roman" w:cs="Times New Roman" w:eastAsia="Times New Roman" w:hAnsi="Times New Roman"/>
          <w:sz w:val="14"/>
          <w:szCs w:val="14"/>
          <w:b w:val="1"/>
          <w:bCs w:val="1"/>
          <w:color w:val="auto"/>
        </w:rPr>
        <w:t>Commission</w:t>
      </w:r>
      <w:r>
        <w:rPr>
          <w:rFonts w:ascii="Times New Roman" w:cs="Times New Roman" w:eastAsia="Times New Roman" w:hAnsi="Times New Roman"/>
          <w:sz w:val="14"/>
          <w:szCs w:val="14"/>
          <w:color w:val="auto"/>
        </w:rPr>
        <w:t>”) under the Securities Act of 1933, as amended (the “</w:t>
      </w:r>
      <w:r>
        <w:rPr>
          <w:rFonts w:ascii="Times New Roman" w:cs="Times New Roman" w:eastAsia="Times New Roman" w:hAnsi="Times New Roman"/>
          <w:sz w:val="14"/>
          <w:szCs w:val="14"/>
          <w:b w:val="1"/>
          <w:bCs w:val="1"/>
          <w:color w:val="auto"/>
        </w:rPr>
        <w:t>Act</w:t>
      </w:r>
      <w:r>
        <w:rPr>
          <w:rFonts w:ascii="Times New Roman" w:cs="Times New Roman" w:eastAsia="Times New Roman" w:hAnsi="Times New Roman"/>
          <w:sz w:val="14"/>
          <w:szCs w:val="14"/>
          <w:color w:val="auto"/>
        </w:rPr>
        <w:t>”), relating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registration under the Act of (i) senior unsecured debt securities of SISA (“</w:t>
      </w:r>
      <w:r>
        <w:rPr>
          <w:rFonts w:ascii="Times New Roman" w:cs="Times New Roman" w:eastAsia="Times New Roman" w:hAnsi="Times New Roman"/>
          <w:sz w:val="14"/>
          <w:szCs w:val="14"/>
          <w:b w:val="1"/>
          <w:bCs w:val="1"/>
          <w:color w:val="auto"/>
        </w:rPr>
        <w:t>Debt Securities</w:t>
      </w:r>
      <w:r>
        <w:rPr>
          <w:rFonts w:ascii="Times New Roman" w:cs="Times New Roman" w:eastAsia="Times New Roman" w:hAnsi="Times New Roman"/>
          <w:sz w:val="14"/>
          <w:szCs w:val="14"/>
          <w:color w:val="auto"/>
        </w:rPr>
        <w:t>”) and (ii) guarantees of the Debt Securities by the Company (the “</w:t>
      </w:r>
      <w:r>
        <w:rPr>
          <w:rFonts w:ascii="Times New Roman" w:cs="Times New Roman" w:eastAsia="Times New Roman" w:hAnsi="Times New Roman"/>
          <w:sz w:val="14"/>
          <w:szCs w:val="14"/>
          <w:b w:val="1"/>
          <w:bCs w:val="1"/>
          <w:color w:val="auto"/>
        </w:rPr>
        <w:t>Guarantees</w:t>
      </w:r>
      <w:r>
        <w:rPr>
          <w:rFonts w:ascii="Times New Roman" w:cs="Times New Roman" w:eastAsia="Times New Roman" w:hAnsi="Times New Roman"/>
          <w:sz w:val="14"/>
          <w:szCs w:val="14"/>
          <w:color w:val="auto"/>
        </w:rPr>
        <w:t>,” and, together with the Debt Securities, the “</w:t>
      </w:r>
      <w:r>
        <w:rPr>
          <w:rFonts w:ascii="Times New Roman" w:cs="Times New Roman" w:eastAsia="Times New Roman" w:hAnsi="Times New Roman"/>
          <w:sz w:val="14"/>
          <w:szCs w:val="14"/>
          <w:b w:val="1"/>
          <w:bCs w:val="1"/>
          <w:color w:val="auto"/>
        </w:rPr>
        <w:t>Securities</w:t>
      </w:r>
      <w:r>
        <w:rPr>
          <w:rFonts w:ascii="Times New Roman" w:cs="Times New Roman" w:eastAsia="Times New Roman" w:hAnsi="Times New Roman"/>
          <w:sz w:val="14"/>
          <w:szCs w:val="14"/>
          <w:color w:val="auto"/>
        </w:rPr>
        <w:t>”), that may be issued and sold from time to time pursuant to Rule 415 under the Act, as amended, certain legal matters in connection with the Securities are being passed upon for you by us. At your request, this opinion is being furnished to you for filing as Exhibit 5.2 to the Registration Statement.</w:t>
      </w:r>
    </w:p>
    <w:p>
      <w:pPr>
        <w:spacing w:after="0" w:line="1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This opinion is limited to matters governed by the laws of Curaçao.</w:t>
      </w:r>
    </w:p>
    <w:p>
      <w:pPr>
        <w:spacing w:after="0" w:line="174" w:lineRule="exact"/>
        <w:rPr>
          <w:sz w:val="20"/>
          <w:szCs w:val="20"/>
          <w:color w:val="auto"/>
        </w:rPr>
      </w:pPr>
    </w:p>
    <w:p>
      <w:pPr>
        <w:ind w:left="220" w:right="319"/>
        <w:spacing w:after="0" w:line="256" w:lineRule="auto"/>
        <w:rPr>
          <w:sz w:val="20"/>
          <w:szCs w:val="20"/>
          <w:color w:val="auto"/>
        </w:rPr>
      </w:pPr>
      <w:r>
        <w:rPr>
          <w:rFonts w:ascii="Times New Roman" w:cs="Times New Roman" w:eastAsia="Times New Roman" w:hAnsi="Times New Roman"/>
          <w:sz w:val="14"/>
          <w:szCs w:val="14"/>
          <w:color w:val="auto"/>
        </w:rPr>
        <w:t>We have reviewed each of the Articles of Incorporation, the Amended and Restated Bylaws of the Company, each as amended to date and a draft of the Registration Statement; have familiarized ourselves with the matters discussed in the Registration Statement; and have examined all statutes and other records, instruments and corporate documents pertaining to the Company and the matters discussed in the Registration Statement that we deem necessary to examine for the purpose of this opinion. We have assumed that all signatures on all documents examined by us are genuine, that all documents submitted to us as originals are accurate and complete, that all documents submitted to us as copies are true and correct copies of the originals thereof and that all information submitted to us was accurate and complete.</w:t>
      </w:r>
    </w:p>
    <w:p>
      <w:pPr>
        <w:spacing w:after="0" w:line="1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Based upon our examination as aforesaid, we are of the opinion that:</w:t>
      </w:r>
    </w:p>
    <w:p>
      <w:pPr>
        <w:spacing w:after="0" w:line="101" w:lineRule="exact"/>
        <w:rPr>
          <w:sz w:val="20"/>
          <w:szCs w:val="20"/>
          <w:color w:val="auto"/>
        </w:rPr>
      </w:pPr>
    </w:p>
    <w:p>
      <w:pPr>
        <w:ind w:left="640" w:right="279" w:hanging="413"/>
        <w:spacing w:after="0" w:line="282" w:lineRule="auto"/>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been duly incorporated under the laws of the former Netherlands Antilles and is currently validly existing as a limited liability company (</w:t>
      </w:r>
      <w:r>
        <w:rPr>
          <w:rFonts w:ascii="Times New Roman" w:cs="Times New Roman" w:eastAsia="Times New Roman" w:hAnsi="Times New Roman"/>
          <w:sz w:val="14"/>
          <w:szCs w:val="14"/>
          <w:i w:val="1"/>
          <w:iCs w:val="1"/>
          <w:color w:val="auto"/>
        </w:rPr>
        <w:t>naamloze vennootschap</w:t>
      </w:r>
      <w:r>
        <w:rPr>
          <w:rFonts w:ascii="Times New Roman" w:cs="Times New Roman" w:eastAsia="Times New Roman" w:hAnsi="Times New Roman"/>
          <w:sz w:val="14"/>
          <w:szCs w:val="14"/>
          <w:color w:val="auto"/>
        </w:rPr>
        <w:t>) under the laws of Curaçao.</w:t>
      </w:r>
    </w:p>
    <w:p>
      <w:pPr>
        <w:spacing w:after="0" w:line="51" w:lineRule="exact"/>
        <w:rPr>
          <w:rFonts w:ascii="Times New Roman" w:cs="Times New Roman" w:eastAsia="Times New Roman" w:hAnsi="Times New Roman"/>
          <w:sz w:val="14"/>
          <w:szCs w:val="14"/>
          <w:color w:val="auto"/>
        </w:rPr>
      </w:pPr>
    </w:p>
    <w:p>
      <w:pPr>
        <w:ind w:left="640" w:right="359" w:hanging="413"/>
        <w:spacing w:after="0" w:line="266" w:lineRule="auto"/>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Guarantees, if and when the issue and the amount of any such guarantees of Debt Securities by the Company have been duly authorized by the Board of Directors of the Company, or, to the extent lawfully delegated, by a committee thereof or by officers authorized by the Board of Directors or such committee, will, if and when issued by the Company, be duly authorized.</w:t>
      </w:r>
    </w:p>
    <w:p>
      <w:pPr>
        <w:spacing w:after="0" w:line="136" w:lineRule="exact"/>
        <w:rPr>
          <w:sz w:val="20"/>
          <w:szCs w:val="20"/>
          <w:color w:val="auto"/>
        </w:rPr>
      </w:pPr>
    </w:p>
    <w:p>
      <w:pPr>
        <w:ind w:left="220" w:right="479"/>
        <w:spacing w:after="0" w:line="282" w:lineRule="auto"/>
        <w:rPr>
          <w:sz w:val="20"/>
          <w:szCs w:val="20"/>
          <w:color w:val="auto"/>
        </w:rPr>
      </w:pPr>
      <w:r>
        <w:rPr>
          <w:rFonts w:ascii="Times New Roman" w:cs="Times New Roman" w:eastAsia="Times New Roman" w:hAnsi="Times New Roman"/>
          <w:sz w:val="14"/>
          <w:szCs w:val="14"/>
          <w:color w:val="auto"/>
        </w:rPr>
        <w:t>We hereby consent to the filing of this opinion as Exhibit 5.2 to the Registration Statement. In giving this consent, we do not admit that we are in the category of persons whose consent is required under Section 7 of the Act or the rules and regulations of the Commission thereunder.</w:t>
      </w:r>
    </w:p>
    <w:p>
      <w:pPr>
        <w:spacing w:after="0" w:line="125" w:lineRule="exact"/>
        <w:rPr>
          <w:sz w:val="20"/>
          <w:szCs w:val="20"/>
          <w:color w:val="auto"/>
        </w:rPr>
      </w:pPr>
    </w:p>
    <w:p>
      <w:pPr>
        <w:ind w:left="220" w:right="739"/>
        <w:spacing w:after="0" w:line="282" w:lineRule="auto"/>
        <w:rPr>
          <w:sz w:val="20"/>
          <w:szCs w:val="20"/>
          <w:color w:val="auto"/>
        </w:rPr>
      </w:pPr>
      <w:r>
        <w:rPr>
          <w:rFonts w:ascii="Times New Roman" w:cs="Times New Roman" w:eastAsia="Times New Roman" w:hAnsi="Times New Roman"/>
          <w:sz w:val="14"/>
          <w:szCs w:val="14"/>
          <w:color w:val="auto"/>
        </w:rPr>
        <w:t>We understand that Gibson, Dunn &amp; Crutcher L.L.P. intends to rely upon this opinion for purposes of the opinion such firm expects to deliver in connection with the Registration Statement, and we hereby consent to such reliance as though this opinion were addressed to such firm.</w:t>
      </w:r>
    </w:p>
    <w:p>
      <w:pPr>
        <w:sectPr>
          <w:pgSz w:w="11900" w:h="16838" w:orient="portrait"/>
          <w:cols w:equalWidth="0" w:num="1">
            <w:col w:w="9019"/>
          </w:cols>
          <w:pgMar w:left="1440" w:top="123" w:right="1440" w:bottom="1440" w:gutter="0" w:footer="0" w:header="0"/>
        </w:sectPr>
      </w:pPr>
    </w:p>
    <w:bookmarkStart w:id="52" w:name="page53"/>
    <w:bookmarkEnd w:id="52"/>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Sincerely yours,</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 STvB Advocaten (Europe) N.V.</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- 2 -</w:t>
      </w:r>
    </w:p>
    <w:p>
      <w:pPr>
        <w:sectPr>
          <w:pgSz w:w="11900" w:h="16838" w:orient="portrait"/>
          <w:cols w:equalWidth="0" w:num="1">
            <w:col w:w="9019"/>
          </w:cols>
          <w:pgMar w:left="1440" w:top="240" w:right="1440" w:bottom="1440" w:gutter="0" w:footer="0" w:header="0"/>
        </w:sectPr>
      </w:pPr>
    </w:p>
    <w:bookmarkStart w:id="53" w:name="page54"/>
    <w:bookmarkEnd w:id="53"/>
    <w:p>
      <w:pPr>
        <w:jc w:val="right"/>
        <w:ind w:right="239"/>
        <w:spacing w:after="0"/>
        <w:rPr>
          <w:sz w:val="20"/>
          <w:szCs w:val="20"/>
          <w:color w:val="auto"/>
        </w:rPr>
      </w:pPr>
      <w:r>
        <w:rPr>
          <w:rFonts w:ascii="Arial" w:cs="Arial" w:eastAsia="Arial" w:hAnsi="Arial"/>
          <w:sz w:val="14"/>
          <w:szCs w:val="14"/>
          <w:b w:val="1"/>
          <w:bCs w:val="1"/>
          <w:color w:val="auto"/>
        </w:rPr>
        <w:t>Exhibit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126365</wp:posOffset>
            </wp:positionV>
            <wp:extent cx="1231265" cy="3327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1231265" cy="332740"/>
                    </a:xfrm>
                    <a:prstGeom prst="rect">
                      <a:avLst/>
                    </a:prstGeom>
                    <a:noFill/>
                  </pic:spPr>
                </pic:pic>
              </a:graphicData>
            </a:graphic>
          </wp:anchor>
        </w:drawing>
      </w:r>
    </w:p>
    <w:p>
      <w:pPr>
        <w:spacing w:after="0" w:line="342" w:lineRule="exact"/>
        <w:rPr>
          <w:sz w:val="20"/>
          <w:szCs w:val="20"/>
          <w:color w:val="auto"/>
        </w:rPr>
      </w:pPr>
    </w:p>
    <w:p>
      <w:pPr>
        <w:ind w:left="5440"/>
        <w:spacing w:after="0"/>
        <w:rPr>
          <w:sz w:val="20"/>
          <w:szCs w:val="20"/>
          <w:color w:val="auto"/>
        </w:rPr>
      </w:pPr>
      <w:r>
        <w:rPr>
          <w:rFonts w:ascii="Arial" w:cs="Arial" w:eastAsia="Arial" w:hAnsi="Arial"/>
          <w:sz w:val="12"/>
          <w:szCs w:val="12"/>
          <w:color w:val="auto"/>
        </w:rPr>
        <w:t xml:space="preserve">OFFICE ADDRESS  </w:t>
      </w:r>
      <w:r>
        <w:rPr>
          <w:rFonts w:ascii="Arial" w:cs="Arial" w:eastAsia="Arial" w:hAnsi="Arial"/>
          <w:sz w:val="13"/>
          <w:szCs w:val="13"/>
          <w:color w:val="auto"/>
        </w:rPr>
        <w:t>18-20, rue Edward Steichen</w:t>
      </w:r>
    </w:p>
    <w:p>
      <w:pPr>
        <w:spacing w:after="0" w:line="22" w:lineRule="exact"/>
        <w:rPr>
          <w:sz w:val="20"/>
          <w:szCs w:val="20"/>
          <w:color w:val="auto"/>
        </w:rPr>
      </w:pPr>
    </w:p>
    <w:p>
      <w:pPr>
        <w:ind w:left="6560"/>
        <w:spacing w:after="0"/>
        <w:rPr>
          <w:sz w:val="20"/>
          <w:szCs w:val="20"/>
          <w:color w:val="auto"/>
        </w:rPr>
      </w:pPr>
      <w:r>
        <w:rPr>
          <w:rFonts w:ascii="Arial" w:cs="Arial" w:eastAsia="Arial" w:hAnsi="Arial"/>
          <w:sz w:val="14"/>
          <w:szCs w:val="14"/>
          <w:color w:val="auto"/>
        </w:rPr>
        <w:t>L-2540 LUXEMBOURG</w:t>
      </w:r>
    </w:p>
    <w:p>
      <w:pPr>
        <w:spacing w:after="0" w:line="14" w:lineRule="exact"/>
        <w:rPr>
          <w:sz w:val="20"/>
          <w:szCs w:val="20"/>
          <w:color w:val="auto"/>
        </w:rPr>
      </w:pPr>
    </w:p>
    <w:p>
      <w:pPr>
        <w:jc w:val="right"/>
        <w:ind w:right="1599"/>
        <w:spacing w:after="0"/>
        <w:rPr>
          <w:sz w:val="20"/>
          <w:szCs w:val="20"/>
          <w:color w:val="auto"/>
        </w:rPr>
      </w:pPr>
      <w:r>
        <w:rPr>
          <w:rFonts w:ascii="Arial" w:cs="Arial" w:eastAsia="Arial" w:hAnsi="Arial"/>
          <w:sz w:val="12"/>
          <w:szCs w:val="12"/>
          <w:color w:val="auto"/>
        </w:rPr>
        <w:t xml:space="preserve">TELEPHONE  </w:t>
      </w:r>
      <w:r>
        <w:rPr>
          <w:rFonts w:ascii="Arial" w:cs="Arial" w:eastAsia="Arial" w:hAnsi="Arial"/>
          <w:sz w:val="13"/>
          <w:szCs w:val="13"/>
          <w:color w:val="auto"/>
        </w:rPr>
        <w:t>+352 466 230</w:t>
      </w:r>
    </w:p>
    <w:p>
      <w:pPr>
        <w:spacing w:after="0" w:line="32" w:lineRule="exact"/>
        <w:rPr>
          <w:sz w:val="20"/>
          <w:szCs w:val="20"/>
          <w:color w:val="auto"/>
        </w:rPr>
      </w:pPr>
    </w:p>
    <w:p>
      <w:pPr>
        <w:jc w:val="right"/>
        <w:ind w:right="1599"/>
        <w:spacing w:after="0"/>
        <w:rPr>
          <w:sz w:val="20"/>
          <w:szCs w:val="20"/>
          <w:color w:val="auto"/>
        </w:rPr>
      </w:pPr>
      <w:r>
        <w:rPr>
          <w:rFonts w:ascii="Arial" w:cs="Arial" w:eastAsia="Arial" w:hAnsi="Arial"/>
          <w:sz w:val="12"/>
          <w:szCs w:val="12"/>
          <w:color w:val="auto"/>
        </w:rPr>
        <w:t xml:space="preserve">FAX  </w:t>
      </w:r>
      <w:r>
        <w:rPr>
          <w:rFonts w:ascii="Arial" w:cs="Arial" w:eastAsia="Arial" w:hAnsi="Arial"/>
          <w:sz w:val="13"/>
          <w:szCs w:val="13"/>
          <w:color w:val="auto"/>
        </w:rPr>
        <w:t>+352 466 234</w:t>
      </w:r>
    </w:p>
    <w:p>
      <w:pPr>
        <w:spacing w:after="0" w:line="18" w:lineRule="exact"/>
        <w:rPr>
          <w:sz w:val="20"/>
          <w:szCs w:val="20"/>
          <w:color w:val="auto"/>
        </w:rPr>
      </w:pPr>
    </w:p>
    <w:p>
      <w:pPr>
        <w:jc w:val="right"/>
        <w:ind w:right="1639"/>
        <w:spacing w:after="0"/>
        <w:rPr>
          <w:sz w:val="20"/>
          <w:szCs w:val="20"/>
          <w:color w:val="auto"/>
        </w:rPr>
      </w:pPr>
      <w:r>
        <w:rPr>
          <w:rFonts w:ascii="Arial" w:cs="Arial" w:eastAsia="Arial" w:hAnsi="Arial"/>
          <w:sz w:val="12"/>
          <w:szCs w:val="12"/>
          <w:color w:val="auto"/>
        </w:rPr>
        <w:t xml:space="preserve">INTERNET  </w:t>
      </w:r>
      <w:r>
        <w:rPr>
          <w:rFonts w:ascii="Arial" w:cs="Arial" w:eastAsia="Arial" w:hAnsi="Arial"/>
          <w:sz w:val="13"/>
          <w:szCs w:val="13"/>
          <w:color w:val="auto"/>
        </w:rPr>
        <w:t>loyensloeff.lu</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To:</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Schlumberger Investment S.A.</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5, Place de la Gare</w:t>
      </w:r>
    </w:p>
    <w:p>
      <w:pPr>
        <w:ind w:left="220"/>
        <w:spacing w:after="0" w:line="234" w:lineRule="auto"/>
        <w:rPr>
          <w:sz w:val="20"/>
          <w:szCs w:val="20"/>
          <w:color w:val="auto"/>
        </w:rPr>
      </w:pPr>
      <w:r>
        <w:rPr>
          <w:rFonts w:ascii="Arial" w:cs="Arial" w:eastAsia="Arial" w:hAnsi="Arial"/>
          <w:sz w:val="14"/>
          <w:szCs w:val="14"/>
          <w:color w:val="auto"/>
        </w:rPr>
        <w:t>L-1616 Luxembourg</w:t>
      </w:r>
    </w:p>
    <w:p>
      <w:pPr>
        <w:ind w:left="220"/>
        <w:spacing w:after="0"/>
        <w:rPr>
          <w:sz w:val="20"/>
          <w:szCs w:val="20"/>
          <w:color w:val="auto"/>
        </w:rPr>
      </w:pPr>
      <w:r>
        <w:rPr>
          <w:rFonts w:ascii="Arial" w:cs="Arial" w:eastAsia="Arial" w:hAnsi="Arial"/>
          <w:sz w:val="14"/>
          <w:szCs w:val="14"/>
          <w:color w:val="auto"/>
        </w:rPr>
        <w:t>Grand Duchy of Luxembourg</w:t>
      </w:r>
    </w:p>
    <w:p>
      <w:pPr>
        <w:spacing w:after="0" w:line="171" w:lineRule="exact"/>
        <w:rPr>
          <w:sz w:val="20"/>
          <w:szCs w:val="20"/>
          <w:color w:val="auto"/>
        </w:rPr>
      </w:pPr>
    </w:p>
    <w:p>
      <w:pPr>
        <w:ind w:left="220"/>
        <w:spacing w:after="0"/>
        <w:tabs>
          <w:tab w:leader="none" w:pos="1240" w:val="left"/>
        </w:tabs>
        <w:rPr>
          <w:sz w:val="20"/>
          <w:szCs w:val="20"/>
          <w:color w:val="auto"/>
        </w:rPr>
      </w:pPr>
      <w:r>
        <w:rPr>
          <w:rFonts w:ascii="Arial" w:cs="Arial" w:eastAsia="Arial" w:hAnsi="Arial"/>
          <w:sz w:val="12"/>
          <w:szCs w:val="12"/>
          <w:color w:val="auto"/>
        </w:rPr>
        <w:t>RE</w:t>
      </w:r>
      <w:r>
        <w:rPr>
          <w:sz w:val="20"/>
          <w:szCs w:val="20"/>
          <w:color w:val="auto"/>
        </w:rPr>
        <w:tab/>
      </w:r>
      <w:r>
        <w:rPr>
          <w:rFonts w:ascii="Arial" w:cs="Arial" w:eastAsia="Arial" w:hAnsi="Arial"/>
          <w:sz w:val="14"/>
          <w:szCs w:val="14"/>
          <w:b w:val="1"/>
          <w:bCs w:val="1"/>
          <w:color w:val="auto"/>
        </w:rPr>
        <w:t>Luxembourg law legal opinion – Schlumberger Investment S.A. – S-3 Registration Statement</w:t>
      </w:r>
    </w:p>
    <w:p>
      <w:pPr>
        <w:spacing w:after="0" w:line="91" w:lineRule="exact"/>
        <w:rPr>
          <w:sz w:val="20"/>
          <w:szCs w:val="20"/>
          <w:color w:val="auto"/>
        </w:rPr>
      </w:pPr>
    </w:p>
    <w:p>
      <w:pPr>
        <w:ind w:left="220"/>
        <w:spacing w:after="0"/>
        <w:tabs>
          <w:tab w:leader="none" w:pos="1240" w:val="left"/>
        </w:tabs>
        <w:rPr>
          <w:sz w:val="20"/>
          <w:szCs w:val="20"/>
          <w:color w:val="auto"/>
        </w:rPr>
      </w:pPr>
      <w:r>
        <w:rPr>
          <w:rFonts w:ascii="Arial" w:cs="Arial" w:eastAsia="Arial" w:hAnsi="Arial"/>
          <w:sz w:val="12"/>
          <w:szCs w:val="12"/>
          <w:color w:val="auto"/>
        </w:rPr>
        <w:t>REFERENCE</w:t>
      </w:r>
      <w:r>
        <w:rPr>
          <w:sz w:val="20"/>
          <w:szCs w:val="20"/>
          <w:color w:val="auto"/>
        </w:rPr>
        <w:tab/>
      </w:r>
      <w:r>
        <w:rPr>
          <w:rFonts w:ascii="Arial" w:cs="Arial" w:eastAsia="Arial" w:hAnsi="Arial"/>
          <w:sz w:val="14"/>
          <w:szCs w:val="14"/>
          <w:color w:val="auto"/>
        </w:rPr>
        <w:t>70135624</w:t>
      </w:r>
    </w:p>
    <w:p>
      <w:pPr>
        <w:spacing w:after="0" w:line="25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Luxembourg, 30 April 2026</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Dear Sir or Madam,</w:t>
      </w:r>
    </w:p>
    <w:p>
      <w:pPr>
        <w:spacing w:after="0" w:line="91" w:lineRule="exact"/>
        <w:rPr>
          <w:sz w:val="20"/>
          <w:szCs w:val="20"/>
          <w:color w:val="auto"/>
        </w:rPr>
      </w:pPr>
    </w:p>
    <w:p>
      <w:pPr>
        <w:ind w:left="640" w:hanging="413"/>
        <w:spacing w:after="0"/>
        <w:tabs>
          <w:tab w:leader="none" w:pos="640" w:val="left"/>
        </w:tabs>
        <w:numPr>
          <w:ilvl w:val="0"/>
          <w:numId w:val="45"/>
        </w:numPr>
        <w:rPr>
          <w:rFonts w:ascii="Arial" w:cs="Arial" w:eastAsia="Arial" w:hAnsi="Arial"/>
          <w:sz w:val="14"/>
          <w:szCs w:val="14"/>
          <w:b w:val="1"/>
          <w:bCs w:val="1"/>
          <w:color w:val="auto"/>
        </w:rPr>
      </w:pPr>
      <w:r>
        <w:rPr>
          <w:rFonts w:ascii="Arial" w:cs="Arial" w:eastAsia="Arial" w:hAnsi="Arial"/>
          <w:sz w:val="14"/>
          <w:szCs w:val="14"/>
          <w:b w:val="1"/>
          <w:bCs w:val="1"/>
          <w:color w:val="auto"/>
        </w:rPr>
        <w:t>INTRODUCTION</w:t>
      </w:r>
    </w:p>
    <w:p>
      <w:pPr>
        <w:spacing w:after="0" w:line="80" w:lineRule="exact"/>
        <w:rPr>
          <w:rFonts w:ascii="Arial" w:cs="Arial" w:eastAsia="Arial" w:hAnsi="Arial"/>
          <w:sz w:val="14"/>
          <w:szCs w:val="14"/>
          <w:b w:val="1"/>
          <w:bCs w:val="1"/>
          <w:color w:val="auto"/>
        </w:rPr>
      </w:pPr>
    </w:p>
    <w:p>
      <w:pPr>
        <w:ind w:left="660" w:right="599"/>
        <w:spacing w:after="0" w:line="269" w:lineRule="auto"/>
        <w:rPr>
          <w:rFonts w:ascii="Arial" w:cs="Arial" w:eastAsia="Arial" w:hAnsi="Arial"/>
          <w:sz w:val="14"/>
          <w:szCs w:val="14"/>
          <w:b w:val="1"/>
          <w:bCs w:val="1"/>
          <w:color w:val="auto"/>
        </w:rPr>
      </w:pPr>
      <w:r>
        <w:rPr>
          <w:rFonts w:ascii="Arial" w:cs="Arial" w:eastAsia="Arial" w:hAnsi="Arial"/>
          <w:sz w:val="14"/>
          <w:szCs w:val="14"/>
          <w:color w:val="auto"/>
        </w:rPr>
        <w:t>We have acted as your special legal counsel on certain matters of Luxembourg law in respect of the Company. We render this opinion letter regarding the filing of a Registration Statement.</w:t>
      </w:r>
    </w:p>
    <w:p>
      <w:pPr>
        <w:spacing w:after="0" w:line="48" w:lineRule="exact"/>
        <w:rPr>
          <w:sz w:val="20"/>
          <w:szCs w:val="20"/>
          <w:color w:val="auto"/>
        </w:rPr>
      </w:pPr>
    </w:p>
    <w:p>
      <w:pPr>
        <w:ind w:left="640" w:hanging="413"/>
        <w:spacing w:after="0"/>
        <w:tabs>
          <w:tab w:leader="none" w:pos="640"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DEFINITIONS</w:t>
      </w:r>
    </w:p>
    <w:p>
      <w:pPr>
        <w:spacing w:after="0" w:line="91" w:lineRule="exact"/>
        <w:rPr>
          <w:sz w:val="20"/>
          <w:szCs w:val="20"/>
          <w:color w:val="auto"/>
        </w:rPr>
      </w:pPr>
    </w:p>
    <w:p>
      <w:pPr>
        <w:ind w:left="220"/>
        <w:spacing w:after="0"/>
        <w:tabs>
          <w:tab w:leader="none" w:pos="62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3"/>
          <w:szCs w:val="13"/>
          <w:color w:val="auto"/>
        </w:rPr>
        <w:t>Capitalised terms used but not (otherwise) defined herein are used as defined in the Schedules to this opinion letter.</w:t>
      </w:r>
    </w:p>
    <w:p>
      <w:pPr>
        <w:spacing w:after="0" w:line="91" w:lineRule="exact"/>
        <w:rPr>
          <w:sz w:val="20"/>
          <w:szCs w:val="20"/>
          <w:color w:val="auto"/>
        </w:rPr>
      </w:pPr>
    </w:p>
    <w:p>
      <w:pPr>
        <w:ind w:left="220"/>
        <w:spacing w:after="0"/>
        <w:tabs>
          <w:tab w:leader="none" w:pos="620" w:val="left"/>
        </w:tabs>
        <w:rPr>
          <w:sz w:val="20"/>
          <w:szCs w:val="20"/>
          <w:color w:val="auto"/>
        </w:rPr>
      </w:pPr>
      <w:r>
        <w:rPr>
          <w:rFonts w:ascii="Arial" w:cs="Arial" w:eastAsia="Arial" w:hAnsi="Arial"/>
          <w:sz w:val="14"/>
          <w:szCs w:val="14"/>
          <w:color w:val="auto"/>
        </w:rPr>
        <w:t>2.2</w:t>
        <w:tab/>
        <w:t>In this opinion letter:</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 xml:space="preserve">Act </w:t>
      </w:r>
      <w:r>
        <w:rPr>
          <w:rFonts w:ascii="Arial" w:cs="Arial" w:eastAsia="Arial" w:hAnsi="Arial"/>
          <w:sz w:val="14"/>
          <w:szCs w:val="14"/>
          <w:color w:val="auto"/>
        </w:rPr>
        <w:t>means the United States Securities Act of 1933.</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 xml:space="preserve">Articles </w:t>
      </w:r>
      <w:r>
        <w:rPr>
          <w:rFonts w:ascii="Arial" w:cs="Arial" w:eastAsia="Arial" w:hAnsi="Arial"/>
          <w:sz w:val="14"/>
          <w:szCs w:val="14"/>
          <w:color w:val="auto"/>
        </w:rPr>
        <w:t>means the consolidated text of the articles of association of the Company dated 2 September 2011.</w:t>
      </w:r>
    </w:p>
    <w:p>
      <w:pPr>
        <w:spacing w:after="0" w:line="80" w:lineRule="exact"/>
        <w:rPr>
          <w:sz w:val="20"/>
          <w:szCs w:val="20"/>
          <w:color w:val="auto"/>
        </w:rPr>
      </w:pPr>
    </w:p>
    <w:p>
      <w:pPr>
        <w:ind w:left="660" w:right="459"/>
        <w:spacing w:after="0" w:line="269" w:lineRule="auto"/>
        <w:rPr>
          <w:sz w:val="20"/>
          <w:szCs w:val="20"/>
          <w:color w:val="auto"/>
        </w:rPr>
      </w:pPr>
      <w:r>
        <w:rPr>
          <w:rFonts w:ascii="Arial" w:cs="Arial" w:eastAsia="Arial" w:hAnsi="Arial"/>
          <w:sz w:val="14"/>
          <w:szCs w:val="14"/>
          <w:b w:val="1"/>
          <w:bCs w:val="1"/>
          <w:color w:val="auto"/>
        </w:rPr>
        <w:t xml:space="preserve">Authorisation </w:t>
      </w:r>
      <w:r>
        <w:rPr>
          <w:rFonts w:ascii="Arial" w:cs="Arial" w:eastAsia="Arial" w:hAnsi="Arial"/>
          <w:sz w:val="14"/>
          <w:szCs w:val="14"/>
          <w:color w:val="auto"/>
        </w:rPr>
        <w:t>means the authorisation of the board of directors of the Company to be passed to cover the issuance of the Debt</w:t>
      </w:r>
      <w:r>
        <w:rPr>
          <w:rFonts w:ascii="Arial" w:cs="Arial" w:eastAsia="Arial" w:hAnsi="Arial"/>
          <w:sz w:val="14"/>
          <w:szCs w:val="14"/>
          <w:b w:val="1"/>
          <w:bCs w:val="1"/>
          <w:color w:val="auto"/>
        </w:rPr>
        <w:t xml:space="preserve"> </w:t>
      </w:r>
      <w:r>
        <w:rPr>
          <w:rFonts w:ascii="Arial" w:cs="Arial" w:eastAsia="Arial" w:hAnsi="Arial"/>
          <w:sz w:val="14"/>
          <w:szCs w:val="14"/>
          <w:color w:val="auto"/>
        </w:rPr>
        <w:t>Securities.</w:t>
      </w:r>
    </w:p>
    <w:p>
      <w:pPr>
        <w:spacing w:after="0" w:line="37" w:lineRule="exact"/>
        <w:rPr>
          <w:sz w:val="20"/>
          <w:szCs w:val="20"/>
          <w:color w:val="auto"/>
        </w:rPr>
      </w:pPr>
    </w:p>
    <w:p>
      <w:pPr>
        <w:ind w:left="660" w:right="1059"/>
        <w:spacing w:after="0" w:line="269" w:lineRule="auto"/>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4"/>
          <w:szCs w:val="14"/>
          <w:color w:val="auto"/>
        </w:rPr>
        <w:t>means Schlumberger Investment S.A., with registered address at 5, Place de la Gare, L-1616 Luxembourg,</w:t>
      </w:r>
      <w:r>
        <w:rPr>
          <w:rFonts w:ascii="Arial" w:cs="Arial" w:eastAsia="Arial" w:hAnsi="Arial"/>
          <w:sz w:val="14"/>
          <w:szCs w:val="14"/>
          <w:b w:val="1"/>
          <w:bCs w:val="1"/>
          <w:color w:val="auto"/>
        </w:rPr>
        <w:t xml:space="preserve"> </w:t>
      </w:r>
      <w:r>
        <w:rPr>
          <w:rFonts w:ascii="Arial" w:cs="Arial" w:eastAsia="Arial" w:hAnsi="Arial"/>
          <w:sz w:val="14"/>
          <w:szCs w:val="14"/>
          <w:color w:val="auto"/>
        </w:rPr>
        <w:t>Luxembourg, and registered with the RCS under number B163122.</w:t>
      </w:r>
    </w:p>
    <w:p>
      <w:pPr>
        <w:spacing w:after="0" w:line="121" w:lineRule="exact"/>
        <w:rPr>
          <w:sz w:val="20"/>
          <w:szCs w:val="20"/>
          <w:color w:val="auto"/>
        </w:rPr>
      </w:pPr>
    </w:p>
    <w:p>
      <w:pPr>
        <w:ind w:left="220" w:right="259"/>
        <w:spacing w:after="0" w:line="243" w:lineRule="auto"/>
        <w:rPr>
          <w:sz w:val="20"/>
          <w:szCs w:val="20"/>
          <w:color w:val="auto"/>
        </w:rPr>
      </w:pPr>
      <w:r>
        <w:rPr>
          <w:rFonts w:ascii="Arial" w:cs="Arial" w:eastAsia="Arial" w:hAnsi="Arial"/>
          <w:sz w:val="14"/>
          <w:szCs w:val="14"/>
          <w:color w:val="auto"/>
        </w:rPr>
        <w:t>All services are provided by LOYENS &amp; LOEFF LUXEMBOURG SARL, a private limited liability company (société à responsabilité limitée) having its registered office at 18-20, rue Edward Steichen, L-2540 Luxembourg, Luxembourg, registered with the Luxembourg Register of Commerce and Companies Luxembourg (Registre de Commerce et des Sociétés, Luxembourg) under number B 174.248. All its services are governed by its General Terms and Conditions, which include a limitation of liability, the applicability of Luxembourg law and the competence of the Luxembourg courts. These General Terms and Conditions may be consulted via loyensloeff.lu.</w:t>
      </w:r>
    </w:p>
    <w:p>
      <w:pPr>
        <w:spacing w:after="0" w:line="139" w:lineRule="exact"/>
        <w:rPr>
          <w:sz w:val="20"/>
          <w:szCs w:val="20"/>
          <w:color w:val="auto"/>
        </w:rPr>
      </w:pPr>
    </w:p>
    <w:p>
      <w:pPr>
        <w:jc w:val="center"/>
        <w:ind w:right="19"/>
        <w:spacing w:after="0"/>
        <w:tabs>
          <w:tab w:leader="none" w:pos="120" w:val="left"/>
          <w:tab w:leader="none" w:pos="120" w:val="left"/>
          <w:tab w:leader="none" w:pos="120" w:val="left"/>
          <w:tab w:leader="none" w:pos="120" w:val="left"/>
          <w:tab w:leader="none" w:pos="120" w:val="left"/>
          <w:tab w:leader="none" w:pos="120" w:val="left"/>
          <w:tab w:leader="none" w:pos="120" w:val="left"/>
          <w:tab w:leader="none" w:pos="120" w:val="left"/>
        </w:tabs>
        <w:rPr>
          <w:sz w:val="20"/>
          <w:szCs w:val="20"/>
          <w:color w:val="auto"/>
        </w:rPr>
      </w:pPr>
      <w:r>
        <w:rPr>
          <w:rFonts w:ascii="Arial" w:cs="Arial" w:eastAsia="Arial" w:hAnsi="Arial"/>
          <w:sz w:val="14"/>
          <w:szCs w:val="14"/>
          <w:color w:val="auto"/>
        </w:rPr>
        <w:t>A</w:t>
      </w:r>
      <w:r>
        <w:rPr>
          <w:rFonts w:ascii="Arial" w:cs="Arial" w:eastAsia="Arial" w:hAnsi="Arial"/>
          <w:sz w:val="11"/>
          <w:szCs w:val="11"/>
          <w:color w:val="auto"/>
        </w:rPr>
        <w:t>MSTERDAM</w:t>
      </w:r>
      <w:r>
        <w:rPr>
          <w:rFonts w:ascii="Arial" w:cs="Arial" w:eastAsia="Arial" w:hAnsi="Arial"/>
          <w:sz w:val="14"/>
          <w:szCs w:val="14"/>
          <w:color w:val="auto"/>
        </w:rPr>
        <w:t>, </w:t>
        <w:tab/>
        <w:t>B</w:t>
      </w:r>
      <w:r>
        <w:rPr>
          <w:rFonts w:ascii="Arial" w:cs="Arial" w:eastAsia="Arial" w:hAnsi="Arial"/>
          <w:sz w:val="11"/>
          <w:szCs w:val="11"/>
          <w:color w:val="auto"/>
        </w:rPr>
        <w:t>RUSSELS</w:t>
      </w:r>
      <w:r>
        <w:rPr>
          <w:rFonts w:ascii="Arial" w:cs="Arial" w:eastAsia="Arial" w:hAnsi="Arial"/>
          <w:sz w:val="14"/>
          <w:szCs w:val="14"/>
          <w:color w:val="auto"/>
        </w:rPr>
        <w:t>, </w:t>
        <w:tab/>
        <w:t>L</w:t>
      </w:r>
      <w:r>
        <w:rPr>
          <w:rFonts w:ascii="Arial" w:cs="Arial" w:eastAsia="Arial" w:hAnsi="Arial"/>
          <w:sz w:val="11"/>
          <w:szCs w:val="11"/>
          <w:color w:val="auto"/>
        </w:rPr>
        <w:t>ONDON</w:t>
      </w:r>
      <w:r>
        <w:rPr>
          <w:rFonts w:ascii="Arial" w:cs="Arial" w:eastAsia="Arial" w:hAnsi="Arial"/>
          <w:sz w:val="14"/>
          <w:szCs w:val="14"/>
          <w:color w:val="auto"/>
        </w:rPr>
        <w:t>, </w:t>
        <w:tab/>
        <w:t>L</w:t>
      </w:r>
      <w:r>
        <w:rPr>
          <w:rFonts w:ascii="Arial" w:cs="Arial" w:eastAsia="Arial" w:hAnsi="Arial"/>
          <w:sz w:val="11"/>
          <w:szCs w:val="11"/>
          <w:color w:val="auto"/>
        </w:rPr>
        <w:t>UXEMBOURG</w:t>
      </w:r>
      <w:r>
        <w:rPr>
          <w:rFonts w:ascii="Arial" w:cs="Arial" w:eastAsia="Arial" w:hAnsi="Arial"/>
          <w:sz w:val="14"/>
          <w:szCs w:val="14"/>
          <w:color w:val="auto"/>
        </w:rPr>
        <w:t>, </w:t>
        <w:tab/>
        <w:t>N</w:t>
      </w:r>
      <w:r>
        <w:rPr>
          <w:rFonts w:ascii="Arial" w:cs="Arial" w:eastAsia="Arial" w:hAnsi="Arial"/>
          <w:sz w:val="11"/>
          <w:szCs w:val="11"/>
          <w:color w:val="auto"/>
        </w:rPr>
        <w:t>EW</w:t>
      </w:r>
      <w:r>
        <w:rPr>
          <w:rFonts w:ascii="Arial" w:cs="Arial" w:eastAsia="Arial" w:hAnsi="Arial"/>
          <w:sz w:val="14"/>
          <w:szCs w:val="14"/>
          <w:color w:val="auto"/>
        </w:rPr>
        <w:t xml:space="preserve"> Y</w:t>
      </w:r>
      <w:r>
        <w:rPr>
          <w:rFonts w:ascii="Arial" w:cs="Arial" w:eastAsia="Arial" w:hAnsi="Arial"/>
          <w:sz w:val="11"/>
          <w:szCs w:val="11"/>
          <w:color w:val="auto"/>
        </w:rPr>
        <w:t>ORK</w:t>
      </w:r>
      <w:r>
        <w:rPr>
          <w:rFonts w:ascii="Arial" w:cs="Arial" w:eastAsia="Arial" w:hAnsi="Arial"/>
          <w:sz w:val="14"/>
          <w:szCs w:val="14"/>
          <w:color w:val="auto"/>
        </w:rPr>
        <w:t>, </w:t>
        <w:tab/>
        <w:t>P</w:t>
      </w:r>
      <w:r>
        <w:rPr>
          <w:rFonts w:ascii="Arial" w:cs="Arial" w:eastAsia="Arial" w:hAnsi="Arial"/>
          <w:sz w:val="11"/>
          <w:szCs w:val="11"/>
          <w:color w:val="auto"/>
        </w:rPr>
        <w:t>ARIS</w:t>
      </w:r>
      <w:r>
        <w:rPr>
          <w:rFonts w:ascii="Arial" w:cs="Arial" w:eastAsia="Arial" w:hAnsi="Arial"/>
          <w:sz w:val="14"/>
          <w:szCs w:val="14"/>
          <w:color w:val="auto"/>
        </w:rPr>
        <w:t>, </w:t>
        <w:tab/>
        <w:t>R</w:t>
      </w:r>
      <w:r>
        <w:rPr>
          <w:rFonts w:ascii="Arial" w:cs="Arial" w:eastAsia="Arial" w:hAnsi="Arial"/>
          <w:sz w:val="11"/>
          <w:szCs w:val="11"/>
          <w:color w:val="auto"/>
        </w:rPr>
        <w:t>OTTERDAM</w:t>
      </w:r>
      <w:r>
        <w:rPr>
          <w:rFonts w:ascii="Arial" w:cs="Arial" w:eastAsia="Arial" w:hAnsi="Arial"/>
          <w:sz w:val="14"/>
          <w:szCs w:val="14"/>
          <w:color w:val="auto"/>
        </w:rPr>
        <w:t>, </w:t>
        <w:tab/>
        <w:t>T</w:t>
      </w:r>
      <w:r>
        <w:rPr>
          <w:rFonts w:ascii="Arial" w:cs="Arial" w:eastAsia="Arial" w:hAnsi="Arial"/>
          <w:sz w:val="11"/>
          <w:szCs w:val="11"/>
          <w:color w:val="auto"/>
        </w:rPr>
        <w:t>OKYO</w:t>
      </w:r>
      <w:r>
        <w:rPr>
          <w:rFonts w:ascii="Arial" w:cs="Arial" w:eastAsia="Arial" w:hAnsi="Arial"/>
          <w:sz w:val="14"/>
          <w:szCs w:val="14"/>
          <w:color w:val="auto"/>
        </w:rPr>
        <w:t>, </w:t>
        <w:tab/>
        <w:t>Z</w:t>
      </w:r>
      <w:r>
        <w:rPr>
          <w:rFonts w:ascii="Arial" w:cs="Arial" w:eastAsia="Arial" w:hAnsi="Arial"/>
          <w:sz w:val="11"/>
          <w:szCs w:val="11"/>
          <w:color w:val="auto"/>
        </w:rPr>
        <w:t>URICH</w:t>
      </w:r>
    </w:p>
    <w:p>
      <w:pPr>
        <w:sectPr>
          <w:pgSz w:w="11900" w:h="16838" w:orient="portrait"/>
          <w:cols w:equalWidth="0" w:num="1">
            <w:col w:w="9019"/>
          </w:cols>
          <w:pgMar w:left="1440" w:top="125" w:right="1440" w:bottom="1440" w:gutter="0" w:footer="0" w:header="0"/>
        </w:sectPr>
      </w:pPr>
    </w:p>
    <w:bookmarkStart w:id="54" w:name="page55"/>
    <w:bookmarkEnd w:id="54"/>
    <w:p>
      <w:pPr>
        <w:ind w:left="6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7201535" cy="32385"/>
                    </a:xfrm>
                    <a:prstGeom prst="rect">
                      <a:avLst/>
                    </a:prstGeom>
                    <a:noFill/>
                  </pic:spPr>
                </pic:pic>
              </a:graphicData>
            </a:graphic>
          </wp:anchor>
        </w:drawing>
        <w:drawing>
          <wp:anchor simplePos="0" relativeHeight="251657728" behindDoc="1" locked="0" layoutInCell="0" allowOverlap="1">
            <wp:simplePos x="0" y="0"/>
            <wp:positionH relativeFrom="page">
              <wp:posOffset>1058545</wp:posOffset>
            </wp:positionH>
            <wp:positionV relativeFrom="page">
              <wp:posOffset>161925</wp:posOffset>
            </wp:positionV>
            <wp:extent cx="1231265" cy="3397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1231265" cy="339725"/>
                    </a:xfrm>
                    <a:prstGeom prst="rect">
                      <a:avLst/>
                    </a:prstGeom>
                    <a:noFill/>
                  </pic:spPr>
                </pic:pic>
              </a:graphicData>
            </a:graphic>
          </wp:anchor>
        </w:drawing>
        <w:t xml:space="preserve">Corporate Documents </w:t>
      </w:r>
      <w:r>
        <w:rPr>
          <w:rFonts w:ascii="Arial" w:cs="Arial" w:eastAsia="Arial" w:hAnsi="Arial"/>
          <w:sz w:val="14"/>
          <w:szCs w:val="14"/>
          <w:color w:val="auto"/>
        </w:rPr>
        <w:t>means the Articles and the Deed of Incorporation.</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 xml:space="preserve">Deed of Incorporation </w:t>
      </w:r>
      <w:r>
        <w:rPr>
          <w:rFonts w:ascii="Arial" w:cs="Arial" w:eastAsia="Arial" w:hAnsi="Arial"/>
          <w:sz w:val="14"/>
          <w:szCs w:val="14"/>
          <w:color w:val="auto"/>
        </w:rPr>
        <w:t>means the deed of incorporation of the Company dated 18 August 2011.</w:t>
      </w:r>
    </w:p>
    <w:p>
      <w:pPr>
        <w:spacing w:after="0" w:line="80" w:lineRule="exact"/>
        <w:rPr>
          <w:sz w:val="20"/>
          <w:szCs w:val="20"/>
          <w:color w:val="auto"/>
        </w:rPr>
      </w:pPr>
    </w:p>
    <w:p>
      <w:pPr>
        <w:ind w:left="660" w:right="619"/>
        <w:spacing w:after="0" w:line="269" w:lineRule="auto"/>
        <w:rPr>
          <w:sz w:val="20"/>
          <w:szCs w:val="20"/>
          <w:color w:val="auto"/>
        </w:rPr>
      </w:pPr>
      <w:r>
        <w:rPr>
          <w:rFonts w:ascii="Arial" w:cs="Arial" w:eastAsia="Arial" w:hAnsi="Arial"/>
          <w:sz w:val="14"/>
          <w:szCs w:val="14"/>
          <w:b w:val="1"/>
          <w:bCs w:val="1"/>
          <w:color w:val="auto"/>
        </w:rPr>
        <w:t xml:space="preserve">Debt Securities </w:t>
      </w:r>
      <w:r>
        <w:rPr>
          <w:rFonts w:ascii="Arial" w:cs="Arial" w:eastAsia="Arial" w:hAnsi="Arial"/>
          <w:sz w:val="14"/>
          <w:szCs w:val="14"/>
          <w:color w:val="auto"/>
        </w:rPr>
        <w:t>means the senior unsecured debt securities to be issued by the Company, guaranteed by the Guarantor and</w:t>
      </w:r>
      <w:r>
        <w:rPr>
          <w:rFonts w:ascii="Arial" w:cs="Arial" w:eastAsia="Arial" w:hAnsi="Arial"/>
          <w:sz w:val="14"/>
          <w:szCs w:val="14"/>
          <w:b w:val="1"/>
          <w:bCs w:val="1"/>
          <w:color w:val="auto"/>
        </w:rPr>
        <w:t xml:space="preserve"> </w:t>
      </w:r>
      <w:r>
        <w:rPr>
          <w:rFonts w:ascii="Arial" w:cs="Arial" w:eastAsia="Arial" w:hAnsi="Arial"/>
          <w:sz w:val="14"/>
          <w:szCs w:val="14"/>
          <w:color w:val="auto"/>
        </w:rPr>
        <w:t>described in detail in the prospectus dated 30 April 2026 which forms part of the Registration Statement.</w:t>
      </w:r>
    </w:p>
    <w:p>
      <w:pPr>
        <w:spacing w:after="0" w:line="3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 xml:space="preserve">Excerpt </w:t>
      </w:r>
      <w:r>
        <w:rPr>
          <w:rFonts w:ascii="Arial" w:cs="Arial" w:eastAsia="Arial" w:hAnsi="Arial"/>
          <w:sz w:val="14"/>
          <w:szCs w:val="14"/>
          <w:color w:val="auto"/>
        </w:rPr>
        <w:t>means an excerpt pertaining to the Company delivered by the RCS dated 28 April 2026.</w:t>
      </w:r>
    </w:p>
    <w:p>
      <w:pPr>
        <w:spacing w:after="0" w:line="80" w:lineRule="exact"/>
        <w:rPr>
          <w:sz w:val="20"/>
          <w:szCs w:val="20"/>
          <w:color w:val="auto"/>
        </w:rPr>
      </w:pPr>
    </w:p>
    <w:p>
      <w:pPr>
        <w:ind w:left="660" w:right="539"/>
        <w:spacing w:after="0" w:line="269" w:lineRule="auto"/>
        <w:rPr>
          <w:sz w:val="20"/>
          <w:szCs w:val="20"/>
          <w:color w:val="auto"/>
        </w:rPr>
      </w:pPr>
      <w:r>
        <w:rPr>
          <w:rFonts w:ascii="Arial" w:cs="Arial" w:eastAsia="Arial" w:hAnsi="Arial"/>
          <w:sz w:val="14"/>
          <w:szCs w:val="14"/>
          <w:b w:val="1"/>
          <w:bCs w:val="1"/>
          <w:color w:val="auto"/>
        </w:rPr>
        <w:t xml:space="preserve">Guarantor </w:t>
      </w:r>
      <w:r>
        <w:rPr>
          <w:rFonts w:ascii="Arial" w:cs="Arial" w:eastAsia="Arial" w:hAnsi="Arial"/>
          <w:sz w:val="14"/>
          <w:szCs w:val="14"/>
          <w:color w:val="auto"/>
        </w:rPr>
        <w:t>means SLB N.V. (SLB Limited), a public limited company organised under the laws of Curaçao and entered into the</w:t>
      </w:r>
      <w:r>
        <w:rPr>
          <w:rFonts w:ascii="Arial" w:cs="Arial" w:eastAsia="Arial" w:hAnsi="Arial"/>
          <w:sz w:val="14"/>
          <w:szCs w:val="14"/>
          <w:b w:val="1"/>
          <w:bCs w:val="1"/>
          <w:color w:val="auto"/>
        </w:rPr>
        <w:t xml:space="preserve"> </w:t>
      </w:r>
      <w:r>
        <w:rPr>
          <w:rFonts w:ascii="Arial" w:cs="Arial" w:eastAsia="Arial" w:hAnsi="Arial"/>
          <w:sz w:val="14"/>
          <w:szCs w:val="14"/>
          <w:color w:val="auto"/>
        </w:rPr>
        <w:t>Curaçao Commercial Register with company number 1674.</w:t>
      </w:r>
    </w:p>
    <w:p>
      <w:pPr>
        <w:spacing w:after="0" w:line="37" w:lineRule="exact"/>
        <w:rPr>
          <w:sz w:val="20"/>
          <w:szCs w:val="20"/>
          <w:color w:val="auto"/>
        </w:rPr>
      </w:pPr>
    </w:p>
    <w:p>
      <w:pPr>
        <w:ind w:left="660" w:right="299"/>
        <w:spacing w:after="0" w:line="243" w:lineRule="auto"/>
        <w:rPr>
          <w:sz w:val="20"/>
          <w:szCs w:val="20"/>
          <w:color w:val="auto"/>
        </w:rPr>
      </w:pPr>
      <w:r>
        <w:rPr>
          <w:rFonts w:ascii="Arial" w:cs="Arial" w:eastAsia="Arial" w:hAnsi="Arial"/>
          <w:sz w:val="14"/>
          <w:szCs w:val="14"/>
          <w:b w:val="1"/>
          <w:bCs w:val="1"/>
          <w:color w:val="auto"/>
        </w:rPr>
        <w:t xml:space="preserve">Insolvency Proceedings </w:t>
      </w:r>
      <w:r>
        <w:rPr>
          <w:rFonts w:ascii="Arial" w:cs="Arial" w:eastAsia="Arial" w:hAnsi="Arial"/>
          <w:sz w:val="14"/>
          <w:szCs w:val="14"/>
          <w:color w:val="auto"/>
        </w:rPr>
        <w:t>means bankruptcy (</w:t>
      </w:r>
      <w:r>
        <w:rPr>
          <w:rFonts w:ascii="Arial" w:cs="Arial" w:eastAsia="Arial" w:hAnsi="Arial"/>
          <w:sz w:val="14"/>
          <w:szCs w:val="14"/>
          <w:i w:val="1"/>
          <w:iCs w:val="1"/>
          <w:color w:val="auto"/>
        </w:rPr>
        <w:t>faillite</w:t>
      </w:r>
      <w:r>
        <w:rPr>
          <w:rFonts w:ascii="Arial" w:cs="Arial" w:eastAsia="Arial" w:hAnsi="Arial"/>
          <w:sz w:val="14"/>
          <w:szCs w:val="14"/>
          <w:color w:val="auto"/>
        </w:rPr>
        <w:t>), suspension of payments (</w:t>
      </w:r>
      <w:r>
        <w:rPr>
          <w:rFonts w:ascii="Arial" w:cs="Arial" w:eastAsia="Arial" w:hAnsi="Arial"/>
          <w:sz w:val="14"/>
          <w:szCs w:val="14"/>
          <w:i w:val="1"/>
          <w:iCs w:val="1"/>
          <w:color w:val="auto"/>
        </w:rPr>
        <w:t>sursis de paiements</w:t>
      </w:r>
      <w:r>
        <w:rPr>
          <w:rFonts w:ascii="Arial" w:cs="Arial" w:eastAsia="Arial" w:hAnsi="Arial"/>
          <w:sz w:val="14"/>
          <w:szCs w:val="14"/>
          <w:color w:val="auto"/>
        </w:rPr>
        <w:t>), insolvency, liquidation,</w:t>
      </w:r>
      <w:r>
        <w:rPr>
          <w:rFonts w:ascii="Arial" w:cs="Arial" w:eastAsia="Arial" w:hAnsi="Arial"/>
          <w:sz w:val="14"/>
          <w:szCs w:val="14"/>
          <w:b w:val="1"/>
          <w:bCs w:val="1"/>
          <w:color w:val="auto"/>
        </w:rPr>
        <w:t xml:space="preserve"> </w:t>
      </w:r>
      <w:r>
        <w:rPr>
          <w:rFonts w:ascii="Arial" w:cs="Arial" w:eastAsia="Arial" w:hAnsi="Arial"/>
          <w:sz w:val="14"/>
          <w:szCs w:val="14"/>
          <w:color w:val="auto"/>
        </w:rPr>
        <w:t>dissolution, reorganisation, restructuring, any proceedings and measures under the Luxembourg law of 7 August 2023 on business preservation and modernisation of bankruptcy law, administrative dissolution without liquidation procedure (</w:t>
      </w:r>
      <w:r>
        <w:rPr>
          <w:rFonts w:ascii="Arial" w:cs="Arial" w:eastAsia="Arial" w:hAnsi="Arial"/>
          <w:sz w:val="14"/>
          <w:szCs w:val="14"/>
          <w:i w:val="1"/>
          <w:iCs w:val="1"/>
          <w:color w:val="auto"/>
        </w:rPr>
        <w:t>procédure de</w:t>
      </w:r>
      <w:r>
        <w:rPr>
          <w:rFonts w:ascii="Arial" w:cs="Arial" w:eastAsia="Arial" w:hAnsi="Arial"/>
          <w:sz w:val="14"/>
          <w:szCs w:val="14"/>
          <w:color w:val="auto"/>
        </w:rPr>
        <w:t xml:space="preserve"> </w:t>
      </w:r>
      <w:r>
        <w:rPr>
          <w:rFonts w:ascii="Arial" w:cs="Arial" w:eastAsia="Arial" w:hAnsi="Arial"/>
          <w:sz w:val="14"/>
          <w:szCs w:val="14"/>
          <w:i w:val="1"/>
          <w:iCs w:val="1"/>
          <w:color w:val="auto"/>
        </w:rPr>
        <w:t>dissolution administrative sans liquidation</w:t>
      </w:r>
      <w:r>
        <w:rPr>
          <w:rFonts w:ascii="Arial" w:cs="Arial" w:eastAsia="Arial" w:hAnsi="Arial"/>
          <w:sz w:val="14"/>
          <w:szCs w:val="14"/>
          <w:color w:val="auto"/>
        </w:rPr>
        <w:t>), the appointment of a temporary administrator (</w:t>
      </w:r>
      <w:r>
        <w:rPr>
          <w:rFonts w:ascii="Arial" w:cs="Arial" w:eastAsia="Arial" w:hAnsi="Arial"/>
          <w:sz w:val="14"/>
          <w:szCs w:val="14"/>
          <w:i w:val="1"/>
          <w:iCs w:val="1"/>
          <w:color w:val="auto"/>
        </w:rPr>
        <w:t>administrateur provisoire</w:t>
      </w:r>
      <w:r>
        <w:rPr>
          <w:rFonts w:ascii="Arial" w:cs="Arial" w:eastAsia="Arial" w:hAnsi="Arial"/>
          <w:sz w:val="14"/>
          <w:szCs w:val="14"/>
          <w:color w:val="auto"/>
        </w:rPr>
        <w:t>), and any</w:t>
      </w:r>
      <w:r>
        <w:rPr>
          <w:rFonts w:ascii="Arial" w:cs="Arial" w:eastAsia="Arial" w:hAnsi="Arial"/>
          <w:sz w:val="14"/>
          <w:szCs w:val="14"/>
          <w:i w:val="1"/>
          <w:iCs w:val="1"/>
          <w:color w:val="auto"/>
        </w:rPr>
        <w:t xml:space="preserve"> </w:t>
      </w:r>
      <w:r>
        <w:rPr>
          <w:rFonts w:ascii="Arial" w:cs="Arial" w:eastAsia="Arial" w:hAnsi="Arial"/>
          <w:sz w:val="14"/>
          <w:szCs w:val="14"/>
          <w:color w:val="auto"/>
        </w:rPr>
        <w:t>similar Luxembourg or non-Luxembourg proceedings, regimes or officers relating to, or affecting, the rights of creditors generally.</w:t>
      </w:r>
    </w:p>
    <w:p>
      <w:pPr>
        <w:spacing w:after="0" w:line="5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 xml:space="preserve">Insolvency Regulation </w:t>
      </w:r>
      <w:r>
        <w:rPr>
          <w:rFonts w:ascii="Arial" w:cs="Arial" w:eastAsia="Arial" w:hAnsi="Arial"/>
          <w:sz w:val="14"/>
          <w:szCs w:val="14"/>
          <w:color w:val="auto"/>
        </w:rPr>
        <w:t>means the Regulation (EU) No 2015/848 on insolvency proceedings.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 xml:space="preserve">Luxembourg </w:t>
      </w:r>
      <w:r>
        <w:rPr>
          <w:rFonts w:ascii="Arial" w:cs="Arial" w:eastAsia="Arial" w:hAnsi="Arial"/>
          <w:sz w:val="14"/>
          <w:szCs w:val="14"/>
          <w:color w:val="auto"/>
        </w:rPr>
        <w:t>means the Grand Duchy of Luxembourg.</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 xml:space="preserve">RCS </w:t>
      </w:r>
      <w:r>
        <w:rPr>
          <w:rFonts w:ascii="Arial" w:cs="Arial" w:eastAsia="Arial" w:hAnsi="Arial"/>
          <w:sz w:val="14"/>
          <w:szCs w:val="14"/>
          <w:color w:val="auto"/>
        </w:rPr>
        <w:t>means the Luxembourg Register of Commerce and Companies.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 xml:space="preserve">RCS Certificate </w:t>
      </w:r>
      <w:r>
        <w:rPr>
          <w:rFonts w:ascii="Arial" w:cs="Arial" w:eastAsia="Arial" w:hAnsi="Arial"/>
          <w:sz w:val="14"/>
          <w:szCs w:val="14"/>
          <w:color w:val="auto"/>
        </w:rPr>
        <w:t>means a certificate of absence of a judicial decision or administrative dissolution without liquidation procedure</w:t>
      </w:r>
    </w:p>
    <w:p>
      <w:pPr>
        <w:spacing w:after="0" w:line="10" w:lineRule="exact"/>
        <w:rPr>
          <w:sz w:val="20"/>
          <w:szCs w:val="20"/>
          <w:color w:val="auto"/>
        </w:rPr>
      </w:pPr>
    </w:p>
    <w:p>
      <w:pPr>
        <w:jc w:val="both"/>
        <w:ind w:left="660" w:right="399"/>
        <w:spacing w:after="0" w:line="241"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certificat de non inscription d’une décision judiciaire ou de procédure de dissolution administrative sans liquidation</w:t>
      </w:r>
      <w:r>
        <w:rPr>
          <w:rFonts w:ascii="Arial" w:cs="Arial" w:eastAsia="Arial" w:hAnsi="Arial"/>
          <w:sz w:val="14"/>
          <w:szCs w:val="14"/>
          <w:color w:val="auto"/>
        </w:rPr>
        <w:t>), pertaining to the Company, delivered by the insolvency register (</w:t>
      </w:r>
      <w:r>
        <w:rPr>
          <w:rFonts w:ascii="Arial" w:cs="Arial" w:eastAsia="Arial" w:hAnsi="Arial"/>
          <w:sz w:val="14"/>
          <w:szCs w:val="14"/>
          <w:i w:val="1"/>
          <w:iCs w:val="1"/>
          <w:color w:val="auto"/>
        </w:rPr>
        <w:t>Registre de l’insolvabilité</w:t>
      </w:r>
      <w:r>
        <w:rPr>
          <w:rFonts w:ascii="Arial" w:cs="Arial" w:eastAsia="Arial" w:hAnsi="Arial"/>
          <w:sz w:val="14"/>
          <w:szCs w:val="14"/>
          <w:color w:val="auto"/>
        </w:rPr>
        <w:t>) (</w:t>
      </w:r>
      <w:r>
        <w:rPr>
          <w:rFonts w:ascii="Arial" w:cs="Arial" w:eastAsia="Arial" w:hAnsi="Arial"/>
          <w:sz w:val="14"/>
          <w:szCs w:val="14"/>
          <w:i w:val="1"/>
          <w:iCs w:val="1"/>
          <w:color w:val="auto"/>
        </w:rPr>
        <w:t>Reginsol</w:t>
      </w:r>
      <w:r>
        <w:rPr>
          <w:rFonts w:ascii="Arial" w:cs="Arial" w:eastAsia="Arial" w:hAnsi="Arial"/>
          <w:sz w:val="14"/>
          <w:szCs w:val="14"/>
          <w:color w:val="auto"/>
        </w:rPr>
        <w:t>) held and maintained by the RCS, dated 28 April 2026, with respect to the situation of the Company as at 27 April 2026.</w:t>
      </w:r>
    </w:p>
    <w:p>
      <w:pPr>
        <w:spacing w:after="0" w:line="57" w:lineRule="exact"/>
        <w:rPr>
          <w:sz w:val="20"/>
          <w:szCs w:val="20"/>
          <w:color w:val="auto"/>
        </w:rPr>
      </w:pPr>
    </w:p>
    <w:p>
      <w:pPr>
        <w:ind w:left="660" w:right="359"/>
        <w:spacing w:after="0" w:line="269" w:lineRule="auto"/>
        <w:rPr>
          <w:sz w:val="20"/>
          <w:szCs w:val="20"/>
          <w:color w:val="auto"/>
        </w:rPr>
      </w:pPr>
      <w:r>
        <w:rPr>
          <w:rFonts w:ascii="Arial" w:cs="Arial" w:eastAsia="Arial" w:hAnsi="Arial"/>
          <w:sz w:val="14"/>
          <w:szCs w:val="14"/>
          <w:b w:val="1"/>
          <w:bCs w:val="1"/>
          <w:color w:val="auto"/>
        </w:rPr>
        <w:t xml:space="preserve">Registration Statement </w:t>
      </w:r>
      <w:r>
        <w:rPr>
          <w:rFonts w:ascii="Arial" w:cs="Arial" w:eastAsia="Arial" w:hAnsi="Arial"/>
          <w:sz w:val="14"/>
          <w:szCs w:val="14"/>
          <w:color w:val="auto"/>
        </w:rPr>
        <w:t>means the Form S-3 automatic shelf registration statement under the Act dated 30 April 2026, to be filed</w:t>
      </w:r>
      <w:r>
        <w:rPr>
          <w:rFonts w:ascii="Arial" w:cs="Arial" w:eastAsia="Arial" w:hAnsi="Arial"/>
          <w:sz w:val="14"/>
          <w:szCs w:val="14"/>
          <w:b w:val="1"/>
          <w:bCs w:val="1"/>
          <w:color w:val="auto"/>
        </w:rPr>
        <w:t xml:space="preserve"> </w:t>
      </w:r>
      <w:r>
        <w:rPr>
          <w:rFonts w:ascii="Arial" w:cs="Arial" w:eastAsia="Arial" w:hAnsi="Arial"/>
          <w:sz w:val="14"/>
          <w:szCs w:val="14"/>
          <w:color w:val="auto"/>
        </w:rPr>
        <w:t>with the SEC by the Guarantor and the Company on or about the date of this opinion letter.</w:t>
      </w:r>
    </w:p>
    <w:p>
      <w:pPr>
        <w:spacing w:after="0" w:line="3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 xml:space="preserve">Relevant Date </w:t>
      </w:r>
      <w:r>
        <w:rPr>
          <w:rFonts w:ascii="Arial" w:cs="Arial" w:eastAsia="Arial" w:hAnsi="Arial"/>
          <w:sz w:val="14"/>
          <w:szCs w:val="14"/>
          <w:color w:val="auto"/>
        </w:rPr>
        <w:t>means the date of the Registration Statement and the date of this opinion letter.</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 xml:space="preserve">SEC </w:t>
      </w:r>
      <w:r>
        <w:rPr>
          <w:rFonts w:ascii="Arial" w:cs="Arial" w:eastAsia="Arial" w:hAnsi="Arial"/>
          <w:sz w:val="14"/>
          <w:szCs w:val="14"/>
          <w:color w:val="auto"/>
        </w:rPr>
        <w:t>means the United States Securities and Exchange Commission.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Luxembourg law legal opinion – Schlumberger Investment S.A.– S-3 Registration Statement</w:t>
      </w:r>
    </w:p>
    <w:p>
      <w:pPr>
        <w:spacing w:after="0" w:line="353" w:lineRule="exact"/>
        <w:rPr>
          <w:sz w:val="20"/>
          <w:szCs w:val="20"/>
          <w:color w:val="auto"/>
        </w:rPr>
      </w:pPr>
    </w:p>
    <w:p>
      <w:pPr>
        <w:jc w:val="right"/>
        <w:ind w:right="23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019"/>
          </w:cols>
          <w:pgMar w:left="1440" w:top="890" w:right="1440" w:bottom="1440" w:gutter="0" w:footer="0" w:header="0"/>
        </w:sectPr>
      </w:pPr>
    </w:p>
    <w:bookmarkStart w:id="55" w:name="page56"/>
    <w:bookmarkEnd w:id="55"/>
    <w:p>
      <w:pPr>
        <w:ind w:left="640" w:hanging="413"/>
        <w:spacing w:after="0"/>
        <w:tabs>
          <w:tab w:leader="none" w:pos="640" w:val="left"/>
        </w:tabs>
        <w:numPr>
          <w:ilvl w:val="0"/>
          <w:numId w:val="47"/>
        </w:numPr>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201535" cy="32385"/>
                    </a:xfrm>
                    <a:prstGeom prst="rect">
                      <a:avLst/>
                    </a:prstGeom>
                    <a:noFill/>
                  </pic:spPr>
                </pic:pic>
              </a:graphicData>
            </a:graphic>
          </wp:anchor>
        </w:drawing>
        <w:drawing>
          <wp:anchor simplePos="0" relativeHeight="251657728" behindDoc="1" locked="0" layoutInCell="0" allowOverlap="1">
            <wp:simplePos x="0" y="0"/>
            <wp:positionH relativeFrom="page">
              <wp:posOffset>1058545</wp:posOffset>
            </wp:positionH>
            <wp:positionV relativeFrom="page">
              <wp:posOffset>161925</wp:posOffset>
            </wp:positionV>
            <wp:extent cx="1231265" cy="3397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1231265" cy="339725"/>
                    </a:xfrm>
                    <a:prstGeom prst="rect">
                      <a:avLst/>
                    </a:prstGeom>
                    <a:noFill/>
                  </pic:spPr>
                </pic:pic>
              </a:graphicData>
            </a:graphic>
          </wp:anchor>
        </w:drawing>
        <w:t>SCOPE OF INQUIRY</w:t>
      </w:r>
    </w:p>
    <w:p>
      <w:pPr>
        <w:spacing w:after="0" w:line="91" w:lineRule="exact"/>
        <w:rPr>
          <w:sz w:val="20"/>
          <w:szCs w:val="20"/>
          <w:color w:val="auto"/>
        </w:rPr>
      </w:pPr>
    </w:p>
    <w:p>
      <w:pPr>
        <w:ind w:left="640" w:right="559" w:hanging="418"/>
        <w:spacing w:after="0" w:line="269" w:lineRule="auto"/>
        <w:tabs>
          <w:tab w:leader="none" w:pos="620" w:val="left"/>
        </w:tabs>
        <w:rPr>
          <w:sz w:val="20"/>
          <w:szCs w:val="20"/>
          <w:color w:val="auto"/>
        </w:rPr>
      </w:pPr>
      <w:r>
        <w:rPr>
          <w:rFonts w:ascii="Arial" w:cs="Arial" w:eastAsia="Arial" w:hAnsi="Arial"/>
          <w:sz w:val="14"/>
          <w:szCs w:val="14"/>
          <w:color w:val="auto"/>
        </w:rPr>
        <w:t>3.1</w:t>
        <w:tab/>
        <w:t>For the purpose of rendering this opinion letter, we have only examined and relied upon electronically transmitted copies of the Registration Statement, the Articles, the Excerpt and the RCS Certificate.</w:t>
      </w:r>
    </w:p>
    <w:p>
      <w:pPr>
        <w:spacing w:after="0" w:line="48" w:lineRule="exact"/>
        <w:rPr>
          <w:sz w:val="20"/>
          <w:szCs w:val="20"/>
          <w:color w:val="auto"/>
        </w:rPr>
      </w:pPr>
    </w:p>
    <w:p>
      <w:pPr>
        <w:ind w:left="640" w:right="879" w:hanging="418"/>
        <w:spacing w:after="0" w:line="269" w:lineRule="auto"/>
        <w:tabs>
          <w:tab w:leader="none" w:pos="620" w:val="left"/>
        </w:tabs>
        <w:rPr>
          <w:sz w:val="20"/>
          <w:szCs w:val="20"/>
          <w:color w:val="auto"/>
        </w:rPr>
      </w:pPr>
      <w:r>
        <w:rPr>
          <w:rFonts w:ascii="Arial" w:cs="Arial" w:eastAsia="Arial" w:hAnsi="Arial"/>
          <w:sz w:val="14"/>
          <w:szCs w:val="14"/>
          <w:color w:val="auto"/>
        </w:rPr>
        <w:t>3.2</w:t>
        <w:tab/>
        <w:t>We have not reviewed the prospectus or any other documents incorporated by reference or referred to in the Registration Statement and therefore our opinions do not extend to such documents.</w:t>
      </w:r>
    </w:p>
    <w:p>
      <w:pPr>
        <w:spacing w:after="0" w:line="48" w:lineRule="exact"/>
        <w:rPr>
          <w:sz w:val="20"/>
          <w:szCs w:val="20"/>
          <w:color w:val="auto"/>
        </w:rPr>
      </w:pPr>
    </w:p>
    <w:p>
      <w:pPr>
        <w:ind w:left="640" w:hanging="413"/>
        <w:spacing w:after="0"/>
        <w:tabs>
          <w:tab w:leader="none" w:pos="640" w:val="left"/>
        </w:tabs>
        <w:numPr>
          <w:ilvl w:val="0"/>
          <w:numId w:val="48"/>
        </w:numPr>
        <w:rPr>
          <w:rFonts w:ascii="Arial" w:cs="Arial" w:eastAsia="Arial" w:hAnsi="Arial"/>
          <w:sz w:val="14"/>
          <w:szCs w:val="14"/>
          <w:b w:val="1"/>
          <w:bCs w:val="1"/>
          <w:color w:val="auto"/>
        </w:rPr>
      </w:pPr>
      <w:r>
        <w:rPr>
          <w:rFonts w:ascii="Arial" w:cs="Arial" w:eastAsia="Arial" w:hAnsi="Arial"/>
          <w:sz w:val="14"/>
          <w:szCs w:val="14"/>
          <w:b w:val="1"/>
          <w:bCs w:val="1"/>
          <w:color w:val="auto"/>
        </w:rPr>
        <w:t>NATURE OF OPINION</w:t>
      </w:r>
    </w:p>
    <w:p>
      <w:pPr>
        <w:spacing w:after="0" w:line="91" w:lineRule="exact"/>
        <w:rPr>
          <w:sz w:val="20"/>
          <w:szCs w:val="20"/>
          <w:color w:val="auto"/>
        </w:rPr>
      </w:pPr>
    </w:p>
    <w:p>
      <w:pPr>
        <w:ind w:left="640" w:right="359" w:hanging="418"/>
        <w:spacing w:after="0" w:line="251" w:lineRule="auto"/>
        <w:tabs>
          <w:tab w:leader="none" w:pos="620" w:val="left"/>
        </w:tabs>
        <w:rPr>
          <w:sz w:val="20"/>
          <w:szCs w:val="20"/>
          <w:color w:val="auto"/>
        </w:rPr>
      </w:pPr>
      <w:r>
        <w:rPr>
          <w:rFonts w:ascii="Arial" w:cs="Arial" w:eastAsia="Arial" w:hAnsi="Arial"/>
          <w:sz w:val="14"/>
          <w:szCs w:val="14"/>
          <w:color w:val="auto"/>
        </w:rPr>
        <w:t>4.1</w:t>
        <w:tab/>
        <w:t>This opinion letter speaks as of the date hereof. We only express an opinion on matters of Luxembourg law in force on the date of this opinion letter, excluding unpublished case law. We undertake no obligation to update it or to advise of any changes in such laws or case law, their construction or application.</w:t>
      </w:r>
    </w:p>
    <w:p>
      <w:pPr>
        <w:spacing w:after="0" w:line="61" w:lineRule="exact"/>
        <w:rPr>
          <w:sz w:val="20"/>
          <w:szCs w:val="20"/>
          <w:color w:val="auto"/>
        </w:rPr>
      </w:pPr>
    </w:p>
    <w:p>
      <w:pPr>
        <w:ind w:left="640" w:right="259" w:hanging="418"/>
        <w:spacing w:after="0" w:line="241" w:lineRule="auto"/>
        <w:tabs>
          <w:tab w:leader="none" w:pos="620" w:val="left"/>
        </w:tabs>
        <w:rPr>
          <w:sz w:val="20"/>
          <w:szCs w:val="20"/>
          <w:color w:val="auto"/>
        </w:rPr>
      </w:pPr>
      <w:r>
        <w:rPr>
          <w:rFonts w:ascii="Arial" w:cs="Arial" w:eastAsia="Arial" w:hAnsi="Arial"/>
          <w:sz w:val="14"/>
          <w:szCs w:val="14"/>
          <w:color w:val="auto"/>
        </w:rPr>
        <w:t>4.2</w:t>
        <w:tab/>
        <w:t>Except as expressly stated in this opinion letter, we do not express an opinion on public international law or on the rules of, or promulgated under, any treaty or by any treaty organisation or European law (save for rules implemented into Luxembourg law or directly applicable in Luxembourg), on regulatory and tax matters (including EMIR, AIFMD, MiFID II, MiFIR, SFTR, SFDR, the Securitisation Regulation and DAC 6 (including, in each case, their respective EU and national delegated or implementing legislation or regulation)), as well as on transfer pricing, competition, data protection law (including GDPR), intellectual property law, labour law, accounting or administrative law, sanction laws and regulations or as to the consequences thereof.</w:t>
      </w:r>
    </w:p>
    <w:p>
      <w:pPr>
        <w:spacing w:after="0" w:line="68" w:lineRule="exact"/>
        <w:rPr>
          <w:sz w:val="20"/>
          <w:szCs w:val="20"/>
          <w:color w:val="auto"/>
        </w:rPr>
      </w:pPr>
    </w:p>
    <w:p>
      <w:pPr>
        <w:ind w:left="640" w:right="699" w:hanging="418"/>
        <w:spacing w:after="0" w:line="243" w:lineRule="auto"/>
        <w:tabs>
          <w:tab w:leader="none" w:pos="620" w:val="left"/>
        </w:tabs>
        <w:rPr>
          <w:sz w:val="20"/>
          <w:szCs w:val="20"/>
          <w:color w:val="auto"/>
        </w:rPr>
      </w:pPr>
      <w:r>
        <w:rPr>
          <w:rFonts w:ascii="Arial" w:cs="Arial" w:eastAsia="Arial" w:hAnsi="Arial"/>
          <w:sz w:val="14"/>
          <w:szCs w:val="14"/>
          <w:color w:val="auto"/>
        </w:rPr>
        <w:t>4.3</w:t>
        <w:tab/>
        <w:t>Our opinion letter is strictly limited to the matters stated herein. We do not express any opinion on matters of fact, on the commercial and other non-legal aspects of the transactions contemplated by the Registration Statement and on any representations, warranties or other information included in the Registration Statement and any other document examined in connection with this opinion letter, except as expressly stated in this opinion letter. We have made no investigation in the Luxembourg register of beneficial owners.</w:t>
      </w:r>
    </w:p>
    <w:p>
      <w:pPr>
        <w:spacing w:after="0" w:line="66" w:lineRule="exact"/>
        <w:rPr>
          <w:sz w:val="20"/>
          <w:szCs w:val="20"/>
          <w:color w:val="auto"/>
        </w:rPr>
      </w:pPr>
    </w:p>
    <w:p>
      <w:pPr>
        <w:ind w:left="640" w:right="279" w:hanging="418"/>
        <w:spacing w:after="0" w:line="241" w:lineRule="auto"/>
        <w:tabs>
          <w:tab w:leader="none" w:pos="620" w:val="left"/>
        </w:tabs>
        <w:rPr>
          <w:sz w:val="20"/>
          <w:szCs w:val="20"/>
          <w:color w:val="auto"/>
        </w:rPr>
      </w:pPr>
      <w:r>
        <w:rPr>
          <w:rFonts w:ascii="Arial" w:cs="Arial" w:eastAsia="Arial" w:hAnsi="Arial"/>
          <w:sz w:val="14"/>
          <w:szCs w:val="14"/>
          <w:color w:val="auto"/>
        </w:rPr>
        <w:t>4.4</w:t>
        <w:tab/>
        <w:t>In this opinion letter, Luxembourg legal concepts are sometimes expressed in English terms and not in their original French or German terms. The concepts concerned may not be identical to the concepts described by the same English term as they exist under the laws of other jurisdictions. In addition, for the purpose of different areas of Luxembourg law, for instance tax law, a term may have a different meaning than for the purpose of other areas of Luxembourg law. The meaning to be attributed to the concepts described by the English terms shall be the meaning to be attributed to the equivalent Luxembourg concepts under the relevant area of Luxembourg law.</w:t>
      </w:r>
    </w:p>
    <w:p>
      <w:pPr>
        <w:spacing w:after="0" w:line="68" w:lineRule="exact"/>
        <w:rPr>
          <w:sz w:val="20"/>
          <w:szCs w:val="20"/>
          <w:color w:val="auto"/>
        </w:rPr>
      </w:pPr>
    </w:p>
    <w:p>
      <w:pPr>
        <w:ind w:left="640" w:right="339" w:hanging="418"/>
        <w:spacing w:after="0" w:line="269" w:lineRule="auto"/>
        <w:tabs>
          <w:tab w:leader="none" w:pos="620" w:val="left"/>
        </w:tabs>
        <w:rPr>
          <w:sz w:val="20"/>
          <w:szCs w:val="20"/>
          <w:color w:val="auto"/>
        </w:rPr>
      </w:pPr>
      <w:r>
        <w:rPr>
          <w:rFonts w:ascii="Arial" w:cs="Arial" w:eastAsia="Arial" w:hAnsi="Arial"/>
          <w:sz w:val="14"/>
          <w:szCs w:val="14"/>
          <w:color w:val="auto"/>
        </w:rPr>
        <w:t>4.5</w:t>
        <w:tab/>
        <w:t>This opinion letter may only be relied upon under the express condition that any issue of interpretation or liability arising hereunder will be governed by Luxembourg law and be brought exclusively before the courts of the district of Luxembourg-City.</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Luxembourg law legal opinion – Schlumberger Investment S.A.– S-3 Registration Statement</w:t>
      </w:r>
    </w:p>
    <w:p>
      <w:pPr>
        <w:spacing w:after="0" w:line="353" w:lineRule="exact"/>
        <w:rPr>
          <w:sz w:val="20"/>
          <w:szCs w:val="20"/>
          <w:color w:val="auto"/>
        </w:rPr>
      </w:pPr>
    </w:p>
    <w:p>
      <w:pPr>
        <w:jc w:val="right"/>
        <w:ind w:right="2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019"/>
          </w:cols>
          <w:pgMar w:left="1440" w:top="890" w:right="1440" w:bottom="1440" w:gutter="0" w:footer="0" w:header="0"/>
        </w:sectPr>
      </w:pPr>
    </w:p>
    <w:bookmarkStart w:id="56" w:name="page57"/>
    <w:bookmarkEnd w:id="56"/>
    <w:p>
      <w:pPr>
        <w:ind w:left="640" w:right="279" w:hanging="418"/>
        <w:spacing w:after="0" w:line="251" w:lineRule="auto"/>
        <w:tabs>
          <w:tab w:leader="none" w:pos="62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7201535" cy="32385"/>
                    </a:xfrm>
                    <a:prstGeom prst="rect">
                      <a:avLst/>
                    </a:prstGeom>
                    <a:noFill/>
                  </pic:spPr>
                </pic:pic>
              </a:graphicData>
            </a:graphic>
          </wp:anchor>
        </w:drawing>
        <w:drawing>
          <wp:anchor simplePos="0" relativeHeight="251657728" behindDoc="1" locked="0" layoutInCell="0" allowOverlap="1">
            <wp:simplePos x="0" y="0"/>
            <wp:positionH relativeFrom="page">
              <wp:posOffset>1058545</wp:posOffset>
            </wp:positionH>
            <wp:positionV relativeFrom="page">
              <wp:posOffset>161925</wp:posOffset>
            </wp:positionV>
            <wp:extent cx="1231265" cy="3397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1231265" cy="339725"/>
                    </a:xfrm>
                    <a:prstGeom prst="rect">
                      <a:avLst/>
                    </a:prstGeom>
                    <a:noFill/>
                  </pic:spPr>
                </pic:pic>
              </a:graphicData>
            </a:graphic>
          </wp:anchor>
        </w:drawing>
        <w:t>4.6</w:t>
        <w:tab/>
        <w:t>This opinion letter is issued by LOYENS &amp; LOEFF LUXEMBOURG SARL and may only be relied upon under the express condition that any liability of LOYENS &amp; LOEFF LUXEMBOURG SARL is limited to the amount paid out under its professional liability insurance policies. Only LOYENS &amp; LOEFF LUXEMBOURG SARL can be held liable in connection with this opinion letter.</w:t>
      </w:r>
    </w:p>
    <w:p>
      <w:pPr>
        <w:spacing w:after="0" w:line="61" w:lineRule="exact"/>
        <w:rPr>
          <w:sz w:val="20"/>
          <w:szCs w:val="20"/>
          <w:color w:val="auto"/>
        </w:rPr>
      </w:pPr>
    </w:p>
    <w:p>
      <w:pPr>
        <w:ind w:left="640" w:hanging="413"/>
        <w:spacing w:after="0"/>
        <w:tabs>
          <w:tab w:leader="none" w:pos="640" w:val="left"/>
        </w:tabs>
        <w:numPr>
          <w:ilvl w:val="0"/>
          <w:numId w:val="49"/>
        </w:numPr>
        <w:rPr>
          <w:rFonts w:ascii="Arial" w:cs="Arial" w:eastAsia="Arial" w:hAnsi="Arial"/>
          <w:sz w:val="14"/>
          <w:szCs w:val="14"/>
          <w:b w:val="1"/>
          <w:bCs w:val="1"/>
          <w:color w:val="auto"/>
        </w:rPr>
      </w:pPr>
      <w:r>
        <w:rPr>
          <w:rFonts w:ascii="Arial" w:cs="Arial" w:eastAsia="Arial" w:hAnsi="Arial"/>
          <w:sz w:val="14"/>
          <w:szCs w:val="14"/>
          <w:b w:val="1"/>
          <w:bCs w:val="1"/>
          <w:color w:val="auto"/>
        </w:rPr>
        <w:t>OPINIONS</w:t>
      </w:r>
    </w:p>
    <w:p>
      <w:pPr>
        <w:spacing w:after="0" w:line="80" w:lineRule="exact"/>
        <w:rPr>
          <w:rFonts w:ascii="Arial" w:cs="Arial" w:eastAsia="Arial" w:hAnsi="Arial"/>
          <w:sz w:val="14"/>
          <w:szCs w:val="14"/>
          <w:b w:val="1"/>
          <w:bCs w:val="1"/>
          <w:color w:val="auto"/>
        </w:rPr>
      </w:pPr>
    </w:p>
    <w:p>
      <w:pPr>
        <w:ind w:left="660" w:right="279"/>
        <w:spacing w:after="0" w:line="246" w:lineRule="auto"/>
        <w:rPr>
          <w:rFonts w:ascii="Arial" w:cs="Arial" w:eastAsia="Arial" w:hAnsi="Arial"/>
          <w:sz w:val="14"/>
          <w:szCs w:val="14"/>
          <w:b w:val="1"/>
          <w:bCs w:val="1"/>
          <w:color w:val="auto"/>
        </w:rPr>
      </w:pPr>
      <w:r>
        <w:rPr>
          <w:rFonts w:ascii="Arial" w:cs="Arial" w:eastAsia="Arial" w:hAnsi="Arial"/>
          <w:sz w:val="14"/>
          <w:szCs w:val="14"/>
          <w:color w:val="auto"/>
        </w:rPr>
        <w:t>The opinions expressed in this paragraph 5 (Opinions) should be read in conjunction with the assumptions set out in Schedule 1 (Assumptions) and the qualifications set out in Schedule 2 (Qualifications). On the basis of these assumptions and subject to these qualifications and any factual matters or information not disclosed to us in the course of our investigation, we are of the opinion that as at the date of this opinion letter:</w:t>
      </w:r>
    </w:p>
    <w:p>
      <w:pPr>
        <w:spacing w:after="0" w:line="63" w:lineRule="exact"/>
        <w:rPr>
          <w:sz w:val="20"/>
          <w:szCs w:val="20"/>
          <w:color w:val="auto"/>
        </w:rPr>
      </w:pPr>
    </w:p>
    <w:p>
      <w:pPr>
        <w:ind w:left="220"/>
        <w:spacing w:after="0"/>
        <w:tabs>
          <w:tab w:leader="none" w:pos="620" w:val="left"/>
        </w:tabs>
        <w:rPr>
          <w:sz w:val="20"/>
          <w:szCs w:val="20"/>
          <w:color w:val="auto"/>
        </w:rPr>
      </w:pPr>
      <w:r>
        <w:rPr>
          <w:rFonts w:ascii="Arial" w:cs="Arial" w:eastAsia="Arial" w:hAnsi="Arial"/>
          <w:sz w:val="14"/>
          <w:szCs w:val="14"/>
          <w:b w:val="1"/>
          <w:bCs w:val="1"/>
          <w:color w:val="auto"/>
        </w:rPr>
        <w:t>5.1</w:t>
      </w:r>
      <w:r>
        <w:rPr>
          <w:sz w:val="20"/>
          <w:szCs w:val="20"/>
          <w:color w:val="auto"/>
        </w:rPr>
        <w:tab/>
      </w:r>
      <w:r>
        <w:rPr>
          <w:rFonts w:ascii="Arial" w:cs="Arial" w:eastAsia="Arial" w:hAnsi="Arial"/>
          <w:sz w:val="13"/>
          <w:szCs w:val="13"/>
          <w:b w:val="1"/>
          <w:bCs w:val="1"/>
          <w:color w:val="auto"/>
        </w:rPr>
        <w:t>Corporate status</w:t>
      </w:r>
    </w:p>
    <w:p>
      <w:pPr>
        <w:spacing w:after="0" w:line="80" w:lineRule="exact"/>
        <w:rPr>
          <w:sz w:val="20"/>
          <w:szCs w:val="20"/>
          <w:color w:val="auto"/>
        </w:rPr>
      </w:pPr>
    </w:p>
    <w:p>
      <w:pPr>
        <w:ind w:left="660" w:right="739"/>
        <w:spacing w:after="0" w:line="269" w:lineRule="auto"/>
        <w:rPr>
          <w:sz w:val="20"/>
          <w:szCs w:val="20"/>
          <w:color w:val="auto"/>
        </w:rPr>
      </w:pPr>
      <w:r>
        <w:rPr>
          <w:rFonts w:ascii="Arial" w:cs="Arial" w:eastAsia="Arial" w:hAnsi="Arial"/>
          <w:sz w:val="14"/>
          <w:szCs w:val="14"/>
          <w:color w:val="auto"/>
        </w:rPr>
        <w:t xml:space="preserve">The Company has been incorporated and is existing as a </w:t>
      </w:r>
      <w:r>
        <w:rPr>
          <w:rFonts w:ascii="Arial" w:cs="Arial" w:eastAsia="Arial" w:hAnsi="Arial"/>
          <w:sz w:val="14"/>
          <w:szCs w:val="14"/>
          <w:i w:val="1"/>
          <w:iCs w:val="1"/>
          <w:color w:val="auto"/>
        </w:rPr>
        <w:t>société anonyme</w:t>
      </w:r>
      <w:r>
        <w:rPr>
          <w:rFonts w:ascii="Arial" w:cs="Arial" w:eastAsia="Arial" w:hAnsi="Arial"/>
          <w:sz w:val="14"/>
          <w:szCs w:val="14"/>
          <w:color w:val="auto"/>
        </w:rPr>
        <w:t xml:space="preserve"> (public limited liability company) for an unlimited duration.</w:t>
      </w:r>
    </w:p>
    <w:p>
      <w:pPr>
        <w:spacing w:after="0" w:line="48" w:lineRule="exact"/>
        <w:rPr>
          <w:sz w:val="20"/>
          <w:szCs w:val="20"/>
          <w:color w:val="auto"/>
        </w:rPr>
      </w:pPr>
    </w:p>
    <w:p>
      <w:pPr>
        <w:ind w:left="220"/>
        <w:spacing w:after="0"/>
        <w:tabs>
          <w:tab w:leader="none" w:pos="620" w:val="left"/>
        </w:tabs>
        <w:rPr>
          <w:sz w:val="20"/>
          <w:szCs w:val="20"/>
          <w:color w:val="auto"/>
        </w:rPr>
      </w:pPr>
      <w:r>
        <w:rPr>
          <w:rFonts w:ascii="Arial" w:cs="Arial" w:eastAsia="Arial" w:hAnsi="Arial"/>
          <w:sz w:val="14"/>
          <w:szCs w:val="14"/>
          <w:b w:val="1"/>
          <w:bCs w:val="1"/>
          <w:color w:val="auto"/>
        </w:rPr>
        <w:t>5.2</w:t>
        <w:tab/>
        <w:t>Due authorisation</w:t>
      </w:r>
    </w:p>
    <w:p>
      <w:pPr>
        <w:spacing w:after="0" w:line="80" w:lineRule="exact"/>
        <w:rPr>
          <w:sz w:val="20"/>
          <w:szCs w:val="20"/>
          <w:color w:val="auto"/>
        </w:rPr>
      </w:pPr>
    </w:p>
    <w:p>
      <w:pPr>
        <w:ind w:left="660" w:right="499"/>
        <w:spacing w:after="0" w:line="308" w:lineRule="auto"/>
        <w:rPr>
          <w:sz w:val="20"/>
          <w:szCs w:val="20"/>
          <w:color w:val="auto"/>
        </w:rPr>
      </w:pPr>
      <w:r>
        <w:rPr>
          <w:rFonts w:ascii="Arial" w:cs="Arial" w:eastAsia="Arial" w:hAnsi="Arial"/>
          <w:sz w:val="13"/>
          <w:szCs w:val="13"/>
          <w:color w:val="auto"/>
        </w:rPr>
        <w:t>The Debt Securities, if and when the issue and the amount of such Debt Securities have been duly authorised by the board of directors of the Company, will be duly authorised according to Luxembourg laws applicable to commercial companies generally.</w:t>
      </w:r>
    </w:p>
    <w:p>
      <w:pPr>
        <w:spacing w:after="0" w:line="25" w:lineRule="exact"/>
        <w:rPr>
          <w:sz w:val="20"/>
          <w:szCs w:val="20"/>
          <w:color w:val="auto"/>
        </w:rPr>
      </w:pPr>
    </w:p>
    <w:p>
      <w:pPr>
        <w:ind w:left="640" w:hanging="413"/>
        <w:spacing w:after="0"/>
        <w:tabs>
          <w:tab w:leader="none" w:pos="640"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color w:val="auto"/>
        </w:rPr>
        <w:t>ADDRESSEE</w:t>
      </w:r>
    </w:p>
    <w:p>
      <w:pPr>
        <w:spacing w:after="0" w:line="80" w:lineRule="exact"/>
        <w:rPr>
          <w:rFonts w:ascii="Arial" w:cs="Arial" w:eastAsia="Arial" w:hAnsi="Arial"/>
          <w:sz w:val="14"/>
          <w:szCs w:val="14"/>
          <w:b w:val="1"/>
          <w:bCs w:val="1"/>
          <w:color w:val="auto"/>
        </w:rPr>
      </w:pPr>
    </w:p>
    <w:p>
      <w:pPr>
        <w:ind w:left="660" w:right="279"/>
        <w:spacing w:after="0" w:line="251" w:lineRule="auto"/>
        <w:rPr>
          <w:rFonts w:ascii="Arial" w:cs="Arial" w:eastAsia="Arial" w:hAnsi="Arial"/>
          <w:sz w:val="14"/>
          <w:szCs w:val="14"/>
          <w:b w:val="1"/>
          <w:bCs w:val="1"/>
          <w:color w:val="auto"/>
        </w:rPr>
      </w:pPr>
      <w:r>
        <w:rPr>
          <w:rFonts w:ascii="Arial" w:cs="Arial" w:eastAsia="Arial" w:hAnsi="Arial"/>
          <w:sz w:val="14"/>
          <w:szCs w:val="14"/>
          <w:color w:val="auto"/>
        </w:rPr>
        <w:t>This opinion letter is addressed to you and may only be relied upon by you in connection with the transactions to which the Registration Statement and the Debt Securities relate and may not be disclosed to and relied upon by any other person without our prior written consent.</w:t>
      </w:r>
    </w:p>
    <w:p>
      <w:pPr>
        <w:spacing w:after="0" w:line="50" w:lineRule="exact"/>
        <w:rPr>
          <w:rFonts w:ascii="Arial" w:cs="Arial" w:eastAsia="Arial" w:hAnsi="Arial"/>
          <w:sz w:val="14"/>
          <w:szCs w:val="14"/>
          <w:b w:val="1"/>
          <w:bCs w:val="1"/>
          <w:color w:val="auto"/>
        </w:rPr>
      </w:pPr>
    </w:p>
    <w:p>
      <w:pPr>
        <w:ind w:left="660" w:right="379"/>
        <w:spacing w:after="0" w:line="251" w:lineRule="auto"/>
        <w:rPr>
          <w:rFonts w:ascii="Arial" w:cs="Arial" w:eastAsia="Arial" w:hAnsi="Arial"/>
          <w:sz w:val="14"/>
          <w:szCs w:val="14"/>
          <w:b w:val="1"/>
          <w:bCs w:val="1"/>
          <w:color w:val="auto"/>
        </w:rPr>
      </w:pPr>
      <w:r>
        <w:rPr>
          <w:rFonts w:ascii="Arial" w:cs="Arial" w:eastAsia="Arial" w:hAnsi="Arial"/>
          <w:sz w:val="14"/>
          <w:szCs w:val="14"/>
          <w:color w:val="auto"/>
        </w:rPr>
        <w:t>We hereby consent to the filing of this opinion letter as an Exhibit 5.3 to the Registration Statement. In giving this consent, we do not admit that we are in the category of persons whose consent is required under Section 7 of the Act or the rules and regulations of the SEC.</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Luxembourg law legal opinion – Schlumberger Investment S.A.– S-3 Registration Statement</w:t>
      </w:r>
    </w:p>
    <w:p>
      <w:pPr>
        <w:spacing w:after="0" w:line="353" w:lineRule="exact"/>
        <w:rPr>
          <w:sz w:val="20"/>
          <w:szCs w:val="20"/>
          <w:color w:val="auto"/>
        </w:rPr>
      </w:pPr>
    </w:p>
    <w:p>
      <w:pPr>
        <w:jc w:val="right"/>
        <w:ind w:right="2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019"/>
          </w:cols>
          <w:pgMar w:left="1440" w:top="890" w:right="1440" w:bottom="1440" w:gutter="0" w:footer="0" w:header="0"/>
        </w:sectPr>
      </w:pPr>
    </w:p>
    <w:bookmarkStart w:id="57" w:name="page58"/>
    <w:bookmarkEnd w:id="57"/>
    <w:p>
      <w:pPr>
        <w:ind w:left="2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7201535" cy="32385"/>
                    </a:xfrm>
                    <a:prstGeom prst="rect">
                      <a:avLst/>
                    </a:prstGeom>
                    <a:noFill/>
                  </pic:spPr>
                </pic:pic>
              </a:graphicData>
            </a:graphic>
          </wp:anchor>
        </w:drawing>
        <w:drawing>
          <wp:anchor simplePos="0" relativeHeight="251657728" behindDoc="1" locked="0" layoutInCell="0" allowOverlap="1">
            <wp:simplePos x="0" y="0"/>
            <wp:positionH relativeFrom="page">
              <wp:posOffset>1058545</wp:posOffset>
            </wp:positionH>
            <wp:positionV relativeFrom="page">
              <wp:posOffset>161925</wp:posOffset>
            </wp:positionV>
            <wp:extent cx="1231265" cy="3397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1231265" cy="339725"/>
                    </a:xfrm>
                    <a:prstGeom prst="rect">
                      <a:avLst/>
                    </a:prstGeom>
                    <a:noFill/>
                  </pic:spPr>
                </pic:pic>
              </a:graphicData>
            </a:graphic>
          </wp:anchor>
        </w:drawing>
        <w:t>Yours faithfully,</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LOYENS &amp; LOEFF LUXEMBOURG SARL</w:t>
      </w:r>
    </w:p>
    <w:p>
      <w:pPr>
        <w:spacing w:after="0" w:line="174"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/s/ Anne-Marie Nicolas</w:t>
            </w:r>
          </w:p>
        </w:tc>
        <w:tc>
          <w:tcPr>
            <w:tcW w:w="1560" w:type="dxa"/>
            <w:vAlign w:val="bottom"/>
          </w:tcPr>
          <w:p>
            <w:pPr>
              <w:spacing w:after="0"/>
              <w:rPr>
                <w:sz w:val="14"/>
                <w:szCs w:val="14"/>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/s/ Noémi Gémesi</w:t>
            </w:r>
          </w:p>
        </w:tc>
      </w:tr>
      <w:tr>
        <w:trPr>
          <w:trHeight w:val="261"/>
        </w:trPr>
        <w:tc>
          <w:tcPr>
            <w:tcW w:w="3500" w:type="dxa"/>
            <w:vAlign w:val="bottom"/>
          </w:tcPr>
          <w:p>
            <w:pPr>
              <w:jc w:val="center"/>
              <w:spacing w:after="0"/>
              <w:rPr>
                <w:sz w:val="20"/>
                <w:szCs w:val="20"/>
                <w:color w:val="auto"/>
              </w:rPr>
            </w:pPr>
            <w:r>
              <w:rPr>
                <w:rFonts w:ascii="Arial" w:cs="Arial" w:eastAsia="Arial" w:hAnsi="Arial"/>
                <w:sz w:val="14"/>
                <w:szCs w:val="14"/>
                <w:color w:val="auto"/>
                <w:w w:val="98"/>
              </w:rPr>
              <w:t>Anne-Marie Nicolas</w:t>
            </w:r>
            <w:r>
              <w:rPr>
                <w:rFonts w:ascii="Arial" w:cs="Arial" w:eastAsia="Arial" w:hAnsi="Arial"/>
                <w:sz w:val="20"/>
                <w:szCs w:val="20"/>
                <w:color w:val="auto"/>
                <w:w w:val="98"/>
                <w:vertAlign w:val="superscript"/>
              </w:rPr>
              <w:t>1</w:t>
            </w:r>
          </w:p>
        </w:tc>
        <w:tc>
          <w:tcPr>
            <w:tcW w:w="1560" w:type="dxa"/>
            <w:vAlign w:val="bottom"/>
          </w:tcPr>
          <w:p>
            <w:pPr>
              <w:spacing w:after="0"/>
              <w:rPr>
                <w:sz w:val="22"/>
                <w:szCs w:val="22"/>
                <w:color w:val="auto"/>
              </w:rPr>
            </w:pPr>
          </w:p>
        </w:tc>
        <w:tc>
          <w:tcPr>
            <w:tcW w:w="3500" w:type="dxa"/>
            <w:vAlign w:val="bottom"/>
          </w:tcPr>
          <w:p>
            <w:pPr>
              <w:jc w:val="center"/>
              <w:spacing w:after="0"/>
              <w:rPr>
                <w:sz w:val="20"/>
                <w:szCs w:val="20"/>
                <w:color w:val="auto"/>
              </w:rPr>
            </w:pPr>
            <w:r>
              <w:rPr>
                <w:rFonts w:ascii="Arial" w:cs="Arial" w:eastAsia="Arial" w:hAnsi="Arial"/>
                <w:sz w:val="14"/>
                <w:szCs w:val="14"/>
                <w:color w:val="auto"/>
                <w:w w:val="97"/>
              </w:rPr>
              <w:t>Noémi Gémesi</w:t>
            </w:r>
            <w:r>
              <w:rPr>
                <w:rFonts w:ascii="Arial" w:cs="Arial" w:eastAsia="Arial" w:hAnsi="Arial"/>
                <w:sz w:val="20"/>
                <w:szCs w:val="20"/>
                <w:color w:val="auto"/>
                <w:w w:val="97"/>
                <w:vertAlign w:val="superscript"/>
              </w:rPr>
              <w:t>2</w:t>
            </w:r>
          </w:p>
        </w:tc>
      </w:tr>
      <w:tr>
        <w:trPr>
          <w:trHeight w:val="182"/>
        </w:trPr>
        <w:tc>
          <w:tcPr>
            <w:tcW w:w="3500" w:type="dxa"/>
            <w:vAlign w:val="bottom"/>
          </w:tcPr>
          <w:p>
            <w:pPr>
              <w:jc w:val="center"/>
              <w:spacing w:after="0"/>
              <w:rPr>
                <w:sz w:val="20"/>
                <w:szCs w:val="20"/>
                <w:color w:val="auto"/>
              </w:rPr>
            </w:pPr>
            <w:r>
              <w:rPr>
                <w:rFonts w:ascii="Arial" w:cs="Arial" w:eastAsia="Arial" w:hAnsi="Arial"/>
                <w:sz w:val="14"/>
                <w:szCs w:val="14"/>
                <w:i w:val="1"/>
                <w:iCs w:val="1"/>
                <w:color w:val="auto"/>
              </w:rPr>
              <w:t>Avocat à la Cour</w:t>
            </w:r>
          </w:p>
        </w:tc>
        <w:tc>
          <w:tcPr>
            <w:tcW w:w="1560" w:type="dxa"/>
            <w:vAlign w:val="bottom"/>
          </w:tcPr>
          <w:p>
            <w:pPr>
              <w:spacing w:after="0"/>
              <w:rPr>
                <w:sz w:val="15"/>
                <w:szCs w:val="15"/>
                <w:color w:val="auto"/>
              </w:rPr>
            </w:pPr>
          </w:p>
        </w:tc>
        <w:tc>
          <w:tcPr>
            <w:tcW w:w="3500" w:type="dxa"/>
            <w:vAlign w:val="bottom"/>
          </w:tcPr>
          <w:p>
            <w:pPr>
              <w:jc w:val="center"/>
              <w:spacing w:after="0"/>
              <w:rPr>
                <w:sz w:val="20"/>
                <w:szCs w:val="20"/>
                <w:color w:val="auto"/>
              </w:rPr>
            </w:pPr>
            <w:r>
              <w:rPr>
                <w:rFonts w:ascii="Arial" w:cs="Arial" w:eastAsia="Arial" w:hAnsi="Arial"/>
                <w:sz w:val="14"/>
                <w:szCs w:val="14"/>
                <w:i w:val="1"/>
                <w:iCs w:val="1"/>
                <w:color w:val="auto"/>
                <w:w w:val="98"/>
              </w:rPr>
              <w:t>Avocat à la Cour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191770</wp:posOffset>
            </wp:positionV>
            <wp:extent cx="59944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599440" cy="6350"/>
                    </a:xfrm>
                    <a:prstGeom prst="rect">
                      <a:avLst/>
                    </a:prstGeom>
                    <a:noFill/>
                  </pic:spPr>
                </pic:pic>
              </a:graphicData>
            </a:graphic>
          </wp:anchor>
        </w:drawing>
      </w:r>
    </w:p>
    <w:p>
      <w:pPr>
        <w:spacing w:after="0" w:line="229" w:lineRule="exact"/>
        <w:rPr>
          <w:sz w:val="20"/>
          <w:szCs w:val="20"/>
          <w:color w:val="auto"/>
        </w:rPr>
      </w:pPr>
    </w:p>
    <w:p>
      <w:pPr>
        <w:ind w:left="560" w:hanging="333"/>
        <w:spacing w:after="0"/>
        <w:tabs>
          <w:tab w:leader="none" w:pos="560" w:val="left"/>
        </w:tabs>
        <w:numPr>
          <w:ilvl w:val="0"/>
          <w:numId w:val="51"/>
        </w:numPr>
        <w:rPr>
          <w:rFonts w:ascii="Arial" w:cs="Arial" w:eastAsia="Arial" w:hAnsi="Arial"/>
          <w:sz w:val="21"/>
          <w:szCs w:val="21"/>
          <w:color w:val="auto"/>
          <w:vertAlign w:val="superscript"/>
        </w:rPr>
      </w:pPr>
      <w:r>
        <w:rPr>
          <w:rFonts w:ascii="Arial" w:cs="Arial" w:eastAsia="Arial" w:hAnsi="Arial"/>
          <w:sz w:val="14"/>
          <w:szCs w:val="14"/>
          <w:color w:val="auto"/>
        </w:rPr>
        <w:t>Acting as representative (</w:t>
      </w:r>
      <w:r>
        <w:rPr>
          <w:rFonts w:ascii="Arial" w:cs="Arial" w:eastAsia="Arial" w:hAnsi="Arial"/>
          <w:sz w:val="14"/>
          <w:szCs w:val="14"/>
          <w:i w:val="1"/>
          <w:iCs w:val="1"/>
          <w:color w:val="auto"/>
        </w:rPr>
        <w:t>mandataire</w:t>
      </w:r>
      <w:r>
        <w:rPr>
          <w:rFonts w:ascii="Arial" w:cs="Arial" w:eastAsia="Arial" w:hAnsi="Arial"/>
          <w:sz w:val="14"/>
          <w:szCs w:val="14"/>
          <w:color w:val="auto"/>
        </w:rPr>
        <w:t>) of LOYENS &amp; LOEFF LUXEMBOURG SARL.</w:t>
      </w:r>
    </w:p>
    <w:p>
      <w:pPr>
        <w:ind w:left="560" w:hanging="333"/>
        <w:spacing w:after="0" w:line="187" w:lineRule="auto"/>
        <w:tabs>
          <w:tab w:leader="none" w:pos="560" w:val="left"/>
        </w:tabs>
        <w:numPr>
          <w:ilvl w:val="0"/>
          <w:numId w:val="52"/>
        </w:numPr>
        <w:rPr>
          <w:rFonts w:ascii="Arial" w:cs="Arial" w:eastAsia="Arial" w:hAnsi="Arial"/>
          <w:sz w:val="19"/>
          <w:szCs w:val="19"/>
          <w:color w:val="auto"/>
          <w:vertAlign w:val="superscript"/>
        </w:rPr>
      </w:pPr>
      <w:r>
        <w:rPr>
          <w:rFonts w:ascii="Arial" w:cs="Arial" w:eastAsia="Arial" w:hAnsi="Arial"/>
          <w:sz w:val="13"/>
          <w:szCs w:val="13"/>
          <w:color w:val="auto"/>
        </w:rPr>
        <w:t>Acting as representative (</w:t>
      </w:r>
      <w:r>
        <w:rPr>
          <w:rFonts w:ascii="Arial" w:cs="Arial" w:eastAsia="Arial" w:hAnsi="Arial"/>
          <w:sz w:val="13"/>
          <w:szCs w:val="13"/>
          <w:i w:val="1"/>
          <w:iCs w:val="1"/>
          <w:color w:val="auto"/>
        </w:rPr>
        <w:t>mandataire</w:t>
      </w:r>
      <w:r>
        <w:rPr>
          <w:rFonts w:ascii="Arial" w:cs="Arial" w:eastAsia="Arial" w:hAnsi="Arial"/>
          <w:sz w:val="13"/>
          <w:szCs w:val="13"/>
          <w:color w:val="auto"/>
        </w:rPr>
        <w:t>) of LOYENS &amp; LOEFF LUXEMBOURG SARL.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Luxembourg law legal opinion – Schlumberger Investment S.A.– S-3 Registration Statement</w:t>
      </w:r>
    </w:p>
    <w:p>
      <w:pPr>
        <w:spacing w:after="0" w:line="342" w:lineRule="exact"/>
        <w:rPr>
          <w:sz w:val="20"/>
          <w:szCs w:val="20"/>
          <w:color w:val="auto"/>
        </w:rPr>
      </w:pPr>
    </w:p>
    <w:p>
      <w:pPr>
        <w:jc w:val="right"/>
        <w:ind w:right="23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019"/>
          </w:cols>
          <w:pgMar w:left="1440" w:top="890" w:right="1440"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7201535" cy="32385"/>
                    </a:xfrm>
                    <a:prstGeom prst="rect">
                      <a:avLst/>
                    </a:prstGeom>
                    <a:noFill/>
                  </pic:spPr>
                </pic:pic>
              </a:graphicData>
            </a:graphic>
          </wp:anchor>
        </w:drawing>
        <w:drawing>
          <wp:anchor simplePos="0" relativeHeight="251657728" behindDoc="1" locked="0" layoutInCell="0" allowOverlap="1">
            <wp:simplePos x="0" y="0"/>
            <wp:positionH relativeFrom="page">
              <wp:posOffset>1058545</wp:posOffset>
            </wp:positionH>
            <wp:positionV relativeFrom="page">
              <wp:posOffset>161925</wp:posOffset>
            </wp:positionV>
            <wp:extent cx="1231265" cy="3397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1231265" cy="339725"/>
                    </a:xfrm>
                    <a:prstGeom prst="rect">
                      <a:avLst/>
                    </a:prstGeom>
                    <a:noFill/>
                  </pic:spPr>
                </pic:pic>
              </a:graphicData>
            </a:graphic>
          </wp:anchor>
        </w:drawing>
        <w:t>Schedule 1</w:t>
      </w:r>
    </w:p>
    <w:p>
      <w:pPr>
        <w:spacing w:after="0" w:line="164" w:lineRule="exact"/>
        <w:rPr>
          <w:sz w:val="20"/>
          <w:szCs w:val="20"/>
          <w:color w:val="auto"/>
        </w:rPr>
      </w:pPr>
    </w:p>
    <w:p>
      <w:pPr>
        <w:ind w:left="4000"/>
        <w:spacing w:after="0"/>
        <w:rPr>
          <w:sz w:val="20"/>
          <w:szCs w:val="20"/>
          <w:color w:val="auto"/>
        </w:rPr>
      </w:pPr>
      <w:r>
        <w:rPr>
          <w:rFonts w:ascii="Arial" w:cs="Arial" w:eastAsia="Arial" w:hAnsi="Arial"/>
          <w:sz w:val="14"/>
          <w:szCs w:val="14"/>
          <w:b w:val="1"/>
          <w:bCs w:val="1"/>
          <w:color w:val="auto"/>
        </w:rPr>
        <w:t>ASSUMPTIONS</w:t>
      </w:r>
    </w:p>
    <w:p>
      <w:pPr>
        <w:spacing w:after="0" w:line="16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The opinions in this opinion letter are subject to the following assumptions:</w:t>
      </w:r>
    </w:p>
    <w:p>
      <w:pPr>
        <w:spacing w:after="0" w:line="91" w:lineRule="exact"/>
        <w:rPr>
          <w:sz w:val="20"/>
          <w:szCs w:val="20"/>
          <w:color w:val="auto"/>
        </w:rPr>
      </w:pPr>
    </w:p>
    <w:p>
      <w:pPr>
        <w:ind w:left="640" w:hanging="413"/>
        <w:spacing w:after="0"/>
        <w:tabs>
          <w:tab w:leader="none" w:pos="640" w:val="left"/>
        </w:tabs>
        <w:numPr>
          <w:ilvl w:val="0"/>
          <w:numId w:val="53"/>
        </w:numPr>
        <w:rPr>
          <w:rFonts w:ascii="Arial" w:cs="Arial" w:eastAsia="Arial" w:hAnsi="Arial"/>
          <w:sz w:val="14"/>
          <w:szCs w:val="14"/>
          <w:b w:val="1"/>
          <w:bCs w:val="1"/>
          <w:color w:val="auto"/>
        </w:rPr>
      </w:pPr>
      <w:r>
        <w:rPr>
          <w:rFonts w:ascii="Arial" w:cs="Arial" w:eastAsia="Arial" w:hAnsi="Arial"/>
          <w:sz w:val="14"/>
          <w:szCs w:val="14"/>
          <w:b w:val="1"/>
          <w:bCs w:val="1"/>
          <w:color w:val="auto"/>
        </w:rPr>
        <w:t>DOCUMENTS</w:t>
      </w:r>
    </w:p>
    <w:p>
      <w:pPr>
        <w:spacing w:after="0" w:line="91" w:lineRule="exact"/>
        <w:rPr>
          <w:sz w:val="20"/>
          <w:szCs w:val="20"/>
          <w:color w:val="auto"/>
        </w:rPr>
      </w:pPr>
    </w:p>
    <w:p>
      <w:pPr>
        <w:ind w:left="640" w:right="359" w:hanging="418"/>
        <w:spacing w:after="0" w:line="269" w:lineRule="auto"/>
        <w:tabs>
          <w:tab w:leader="none" w:pos="620" w:val="left"/>
        </w:tabs>
        <w:rPr>
          <w:sz w:val="20"/>
          <w:szCs w:val="20"/>
          <w:color w:val="auto"/>
        </w:rPr>
      </w:pPr>
      <w:r>
        <w:rPr>
          <w:rFonts w:ascii="Arial" w:cs="Arial" w:eastAsia="Arial" w:hAnsi="Arial"/>
          <w:sz w:val="14"/>
          <w:szCs w:val="14"/>
          <w:color w:val="auto"/>
        </w:rPr>
        <w:t>1.1</w:t>
        <w:tab/>
        <w:t>All original documents are authentic, all signatures (whether handwritten or electronic) are genuine and were inserted or agreed to be inserted by the relevant individual, and all copies are complete and conform to the originals.</w:t>
      </w:r>
    </w:p>
    <w:p>
      <w:pPr>
        <w:spacing w:after="0" w:line="48" w:lineRule="exact"/>
        <w:rPr>
          <w:sz w:val="20"/>
          <w:szCs w:val="20"/>
          <w:color w:val="auto"/>
        </w:rPr>
      </w:pPr>
    </w:p>
    <w:p>
      <w:pPr>
        <w:ind w:left="640" w:right="339" w:hanging="418"/>
        <w:spacing w:after="0" w:line="269" w:lineRule="auto"/>
        <w:tabs>
          <w:tab w:leader="none" w:pos="620" w:val="left"/>
        </w:tabs>
        <w:rPr>
          <w:sz w:val="20"/>
          <w:szCs w:val="20"/>
          <w:color w:val="auto"/>
        </w:rPr>
      </w:pPr>
      <w:r>
        <w:rPr>
          <w:rFonts w:ascii="Arial" w:cs="Arial" w:eastAsia="Arial" w:hAnsi="Arial"/>
          <w:sz w:val="14"/>
          <w:szCs w:val="14"/>
          <w:color w:val="auto"/>
        </w:rPr>
        <w:t>1.2</w:t>
        <w:tab/>
        <w:t>The information contained and the statements made in the Excerpt and the RCS Certificate are true, accurate and complete at the Relevant Date.</w:t>
      </w:r>
    </w:p>
    <w:p>
      <w:pPr>
        <w:spacing w:after="0" w:line="48" w:lineRule="exact"/>
        <w:rPr>
          <w:sz w:val="20"/>
          <w:szCs w:val="20"/>
          <w:color w:val="auto"/>
        </w:rPr>
      </w:pPr>
    </w:p>
    <w:p>
      <w:pPr>
        <w:ind w:left="640" w:hanging="413"/>
        <w:spacing w:after="0"/>
        <w:tabs>
          <w:tab w:leader="none" w:pos="640" w:val="left"/>
        </w:tabs>
        <w:numPr>
          <w:ilvl w:val="0"/>
          <w:numId w:val="54"/>
        </w:numPr>
        <w:rPr>
          <w:rFonts w:ascii="Arial" w:cs="Arial" w:eastAsia="Arial" w:hAnsi="Arial"/>
          <w:sz w:val="14"/>
          <w:szCs w:val="14"/>
          <w:b w:val="1"/>
          <w:bCs w:val="1"/>
          <w:color w:val="auto"/>
        </w:rPr>
      </w:pPr>
      <w:r>
        <w:rPr>
          <w:rFonts w:ascii="Arial" w:cs="Arial" w:eastAsia="Arial" w:hAnsi="Arial"/>
          <w:sz w:val="14"/>
          <w:szCs w:val="14"/>
          <w:b w:val="1"/>
          <w:bCs w:val="1"/>
          <w:color w:val="auto"/>
        </w:rPr>
        <w:t>INCORPORATION, EXISTENCE, CORPORATE POWER</w:t>
      </w:r>
    </w:p>
    <w:p>
      <w:pPr>
        <w:spacing w:after="0" w:line="91" w:lineRule="exact"/>
        <w:rPr>
          <w:sz w:val="20"/>
          <w:szCs w:val="20"/>
          <w:color w:val="auto"/>
        </w:rPr>
      </w:pPr>
    </w:p>
    <w:p>
      <w:pPr>
        <w:ind w:left="640" w:right="399" w:hanging="418"/>
        <w:spacing w:after="0" w:line="269" w:lineRule="auto"/>
        <w:tabs>
          <w:tab w:leader="none" w:pos="620" w:val="left"/>
        </w:tabs>
        <w:rPr>
          <w:sz w:val="20"/>
          <w:szCs w:val="20"/>
          <w:color w:val="auto"/>
        </w:rPr>
      </w:pPr>
      <w:r>
        <w:rPr>
          <w:rFonts w:ascii="Arial" w:cs="Arial" w:eastAsia="Arial" w:hAnsi="Arial"/>
          <w:sz w:val="14"/>
          <w:szCs w:val="14"/>
          <w:color w:val="auto"/>
        </w:rPr>
        <w:t>2.1</w:t>
        <w:tab/>
        <w:t>There were no defects in the incorporation process of the Company (not appearing on the face of the Deed of Incorporation). The Articles are in full force and effect on the Relevant Date.</w:t>
      </w:r>
    </w:p>
    <w:p>
      <w:pPr>
        <w:spacing w:after="0" w:line="48" w:lineRule="exact"/>
        <w:rPr>
          <w:sz w:val="20"/>
          <w:szCs w:val="20"/>
          <w:color w:val="auto"/>
        </w:rPr>
      </w:pPr>
    </w:p>
    <w:p>
      <w:pPr>
        <w:jc w:val="right"/>
        <w:ind w:left="220" w:right="319"/>
        <w:spacing w:after="0" w:line="269" w:lineRule="auto"/>
        <w:rPr>
          <w:sz w:val="20"/>
          <w:szCs w:val="20"/>
          <w:color w:val="auto"/>
        </w:rPr>
      </w:pPr>
      <w:r>
        <w:rPr>
          <w:rFonts w:ascii="Arial" w:cs="Arial" w:eastAsia="Arial" w:hAnsi="Arial"/>
          <w:sz w:val="14"/>
          <w:szCs w:val="14"/>
          <w:color w:val="auto"/>
        </w:rPr>
        <w:t>2.2   The Company has its central administration (</w:t>
      </w:r>
      <w:r>
        <w:rPr>
          <w:rFonts w:ascii="Arial" w:cs="Arial" w:eastAsia="Arial" w:hAnsi="Arial"/>
          <w:sz w:val="14"/>
          <w:szCs w:val="14"/>
          <w:i w:val="1"/>
          <w:iCs w:val="1"/>
          <w:color w:val="auto"/>
        </w:rPr>
        <w:t>administration centrale</w:t>
      </w:r>
      <w:r>
        <w:rPr>
          <w:rFonts w:ascii="Arial" w:cs="Arial" w:eastAsia="Arial" w:hAnsi="Arial"/>
          <w:sz w:val="14"/>
          <w:szCs w:val="14"/>
          <w:color w:val="auto"/>
        </w:rPr>
        <w:t>) and its centre of main interest (as described in the Insolvency Regulation) in Luxembourg and does not have an establishment (as described in the Insolvency Regulation) outside Luxembourg.</w:t>
      </w:r>
    </w:p>
    <w:p>
      <w:pPr>
        <w:spacing w:after="0" w:line="48" w:lineRule="exact"/>
        <w:rPr>
          <w:sz w:val="20"/>
          <w:szCs w:val="20"/>
          <w:color w:val="auto"/>
        </w:rPr>
      </w:pPr>
    </w:p>
    <w:p>
      <w:pPr>
        <w:ind w:left="220"/>
        <w:spacing w:after="0"/>
        <w:tabs>
          <w:tab w:leader="none" w:pos="620"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3"/>
          <w:szCs w:val="13"/>
          <w:color w:val="auto"/>
        </w:rPr>
        <w:t>The Company complies with and adheres to all laws and regulations on the domiciliation of companies.</w:t>
      </w:r>
    </w:p>
    <w:p>
      <w:pPr>
        <w:spacing w:after="0" w:line="91" w:lineRule="exact"/>
        <w:rPr>
          <w:sz w:val="20"/>
          <w:szCs w:val="20"/>
          <w:color w:val="auto"/>
        </w:rPr>
      </w:pPr>
    </w:p>
    <w:p>
      <w:pPr>
        <w:ind w:left="640" w:right="519" w:hanging="418"/>
        <w:spacing w:after="0" w:line="251" w:lineRule="auto"/>
        <w:tabs>
          <w:tab w:leader="none" w:pos="620" w:val="left"/>
        </w:tabs>
        <w:rPr>
          <w:sz w:val="20"/>
          <w:szCs w:val="20"/>
          <w:color w:val="auto"/>
        </w:rPr>
      </w:pPr>
      <w:r>
        <w:rPr>
          <w:rFonts w:ascii="Arial" w:cs="Arial" w:eastAsia="Arial" w:hAnsi="Arial"/>
          <w:sz w:val="14"/>
          <w:szCs w:val="14"/>
          <w:color w:val="auto"/>
        </w:rPr>
        <w:t>2.4</w:t>
        <w:tab/>
        <w:t>The issue of the Debt Securities and the execution, entry into, performance and filing by the Company of the Registration Statement, and the transactions in connection therewith are (a) in its corporate interest, (b) with the intent of pursuing profit (</w:t>
      </w:r>
      <w:r>
        <w:rPr>
          <w:rFonts w:ascii="Arial" w:cs="Arial" w:eastAsia="Arial" w:hAnsi="Arial"/>
          <w:sz w:val="14"/>
          <w:szCs w:val="14"/>
          <w:i w:val="1"/>
          <w:iCs w:val="1"/>
          <w:color w:val="auto"/>
        </w:rPr>
        <w:t>but</w:t>
      </w:r>
      <w:r>
        <w:rPr>
          <w:rFonts w:ascii="Arial" w:cs="Arial" w:eastAsia="Arial" w:hAnsi="Arial"/>
          <w:sz w:val="14"/>
          <w:szCs w:val="14"/>
          <w:color w:val="auto"/>
        </w:rPr>
        <w:t xml:space="preserve"> </w:t>
      </w:r>
      <w:r>
        <w:rPr>
          <w:rFonts w:ascii="Arial" w:cs="Arial" w:eastAsia="Arial" w:hAnsi="Arial"/>
          <w:sz w:val="14"/>
          <w:szCs w:val="14"/>
          <w:i w:val="1"/>
          <w:iCs w:val="1"/>
          <w:color w:val="auto"/>
        </w:rPr>
        <w:t>lucratif</w:t>
      </w:r>
      <w:r>
        <w:rPr>
          <w:rFonts w:ascii="Arial" w:cs="Arial" w:eastAsia="Arial" w:hAnsi="Arial"/>
          <w:sz w:val="14"/>
          <w:szCs w:val="14"/>
          <w:color w:val="auto"/>
        </w:rPr>
        <w:t>) and (c) serving the corporate object of the Company.</w:t>
      </w:r>
    </w:p>
    <w:p>
      <w:pPr>
        <w:spacing w:after="0" w:line="61" w:lineRule="exact"/>
        <w:rPr>
          <w:sz w:val="20"/>
          <w:szCs w:val="20"/>
          <w:color w:val="auto"/>
        </w:rPr>
      </w:pPr>
    </w:p>
    <w:p>
      <w:pPr>
        <w:ind w:left="220"/>
        <w:spacing w:after="0"/>
        <w:tabs>
          <w:tab w:leader="none" w:pos="620" w:val="left"/>
        </w:tabs>
        <w:rPr>
          <w:sz w:val="20"/>
          <w:szCs w:val="20"/>
          <w:color w:val="auto"/>
        </w:rPr>
      </w:pPr>
      <w:r>
        <w:rPr>
          <w:rFonts w:ascii="Arial" w:cs="Arial" w:eastAsia="Arial" w:hAnsi="Arial"/>
          <w:sz w:val="14"/>
          <w:szCs w:val="14"/>
          <w:color w:val="auto"/>
        </w:rPr>
        <w:t>2.5</w:t>
        <w:tab/>
        <w:t>The Company will be validly existing under Luxembourg law at the date of the Authorisation.</w:t>
      </w:r>
    </w:p>
    <w:p>
      <w:pPr>
        <w:spacing w:after="0" w:line="91" w:lineRule="exact"/>
        <w:rPr>
          <w:sz w:val="20"/>
          <w:szCs w:val="20"/>
          <w:color w:val="auto"/>
        </w:rPr>
      </w:pPr>
    </w:p>
    <w:p>
      <w:pPr>
        <w:ind w:left="640" w:hanging="413"/>
        <w:spacing w:after="0"/>
        <w:tabs>
          <w:tab w:leader="none" w:pos="640" w:val="left"/>
        </w:tabs>
        <w:numPr>
          <w:ilvl w:val="0"/>
          <w:numId w:val="55"/>
        </w:numPr>
        <w:rPr>
          <w:rFonts w:ascii="Arial" w:cs="Arial" w:eastAsia="Arial" w:hAnsi="Arial"/>
          <w:sz w:val="14"/>
          <w:szCs w:val="14"/>
          <w:b w:val="1"/>
          <w:bCs w:val="1"/>
          <w:color w:val="auto"/>
        </w:rPr>
      </w:pPr>
      <w:r>
        <w:rPr>
          <w:rFonts w:ascii="Arial" w:cs="Arial" w:eastAsia="Arial" w:hAnsi="Arial"/>
          <w:sz w:val="14"/>
          <w:szCs w:val="14"/>
          <w:b w:val="1"/>
          <w:bCs w:val="1"/>
          <w:color w:val="auto"/>
        </w:rPr>
        <w:t>AUTHORISATION</w:t>
      </w:r>
    </w:p>
    <w:p>
      <w:pPr>
        <w:spacing w:after="0" w:line="80" w:lineRule="exact"/>
        <w:rPr>
          <w:rFonts w:ascii="Arial" w:cs="Arial" w:eastAsia="Arial" w:hAnsi="Arial"/>
          <w:sz w:val="14"/>
          <w:szCs w:val="14"/>
          <w:b w:val="1"/>
          <w:bCs w:val="1"/>
          <w:color w:val="auto"/>
        </w:rPr>
      </w:pPr>
    </w:p>
    <w:p>
      <w:pPr>
        <w:ind w:left="660" w:right="319"/>
        <w:spacing w:after="0" w:line="251" w:lineRule="auto"/>
        <w:rPr>
          <w:rFonts w:ascii="Arial" w:cs="Arial" w:eastAsia="Arial" w:hAnsi="Arial"/>
          <w:sz w:val="14"/>
          <w:szCs w:val="14"/>
          <w:b w:val="1"/>
          <w:bCs w:val="1"/>
          <w:color w:val="auto"/>
        </w:rPr>
      </w:pPr>
      <w:r>
        <w:rPr>
          <w:rFonts w:ascii="Arial" w:cs="Arial" w:eastAsia="Arial" w:hAnsi="Arial"/>
          <w:sz w:val="14"/>
          <w:szCs w:val="14"/>
          <w:color w:val="auto"/>
        </w:rPr>
        <w:t>The Company is not under any contractual obligation to obtain the consent, approval, co-operation, permission or otherwise of any third party or person in connection with the execution of, entry into, and performance of its obligations under, the Registration Statement and the issuance of the Debt Securities.</w:t>
      </w:r>
    </w:p>
    <w:p>
      <w:pPr>
        <w:spacing w:after="0" w:line="61" w:lineRule="exact"/>
        <w:rPr>
          <w:sz w:val="20"/>
          <w:szCs w:val="20"/>
          <w:color w:val="auto"/>
        </w:rPr>
      </w:pPr>
    </w:p>
    <w:p>
      <w:pPr>
        <w:ind w:left="640" w:hanging="413"/>
        <w:spacing w:after="0"/>
        <w:tabs>
          <w:tab w:leader="none" w:pos="640" w:val="left"/>
        </w:tabs>
        <w:numPr>
          <w:ilvl w:val="0"/>
          <w:numId w:val="56"/>
        </w:numPr>
        <w:rPr>
          <w:rFonts w:ascii="Arial" w:cs="Arial" w:eastAsia="Arial" w:hAnsi="Arial"/>
          <w:sz w:val="14"/>
          <w:szCs w:val="14"/>
          <w:b w:val="1"/>
          <w:bCs w:val="1"/>
          <w:color w:val="auto"/>
        </w:rPr>
      </w:pPr>
      <w:r>
        <w:rPr>
          <w:rFonts w:ascii="Arial" w:cs="Arial" w:eastAsia="Arial" w:hAnsi="Arial"/>
          <w:sz w:val="14"/>
          <w:szCs w:val="14"/>
          <w:b w:val="1"/>
          <w:bCs w:val="1"/>
          <w:color w:val="auto"/>
        </w:rPr>
        <w:t>REGULATORY</w:t>
      </w:r>
    </w:p>
    <w:p>
      <w:pPr>
        <w:spacing w:after="0" w:line="80" w:lineRule="exact"/>
        <w:rPr>
          <w:rFonts w:ascii="Arial" w:cs="Arial" w:eastAsia="Arial" w:hAnsi="Arial"/>
          <w:sz w:val="14"/>
          <w:szCs w:val="14"/>
          <w:b w:val="1"/>
          <w:bCs w:val="1"/>
          <w:color w:val="auto"/>
        </w:rPr>
      </w:pPr>
    </w:p>
    <w:p>
      <w:pPr>
        <w:ind w:left="660" w:right="259"/>
        <w:spacing w:after="0" w:line="246" w:lineRule="auto"/>
        <w:rPr>
          <w:rFonts w:ascii="Arial" w:cs="Arial" w:eastAsia="Arial" w:hAnsi="Arial"/>
          <w:sz w:val="14"/>
          <w:szCs w:val="14"/>
          <w:b w:val="1"/>
          <w:bCs w:val="1"/>
          <w:color w:val="auto"/>
        </w:rPr>
      </w:pPr>
      <w:r>
        <w:rPr>
          <w:rFonts w:ascii="Arial" w:cs="Arial" w:eastAsia="Arial" w:hAnsi="Arial"/>
          <w:sz w:val="14"/>
          <w:szCs w:val="14"/>
          <w:color w:val="auto"/>
        </w:rPr>
        <w:t>The Company does not carry out any activity in the financial sector or in the insurance sector on a professional basis (as referred to in the Luxembourg law dated 5 April 1993 on the financial sector, and the Luxembourg law dated 7 December 2015 on the insurance sector) or any activity requiring a business licence under the Luxembourg law dated 2 September 2011 governing the access to the professions of skilled craftsman, tradesman, manufacturer, as well as to certain liberal professions.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Luxembourg law legal opinion – Schlumberger Investment S.A.– S-3 Registration Statement</w:t>
      </w:r>
    </w:p>
    <w:p>
      <w:pPr>
        <w:spacing w:after="0" w:line="353" w:lineRule="exact"/>
        <w:rPr>
          <w:sz w:val="20"/>
          <w:szCs w:val="20"/>
          <w:color w:val="auto"/>
        </w:rPr>
      </w:pPr>
    </w:p>
    <w:p>
      <w:pPr>
        <w:jc w:val="right"/>
        <w:ind w:right="2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019"/>
          </w:cols>
          <w:pgMar w:left="1440" w:top="890" w:right="1440" w:bottom="1440" w:gutter="0" w:footer="0" w:header="0"/>
        </w:sectPr>
      </w:pPr>
    </w:p>
    <w:bookmarkStart w:id="59" w:name="page60"/>
    <w:bookmarkEnd w:id="59"/>
    <w:p>
      <w:pPr>
        <w:ind w:left="640" w:hanging="413"/>
        <w:spacing w:after="0"/>
        <w:tabs>
          <w:tab w:leader="none" w:pos="640" w:val="left"/>
        </w:tabs>
        <w:numPr>
          <w:ilvl w:val="0"/>
          <w:numId w:val="57"/>
        </w:numPr>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7201535" cy="32385"/>
                    </a:xfrm>
                    <a:prstGeom prst="rect">
                      <a:avLst/>
                    </a:prstGeom>
                    <a:noFill/>
                  </pic:spPr>
                </pic:pic>
              </a:graphicData>
            </a:graphic>
          </wp:anchor>
        </w:drawing>
        <w:drawing>
          <wp:anchor simplePos="0" relativeHeight="251657728" behindDoc="1" locked="0" layoutInCell="0" allowOverlap="1">
            <wp:simplePos x="0" y="0"/>
            <wp:positionH relativeFrom="page">
              <wp:posOffset>1058545</wp:posOffset>
            </wp:positionH>
            <wp:positionV relativeFrom="page">
              <wp:posOffset>161925</wp:posOffset>
            </wp:positionV>
            <wp:extent cx="1231265" cy="3397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1231265" cy="339725"/>
                    </a:xfrm>
                    <a:prstGeom prst="rect">
                      <a:avLst/>
                    </a:prstGeom>
                    <a:noFill/>
                  </pic:spPr>
                </pic:pic>
              </a:graphicData>
            </a:graphic>
          </wp:anchor>
        </w:drawing>
        <w:t>MISCELLANEOUS</w:t>
      </w:r>
    </w:p>
    <w:p>
      <w:pPr>
        <w:spacing w:after="0" w:line="91" w:lineRule="exact"/>
        <w:rPr>
          <w:sz w:val="20"/>
          <w:szCs w:val="20"/>
          <w:color w:val="auto"/>
        </w:rPr>
      </w:pPr>
    </w:p>
    <w:p>
      <w:pPr>
        <w:ind w:left="640" w:right="239" w:hanging="418"/>
        <w:spacing w:after="0" w:line="246" w:lineRule="auto"/>
        <w:tabs>
          <w:tab w:leader="none" w:pos="620" w:val="left"/>
        </w:tabs>
        <w:rPr>
          <w:sz w:val="20"/>
          <w:szCs w:val="20"/>
          <w:color w:val="auto"/>
        </w:rPr>
      </w:pPr>
      <w:r>
        <w:rPr>
          <w:rFonts w:ascii="Arial" w:cs="Arial" w:eastAsia="Arial" w:hAnsi="Arial"/>
          <w:sz w:val="14"/>
          <w:szCs w:val="14"/>
          <w:color w:val="auto"/>
        </w:rPr>
        <w:t>5.1</w:t>
        <w:tab/>
        <w:t>The Company will issue the Debt Securities and execute and perform its obligations under the Registration Statement (and all documents in connection therewith) in good faith, for the purpose of carrying out its business and without any intention to defraud or deprive of any legal benefit any other party (including third party creditors) or to circumvent any mandatory law, regulation of any jurisdiction or contractual arrangements.</w:t>
      </w:r>
    </w:p>
    <w:p>
      <w:pPr>
        <w:spacing w:after="0" w:line="63" w:lineRule="exact"/>
        <w:rPr>
          <w:sz w:val="20"/>
          <w:szCs w:val="20"/>
          <w:color w:val="auto"/>
        </w:rPr>
      </w:pPr>
    </w:p>
    <w:p>
      <w:pPr>
        <w:ind w:left="640" w:right="379" w:hanging="418"/>
        <w:spacing w:after="0" w:line="269" w:lineRule="auto"/>
        <w:tabs>
          <w:tab w:leader="none" w:pos="620" w:val="left"/>
        </w:tabs>
        <w:rPr>
          <w:sz w:val="20"/>
          <w:szCs w:val="20"/>
          <w:color w:val="auto"/>
        </w:rPr>
      </w:pPr>
      <w:r>
        <w:rPr>
          <w:rFonts w:ascii="Arial" w:cs="Arial" w:eastAsia="Arial" w:hAnsi="Arial"/>
          <w:sz w:val="14"/>
          <w:szCs w:val="14"/>
          <w:color w:val="auto"/>
        </w:rPr>
        <w:t>5.2</w:t>
        <w:tab/>
        <w:t>There are no provisions in the laws of any jurisdiction (other than Luxembourg) or in the documents mentioned in the Registration Statement, which would adversely affect, or otherwise have any negative impact on this opinion letter.</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Luxembourg law legal opinion – Schlumberger Investment S.A.– S-3 Registration Statement</w:t>
      </w:r>
    </w:p>
    <w:p>
      <w:pPr>
        <w:spacing w:after="0" w:line="353" w:lineRule="exact"/>
        <w:rPr>
          <w:sz w:val="20"/>
          <w:szCs w:val="20"/>
          <w:color w:val="auto"/>
        </w:rPr>
      </w:pPr>
    </w:p>
    <w:p>
      <w:pPr>
        <w:jc w:val="right"/>
        <w:ind w:right="23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9019"/>
          </w:cols>
          <w:pgMar w:left="1440" w:top="890" w:right="1440"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7201535" cy="32385"/>
                    </a:xfrm>
                    <a:prstGeom prst="rect">
                      <a:avLst/>
                    </a:prstGeom>
                    <a:noFill/>
                  </pic:spPr>
                </pic:pic>
              </a:graphicData>
            </a:graphic>
          </wp:anchor>
        </w:drawing>
        <w:drawing>
          <wp:anchor simplePos="0" relativeHeight="251657728" behindDoc="1" locked="0" layoutInCell="0" allowOverlap="1">
            <wp:simplePos x="0" y="0"/>
            <wp:positionH relativeFrom="page">
              <wp:posOffset>1058545</wp:posOffset>
            </wp:positionH>
            <wp:positionV relativeFrom="page">
              <wp:posOffset>161925</wp:posOffset>
            </wp:positionV>
            <wp:extent cx="1231265" cy="3397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1231265" cy="339725"/>
                    </a:xfrm>
                    <a:prstGeom prst="rect">
                      <a:avLst/>
                    </a:prstGeom>
                    <a:noFill/>
                  </pic:spPr>
                </pic:pic>
              </a:graphicData>
            </a:graphic>
          </wp:anchor>
        </w:drawing>
        <w:t>Schedule 2</w:t>
      </w:r>
    </w:p>
    <w:p>
      <w:pPr>
        <w:spacing w:after="0" w:line="164" w:lineRule="exact"/>
        <w:rPr>
          <w:sz w:val="20"/>
          <w:szCs w:val="20"/>
          <w:color w:val="auto"/>
        </w:rPr>
      </w:pPr>
    </w:p>
    <w:p>
      <w:pPr>
        <w:ind w:left="3920"/>
        <w:spacing w:after="0"/>
        <w:rPr>
          <w:sz w:val="20"/>
          <w:szCs w:val="20"/>
          <w:color w:val="auto"/>
        </w:rPr>
      </w:pPr>
      <w:r>
        <w:rPr>
          <w:rFonts w:ascii="Arial" w:cs="Arial" w:eastAsia="Arial" w:hAnsi="Arial"/>
          <w:sz w:val="14"/>
          <w:szCs w:val="14"/>
          <w:b w:val="1"/>
          <w:bCs w:val="1"/>
          <w:color w:val="auto"/>
        </w:rPr>
        <w:t>QUALIFICATIONS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The opinions in this opinion letter are subject to the following qualifications:</w:t>
      </w:r>
    </w:p>
    <w:p>
      <w:pPr>
        <w:spacing w:after="0" w:line="91" w:lineRule="exact"/>
        <w:rPr>
          <w:sz w:val="20"/>
          <w:szCs w:val="20"/>
          <w:color w:val="auto"/>
        </w:rPr>
      </w:pPr>
    </w:p>
    <w:p>
      <w:pPr>
        <w:ind w:left="640" w:hanging="413"/>
        <w:spacing w:after="0"/>
        <w:tabs>
          <w:tab w:leader="none" w:pos="640" w:val="left"/>
        </w:tabs>
        <w:numPr>
          <w:ilvl w:val="0"/>
          <w:numId w:val="58"/>
        </w:numPr>
        <w:rPr>
          <w:rFonts w:ascii="Arial" w:cs="Arial" w:eastAsia="Arial" w:hAnsi="Arial"/>
          <w:sz w:val="14"/>
          <w:szCs w:val="14"/>
          <w:b w:val="1"/>
          <w:bCs w:val="1"/>
          <w:color w:val="auto"/>
        </w:rPr>
      </w:pPr>
      <w:r>
        <w:rPr>
          <w:rFonts w:ascii="Arial" w:cs="Arial" w:eastAsia="Arial" w:hAnsi="Arial"/>
          <w:sz w:val="14"/>
          <w:szCs w:val="14"/>
          <w:b w:val="1"/>
          <w:bCs w:val="1"/>
          <w:color w:val="auto"/>
        </w:rPr>
        <w:t>INSOLVENCY</w:t>
      </w:r>
    </w:p>
    <w:p>
      <w:pPr>
        <w:spacing w:after="0" w:line="80" w:lineRule="exact"/>
        <w:rPr>
          <w:rFonts w:ascii="Arial" w:cs="Arial" w:eastAsia="Arial" w:hAnsi="Arial"/>
          <w:sz w:val="14"/>
          <w:szCs w:val="14"/>
          <w:b w:val="1"/>
          <w:bCs w:val="1"/>
          <w:color w:val="auto"/>
        </w:rPr>
      </w:pPr>
    </w:p>
    <w:p>
      <w:pPr>
        <w:ind w:left="660" w:right="499"/>
        <w:spacing w:after="0" w:line="269" w:lineRule="auto"/>
        <w:rPr>
          <w:rFonts w:ascii="Arial" w:cs="Arial" w:eastAsia="Arial" w:hAnsi="Arial"/>
          <w:sz w:val="14"/>
          <w:szCs w:val="14"/>
          <w:b w:val="1"/>
          <w:bCs w:val="1"/>
          <w:color w:val="auto"/>
        </w:rPr>
      </w:pPr>
      <w:r>
        <w:rPr>
          <w:rFonts w:ascii="Arial" w:cs="Arial" w:eastAsia="Arial" w:hAnsi="Arial"/>
          <w:sz w:val="14"/>
          <w:szCs w:val="14"/>
          <w:color w:val="auto"/>
        </w:rPr>
        <w:t>This opinion letter is subject to all limitations resulting from the application of Luxembourg public policy rules, overriding statutes and mandatory laws as well as to all limitations by reasons of Insolvency Proceedings.</w:t>
      </w:r>
    </w:p>
    <w:p>
      <w:pPr>
        <w:spacing w:after="0" w:line="48" w:lineRule="exact"/>
        <w:rPr>
          <w:sz w:val="20"/>
          <w:szCs w:val="20"/>
          <w:color w:val="auto"/>
        </w:rPr>
      </w:pPr>
    </w:p>
    <w:p>
      <w:pPr>
        <w:ind w:left="640" w:hanging="413"/>
        <w:spacing w:after="0"/>
        <w:tabs>
          <w:tab w:leader="none" w:pos="640" w:val="left"/>
        </w:tabs>
        <w:numPr>
          <w:ilvl w:val="0"/>
          <w:numId w:val="59"/>
        </w:numPr>
        <w:rPr>
          <w:rFonts w:ascii="Arial" w:cs="Arial" w:eastAsia="Arial" w:hAnsi="Arial"/>
          <w:sz w:val="14"/>
          <w:szCs w:val="14"/>
          <w:b w:val="1"/>
          <w:bCs w:val="1"/>
          <w:color w:val="auto"/>
        </w:rPr>
      </w:pPr>
      <w:r>
        <w:rPr>
          <w:rFonts w:ascii="Arial" w:cs="Arial" w:eastAsia="Arial" w:hAnsi="Arial"/>
          <w:sz w:val="14"/>
          <w:szCs w:val="14"/>
          <w:b w:val="1"/>
          <w:bCs w:val="1"/>
          <w:color w:val="auto"/>
        </w:rPr>
        <w:t>ACCURACY OF INFORMATION</w:t>
      </w:r>
    </w:p>
    <w:p>
      <w:pPr>
        <w:spacing w:after="0" w:line="91" w:lineRule="exact"/>
        <w:rPr>
          <w:sz w:val="20"/>
          <w:szCs w:val="20"/>
          <w:color w:val="auto"/>
        </w:rPr>
      </w:pPr>
    </w:p>
    <w:p>
      <w:pPr>
        <w:ind w:left="640" w:right="319" w:hanging="418"/>
        <w:spacing w:after="0" w:line="280" w:lineRule="auto"/>
        <w:tabs>
          <w:tab w:leader="none" w:pos="62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3"/>
          <w:szCs w:val="13"/>
          <w:color w:val="auto"/>
        </w:rPr>
        <w:t>Corporate documents of, and court orders affecting, the Company may not be available at the RCS forthwith upon their execution and filing and there may be a delay in the filing and publication of the documents or notices related thereto. We express no opinion as to the consequences of any failure by the Company to comply with its filing, notification, reporting and publication obligations.</w:t>
      </w:r>
    </w:p>
    <w:p>
      <w:pPr>
        <w:spacing w:after="0" w:line="43" w:lineRule="exact"/>
        <w:rPr>
          <w:sz w:val="20"/>
          <w:szCs w:val="20"/>
          <w:color w:val="auto"/>
        </w:rPr>
      </w:pPr>
    </w:p>
    <w:p>
      <w:pPr>
        <w:ind w:left="640" w:right="299" w:hanging="418"/>
        <w:spacing w:after="0" w:line="243" w:lineRule="auto"/>
        <w:tabs>
          <w:tab w:leader="none" w:pos="620" w:val="left"/>
        </w:tabs>
        <w:rPr>
          <w:sz w:val="20"/>
          <w:szCs w:val="20"/>
          <w:color w:val="auto"/>
        </w:rPr>
      </w:pPr>
      <w:r>
        <w:rPr>
          <w:rFonts w:ascii="Arial" w:cs="Arial" w:eastAsia="Arial" w:hAnsi="Arial"/>
          <w:sz w:val="14"/>
          <w:szCs w:val="14"/>
          <w:color w:val="auto"/>
        </w:rPr>
        <w:t>2.2</w:t>
        <w:tab/>
        <w:t>Documents relating to a Luxembourg company whose publication is required by law will only be valid towards third parties from the day of their publication with the Electronic Register of Companies and Associations (</w:t>
      </w:r>
      <w:r>
        <w:rPr>
          <w:rFonts w:ascii="Arial" w:cs="Arial" w:eastAsia="Arial" w:hAnsi="Arial"/>
          <w:sz w:val="14"/>
          <w:szCs w:val="14"/>
          <w:i w:val="1"/>
          <w:iCs w:val="1"/>
          <w:color w:val="auto"/>
        </w:rPr>
        <w:t>Recueil Electronique des Sociétés et</w:t>
      </w:r>
      <w:r>
        <w:rPr>
          <w:rFonts w:ascii="Arial" w:cs="Arial" w:eastAsia="Arial" w:hAnsi="Arial"/>
          <w:sz w:val="14"/>
          <w:szCs w:val="14"/>
          <w:color w:val="auto"/>
        </w:rPr>
        <w:t xml:space="preserve"> </w:t>
      </w:r>
      <w:r>
        <w:rPr>
          <w:rFonts w:ascii="Arial" w:cs="Arial" w:eastAsia="Arial" w:hAnsi="Arial"/>
          <w:sz w:val="14"/>
          <w:szCs w:val="14"/>
          <w:i w:val="1"/>
          <w:iCs w:val="1"/>
          <w:color w:val="auto"/>
        </w:rPr>
        <w:t>Associations)</w:t>
      </w:r>
      <w:r>
        <w:rPr>
          <w:rFonts w:ascii="Arial" w:cs="Arial" w:eastAsia="Arial" w:hAnsi="Arial"/>
          <w:sz w:val="14"/>
          <w:szCs w:val="14"/>
          <w:color w:val="auto"/>
        </w:rPr>
        <w:t>, unless the company proves that the relevant third parties had prior knowledge thereof. Third parties may however</w:t>
      </w:r>
      <w:r>
        <w:rPr>
          <w:rFonts w:ascii="Arial" w:cs="Arial" w:eastAsia="Arial" w:hAnsi="Arial"/>
          <w:sz w:val="14"/>
          <w:szCs w:val="14"/>
          <w:i w:val="1"/>
          <w:iCs w:val="1"/>
          <w:color w:val="auto"/>
        </w:rPr>
        <w:t xml:space="preserve"> </w:t>
      </w:r>
      <w:r>
        <w:rPr>
          <w:rFonts w:ascii="Arial" w:cs="Arial" w:eastAsia="Arial" w:hAnsi="Arial"/>
          <w:sz w:val="14"/>
          <w:szCs w:val="14"/>
          <w:color w:val="auto"/>
        </w:rPr>
        <w:t>rely upon such documents which have not yet been published. For 15 days following their publication, such documents will not be valid towards third parties who prove the impossibility for them to have knowledge thereof.</w:t>
      </w:r>
    </w:p>
    <w:p>
      <w:pPr>
        <w:spacing w:after="0" w:line="66" w:lineRule="exact"/>
        <w:rPr>
          <w:sz w:val="20"/>
          <w:szCs w:val="20"/>
          <w:color w:val="auto"/>
        </w:rPr>
      </w:pPr>
    </w:p>
    <w:p>
      <w:pPr>
        <w:jc w:val="both"/>
        <w:ind w:left="640" w:right="279" w:hanging="418"/>
        <w:spacing w:after="0" w:line="251" w:lineRule="auto"/>
        <w:tabs>
          <w:tab w:leader="none" w:pos="620" w:val="left"/>
        </w:tabs>
        <w:rPr>
          <w:sz w:val="20"/>
          <w:szCs w:val="20"/>
          <w:color w:val="auto"/>
        </w:rPr>
      </w:pPr>
      <w:r>
        <w:rPr>
          <w:rFonts w:ascii="Arial" w:cs="Arial" w:eastAsia="Arial" w:hAnsi="Arial"/>
          <w:sz w:val="14"/>
          <w:szCs w:val="14"/>
          <w:color w:val="auto"/>
        </w:rPr>
        <w:t>2.3</w:t>
        <w:tab/>
        <w:t>The Articles, the Excerpt and the RCS Certificate do not constitute conclusive evidence whether or not a winding-up, administration petition or order has been presented or made, a receiver has been appointed, an arrangement with creditors has been proposed or approved or any other Insolvency Proceedings have commenced.</w:t>
      </w:r>
    </w:p>
    <w:p>
      <w:pPr>
        <w:spacing w:after="0" w:line="61" w:lineRule="exact"/>
        <w:rPr>
          <w:sz w:val="20"/>
          <w:szCs w:val="20"/>
          <w:color w:val="auto"/>
        </w:rPr>
      </w:pPr>
    </w:p>
    <w:p>
      <w:pPr>
        <w:ind w:left="640" w:hanging="413"/>
        <w:spacing w:after="0"/>
        <w:tabs>
          <w:tab w:leader="none" w:pos="640" w:val="left"/>
        </w:tabs>
        <w:numPr>
          <w:ilvl w:val="0"/>
          <w:numId w:val="60"/>
        </w:numPr>
        <w:rPr>
          <w:rFonts w:ascii="Arial" w:cs="Arial" w:eastAsia="Arial" w:hAnsi="Arial"/>
          <w:sz w:val="14"/>
          <w:szCs w:val="14"/>
          <w:b w:val="1"/>
          <w:bCs w:val="1"/>
          <w:color w:val="auto"/>
        </w:rPr>
      </w:pPr>
      <w:r>
        <w:rPr>
          <w:rFonts w:ascii="Arial" w:cs="Arial" w:eastAsia="Arial" w:hAnsi="Arial"/>
          <w:sz w:val="14"/>
          <w:szCs w:val="14"/>
          <w:b w:val="1"/>
          <w:bCs w:val="1"/>
          <w:color w:val="auto"/>
        </w:rPr>
        <w:t>INCORPORATION, EXISTENCE AND CORPORATE POWER</w:t>
      </w:r>
    </w:p>
    <w:p>
      <w:pPr>
        <w:spacing w:after="0" w:line="91" w:lineRule="exact"/>
        <w:rPr>
          <w:sz w:val="20"/>
          <w:szCs w:val="20"/>
          <w:color w:val="auto"/>
        </w:rPr>
      </w:pPr>
    </w:p>
    <w:p>
      <w:pPr>
        <w:ind w:left="640" w:right="419" w:hanging="418"/>
        <w:spacing w:after="0" w:line="243" w:lineRule="auto"/>
        <w:tabs>
          <w:tab w:leader="none" w:pos="620" w:val="left"/>
        </w:tabs>
        <w:rPr>
          <w:sz w:val="20"/>
          <w:szCs w:val="20"/>
          <w:color w:val="auto"/>
        </w:rPr>
      </w:pPr>
      <w:r>
        <w:rPr>
          <w:rFonts w:ascii="Arial" w:cs="Arial" w:eastAsia="Arial" w:hAnsi="Arial"/>
          <w:sz w:val="14"/>
          <w:szCs w:val="14"/>
          <w:color w:val="auto"/>
        </w:rPr>
        <w:t>3.1</w:t>
        <w:tab/>
        <w:t>Our opinion that the Company exists is based on the Corporate Documents, the Excerpt and the RCS Certificate (which confirms that no judicial decision or administrative dissolution without liquidation procedure (</w:t>
      </w:r>
      <w:r>
        <w:rPr>
          <w:rFonts w:ascii="Arial" w:cs="Arial" w:eastAsia="Arial" w:hAnsi="Arial"/>
          <w:sz w:val="14"/>
          <w:szCs w:val="14"/>
          <w:i w:val="1"/>
          <w:iCs w:val="1"/>
          <w:color w:val="auto"/>
        </w:rPr>
        <w:t>procédure de dissolution administrative sans</w:t>
      </w:r>
      <w:r>
        <w:rPr>
          <w:rFonts w:ascii="Arial" w:cs="Arial" w:eastAsia="Arial" w:hAnsi="Arial"/>
          <w:sz w:val="14"/>
          <w:szCs w:val="14"/>
          <w:color w:val="auto"/>
        </w:rPr>
        <w:t xml:space="preserve"> </w:t>
      </w:r>
      <w:r>
        <w:rPr>
          <w:rFonts w:ascii="Arial" w:cs="Arial" w:eastAsia="Arial" w:hAnsi="Arial"/>
          <w:sz w:val="14"/>
          <w:szCs w:val="14"/>
          <w:i w:val="1"/>
          <w:iCs w:val="1"/>
          <w:color w:val="auto"/>
        </w:rPr>
        <w:t>liquidation</w:t>
      </w:r>
      <w:r>
        <w:rPr>
          <w:rFonts w:ascii="Arial" w:cs="Arial" w:eastAsia="Arial" w:hAnsi="Arial"/>
          <w:sz w:val="14"/>
          <w:szCs w:val="14"/>
          <w:color w:val="auto"/>
        </w:rPr>
        <w:t>) pertaining to the Company have been registered with the RCS, in accordance with article 13, paragraphs 4 to 12, 16</w:t>
      </w:r>
      <w:r>
        <w:rPr>
          <w:rFonts w:ascii="Arial" w:cs="Arial" w:eastAsia="Arial" w:hAnsi="Arial"/>
          <w:sz w:val="14"/>
          <w:szCs w:val="14"/>
          <w:i w:val="1"/>
          <w:iCs w:val="1"/>
          <w:color w:val="auto"/>
        </w:rPr>
        <w:t xml:space="preserve"> </w:t>
      </w:r>
      <w:r>
        <w:rPr>
          <w:rFonts w:ascii="Arial" w:cs="Arial" w:eastAsia="Arial" w:hAnsi="Arial"/>
          <w:sz w:val="14"/>
          <w:szCs w:val="14"/>
          <w:color w:val="auto"/>
        </w:rPr>
        <w:t>and 17 of the Luxembourg law of 19 December 2002 on the Trade and Companies Register and the accounting and annual accounts of companies).</w:t>
      </w:r>
    </w:p>
    <w:p>
      <w:pPr>
        <w:spacing w:after="0" w:line="66" w:lineRule="exact"/>
        <w:rPr>
          <w:sz w:val="20"/>
          <w:szCs w:val="20"/>
          <w:color w:val="auto"/>
        </w:rPr>
      </w:pPr>
    </w:p>
    <w:p>
      <w:pPr>
        <w:jc w:val="both"/>
        <w:ind w:left="640" w:right="359" w:hanging="418"/>
        <w:spacing w:after="0" w:line="251" w:lineRule="auto"/>
        <w:tabs>
          <w:tab w:leader="none" w:pos="620" w:val="left"/>
        </w:tabs>
        <w:rPr>
          <w:sz w:val="20"/>
          <w:szCs w:val="20"/>
          <w:color w:val="auto"/>
        </w:rPr>
      </w:pPr>
      <w:r>
        <w:rPr>
          <w:rFonts w:ascii="Arial" w:cs="Arial" w:eastAsia="Arial" w:hAnsi="Arial"/>
          <w:sz w:val="14"/>
          <w:szCs w:val="14"/>
          <w:color w:val="auto"/>
        </w:rPr>
        <w:t>3.2</w:t>
        <w:tab/>
        <w:t>Luxembourg companies must deposit annual accounts within one month of their approval by the general meeting of shareholders and no later than seven months after the end of the financial year. The public prosecutor may request the judicial liquidation of the defaulting company.</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Luxembourg law legal opinion – Schlumberger Investment S.A.– S-3 Registration Statement</w:t>
      </w:r>
    </w:p>
    <w:p>
      <w:pPr>
        <w:spacing w:after="0" w:line="353" w:lineRule="exact"/>
        <w:rPr>
          <w:sz w:val="20"/>
          <w:szCs w:val="20"/>
          <w:color w:val="auto"/>
        </w:rPr>
      </w:pPr>
    </w:p>
    <w:p>
      <w:pPr>
        <w:jc w:val="right"/>
        <w:ind w:right="23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9019"/>
          </w:cols>
          <w:pgMar w:left="1440" w:top="890" w:right="1440" w:bottom="1440" w:gutter="0" w:footer="0" w:header="0"/>
        </w:sectPr>
      </w:pPr>
    </w:p>
    <w:bookmarkStart w:id="61" w:name="page62"/>
    <w:bookmarkEnd w:id="61"/>
    <w:p>
      <w:pPr>
        <w:ind w:left="640" w:hanging="413"/>
        <w:spacing w:after="0"/>
        <w:tabs>
          <w:tab w:leader="none" w:pos="640" w:val="left"/>
        </w:tabs>
        <w:numPr>
          <w:ilvl w:val="0"/>
          <w:numId w:val="61"/>
        </w:numPr>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7201535" cy="32385"/>
                    </a:xfrm>
                    <a:prstGeom prst="rect">
                      <a:avLst/>
                    </a:prstGeom>
                    <a:noFill/>
                  </pic:spPr>
                </pic:pic>
              </a:graphicData>
            </a:graphic>
          </wp:anchor>
        </w:drawing>
        <w:drawing>
          <wp:anchor simplePos="0" relativeHeight="251657728" behindDoc="1" locked="0" layoutInCell="0" allowOverlap="1">
            <wp:simplePos x="0" y="0"/>
            <wp:positionH relativeFrom="page">
              <wp:posOffset>1058545</wp:posOffset>
            </wp:positionH>
            <wp:positionV relativeFrom="page">
              <wp:posOffset>161925</wp:posOffset>
            </wp:positionV>
            <wp:extent cx="1231265" cy="3397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1231265" cy="339725"/>
                    </a:xfrm>
                    <a:prstGeom prst="rect">
                      <a:avLst/>
                    </a:prstGeom>
                    <a:noFill/>
                  </pic:spPr>
                </pic:pic>
              </a:graphicData>
            </a:graphic>
          </wp:anchor>
        </w:drawing>
        <w:t>ENFORCEABILITY</w:t>
      </w:r>
    </w:p>
    <w:p>
      <w:pPr>
        <w:spacing w:after="0" w:line="80" w:lineRule="exact"/>
        <w:rPr>
          <w:rFonts w:ascii="Arial" w:cs="Arial" w:eastAsia="Arial" w:hAnsi="Arial"/>
          <w:sz w:val="14"/>
          <w:szCs w:val="14"/>
          <w:b w:val="1"/>
          <w:bCs w:val="1"/>
          <w:color w:val="auto"/>
        </w:rPr>
      </w:pPr>
    </w:p>
    <w:p>
      <w:pPr>
        <w:ind w:left="660" w:right="359"/>
        <w:spacing w:after="0" w:line="246" w:lineRule="auto"/>
        <w:rPr>
          <w:rFonts w:ascii="Arial" w:cs="Arial" w:eastAsia="Arial" w:hAnsi="Arial"/>
          <w:sz w:val="14"/>
          <w:szCs w:val="14"/>
          <w:b w:val="1"/>
          <w:bCs w:val="1"/>
          <w:color w:val="auto"/>
        </w:rPr>
      </w:pPr>
      <w:r>
        <w:rPr>
          <w:rFonts w:ascii="Arial" w:cs="Arial" w:eastAsia="Arial" w:hAnsi="Arial"/>
          <w:sz w:val="14"/>
          <w:szCs w:val="14"/>
          <w:color w:val="auto"/>
        </w:rPr>
        <w:t>The opinions expressed herein may be affected by general principles and defences under Luxembourg law, such as the principles of reasonableness and fairness, good faith, abuse of rights, modification on grounds of unforeseen circumstances, limitations by criminal law, undue influence, force majeure, the right to suspend performance as long as the other party is in default in respect of its obligations, the right to set-off and the right to dissolve a transaction upon default by the other party.</w:t>
      </w:r>
    </w:p>
    <w:p>
      <w:pPr>
        <w:spacing w:after="0" w:line="63" w:lineRule="exact"/>
        <w:rPr>
          <w:sz w:val="20"/>
          <w:szCs w:val="20"/>
          <w:color w:val="auto"/>
        </w:rPr>
      </w:pPr>
    </w:p>
    <w:p>
      <w:pPr>
        <w:ind w:left="640" w:hanging="413"/>
        <w:spacing w:after="0"/>
        <w:tabs>
          <w:tab w:leader="none" w:pos="640" w:val="left"/>
        </w:tabs>
        <w:numPr>
          <w:ilvl w:val="0"/>
          <w:numId w:val="62"/>
        </w:numPr>
        <w:rPr>
          <w:rFonts w:ascii="Arial" w:cs="Arial" w:eastAsia="Arial" w:hAnsi="Arial"/>
          <w:sz w:val="14"/>
          <w:szCs w:val="14"/>
          <w:b w:val="1"/>
          <w:bCs w:val="1"/>
          <w:color w:val="auto"/>
        </w:rPr>
      </w:pPr>
      <w:r>
        <w:rPr>
          <w:rFonts w:ascii="Arial" w:cs="Arial" w:eastAsia="Arial" w:hAnsi="Arial"/>
          <w:sz w:val="14"/>
          <w:szCs w:val="14"/>
          <w:b w:val="1"/>
          <w:bCs w:val="1"/>
          <w:color w:val="auto"/>
        </w:rPr>
        <w:t>MISCELLANEOUS</w:t>
      </w:r>
    </w:p>
    <w:p>
      <w:pPr>
        <w:spacing w:after="0" w:line="91" w:lineRule="exact"/>
        <w:rPr>
          <w:sz w:val="20"/>
          <w:szCs w:val="20"/>
          <w:color w:val="auto"/>
        </w:rPr>
      </w:pPr>
    </w:p>
    <w:p>
      <w:pPr>
        <w:ind w:left="640" w:right="419" w:hanging="418"/>
        <w:spacing w:after="0" w:line="246" w:lineRule="auto"/>
        <w:tabs>
          <w:tab w:leader="none" w:pos="620" w:val="left"/>
        </w:tabs>
        <w:rPr>
          <w:sz w:val="20"/>
          <w:szCs w:val="20"/>
          <w:color w:val="auto"/>
        </w:rPr>
      </w:pPr>
      <w:r>
        <w:rPr>
          <w:rFonts w:ascii="Arial" w:cs="Arial" w:eastAsia="Arial" w:hAnsi="Arial"/>
          <w:sz w:val="14"/>
          <w:szCs w:val="14"/>
          <w:color w:val="auto"/>
        </w:rPr>
        <w:t>5.1</w:t>
        <w:tab/>
        <w:t>A Luxembourg company may only enter into transactions which are in its corporate interest. The question of whether or not a transaction is in a company’s corporate interest, is largely dependent on factual considerations and the responsibility for such assessment is that of the board of directors or managers of the relevant company. If any such transaction is subsequently held to be contrary to a company’s corporate interest, it could be held to be null and void.</w:t>
      </w:r>
    </w:p>
    <w:p>
      <w:pPr>
        <w:spacing w:after="0" w:line="63" w:lineRule="exact"/>
        <w:rPr>
          <w:sz w:val="20"/>
          <w:szCs w:val="20"/>
          <w:color w:val="auto"/>
        </w:rPr>
      </w:pPr>
    </w:p>
    <w:p>
      <w:pPr>
        <w:ind w:left="220"/>
        <w:spacing w:after="0"/>
        <w:tabs>
          <w:tab w:leader="none" w:pos="62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3"/>
          <w:szCs w:val="13"/>
          <w:color w:val="auto"/>
        </w:rPr>
        <w:t>We express no opinion on general defences under Luxembourg law, such as duress, deceit (</w:t>
      </w:r>
      <w:r>
        <w:rPr>
          <w:rFonts w:ascii="Arial" w:cs="Arial" w:eastAsia="Arial" w:hAnsi="Arial"/>
          <w:sz w:val="13"/>
          <w:szCs w:val="13"/>
          <w:i w:val="1"/>
          <w:iCs w:val="1"/>
          <w:color w:val="auto"/>
        </w:rPr>
        <w:t>dol</w:t>
      </w:r>
      <w:r>
        <w:rPr>
          <w:rFonts w:ascii="Arial" w:cs="Arial" w:eastAsia="Arial" w:hAnsi="Arial"/>
          <w:sz w:val="13"/>
          <w:szCs w:val="13"/>
          <w:color w:val="auto"/>
        </w:rPr>
        <w:t>) or mistake (</w:t>
      </w:r>
      <w:r>
        <w:rPr>
          <w:rFonts w:ascii="Arial" w:cs="Arial" w:eastAsia="Arial" w:hAnsi="Arial"/>
          <w:sz w:val="13"/>
          <w:szCs w:val="13"/>
          <w:i w:val="1"/>
          <w:iCs w:val="1"/>
          <w:color w:val="auto"/>
        </w:rPr>
        <w:t>erreur</w:t>
      </w:r>
      <w:r>
        <w:rPr>
          <w:rFonts w:ascii="Arial" w:cs="Arial" w:eastAsia="Arial" w:hAnsi="Arial"/>
          <w:sz w:val="13"/>
          <w:szCs w:val="13"/>
          <w:color w:val="auto"/>
        </w:rPr>
        <w:t>).</w:t>
      </w:r>
    </w:p>
    <w:p>
      <w:pPr>
        <w:spacing w:after="0" w:line="112"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Luxembourg law legal opinion – Schlumberger Investment S.A.– S-3 Registration Statement</w:t>
      </w:r>
    </w:p>
    <w:p>
      <w:pPr>
        <w:spacing w:after="0" w:line="353" w:lineRule="exact"/>
        <w:rPr>
          <w:sz w:val="20"/>
          <w:szCs w:val="20"/>
          <w:color w:val="auto"/>
        </w:rPr>
      </w:pPr>
    </w:p>
    <w:p>
      <w:pPr>
        <w:jc w:val="right"/>
        <w:ind w:right="23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9019"/>
          </w:cols>
          <w:pgMar w:left="1440" w:top="890" w:right="1440" w:bottom="1440" w:gutter="0" w:footer="0" w:header="0"/>
        </w:sectPr>
      </w:pPr>
    </w:p>
    <w:bookmarkStart w:id="62" w:name="page63"/>
    <w:bookmarkEnd w:id="62"/>
    <w:p>
      <w:pPr>
        <w:jc w:val="right"/>
        <w:ind w:right="239"/>
        <w:spacing w:after="0"/>
        <w:rPr>
          <w:sz w:val="20"/>
          <w:szCs w:val="20"/>
          <w:color w:val="auto"/>
        </w:rPr>
      </w:pPr>
      <w:r>
        <w:rPr>
          <w:rFonts w:ascii="Arial" w:cs="Arial" w:eastAsia="Arial" w:hAnsi="Arial"/>
          <w:sz w:val="14"/>
          <w:szCs w:val="14"/>
          <w:b w:val="1"/>
          <w:bCs w:val="1"/>
          <w:color w:val="auto"/>
        </w:rPr>
        <w:t>Exhibit 23.1</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CONSENT OF INDEPENDENT REGISTERED PUBLIC ACCOUNTING FIRM</w:t>
      </w:r>
    </w:p>
    <w:p>
      <w:pPr>
        <w:spacing w:after="0" w:line="164" w:lineRule="exact"/>
        <w:rPr>
          <w:sz w:val="20"/>
          <w:szCs w:val="20"/>
          <w:color w:val="auto"/>
        </w:rPr>
      </w:pPr>
    </w:p>
    <w:p>
      <w:pPr>
        <w:ind w:left="220" w:right="379"/>
        <w:spacing w:after="0" w:line="246" w:lineRule="auto"/>
        <w:rPr>
          <w:sz w:val="20"/>
          <w:szCs w:val="20"/>
          <w:color w:val="auto"/>
        </w:rPr>
      </w:pPr>
      <w:r>
        <w:rPr>
          <w:rFonts w:ascii="Arial" w:cs="Arial" w:eastAsia="Arial" w:hAnsi="Arial"/>
          <w:sz w:val="14"/>
          <w:szCs w:val="14"/>
          <w:color w:val="auto"/>
        </w:rPr>
        <w:t>We hereby consent to the incorporation by reference in this Registration Statement on Form S-3 of SLB Limited of our report dated January 23, 2026 relating to the consolidated financial statements and the effectiveness of internal control over financial reporting, which appears in SLB Limited’s Annual Report on Form 10-K for the year ended December 31, 2025. We also consent to the reference to us under the heading “Experts” in such Registration Statement.</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 PricewaterhouseCoopers LLP</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Houston, Texas</w:t>
      </w:r>
    </w:p>
    <w:p>
      <w:pPr>
        <w:ind w:left="220"/>
        <w:spacing w:after="0"/>
        <w:rPr>
          <w:sz w:val="20"/>
          <w:szCs w:val="20"/>
          <w:color w:val="auto"/>
        </w:rPr>
      </w:pPr>
      <w:r>
        <w:rPr>
          <w:rFonts w:ascii="Arial" w:cs="Arial" w:eastAsia="Arial" w:hAnsi="Arial"/>
          <w:sz w:val="14"/>
          <w:szCs w:val="14"/>
          <w:color w:val="auto"/>
        </w:rPr>
        <w:t>April 30, 2026</w:t>
      </w:r>
    </w:p>
    <w:p>
      <w:pPr>
        <w:sectPr>
          <w:pgSz w:w="11900" w:h="16838" w:orient="portrait"/>
          <w:cols w:equalWidth="0" w:num="1">
            <w:col w:w="9019"/>
          </w:cols>
          <w:pgMar w:left="1440" w:top="126" w:right="1440" w:bottom="1440" w:gutter="0" w:footer="0" w:header="0"/>
        </w:sectPr>
      </w:pPr>
    </w:p>
    <w:bookmarkStart w:id="63" w:name="page64"/>
    <w:bookmarkEnd w:id="63"/>
    <w:p>
      <w:pPr>
        <w:jc w:val="right"/>
        <w:ind w:right="239"/>
        <w:spacing w:after="0"/>
        <w:rPr>
          <w:sz w:val="20"/>
          <w:szCs w:val="20"/>
          <w:color w:val="auto"/>
        </w:rPr>
      </w:pPr>
      <w:r>
        <w:rPr>
          <w:rFonts w:ascii="Arial" w:cs="Arial" w:eastAsia="Arial" w:hAnsi="Arial"/>
          <w:sz w:val="14"/>
          <w:szCs w:val="14"/>
          <w:b w:val="1"/>
          <w:bCs w:val="1"/>
          <w:color w:val="auto"/>
        </w:rPr>
        <w:t>Exhibit 24</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Power of Attorney</w:t>
      </w:r>
    </w:p>
    <w:p>
      <w:pPr>
        <w:spacing w:after="0" w:line="164" w:lineRule="exact"/>
        <w:rPr>
          <w:sz w:val="20"/>
          <w:szCs w:val="20"/>
          <w:color w:val="auto"/>
        </w:rPr>
      </w:pPr>
    </w:p>
    <w:p>
      <w:pPr>
        <w:ind w:left="220" w:right="279" w:firstLine="342"/>
        <w:spacing w:after="0" w:line="256" w:lineRule="auto"/>
        <w:rPr>
          <w:sz w:val="20"/>
          <w:szCs w:val="20"/>
          <w:color w:val="auto"/>
        </w:rPr>
      </w:pPr>
      <w:r>
        <w:rPr>
          <w:rFonts w:ascii="Arial" w:cs="Arial" w:eastAsia="Arial" w:hAnsi="Arial"/>
          <w:sz w:val="13"/>
          <w:szCs w:val="13"/>
          <w:color w:val="auto"/>
        </w:rPr>
        <w:t>Each of the undersigned, being a director or officer, or both, of SLB N.V. (SLB Limited), a Curaçao corporation (the “Guarantor”), hereby constitutes and appoints Howard Guild and Dianne B. Ralston, and each of them, his or her true and lawful attorney-in-fact and agent, with full and several power of substitution, resubstitution and revocation and to act with or without the others, for him or her and in his or her name, place and stead in any and all capacities: (i) to sign this Registration Statement under the Securities Act of 1933, as amended (the “Securities Act”), on Form S-3, any amendments thereto, and all post-effective amendments and supplements to this Registration Statement for the registration of Schlumberger Investment S.A.’s debt securities and the Guarantor’s guarantees thereof; and</w:t>
      </w:r>
    </w:p>
    <w:p>
      <w:pPr>
        <w:spacing w:after="0" w:line="1" w:lineRule="exact"/>
        <w:rPr>
          <w:sz w:val="20"/>
          <w:szCs w:val="20"/>
          <w:color w:val="auto"/>
        </w:rPr>
      </w:pPr>
    </w:p>
    <w:p>
      <w:pPr>
        <w:ind w:left="220" w:right="239" w:firstLine="7"/>
        <w:spacing w:after="0" w:line="237" w:lineRule="auto"/>
        <w:tabs>
          <w:tab w:leader="none" w:pos="414" w:val="left"/>
        </w:tabs>
        <w:numPr>
          <w:ilvl w:val="0"/>
          <w:numId w:val="63"/>
        </w:numPr>
        <w:rPr>
          <w:rFonts w:ascii="Arial" w:cs="Arial" w:eastAsia="Arial" w:hAnsi="Arial"/>
          <w:sz w:val="14"/>
          <w:szCs w:val="14"/>
          <w:color w:val="auto"/>
        </w:rPr>
      </w:pPr>
      <w:r>
        <w:rPr>
          <w:rFonts w:ascii="Arial" w:cs="Arial" w:eastAsia="Arial" w:hAnsi="Arial"/>
          <w:sz w:val="14"/>
          <w:szCs w:val="14"/>
          <w:color w:val="auto"/>
        </w:rPr>
        <w:t>to file this Registration Statement and any and all amendments and supplements thereto, with any exhibits thereto, and other documents in connection therewith, with the Securities and Exchange Commission, in each case, in such forms as they or any one of them may approve, granting unto said attorneys-in-fact and agents, and each of them, full power and authority to do and perform each and every act and thing requisite and necessary to be done to the end that such Registration Statement or Registration Statements will comply with the Securities Act, and the applicable Rules and Regulations adopted or issued pursuant thereto, as fully and to all intents and purposes as he or she might or could do in person, hereby ratifying and confirming all that said attorneys-in-fact and agents, or any of them or their substitute or resubstitute, may lawfully do or cause to be done by virtue hereof.</w:t>
      </w:r>
    </w:p>
    <w:p>
      <w:pPr>
        <w:spacing w:after="0" w:line="142" w:lineRule="exact"/>
        <w:rPr>
          <w:sz w:val="20"/>
          <w:szCs w:val="20"/>
          <w:color w:val="auto"/>
        </w:rPr>
      </w:pPr>
    </w:p>
    <w:p>
      <w:pPr>
        <w:ind w:left="220" w:right="279" w:firstLine="342"/>
        <w:spacing w:after="0" w:line="269" w:lineRule="auto"/>
        <w:rPr>
          <w:sz w:val="20"/>
          <w:szCs w:val="20"/>
          <w:color w:val="auto"/>
        </w:rPr>
      </w:pPr>
      <w:r>
        <w:rPr>
          <w:rFonts w:ascii="Arial" w:cs="Arial" w:eastAsia="Arial" w:hAnsi="Arial"/>
          <w:sz w:val="14"/>
          <w:szCs w:val="14"/>
          <w:color w:val="auto"/>
        </w:rPr>
        <w:t>This Power of Attorney may be signed in any number of counterparts, each of which will constitute an original and all of which, taken together, will constitute one Power of Attorney.</w:t>
      </w:r>
    </w:p>
    <w:p>
      <w:pPr>
        <w:sectPr>
          <w:pgSz w:w="11900" w:h="16838" w:orient="portrait"/>
          <w:cols w:equalWidth="0" w:num="1">
            <w:col w:w="9019"/>
          </w:cols>
          <w:pgMar w:left="1440" w:top="126" w:right="1440" w:bottom="1440" w:gutter="0" w:footer="0" w:header="0"/>
        </w:sectPr>
      </w:pPr>
    </w:p>
    <w:p>
      <w:pPr>
        <w:spacing w:after="0" w:line="142"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/s/ Peter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6985</wp:posOffset>
            </wp:positionV>
            <wp:extent cx="255651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2556510" cy="6350"/>
                    </a:xfrm>
                    <a:prstGeom prst="rect">
                      <a:avLst/>
                    </a:prstGeom>
                    <a:noFill/>
                  </pic:spPr>
                </pic:pic>
              </a:graphicData>
            </a:graphic>
          </wp:anchor>
        </w:drawing>
      </w:r>
    </w:p>
    <w:p>
      <w:pPr>
        <w:spacing w:after="0" w:line="3"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Peter Coleman</w:t>
      </w:r>
    </w:p>
    <w:p>
      <w:pPr>
        <w:spacing w:after="0" w:line="4" w:lineRule="exact"/>
        <w:rPr>
          <w:sz w:val="20"/>
          <w:szCs w:val="20"/>
          <w:color w:val="auto"/>
        </w:rPr>
      </w:pPr>
    </w:p>
    <w:p>
      <w:pPr>
        <w:jc w:val="center"/>
        <w:ind w:right="560"/>
        <w:spacing w:after="0"/>
        <w:rPr>
          <w:sz w:val="20"/>
          <w:szCs w:val="20"/>
          <w:color w:val="auto"/>
        </w:rPr>
      </w:pPr>
      <w:r>
        <w:rPr>
          <w:rFonts w:ascii="Arial" w:cs="Arial" w:eastAsia="Arial" w:hAnsi="Arial"/>
          <w:sz w:val="14"/>
          <w:szCs w:val="14"/>
          <w:color w:val="auto"/>
        </w:rPr>
        <w:t>Director</w:t>
      </w:r>
    </w:p>
    <w:p>
      <w:pPr>
        <w:spacing w:after="0" w:line="160"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/s/ Patrick de La Chevardière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6985</wp:posOffset>
            </wp:positionV>
            <wp:extent cx="255651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2556510" cy="635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Patrick de La Chevardière</w:t>
      </w:r>
    </w:p>
    <w:p>
      <w:pPr>
        <w:spacing w:after="0" w:line="4" w:lineRule="exact"/>
        <w:rPr>
          <w:sz w:val="20"/>
          <w:szCs w:val="20"/>
          <w:color w:val="auto"/>
        </w:rPr>
      </w:pPr>
    </w:p>
    <w:p>
      <w:pPr>
        <w:jc w:val="center"/>
        <w:ind w:right="560"/>
        <w:spacing w:after="0"/>
        <w:rPr>
          <w:sz w:val="20"/>
          <w:szCs w:val="20"/>
          <w:color w:val="auto"/>
        </w:rPr>
      </w:pPr>
      <w:r>
        <w:rPr>
          <w:rFonts w:ascii="Arial" w:cs="Arial" w:eastAsia="Arial" w:hAnsi="Arial"/>
          <w:sz w:val="14"/>
          <w:szCs w:val="14"/>
          <w:color w:val="auto"/>
        </w:rPr>
        <w:t>Director</w:t>
      </w:r>
    </w:p>
    <w:p>
      <w:pPr>
        <w:spacing w:after="0" w:line="160"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/s/ Miguel Galuccio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6985</wp:posOffset>
            </wp:positionV>
            <wp:extent cx="255651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2556510" cy="6350"/>
                    </a:xfrm>
                    <a:prstGeom prst="rect">
                      <a:avLst/>
                    </a:prstGeom>
                    <a:noFill/>
                  </pic:spPr>
                </pic:pic>
              </a:graphicData>
            </a:graphic>
          </wp:anchor>
        </w:drawing>
      </w:r>
    </w:p>
    <w:p>
      <w:pPr>
        <w:spacing w:after="0" w:line="3"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Miguel Galuccio</w:t>
      </w:r>
    </w:p>
    <w:p>
      <w:pPr>
        <w:spacing w:after="0" w:line="4" w:lineRule="exact"/>
        <w:rPr>
          <w:sz w:val="20"/>
          <w:szCs w:val="20"/>
          <w:color w:val="auto"/>
        </w:rPr>
      </w:pPr>
    </w:p>
    <w:p>
      <w:pPr>
        <w:jc w:val="center"/>
        <w:ind w:right="560"/>
        <w:spacing w:after="0"/>
        <w:rPr>
          <w:sz w:val="20"/>
          <w:szCs w:val="20"/>
          <w:color w:val="auto"/>
        </w:rPr>
      </w:pPr>
      <w:r>
        <w:rPr>
          <w:rFonts w:ascii="Arial" w:cs="Arial" w:eastAsia="Arial" w:hAnsi="Arial"/>
          <w:sz w:val="14"/>
          <w:szCs w:val="14"/>
          <w:color w:val="auto"/>
        </w:rPr>
        <w:t>Director</w:t>
      </w:r>
    </w:p>
    <w:p>
      <w:pPr>
        <w:spacing w:after="0" w:line="160"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/s/ James Hackett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6985</wp:posOffset>
            </wp:positionV>
            <wp:extent cx="255651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2556510" cy="6350"/>
                    </a:xfrm>
                    <a:prstGeom prst="rect">
                      <a:avLst/>
                    </a:prstGeom>
                    <a:noFill/>
                  </pic:spPr>
                </pic:pic>
              </a:graphicData>
            </a:graphic>
          </wp:anchor>
        </w:drawing>
      </w:r>
    </w:p>
    <w:p>
      <w:pPr>
        <w:spacing w:after="0" w:line="3"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James Hackett</w:t>
      </w:r>
    </w:p>
    <w:p>
      <w:pPr>
        <w:spacing w:after="0" w:line="4" w:lineRule="exact"/>
        <w:rPr>
          <w:sz w:val="20"/>
          <w:szCs w:val="20"/>
          <w:color w:val="auto"/>
        </w:rPr>
      </w:pPr>
    </w:p>
    <w:p>
      <w:pPr>
        <w:jc w:val="center"/>
        <w:ind w:right="560"/>
        <w:spacing w:after="0"/>
        <w:rPr>
          <w:sz w:val="20"/>
          <w:szCs w:val="20"/>
          <w:color w:val="auto"/>
        </w:rPr>
      </w:pPr>
      <w:r>
        <w:rPr>
          <w:rFonts w:ascii="Arial" w:cs="Arial" w:eastAsia="Arial" w:hAnsi="Arial"/>
          <w:sz w:val="14"/>
          <w:szCs w:val="14"/>
          <w:color w:val="auto"/>
        </w:rPr>
        <w:t>Chairman of the Board</w:t>
      </w:r>
    </w:p>
    <w:p>
      <w:pPr>
        <w:spacing w:after="0" w:line="160"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6985</wp:posOffset>
            </wp:positionV>
            <wp:extent cx="255651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2556510" cy="6350"/>
                    </a:xfrm>
                    <a:prstGeom prst="rect">
                      <a:avLst/>
                    </a:prstGeom>
                    <a:noFill/>
                  </pic:spPr>
                </pic:pic>
              </a:graphicData>
            </a:graphic>
          </wp:anchor>
        </w:drawing>
      </w:r>
    </w:p>
    <w:p>
      <w:pPr>
        <w:spacing w:after="0" w:line="3"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Olivier Le Peuch</w:t>
      </w:r>
    </w:p>
    <w:p>
      <w:pPr>
        <w:spacing w:after="0" w:line="4" w:lineRule="exact"/>
        <w:rPr>
          <w:sz w:val="20"/>
          <w:szCs w:val="20"/>
          <w:color w:val="auto"/>
        </w:rPr>
      </w:pPr>
    </w:p>
    <w:p>
      <w:pPr>
        <w:jc w:val="right"/>
        <w:ind w:right="1700"/>
        <w:spacing w:after="0"/>
        <w:rPr>
          <w:sz w:val="20"/>
          <w:szCs w:val="20"/>
          <w:color w:val="auto"/>
        </w:rPr>
      </w:pPr>
      <w:r>
        <w:rPr>
          <w:rFonts w:ascii="Arial" w:cs="Arial" w:eastAsia="Arial" w:hAnsi="Arial"/>
          <w:sz w:val="14"/>
          <w:szCs w:val="14"/>
          <w:color w:val="auto"/>
        </w:rPr>
        <w:t>Chief Executive Officer and Director</w:t>
      </w:r>
    </w:p>
    <w:p>
      <w:pPr>
        <w:spacing w:after="0" w:line="31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Date: April 30, 2026</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 Samuel Leupold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6985</wp:posOffset>
            </wp:positionV>
            <wp:extent cx="2442845"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2442845" cy="6350"/>
                    </a:xfrm>
                    <a:prstGeom prst="rect">
                      <a:avLst/>
                    </a:prstGeom>
                    <a:noFill/>
                  </pic:spPr>
                </pic:pic>
              </a:graphicData>
            </a:graphic>
          </wp:anchor>
        </w:drawing>
      </w:r>
    </w:p>
    <w:p>
      <w:pPr>
        <w:spacing w:after="0" w:line="3" w:lineRule="exact"/>
        <w:rPr>
          <w:sz w:val="20"/>
          <w:szCs w:val="20"/>
          <w:color w:val="auto"/>
        </w:rPr>
      </w:pPr>
    </w:p>
    <w:p>
      <w:pPr>
        <w:ind w:left="600"/>
        <w:spacing w:after="0"/>
        <w:rPr>
          <w:sz w:val="20"/>
          <w:szCs w:val="20"/>
          <w:color w:val="auto"/>
        </w:rPr>
      </w:pPr>
      <w:r>
        <w:rPr>
          <w:rFonts w:ascii="Arial" w:cs="Arial" w:eastAsia="Arial" w:hAnsi="Arial"/>
          <w:sz w:val="14"/>
          <w:szCs w:val="14"/>
          <w:color w:val="auto"/>
        </w:rPr>
        <w:t>Samuel Leupold</w:t>
      </w:r>
    </w:p>
    <w:p>
      <w:pPr>
        <w:spacing w:after="0" w:line="4" w:lineRule="exact"/>
        <w:rPr>
          <w:sz w:val="20"/>
          <w:szCs w:val="20"/>
          <w:color w:val="auto"/>
        </w:rPr>
      </w:pPr>
    </w:p>
    <w:p>
      <w:pPr>
        <w:jc w:val="center"/>
        <w:ind w:right="1079"/>
        <w:spacing w:after="0"/>
        <w:rPr>
          <w:sz w:val="20"/>
          <w:szCs w:val="20"/>
          <w:color w:val="auto"/>
        </w:rPr>
      </w:pPr>
      <w:r>
        <w:rPr>
          <w:rFonts w:ascii="Arial" w:cs="Arial" w:eastAsia="Arial" w:hAnsi="Arial"/>
          <w:sz w:val="14"/>
          <w:szCs w:val="14"/>
          <w:color w:val="auto"/>
        </w:rPr>
        <w:t>Director</w:t>
      </w:r>
    </w:p>
    <w:p>
      <w:pPr>
        <w:spacing w:after="0" w:line="16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 Maria Moræus Hanssen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6985</wp:posOffset>
            </wp:positionV>
            <wp:extent cx="2442845"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2442845" cy="63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Maria Moræus Hanssen</w:t>
      </w:r>
    </w:p>
    <w:p>
      <w:pPr>
        <w:spacing w:after="0" w:line="4" w:lineRule="exact"/>
        <w:rPr>
          <w:sz w:val="20"/>
          <w:szCs w:val="20"/>
          <w:color w:val="auto"/>
        </w:rPr>
      </w:pPr>
    </w:p>
    <w:p>
      <w:pPr>
        <w:jc w:val="center"/>
        <w:ind w:right="1079"/>
        <w:spacing w:after="0"/>
        <w:rPr>
          <w:sz w:val="20"/>
          <w:szCs w:val="20"/>
          <w:color w:val="auto"/>
        </w:rPr>
      </w:pPr>
      <w:r>
        <w:rPr>
          <w:rFonts w:ascii="Arial" w:cs="Arial" w:eastAsia="Arial" w:hAnsi="Arial"/>
          <w:sz w:val="14"/>
          <w:szCs w:val="14"/>
          <w:color w:val="auto"/>
        </w:rPr>
        <w:t>Director</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4"/>
          <w:szCs w:val="14"/>
          <w:color w:val="auto"/>
        </w:rPr>
        <w:t>/s/ Vanitha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6985</wp:posOffset>
            </wp:positionV>
            <wp:extent cx="2442845"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2442845" cy="635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Vanitha Narayanan</w:t>
      </w:r>
    </w:p>
    <w:p>
      <w:pPr>
        <w:spacing w:after="0" w:line="4" w:lineRule="exact"/>
        <w:rPr>
          <w:sz w:val="20"/>
          <w:szCs w:val="20"/>
          <w:color w:val="auto"/>
        </w:rPr>
      </w:pPr>
    </w:p>
    <w:p>
      <w:pPr>
        <w:jc w:val="center"/>
        <w:ind w:right="1079"/>
        <w:spacing w:after="0"/>
        <w:rPr>
          <w:sz w:val="20"/>
          <w:szCs w:val="20"/>
          <w:color w:val="auto"/>
        </w:rPr>
      </w:pPr>
      <w:r>
        <w:rPr>
          <w:rFonts w:ascii="Arial" w:cs="Arial" w:eastAsia="Arial" w:hAnsi="Arial"/>
          <w:sz w:val="14"/>
          <w:szCs w:val="14"/>
          <w:color w:val="auto"/>
        </w:rPr>
        <w:t>Director</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/s/ Jeff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6985</wp:posOffset>
            </wp:positionV>
            <wp:extent cx="2442845"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2442845" cy="6350"/>
                    </a:xfrm>
                    <a:prstGeom prst="rect">
                      <a:avLst/>
                    </a:prstGeom>
                    <a:noFill/>
                  </pic:spPr>
                </pic:pic>
              </a:graphicData>
            </a:graphic>
          </wp:anchor>
        </w:drawing>
      </w:r>
    </w:p>
    <w:p>
      <w:pPr>
        <w:spacing w:after="0" w:line="3" w:lineRule="exact"/>
        <w:rPr>
          <w:sz w:val="20"/>
          <w:szCs w:val="20"/>
          <w:color w:val="auto"/>
        </w:rPr>
      </w:pPr>
    </w:p>
    <w:p>
      <w:pPr>
        <w:ind w:left="740"/>
        <w:spacing w:after="0"/>
        <w:rPr>
          <w:sz w:val="20"/>
          <w:szCs w:val="20"/>
          <w:color w:val="auto"/>
        </w:rPr>
      </w:pPr>
      <w:r>
        <w:rPr>
          <w:rFonts w:ascii="Arial" w:cs="Arial" w:eastAsia="Arial" w:hAnsi="Arial"/>
          <w:sz w:val="14"/>
          <w:szCs w:val="14"/>
          <w:color w:val="auto"/>
        </w:rPr>
        <w:t>Jeff Sheets</w:t>
      </w:r>
    </w:p>
    <w:p>
      <w:pPr>
        <w:spacing w:after="0" w:line="4" w:lineRule="exact"/>
        <w:rPr>
          <w:sz w:val="20"/>
          <w:szCs w:val="20"/>
          <w:color w:val="auto"/>
        </w:rPr>
      </w:pPr>
    </w:p>
    <w:p>
      <w:pPr>
        <w:jc w:val="center"/>
        <w:ind w:right="1079"/>
        <w:spacing w:after="0"/>
        <w:rPr>
          <w:sz w:val="20"/>
          <w:szCs w:val="20"/>
          <w:color w:val="auto"/>
        </w:rPr>
      </w:pPr>
      <w:r>
        <w:rPr>
          <w:rFonts w:ascii="Arial" w:cs="Arial" w:eastAsia="Arial" w:hAnsi="Arial"/>
          <w:sz w:val="14"/>
          <w:szCs w:val="14"/>
          <w:color w:val="auto"/>
        </w:rPr>
        <w:t>Director</w:t>
      </w:r>
    </w:p>
    <w:p>
      <w:pPr>
        <w:spacing w:after="0" w:line="160" w:lineRule="exact"/>
        <w:rPr>
          <w:sz w:val="20"/>
          <w:szCs w:val="20"/>
          <w:color w:val="auto"/>
        </w:rPr>
      </w:pPr>
    </w:p>
    <w:p>
      <w:pPr>
        <w:ind w:left="480"/>
        <w:spacing w:after="0"/>
        <w:rPr>
          <w:sz w:val="20"/>
          <w:szCs w:val="20"/>
          <w:color w:val="auto"/>
        </w:rPr>
      </w:pPr>
      <w:r>
        <w:rPr>
          <w:rFonts w:ascii="Arial" w:cs="Arial" w:eastAsia="Arial" w:hAnsi="Arial"/>
          <w:sz w:val="14"/>
          <w:szCs w:val="14"/>
          <w:color w:val="auto"/>
        </w:rPr>
        <w:t>/s/ Stephane Biguet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6985</wp:posOffset>
            </wp:positionV>
            <wp:extent cx="2442845"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2442845" cy="635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4"/>
          <w:szCs w:val="14"/>
          <w:color w:val="auto"/>
        </w:rPr>
        <w:t>Stephane Biguet</w:t>
      </w:r>
    </w:p>
    <w:p>
      <w:pPr>
        <w:spacing w:after="0" w:line="4" w:lineRule="exact"/>
        <w:rPr>
          <w:sz w:val="20"/>
          <w:szCs w:val="20"/>
          <w:color w:val="auto"/>
        </w:rPr>
      </w:pPr>
    </w:p>
    <w:p>
      <w:pPr>
        <w:jc w:val="center"/>
        <w:ind w:right="1079"/>
        <w:spacing w:after="0"/>
        <w:rPr>
          <w:sz w:val="20"/>
          <w:szCs w:val="20"/>
          <w:color w:val="auto"/>
        </w:rPr>
      </w:pPr>
      <w:r>
        <w:rPr>
          <w:rFonts w:ascii="Arial" w:cs="Arial" w:eastAsia="Arial" w:hAnsi="Arial"/>
          <w:sz w:val="13"/>
          <w:szCs w:val="13"/>
          <w:color w:val="auto"/>
        </w:rPr>
        <w:t>Executive Vice President and Chief</w:t>
      </w:r>
    </w:p>
    <w:p>
      <w:pPr>
        <w:spacing w:after="0" w:line="8" w:lineRule="exact"/>
        <w:rPr>
          <w:sz w:val="20"/>
          <w:szCs w:val="20"/>
          <w:color w:val="auto"/>
        </w:rPr>
      </w:pPr>
    </w:p>
    <w:p>
      <w:pPr>
        <w:jc w:val="center"/>
        <w:ind w:right="1079"/>
        <w:spacing w:after="0"/>
        <w:rPr>
          <w:sz w:val="20"/>
          <w:szCs w:val="20"/>
          <w:color w:val="auto"/>
        </w:rPr>
      </w:pPr>
      <w:r>
        <w:rPr>
          <w:rFonts w:ascii="Arial" w:cs="Arial" w:eastAsia="Arial" w:hAnsi="Arial"/>
          <w:sz w:val="14"/>
          <w:szCs w:val="14"/>
          <w:color w:val="auto"/>
        </w:rPr>
        <w:t>Financial Officer</w:t>
      </w:r>
    </w:p>
    <w:p>
      <w:pPr>
        <w:sectPr>
          <w:pgSz w:w="11900" w:h="16838" w:orient="portrait"/>
          <w:cols w:equalWidth="0" w:num="2">
            <w:col w:w="5040" w:space="720"/>
            <w:col w:w="3259"/>
          </w:cols>
          <w:pgMar w:left="1440" w:top="126" w:right="1440" w:bottom="1440" w:gutter="0" w:footer="0" w:header="0"/>
          <w:type w:val="continuous"/>
        </w:sectPr>
      </w:pPr>
    </w:p>
    <w:bookmarkStart w:id="64" w:name="page65"/>
    <w:bookmarkEnd w:id="64"/>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Power of Attorney</w:t>
      </w:r>
    </w:p>
    <w:p>
      <w:pPr>
        <w:spacing w:after="0" w:line="164" w:lineRule="exact"/>
        <w:rPr>
          <w:sz w:val="20"/>
          <w:szCs w:val="20"/>
          <w:color w:val="auto"/>
        </w:rPr>
      </w:pPr>
    </w:p>
    <w:p>
      <w:pPr>
        <w:ind w:left="220" w:right="279" w:firstLine="342"/>
        <w:spacing w:after="0" w:line="237" w:lineRule="auto"/>
        <w:rPr>
          <w:sz w:val="20"/>
          <w:szCs w:val="20"/>
          <w:color w:val="auto"/>
        </w:rPr>
      </w:pPr>
      <w:r>
        <w:rPr>
          <w:rFonts w:ascii="Arial" w:cs="Arial" w:eastAsia="Arial" w:hAnsi="Arial"/>
          <w:sz w:val="14"/>
          <w:szCs w:val="14"/>
          <w:color w:val="auto"/>
        </w:rPr>
        <w:t>Each of the undersigned, being a director or officer, or both, of Schlumberger Investment S.A., a Luxembourg société anonyme (the “Company”), hereby constitutes and appoints Wen Yih Poh, Daniel Andoh Morrison, and Colin David Beddall, and each of them, his or her true and lawful attorney-in-fact and agent, with full and several power of substitution, resubstitution and revocation and to act with or without the others, for him or her and in his or her name, place and stead in any and all capacities: (i) to sign this Registration Statement under the Securities Act of 1933, as amended (the “Securities Act”), on Form S-3, any amendments thereto, and all post-effective amendments and supplements to this Registration Statement for the registration of the Company’s debt securities and SLB Limited’s guarantees thereof; and (ii) to file this Registration Statement and any and all amendments and supplements thereto, with any exhibits thereto, and other documents in connection therewith, with the Securities and Exchange Commission, in each case, in such forms as they or any one of them may approve, granting unto said attorneys-in-fact and agents, and each of them, full power and authority to do and perform each and every act and thing requisite and necessary to be done to the end that such Registration Statement or Registration Statements will comply with the Securities Act, and the applicable Rules and Regulations adopted or issued pursuant thereto, as fully and to all intents and purposes as he or she might or could do in person, hereby ratifying and confirming all that said attorneys-in-fact and agents, or any of them or their substitute or resubstitute, may lawfully do or cause to be done by virtue hereof.</w:t>
      </w:r>
    </w:p>
    <w:p>
      <w:pPr>
        <w:spacing w:after="0" w:line="145" w:lineRule="exact"/>
        <w:rPr>
          <w:sz w:val="20"/>
          <w:szCs w:val="20"/>
          <w:color w:val="auto"/>
        </w:rPr>
      </w:pPr>
    </w:p>
    <w:p>
      <w:pPr>
        <w:ind w:left="220" w:right="279" w:firstLine="342"/>
        <w:spacing w:after="0" w:line="269" w:lineRule="auto"/>
        <w:rPr>
          <w:sz w:val="20"/>
          <w:szCs w:val="20"/>
          <w:color w:val="auto"/>
        </w:rPr>
      </w:pPr>
      <w:r>
        <w:rPr>
          <w:rFonts w:ascii="Arial" w:cs="Arial" w:eastAsia="Arial" w:hAnsi="Arial"/>
          <w:sz w:val="14"/>
          <w:szCs w:val="14"/>
          <w:color w:val="auto"/>
        </w:rPr>
        <w:t>This Power of Attorney may be signed in any number of counterparts, each of which will constitute an original and all of which, taken together, will constitute one Power of Attorney.</w:t>
      </w:r>
    </w:p>
    <w:p>
      <w:pPr>
        <w:spacing w:after="0" w:line="151" w:lineRule="exact"/>
        <w:rPr>
          <w:sz w:val="20"/>
          <w:szCs w:val="20"/>
          <w:color w:val="auto"/>
        </w:rPr>
      </w:pPr>
    </w:p>
    <w:tbl>
      <w:tblPr>
        <w:tblLayout w:type="fixed"/>
        <w:tblInd w:w="220" w:type="dxa"/>
        <w:tblCellMar>
          <w:top w:w="0" w:type="dxa"/>
          <w:left w:w="0" w:type="dxa"/>
          <w:bottom w:w="0" w:type="dxa"/>
          <w:right w:w="0" w:type="dxa"/>
        </w:tblCellMar>
      </w:tblPr>
      <w:tr>
        <w:trPr>
          <w:trHeight w:val="151"/>
        </w:trPr>
        <w:tc>
          <w:tcPr>
            <w:tcW w:w="4040" w:type="dxa"/>
            <w:vAlign w:val="bottom"/>
          </w:tcPr>
          <w:p>
            <w:pPr>
              <w:jc w:val="center"/>
              <w:spacing w:after="0"/>
              <w:rPr>
                <w:sz w:val="20"/>
                <w:szCs w:val="20"/>
                <w:color w:val="auto"/>
              </w:rPr>
            </w:pPr>
            <w:r>
              <w:rPr>
                <w:rFonts w:ascii="Arial" w:cs="Arial" w:eastAsia="Arial" w:hAnsi="Arial"/>
                <w:sz w:val="11"/>
                <w:szCs w:val="11"/>
                <w:b w:val="1"/>
                <w:bCs w:val="1"/>
                <w:color w:val="auto"/>
              </w:rPr>
              <w:t>Signature</w:t>
            </w:r>
          </w:p>
        </w:tc>
        <w:tc>
          <w:tcPr>
            <w:tcW w:w="3100" w:type="dxa"/>
            <w:vAlign w:val="bottom"/>
          </w:tcPr>
          <w:p>
            <w:pPr>
              <w:jc w:val="center"/>
              <w:ind w:left="2034"/>
              <w:spacing w:after="0"/>
              <w:rPr>
                <w:sz w:val="20"/>
                <w:szCs w:val="20"/>
                <w:color w:val="auto"/>
              </w:rPr>
            </w:pPr>
            <w:r>
              <w:rPr>
                <w:rFonts w:ascii="Arial" w:cs="Arial" w:eastAsia="Arial" w:hAnsi="Arial"/>
                <w:sz w:val="11"/>
                <w:szCs w:val="11"/>
                <w:b w:val="1"/>
                <w:bCs w:val="1"/>
                <w:color w:val="auto"/>
              </w:rPr>
              <w:t>Title</w:t>
            </w:r>
          </w:p>
        </w:tc>
      </w:tr>
      <w:tr>
        <w:trPr>
          <w:trHeight w:val="306"/>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/s/ Wen Yih Poh</w:t>
            </w:r>
          </w:p>
        </w:tc>
        <w:tc>
          <w:tcPr>
            <w:tcW w:w="3100" w:type="dxa"/>
            <w:vAlign w:val="bottom"/>
          </w:tcPr>
          <w:p>
            <w:pPr>
              <w:jc w:val="center"/>
              <w:ind w:left="2034"/>
              <w:spacing w:after="0"/>
              <w:rPr>
                <w:sz w:val="20"/>
                <w:szCs w:val="20"/>
                <w:color w:val="auto"/>
              </w:rPr>
            </w:pPr>
            <w:r>
              <w:rPr>
                <w:rFonts w:ascii="Arial" w:cs="Arial" w:eastAsia="Arial" w:hAnsi="Arial"/>
                <w:sz w:val="14"/>
                <w:szCs w:val="14"/>
                <w:color w:val="auto"/>
                <w:w w:val="98"/>
              </w:rPr>
              <w:t>Class A Director</w:t>
            </w:r>
          </w:p>
        </w:tc>
      </w:tr>
      <w:tr>
        <w:trPr>
          <w:trHeight w:val="175"/>
        </w:trPr>
        <w:tc>
          <w:tcPr>
            <w:tcW w:w="4040" w:type="dxa"/>
            <w:vAlign w:val="bottom"/>
          </w:tcPr>
          <w:p>
            <w:pPr>
              <w:jc w:val="center"/>
              <w:spacing w:after="0"/>
              <w:rPr>
                <w:sz w:val="20"/>
                <w:szCs w:val="20"/>
                <w:color w:val="auto"/>
              </w:rPr>
            </w:pPr>
            <w:r>
              <w:rPr>
                <w:rFonts w:ascii="Arial" w:cs="Arial" w:eastAsia="Arial" w:hAnsi="Arial"/>
                <w:sz w:val="14"/>
                <w:szCs w:val="14"/>
                <w:color w:val="auto"/>
                <w:w w:val="97"/>
              </w:rPr>
              <w:t>Wen Yih Poh</w:t>
            </w:r>
          </w:p>
        </w:tc>
        <w:tc>
          <w:tcPr>
            <w:tcW w:w="3100" w:type="dxa"/>
            <w:vAlign w:val="bottom"/>
          </w:tcPr>
          <w:p>
            <w:pPr>
              <w:spacing w:after="0"/>
              <w:rPr>
                <w:sz w:val="15"/>
                <w:szCs w:val="15"/>
                <w:color w:val="auto"/>
              </w:rPr>
            </w:pPr>
          </w:p>
        </w:tc>
      </w:tr>
      <w:tr>
        <w:trPr>
          <w:trHeight w:val="308"/>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/s/ Daniel Andoh Morrison</w:t>
            </w:r>
          </w:p>
        </w:tc>
        <w:tc>
          <w:tcPr>
            <w:tcW w:w="3100" w:type="dxa"/>
            <w:vAlign w:val="bottom"/>
          </w:tcPr>
          <w:p>
            <w:pPr>
              <w:jc w:val="center"/>
              <w:ind w:left="2034"/>
              <w:spacing w:after="0"/>
              <w:rPr>
                <w:sz w:val="20"/>
                <w:szCs w:val="20"/>
                <w:color w:val="auto"/>
              </w:rPr>
            </w:pPr>
            <w:r>
              <w:rPr>
                <w:rFonts w:ascii="Arial" w:cs="Arial" w:eastAsia="Arial" w:hAnsi="Arial"/>
                <w:sz w:val="14"/>
                <w:szCs w:val="14"/>
                <w:color w:val="auto"/>
                <w:w w:val="98"/>
              </w:rPr>
              <w:t>Class A Director</w:t>
            </w:r>
          </w:p>
        </w:tc>
      </w:tr>
      <w:tr>
        <w:trPr>
          <w:trHeight w:val="175"/>
        </w:trPr>
        <w:tc>
          <w:tcPr>
            <w:tcW w:w="4040" w:type="dxa"/>
            <w:vAlign w:val="bottom"/>
          </w:tcPr>
          <w:p>
            <w:pPr>
              <w:jc w:val="center"/>
              <w:spacing w:after="0"/>
              <w:rPr>
                <w:sz w:val="20"/>
                <w:szCs w:val="20"/>
                <w:color w:val="auto"/>
              </w:rPr>
            </w:pPr>
            <w:r>
              <w:rPr>
                <w:rFonts w:ascii="Arial" w:cs="Arial" w:eastAsia="Arial" w:hAnsi="Arial"/>
                <w:sz w:val="14"/>
                <w:szCs w:val="14"/>
                <w:color w:val="auto"/>
              </w:rPr>
              <w:t>Daniel Andoh Morrison</w:t>
            </w:r>
          </w:p>
        </w:tc>
        <w:tc>
          <w:tcPr>
            <w:tcW w:w="3100" w:type="dxa"/>
            <w:vAlign w:val="bottom"/>
          </w:tcPr>
          <w:p>
            <w:pPr>
              <w:spacing w:after="0"/>
              <w:rPr>
                <w:sz w:val="15"/>
                <w:szCs w:val="15"/>
                <w:color w:val="auto"/>
              </w:rPr>
            </w:pPr>
          </w:p>
        </w:tc>
      </w:tr>
      <w:tr>
        <w:trPr>
          <w:trHeight w:val="308"/>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/s/ Colin David Beddall</w:t>
            </w:r>
          </w:p>
        </w:tc>
        <w:tc>
          <w:tcPr>
            <w:tcW w:w="3100" w:type="dxa"/>
            <w:vAlign w:val="bottom"/>
          </w:tcPr>
          <w:p>
            <w:pPr>
              <w:jc w:val="center"/>
              <w:ind w:left="2034"/>
              <w:spacing w:after="0"/>
              <w:rPr>
                <w:sz w:val="20"/>
                <w:szCs w:val="20"/>
                <w:color w:val="auto"/>
              </w:rPr>
            </w:pPr>
            <w:r>
              <w:rPr>
                <w:rFonts w:ascii="Arial" w:cs="Arial" w:eastAsia="Arial" w:hAnsi="Arial"/>
                <w:sz w:val="14"/>
                <w:szCs w:val="14"/>
                <w:color w:val="auto"/>
                <w:w w:val="98"/>
              </w:rPr>
              <w:t>Class B Director</w:t>
            </w:r>
          </w:p>
        </w:tc>
      </w:tr>
      <w:tr>
        <w:trPr>
          <w:trHeight w:val="175"/>
        </w:trPr>
        <w:tc>
          <w:tcPr>
            <w:tcW w:w="4040" w:type="dxa"/>
            <w:vAlign w:val="bottom"/>
          </w:tcPr>
          <w:p>
            <w:pPr>
              <w:jc w:val="center"/>
              <w:spacing w:after="0"/>
              <w:rPr>
                <w:sz w:val="20"/>
                <w:szCs w:val="20"/>
                <w:color w:val="auto"/>
              </w:rPr>
            </w:pPr>
            <w:r>
              <w:rPr>
                <w:rFonts w:ascii="Arial" w:cs="Arial" w:eastAsia="Arial" w:hAnsi="Arial"/>
                <w:sz w:val="14"/>
                <w:szCs w:val="14"/>
                <w:color w:val="auto"/>
                <w:w w:val="99"/>
              </w:rPr>
              <w:t>Colin David Beddall</w:t>
            </w:r>
          </w:p>
        </w:tc>
        <w:tc>
          <w:tcPr>
            <w:tcW w:w="3100" w:type="dxa"/>
            <w:vAlign w:val="bottom"/>
          </w:tcPr>
          <w:p>
            <w:pPr>
              <w:spacing w:after="0"/>
              <w:rPr>
                <w:sz w:val="15"/>
                <w:szCs w:val="15"/>
                <w:color w:val="auto"/>
              </w:rPr>
            </w:pPr>
          </w:p>
        </w:tc>
      </w:tr>
      <w:tr>
        <w:trPr>
          <w:trHeight w:val="321"/>
        </w:trPr>
        <w:tc>
          <w:tcPr>
            <w:tcW w:w="4040" w:type="dxa"/>
            <w:vAlign w:val="bottom"/>
          </w:tcPr>
          <w:p>
            <w:pPr>
              <w:spacing w:after="0"/>
              <w:rPr>
                <w:sz w:val="20"/>
                <w:szCs w:val="20"/>
                <w:color w:val="auto"/>
              </w:rPr>
            </w:pPr>
            <w:r>
              <w:rPr>
                <w:rFonts w:ascii="Arial" w:cs="Arial" w:eastAsia="Arial" w:hAnsi="Arial"/>
                <w:sz w:val="14"/>
                <w:szCs w:val="14"/>
                <w:color w:val="auto"/>
              </w:rPr>
              <w:t>Date: April 30, 2026</w:t>
            </w:r>
          </w:p>
        </w:tc>
        <w:tc>
          <w:tcPr>
            <w:tcW w:w="3100" w:type="dxa"/>
            <w:vAlign w:val="bottom"/>
          </w:tcPr>
          <w:p>
            <w:pPr>
              <w:spacing w:after="0"/>
              <w:rPr>
                <w:sz w:val="24"/>
                <w:szCs w:val="24"/>
                <w:color w:val="auto"/>
              </w:rPr>
            </w:pPr>
          </w:p>
        </w:tc>
      </w:tr>
    </w:tbl>
    <w:p>
      <w:pPr>
        <w:sectPr>
          <w:pgSz w:w="11900" w:h="16838" w:orient="portrait"/>
          <w:cols w:equalWidth="0" w:num="1">
            <w:col w:w="9019"/>
          </w:cols>
          <w:pgMar w:left="1440" w:top="240" w:right="1440" w:bottom="1440" w:gutter="0" w:footer="0" w:header="0"/>
        </w:sectPr>
      </w:pPr>
    </w:p>
    <w:bookmarkStart w:id="65" w:name="page66"/>
    <w:bookmarkEnd w:id="65"/>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Exhibit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61595</wp:posOffset>
            </wp:positionV>
            <wp:extent cx="5432425"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5432425" cy="6350"/>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94615</wp:posOffset>
            </wp:positionV>
            <wp:extent cx="5432425"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5432425" cy="6350"/>
                    </a:xfrm>
                    <a:prstGeom prst="rect">
                      <a:avLst/>
                    </a:prstGeom>
                    <a:noFill/>
                  </pic:spPr>
                </pic:pic>
              </a:graphicData>
            </a:graphic>
          </wp:anchor>
        </w:drawing>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2287270</wp:posOffset>
            </wp:positionH>
            <wp:positionV relativeFrom="paragraph">
              <wp:posOffset>170180</wp:posOffset>
            </wp:positionV>
            <wp:extent cx="1144905"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1144905" cy="6350"/>
                    </a:xfrm>
                    <a:prstGeom prst="rect">
                      <a:avLst/>
                    </a:prstGeom>
                    <a:noFill/>
                  </pic:spPr>
                </pic:pic>
              </a:graphicData>
            </a:graphic>
          </wp:anchor>
        </w:drawing>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2287270</wp:posOffset>
            </wp:positionH>
            <wp:positionV relativeFrom="paragraph">
              <wp:posOffset>193040</wp:posOffset>
            </wp:positionV>
            <wp:extent cx="1144905"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1144905" cy="635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ind w:left="220" w:right="239"/>
        <w:spacing w:after="0" w:line="247" w:lineRule="auto"/>
        <w:rPr>
          <w:sz w:val="20"/>
          <w:szCs w:val="20"/>
          <w:color w:val="auto"/>
        </w:rPr>
      </w:pPr>
      <w:r>
        <w:rPr>
          <w:rFonts w:ascii="Times New Roman" w:cs="Times New Roman" w:eastAsia="Times New Roman" w:hAnsi="Times New Roman"/>
          <w:sz w:val="17"/>
          <w:szCs w:val="17"/>
          <w:b w:val="1"/>
          <w:bCs w:val="1"/>
          <w:color w:val="auto"/>
        </w:rPr>
        <w:t>STATEMENT OF ELIGIBILITY UNDER THE TRUST INDENTURE ACT OF 1939 OF A CORPORATION DESIGNATED TO ACT AS TRUSTEE</w:t>
      </w:r>
    </w:p>
    <w:p>
      <w:pPr>
        <w:spacing w:after="0" w:line="151" w:lineRule="exact"/>
        <w:rPr>
          <w:sz w:val="20"/>
          <w:szCs w:val="20"/>
          <w:color w:val="auto"/>
        </w:rPr>
      </w:pPr>
    </w:p>
    <w:p>
      <w:pPr>
        <w:ind w:left="560" w:right="379" w:hanging="333"/>
        <w:spacing w:after="0" w:line="263" w:lineRule="auto"/>
        <w:tabs>
          <w:tab w:leader="none" w:pos="560" w:val="left"/>
        </w:tabs>
        <w:numPr>
          <w:ilvl w:val="0"/>
          <w:numId w:val="64"/>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2287270</wp:posOffset>
            </wp:positionH>
            <wp:positionV relativeFrom="paragraph">
              <wp:posOffset>163195</wp:posOffset>
            </wp:positionV>
            <wp:extent cx="1144905"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1144905" cy="6350"/>
                    </a:xfrm>
                    <a:prstGeom prst="rect">
                      <a:avLst/>
                    </a:prstGeom>
                    <a:noFill/>
                  </pic:spPr>
                </pic:pic>
              </a:graphicData>
            </a:graphic>
          </wp:anchor>
        </w:drawing>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THE BANK OF NEW YORK MELLON</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2287270</wp:posOffset>
            </wp:positionH>
            <wp:positionV relativeFrom="paragraph">
              <wp:posOffset>176530</wp:posOffset>
            </wp:positionV>
            <wp:extent cx="1144905"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1144905" cy="635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220" w:type="dxa"/>
        <w:tblCellMar>
          <w:top w:w="0" w:type="dxa"/>
          <w:left w:w="0" w:type="dxa"/>
          <w:bottom w:w="0" w:type="dxa"/>
          <w:right w:w="0" w:type="dxa"/>
        </w:tblCellMar>
      </w:tblPr>
      <w:tr>
        <w:trPr>
          <w:trHeight w:val="165"/>
        </w:trPr>
        <w:tc>
          <w:tcPr>
            <w:tcW w:w="5900" w:type="dxa"/>
            <w:vAlign w:val="bottom"/>
            <w:gridSpan w:val="3"/>
          </w:tcPr>
          <w:p>
            <w:pPr>
              <w:jc w:val="center"/>
              <w:ind w:right="1580"/>
              <w:spacing w:after="0"/>
              <w:rPr>
                <w:sz w:val="20"/>
                <w:szCs w:val="20"/>
                <w:color w:val="auto"/>
              </w:rPr>
            </w:pPr>
            <w:r>
              <w:rPr>
                <w:rFonts w:ascii="Times New Roman" w:cs="Times New Roman" w:eastAsia="Times New Roman" w:hAnsi="Times New Roman"/>
                <w:sz w:val="14"/>
                <w:szCs w:val="14"/>
                <w:b w:val="1"/>
                <w:bCs w:val="1"/>
                <w:color w:val="auto"/>
                <w:w w:val="98"/>
              </w:rPr>
              <w:t>New York</w:t>
            </w:r>
          </w:p>
        </w:tc>
        <w:tc>
          <w:tcPr>
            <w:tcW w:w="2660" w:type="dxa"/>
            <w:vAlign w:val="bottom"/>
          </w:tcPr>
          <w:p>
            <w:pPr>
              <w:jc w:val="center"/>
              <w:ind w:right="1438"/>
              <w:spacing w:after="0"/>
              <w:rPr>
                <w:sz w:val="20"/>
                <w:szCs w:val="20"/>
                <w:color w:val="auto"/>
              </w:rPr>
            </w:pPr>
            <w:r>
              <w:rPr>
                <w:rFonts w:ascii="Times New Roman" w:cs="Times New Roman" w:eastAsia="Times New Roman" w:hAnsi="Times New Roman"/>
                <w:sz w:val="14"/>
                <w:szCs w:val="14"/>
                <w:b w:val="1"/>
                <w:bCs w:val="1"/>
                <w:color w:val="auto"/>
              </w:rPr>
              <w:t>13-5160382</w:t>
            </w:r>
          </w:p>
        </w:tc>
      </w:tr>
      <w:tr>
        <w:trPr>
          <w:trHeight w:val="115"/>
        </w:trPr>
        <w:tc>
          <w:tcPr>
            <w:tcW w:w="5900" w:type="dxa"/>
            <w:vAlign w:val="bottom"/>
            <w:gridSpan w:val="3"/>
          </w:tcPr>
          <w:p>
            <w:pPr>
              <w:jc w:val="center"/>
              <w:ind w:right="1560"/>
              <w:spacing w:after="0" w:line="115" w:lineRule="exact"/>
              <w:rPr>
                <w:sz w:val="20"/>
                <w:szCs w:val="20"/>
                <w:color w:val="auto"/>
              </w:rPr>
            </w:pPr>
            <w:r>
              <w:rPr>
                <w:rFonts w:ascii="Times New Roman" w:cs="Times New Roman" w:eastAsia="Times New Roman" w:hAnsi="Times New Roman"/>
                <w:sz w:val="11"/>
                <w:szCs w:val="11"/>
                <w:b w:val="1"/>
                <w:bCs w:val="1"/>
                <w:color w:val="auto"/>
              </w:rPr>
              <w:t>(Jurisdiction of incorporation</w:t>
            </w:r>
          </w:p>
        </w:tc>
        <w:tc>
          <w:tcPr>
            <w:tcW w:w="2660" w:type="dxa"/>
            <w:vAlign w:val="bottom"/>
          </w:tcPr>
          <w:p>
            <w:pPr>
              <w:jc w:val="center"/>
              <w:ind w:right="1418"/>
              <w:spacing w:after="0" w:line="115"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8"/>
        </w:trPr>
        <w:tc>
          <w:tcPr>
            <w:tcW w:w="5900" w:type="dxa"/>
            <w:vAlign w:val="bottom"/>
            <w:gridSpan w:val="3"/>
          </w:tcPr>
          <w:p>
            <w:pPr>
              <w:jc w:val="center"/>
              <w:ind w:right="1560"/>
              <w:spacing w:after="0"/>
              <w:rPr>
                <w:sz w:val="20"/>
                <w:szCs w:val="20"/>
                <w:color w:val="auto"/>
              </w:rPr>
            </w:pPr>
            <w:r>
              <w:rPr>
                <w:rFonts w:ascii="Times New Roman" w:cs="Times New Roman" w:eastAsia="Times New Roman" w:hAnsi="Times New Roman"/>
                <w:sz w:val="11"/>
                <w:szCs w:val="11"/>
                <w:b w:val="1"/>
                <w:bCs w:val="1"/>
                <w:color w:val="auto"/>
              </w:rPr>
              <w:t>if not a U.S. national bank)</w:t>
            </w:r>
          </w:p>
        </w:tc>
        <w:tc>
          <w:tcPr>
            <w:tcW w:w="2660" w:type="dxa"/>
            <w:vAlign w:val="bottom"/>
          </w:tcPr>
          <w:p>
            <w:pPr>
              <w:jc w:val="center"/>
              <w:ind w:right="1438"/>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303"/>
        </w:trPr>
        <w:tc>
          <w:tcPr>
            <w:tcW w:w="5900" w:type="dxa"/>
            <w:vAlign w:val="bottom"/>
            <w:gridSpan w:val="3"/>
          </w:tcPr>
          <w:p>
            <w:pPr>
              <w:jc w:val="center"/>
              <w:ind w:right="1560"/>
              <w:spacing w:after="0"/>
              <w:rPr>
                <w:sz w:val="20"/>
                <w:szCs w:val="20"/>
                <w:color w:val="auto"/>
              </w:rPr>
            </w:pPr>
            <w:r>
              <w:rPr>
                <w:rFonts w:ascii="Times New Roman" w:cs="Times New Roman" w:eastAsia="Times New Roman" w:hAnsi="Times New Roman"/>
                <w:sz w:val="14"/>
                <w:szCs w:val="14"/>
                <w:b w:val="1"/>
                <w:bCs w:val="1"/>
                <w:color w:val="auto"/>
                <w:w w:val="98"/>
              </w:rPr>
              <w:t>240 Greenwich Street, New York, NY</w:t>
            </w:r>
          </w:p>
        </w:tc>
        <w:tc>
          <w:tcPr>
            <w:tcW w:w="2660" w:type="dxa"/>
            <w:vAlign w:val="bottom"/>
          </w:tcPr>
          <w:p>
            <w:pPr>
              <w:jc w:val="center"/>
              <w:ind w:right="1418"/>
              <w:spacing w:after="0"/>
              <w:rPr>
                <w:sz w:val="20"/>
                <w:szCs w:val="20"/>
                <w:color w:val="auto"/>
              </w:rPr>
            </w:pPr>
            <w:r>
              <w:rPr>
                <w:rFonts w:ascii="Times New Roman" w:cs="Times New Roman" w:eastAsia="Times New Roman" w:hAnsi="Times New Roman"/>
                <w:sz w:val="14"/>
                <w:szCs w:val="14"/>
                <w:b w:val="1"/>
                <w:bCs w:val="1"/>
                <w:color w:val="auto"/>
                <w:w w:val="97"/>
              </w:rPr>
              <w:t>10286</w:t>
            </w:r>
          </w:p>
        </w:tc>
      </w:tr>
      <w:tr>
        <w:trPr>
          <w:trHeight w:val="148"/>
        </w:trPr>
        <w:tc>
          <w:tcPr>
            <w:tcW w:w="5900" w:type="dxa"/>
            <w:vAlign w:val="bottom"/>
            <w:gridSpan w:val="3"/>
          </w:tcPr>
          <w:p>
            <w:pPr>
              <w:jc w:val="center"/>
              <w:ind w:right="156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2660" w:type="dxa"/>
            <w:vAlign w:val="bottom"/>
          </w:tcPr>
          <w:p>
            <w:pPr>
              <w:jc w:val="center"/>
              <w:ind w:right="1438"/>
              <w:spacing w:after="0"/>
              <w:rPr>
                <w:sz w:val="20"/>
                <w:szCs w:val="20"/>
                <w:color w:val="auto"/>
              </w:rPr>
            </w:pPr>
            <w:r>
              <w:rPr>
                <w:rFonts w:ascii="Times New Roman" w:cs="Times New Roman" w:eastAsia="Times New Roman" w:hAnsi="Times New Roman"/>
                <w:sz w:val="11"/>
                <w:szCs w:val="11"/>
                <w:b w:val="1"/>
                <w:bCs w:val="1"/>
                <w:color w:val="auto"/>
                <w:w w:val="99"/>
              </w:rPr>
              <w:t>(Zip code)</w:t>
            </w:r>
          </w:p>
        </w:tc>
      </w:tr>
      <w:tr>
        <w:trPr>
          <w:trHeight w:val="306"/>
        </w:trPr>
        <w:tc>
          <w:tcPr>
            <w:tcW w:w="5900" w:type="dxa"/>
            <w:vAlign w:val="bottom"/>
            <w:gridSpan w:val="3"/>
          </w:tcPr>
          <w:p>
            <w:pPr>
              <w:jc w:val="center"/>
              <w:ind w:left="2596"/>
              <w:spacing w:after="0"/>
              <w:rPr>
                <w:sz w:val="20"/>
                <w:szCs w:val="20"/>
                <w:color w:val="auto"/>
              </w:rPr>
            </w:pPr>
            <w:r>
              <w:rPr>
                <w:rFonts w:ascii="Times New Roman" w:cs="Times New Roman" w:eastAsia="Times New Roman" w:hAnsi="Times New Roman"/>
                <w:sz w:val="14"/>
                <w:szCs w:val="14"/>
                <w:b w:val="1"/>
                <w:bCs w:val="1"/>
                <w:color w:val="auto"/>
                <w:w w:val="99"/>
              </w:rPr>
              <w:t>Elizabeth Stern, Director and Managing Counsel</w:t>
            </w:r>
          </w:p>
        </w:tc>
        <w:tc>
          <w:tcPr>
            <w:tcW w:w="2660" w:type="dxa"/>
            <w:vAlign w:val="bottom"/>
          </w:tcPr>
          <w:p>
            <w:pPr>
              <w:spacing w:after="0"/>
              <w:rPr>
                <w:sz w:val="24"/>
                <w:szCs w:val="24"/>
                <w:color w:val="auto"/>
              </w:rPr>
            </w:pPr>
          </w:p>
        </w:tc>
      </w:tr>
      <w:tr>
        <w:trPr>
          <w:trHeight w:val="168"/>
        </w:trPr>
        <w:tc>
          <w:tcPr>
            <w:tcW w:w="5900" w:type="dxa"/>
            <w:vAlign w:val="bottom"/>
            <w:gridSpan w:val="3"/>
          </w:tcPr>
          <w:p>
            <w:pPr>
              <w:jc w:val="center"/>
              <w:ind w:left="2616"/>
              <w:spacing w:after="0"/>
              <w:rPr>
                <w:sz w:val="20"/>
                <w:szCs w:val="20"/>
                <w:color w:val="auto"/>
              </w:rPr>
            </w:pPr>
            <w:r>
              <w:rPr>
                <w:rFonts w:ascii="Times New Roman" w:cs="Times New Roman" w:eastAsia="Times New Roman" w:hAnsi="Times New Roman"/>
                <w:sz w:val="14"/>
                <w:szCs w:val="14"/>
                <w:b w:val="1"/>
                <w:bCs w:val="1"/>
                <w:color w:val="auto"/>
                <w:w w:val="98"/>
              </w:rPr>
              <w:t>The Bank of New York Mellon</w:t>
            </w:r>
          </w:p>
        </w:tc>
        <w:tc>
          <w:tcPr>
            <w:tcW w:w="266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252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9"/>
              </w:rPr>
              <w:t>240 Greenwich Street</w:t>
            </w:r>
          </w:p>
        </w:tc>
        <w:tc>
          <w:tcPr>
            <w:tcW w:w="266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252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7"/>
              </w:rPr>
              <w:t>New York, New York 10286</w:t>
            </w:r>
          </w:p>
        </w:tc>
        <w:tc>
          <w:tcPr>
            <w:tcW w:w="2660" w:type="dxa"/>
            <w:vAlign w:val="bottom"/>
          </w:tcPr>
          <w:p>
            <w:pPr>
              <w:spacing w:after="0"/>
              <w:rPr>
                <w:sz w:val="14"/>
                <w:szCs w:val="14"/>
                <w:color w:val="auto"/>
              </w:rPr>
            </w:pPr>
          </w:p>
        </w:tc>
      </w:tr>
      <w:tr>
        <w:trPr>
          <w:trHeight w:val="165"/>
        </w:trPr>
        <w:tc>
          <w:tcPr>
            <w:tcW w:w="5180" w:type="dxa"/>
            <w:vAlign w:val="bottom"/>
            <w:gridSpan w:val="2"/>
          </w:tcPr>
          <w:p>
            <w:pPr>
              <w:jc w:val="center"/>
              <w:ind w:left="3316"/>
              <w:spacing w:after="0"/>
              <w:rPr>
                <w:sz w:val="20"/>
                <w:szCs w:val="20"/>
                <w:color w:val="auto"/>
              </w:rPr>
            </w:pPr>
            <w:r>
              <w:rPr>
                <w:rFonts w:ascii="Times New Roman" w:cs="Times New Roman" w:eastAsia="Times New Roman" w:hAnsi="Times New Roman"/>
                <w:sz w:val="14"/>
                <w:szCs w:val="14"/>
                <w:b w:val="1"/>
                <w:bCs w:val="1"/>
                <w:color w:val="auto"/>
              </w:rPr>
              <w:t>(212) 815-2421</w:t>
            </w:r>
          </w:p>
        </w:tc>
        <w:tc>
          <w:tcPr>
            <w:tcW w:w="72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48"/>
        </w:trPr>
        <w:tc>
          <w:tcPr>
            <w:tcW w:w="5900" w:type="dxa"/>
            <w:vAlign w:val="bottom"/>
            <w:gridSpan w:val="3"/>
          </w:tcPr>
          <w:p>
            <w:pPr>
              <w:jc w:val="center"/>
              <w:ind w:left="2616"/>
              <w:spacing w:after="0"/>
              <w:rPr>
                <w:sz w:val="20"/>
                <w:szCs w:val="20"/>
                <w:color w:val="auto"/>
              </w:rPr>
            </w:pPr>
            <w:r>
              <w:rPr>
                <w:rFonts w:ascii="Times New Roman" w:cs="Times New Roman" w:eastAsia="Times New Roman" w:hAnsi="Times New Roman"/>
                <w:sz w:val="11"/>
                <w:szCs w:val="11"/>
                <w:b w:val="1"/>
                <w:bCs w:val="1"/>
                <w:color w:val="auto"/>
              </w:rPr>
              <w:t>(Name, address and telephone number of agent for service)</w:t>
            </w:r>
          </w:p>
        </w:tc>
        <w:tc>
          <w:tcPr>
            <w:tcW w:w="2660" w:type="dxa"/>
            <w:vAlign w:val="bottom"/>
          </w:tcPr>
          <w:p>
            <w:pPr>
              <w:spacing w:after="0"/>
              <w:rPr>
                <w:sz w:val="12"/>
                <w:szCs w:val="12"/>
                <w:color w:val="auto"/>
              </w:rPr>
            </w:pPr>
          </w:p>
        </w:tc>
      </w:tr>
      <w:tr>
        <w:trPr>
          <w:trHeight w:val="260"/>
        </w:trPr>
        <w:tc>
          <w:tcPr>
            <w:tcW w:w="3380" w:type="dxa"/>
            <w:vAlign w:val="bottom"/>
          </w:tcPr>
          <w:p>
            <w:pPr>
              <w:spacing w:after="0"/>
              <w:rPr>
                <w:sz w:val="22"/>
                <w:szCs w:val="22"/>
                <w:color w:val="auto"/>
              </w:rPr>
            </w:pPr>
          </w:p>
        </w:tc>
        <w:tc>
          <w:tcPr>
            <w:tcW w:w="1800" w:type="dxa"/>
            <w:vAlign w:val="bottom"/>
            <w:tcBorders>
              <w:bottom w:val="single" w:sz="8" w:color="auto"/>
            </w:tcBorders>
          </w:tcPr>
          <w:p>
            <w:pPr>
              <w:spacing w:after="0"/>
              <w:rPr>
                <w:sz w:val="22"/>
                <w:szCs w:val="22"/>
                <w:color w:val="auto"/>
              </w:rPr>
            </w:pPr>
          </w:p>
        </w:tc>
        <w:tc>
          <w:tcPr>
            <w:tcW w:w="720" w:type="dxa"/>
            <w:vAlign w:val="bottom"/>
          </w:tcPr>
          <w:p>
            <w:pPr>
              <w:spacing w:after="0"/>
              <w:rPr>
                <w:sz w:val="22"/>
                <w:szCs w:val="22"/>
                <w:color w:val="auto"/>
              </w:rPr>
            </w:pPr>
          </w:p>
        </w:tc>
        <w:tc>
          <w:tcPr>
            <w:tcW w:w="2660" w:type="dxa"/>
            <w:vAlign w:val="bottom"/>
          </w:tcPr>
          <w:p>
            <w:pPr>
              <w:spacing w:after="0"/>
              <w:rPr>
                <w:sz w:val="22"/>
                <w:szCs w:val="22"/>
                <w:color w:val="auto"/>
              </w:rPr>
            </w:pPr>
          </w:p>
        </w:tc>
      </w:tr>
      <w:tr>
        <w:trPr>
          <w:trHeight w:val="307"/>
        </w:trPr>
        <w:tc>
          <w:tcPr>
            <w:tcW w:w="5900" w:type="dxa"/>
            <w:vAlign w:val="bottom"/>
            <w:gridSpan w:val="3"/>
          </w:tcPr>
          <w:p>
            <w:pPr>
              <w:jc w:val="center"/>
              <w:ind w:left="2616"/>
              <w:spacing w:after="0"/>
              <w:rPr>
                <w:sz w:val="20"/>
                <w:szCs w:val="20"/>
                <w:color w:val="auto"/>
              </w:rPr>
            </w:pPr>
            <w:r>
              <w:rPr>
                <w:rFonts w:ascii="Times New Roman" w:cs="Times New Roman" w:eastAsia="Times New Roman" w:hAnsi="Times New Roman"/>
                <w:sz w:val="14"/>
                <w:szCs w:val="14"/>
                <w:b w:val="1"/>
                <w:bCs w:val="1"/>
                <w:color w:val="auto"/>
                <w:w w:val="99"/>
              </w:rPr>
              <w:t>SCHLUMBERGER INVESTMENT S.A.</w:t>
            </w:r>
          </w:p>
        </w:tc>
        <w:tc>
          <w:tcPr>
            <w:tcW w:w="2660" w:type="dxa"/>
            <w:vAlign w:val="bottom"/>
          </w:tcPr>
          <w:p>
            <w:pPr>
              <w:spacing w:after="0"/>
              <w:rPr>
                <w:sz w:val="24"/>
                <w:szCs w:val="24"/>
                <w:color w:val="auto"/>
              </w:rPr>
            </w:pPr>
          </w:p>
        </w:tc>
      </w:tr>
      <w:tr>
        <w:trPr>
          <w:trHeight w:val="148"/>
        </w:trPr>
        <w:tc>
          <w:tcPr>
            <w:tcW w:w="5900" w:type="dxa"/>
            <w:vAlign w:val="bottom"/>
            <w:gridSpan w:val="3"/>
          </w:tcPr>
          <w:p>
            <w:pPr>
              <w:jc w:val="center"/>
              <w:ind w:left="2616"/>
              <w:spacing w:after="0"/>
              <w:rPr>
                <w:sz w:val="20"/>
                <w:szCs w:val="20"/>
                <w:color w:val="auto"/>
              </w:rPr>
            </w:pPr>
            <w:r>
              <w:rPr>
                <w:rFonts w:ascii="Times New Roman" w:cs="Times New Roman" w:eastAsia="Times New Roman" w:hAnsi="Times New Roman"/>
                <w:sz w:val="11"/>
                <w:szCs w:val="11"/>
                <w:b w:val="1"/>
                <w:bCs w:val="1"/>
                <w:color w:val="auto"/>
              </w:rPr>
              <w:t>(Exact name of obligor as specified in its charter)</w:t>
            </w:r>
          </w:p>
        </w:tc>
        <w:tc>
          <w:tcPr>
            <w:tcW w:w="2660" w:type="dxa"/>
            <w:vAlign w:val="bottom"/>
          </w:tcPr>
          <w:p>
            <w:pPr>
              <w:spacing w:after="0"/>
              <w:rPr>
                <w:sz w:val="12"/>
                <w:szCs w:val="12"/>
                <w:color w:val="auto"/>
              </w:rPr>
            </w:pPr>
          </w:p>
        </w:tc>
      </w:tr>
      <w:tr>
        <w:trPr>
          <w:trHeight w:val="260"/>
        </w:trPr>
        <w:tc>
          <w:tcPr>
            <w:tcW w:w="3380" w:type="dxa"/>
            <w:vAlign w:val="bottom"/>
          </w:tcPr>
          <w:p>
            <w:pPr>
              <w:spacing w:after="0"/>
              <w:rPr>
                <w:sz w:val="22"/>
                <w:szCs w:val="22"/>
                <w:color w:val="auto"/>
              </w:rPr>
            </w:pPr>
          </w:p>
        </w:tc>
        <w:tc>
          <w:tcPr>
            <w:tcW w:w="1800" w:type="dxa"/>
            <w:vAlign w:val="bottom"/>
            <w:tcBorders>
              <w:bottom w:val="single" w:sz="8" w:color="auto"/>
            </w:tcBorders>
          </w:tcPr>
          <w:p>
            <w:pPr>
              <w:spacing w:after="0"/>
              <w:rPr>
                <w:sz w:val="22"/>
                <w:szCs w:val="22"/>
                <w:color w:val="auto"/>
              </w:rPr>
            </w:pPr>
          </w:p>
        </w:tc>
        <w:tc>
          <w:tcPr>
            <w:tcW w:w="720" w:type="dxa"/>
            <w:vAlign w:val="bottom"/>
          </w:tcPr>
          <w:p>
            <w:pPr>
              <w:spacing w:after="0"/>
              <w:rPr>
                <w:sz w:val="22"/>
                <w:szCs w:val="22"/>
                <w:color w:val="auto"/>
              </w:rPr>
            </w:pPr>
          </w:p>
        </w:tc>
        <w:tc>
          <w:tcPr>
            <w:tcW w:w="2660" w:type="dxa"/>
            <w:vAlign w:val="bottom"/>
          </w:tcPr>
          <w:p>
            <w:pPr>
              <w:spacing w:after="0"/>
              <w:rPr>
                <w:sz w:val="22"/>
                <w:szCs w:val="22"/>
                <w:color w:val="auto"/>
              </w:rPr>
            </w:pPr>
          </w:p>
        </w:tc>
      </w:tr>
      <w:tr>
        <w:trPr>
          <w:trHeight w:val="359"/>
        </w:trPr>
        <w:tc>
          <w:tcPr>
            <w:tcW w:w="5900" w:type="dxa"/>
            <w:vAlign w:val="bottom"/>
            <w:gridSpan w:val="3"/>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w w:val="99"/>
              </w:rPr>
              <w:t>Grand Duchy of Luxembourg</w:t>
            </w:r>
          </w:p>
        </w:tc>
        <w:tc>
          <w:tcPr>
            <w:tcW w:w="2660" w:type="dxa"/>
            <w:vAlign w:val="bottom"/>
          </w:tcPr>
          <w:p>
            <w:pPr>
              <w:jc w:val="center"/>
              <w:ind w:right="1378"/>
              <w:spacing w:after="0"/>
              <w:rPr>
                <w:sz w:val="20"/>
                <w:szCs w:val="20"/>
                <w:color w:val="auto"/>
              </w:rPr>
            </w:pPr>
            <w:r>
              <w:rPr>
                <w:rFonts w:ascii="Times New Roman" w:cs="Times New Roman" w:eastAsia="Times New Roman" w:hAnsi="Times New Roman"/>
                <w:sz w:val="14"/>
                <w:szCs w:val="14"/>
                <w:b w:val="1"/>
                <w:bCs w:val="1"/>
                <w:color w:val="auto"/>
              </w:rPr>
              <w:t>Not Applicable</w:t>
            </w:r>
          </w:p>
        </w:tc>
      </w:tr>
      <w:tr>
        <w:trPr>
          <w:trHeight w:val="115"/>
        </w:trPr>
        <w:tc>
          <w:tcPr>
            <w:tcW w:w="5900" w:type="dxa"/>
            <w:vAlign w:val="bottom"/>
            <w:gridSpan w:val="3"/>
          </w:tcPr>
          <w:p>
            <w:pPr>
              <w:jc w:val="center"/>
              <w:ind w:right="1500"/>
              <w:spacing w:after="0" w:line="115"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660" w:type="dxa"/>
            <w:vAlign w:val="bottom"/>
          </w:tcPr>
          <w:p>
            <w:pPr>
              <w:jc w:val="center"/>
              <w:ind w:right="1378"/>
              <w:spacing w:after="0" w:line="115"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8"/>
        </w:trPr>
        <w:tc>
          <w:tcPr>
            <w:tcW w:w="5900" w:type="dxa"/>
            <w:vAlign w:val="bottom"/>
            <w:gridSpan w:val="3"/>
          </w:tcPr>
          <w:p>
            <w:pPr>
              <w:jc w:val="center"/>
              <w:ind w:right="152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660" w:type="dxa"/>
            <w:vAlign w:val="bottom"/>
          </w:tcPr>
          <w:p>
            <w:pPr>
              <w:jc w:val="center"/>
              <w:ind w:right="1378"/>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303"/>
        </w:trPr>
        <w:tc>
          <w:tcPr>
            <w:tcW w:w="5900" w:type="dxa"/>
            <w:vAlign w:val="bottom"/>
            <w:gridSpan w:val="3"/>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w w:val="98"/>
              </w:rPr>
              <w:t>5, Place de la Gare</w:t>
            </w:r>
          </w:p>
        </w:tc>
        <w:tc>
          <w:tcPr>
            <w:tcW w:w="2660" w:type="dxa"/>
            <w:vAlign w:val="bottom"/>
          </w:tcPr>
          <w:p>
            <w:pPr>
              <w:jc w:val="center"/>
              <w:ind w:right="1378"/>
              <w:spacing w:after="0"/>
              <w:rPr>
                <w:sz w:val="20"/>
                <w:szCs w:val="20"/>
                <w:color w:val="auto"/>
              </w:rPr>
            </w:pPr>
            <w:r>
              <w:rPr>
                <w:rFonts w:ascii="Times New Roman" w:cs="Times New Roman" w:eastAsia="Times New Roman" w:hAnsi="Times New Roman"/>
                <w:sz w:val="14"/>
                <w:szCs w:val="14"/>
                <w:b w:val="1"/>
                <w:bCs w:val="1"/>
                <w:color w:val="auto"/>
                <w:w w:val="99"/>
              </w:rPr>
              <w:t>B 163.122</w:t>
            </w:r>
          </w:p>
        </w:tc>
      </w:tr>
      <w:tr>
        <w:trPr>
          <w:trHeight w:val="170"/>
        </w:trPr>
        <w:tc>
          <w:tcPr>
            <w:tcW w:w="5900" w:type="dxa"/>
            <w:vAlign w:val="bottom"/>
            <w:gridSpan w:val="3"/>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w w:val="98"/>
              </w:rPr>
              <w:t>Luxembourg L-1616</w:t>
            </w:r>
          </w:p>
        </w:tc>
        <w:tc>
          <w:tcPr>
            <w:tcW w:w="2660" w:type="dxa"/>
            <w:vAlign w:val="bottom"/>
          </w:tcPr>
          <w:p>
            <w:pPr>
              <w:jc w:val="center"/>
              <w:ind w:right="1378"/>
              <w:spacing w:after="0"/>
              <w:rPr>
                <w:sz w:val="20"/>
                <w:szCs w:val="20"/>
                <w:color w:val="auto"/>
              </w:rPr>
            </w:pPr>
            <w:r>
              <w:rPr>
                <w:rFonts w:ascii="Times New Roman" w:cs="Times New Roman" w:eastAsia="Times New Roman" w:hAnsi="Times New Roman"/>
                <w:sz w:val="11"/>
                <w:szCs w:val="11"/>
                <w:b w:val="1"/>
                <w:bCs w:val="1"/>
                <w:color w:val="auto"/>
              </w:rPr>
              <w:t>(Zip code)</w:t>
            </w:r>
          </w:p>
        </w:tc>
      </w:tr>
      <w:tr>
        <w:trPr>
          <w:trHeight w:val="165"/>
        </w:trPr>
        <w:tc>
          <w:tcPr>
            <w:tcW w:w="5900" w:type="dxa"/>
            <w:vAlign w:val="bottom"/>
            <w:gridSpan w:val="3"/>
          </w:tcPr>
          <w:p>
            <w:pPr>
              <w:jc w:val="center"/>
              <w:ind w:right="1500"/>
              <w:spacing w:after="0"/>
              <w:rPr>
                <w:sz w:val="20"/>
                <w:szCs w:val="20"/>
                <w:color w:val="auto"/>
              </w:rPr>
            </w:pPr>
            <w:r>
              <w:rPr>
                <w:rFonts w:ascii="Times New Roman" w:cs="Times New Roman" w:eastAsia="Times New Roman" w:hAnsi="Times New Roman"/>
                <w:sz w:val="14"/>
                <w:szCs w:val="14"/>
                <w:b w:val="1"/>
                <w:bCs w:val="1"/>
                <w:color w:val="auto"/>
              </w:rPr>
              <w:t>R.C.S. Luxembourg</w:t>
            </w:r>
          </w:p>
        </w:tc>
        <w:tc>
          <w:tcPr>
            <w:tcW w:w="2660" w:type="dxa"/>
            <w:vAlign w:val="bottom"/>
          </w:tcPr>
          <w:p>
            <w:pPr>
              <w:spacing w:after="0"/>
              <w:rPr>
                <w:sz w:val="14"/>
                <w:szCs w:val="14"/>
                <w:color w:val="auto"/>
              </w:rPr>
            </w:pPr>
          </w:p>
        </w:tc>
      </w:tr>
      <w:tr>
        <w:trPr>
          <w:trHeight w:val="148"/>
        </w:trPr>
        <w:tc>
          <w:tcPr>
            <w:tcW w:w="5900" w:type="dxa"/>
            <w:vAlign w:val="bottom"/>
            <w:gridSpan w:val="3"/>
          </w:tcPr>
          <w:p>
            <w:pPr>
              <w:jc w:val="center"/>
              <w:ind w:right="152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2660" w:type="dxa"/>
            <w:vAlign w:val="bottom"/>
          </w:tcPr>
          <w:p>
            <w:pPr>
              <w:spacing w:after="0"/>
              <w:rPr>
                <w:sz w:val="12"/>
                <w:szCs w:val="12"/>
                <w:color w:val="auto"/>
              </w:rPr>
            </w:pPr>
          </w:p>
        </w:tc>
      </w:tr>
      <w:tr>
        <w:trPr>
          <w:trHeight w:val="303"/>
        </w:trPr>
        <w:tc>
          <w:tcPr>
            <w:tcW w:w="3380" w:type="dxa"/>
            <w:vAlign w:val="bottom"/>
          </w:tcPr>
          <w:p>
            <w:pPr>
              <w:spacing w:after="0"/>
              <w:rPr>
                <w:sz w:val="24"/>
                <w:szCs w:val="24"/>
                <w:color w:val="auto"/>
              </w:rPr>
            </w:pPr>
          </w:p>
        </w:tc>
        <w:tc>
          <w:tcPr>
            <w:tcW w:w="252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8"/>
              </w:rPr>
              <w:t>SLB N.V. (SLB LIMITED)</w:t>
            </w:r>
          </w:p>
        </w:tc>
        <w:tc>
          <w:tcPr>
            <w:tcW w:w="2660" w:type="dxa"/>
            <w:vAlign w:val="bottom"/>
          </w:tcPr>
          <w:p>
            <w:pPr>
              <w:spacing w:after="0"/>
              <w:rPr>
                <w:sz w:val="24"/>
                <w:szCs w:val="24"/>
                <w:color w:val="auto"/>
              </w:rPr>
            </w:pPr>
          </w:p>
        </w:tc>
      </w:tr>
      <w:tr>
        <w:trPr>
          <w:trHeight w:val="148"/>
        </w:trPr>
        <w:tc>
          <w:tcPr>
            <w:tcW w:w="5900" w:type="dxa"/>
            <w:vAlign w:val="bottom"/>
            <w:gridSpan w:val="3"/>
          </w:tcPr>
          <w:p>
            <w:pPr>
              <w:jc w:val="center"/>
              <w:ind w:left="2616"/>
              <w:spacing w:after="0"/>
              <w:rPr>
                <w:sz w:val="20"/>
                <w:szCs w:val="20"/>
                <w:color w:val="auto"/>
              </w:rPr>
            </w:pPr>
            <w:r>
              <w:rPr>
                <w:rFonts w:ascii="Times New Roman" w:cs="Times New Roman" w:eastAsia="Times New Roman" w:hAnsi="Times New Roman"/>
                <w:sz w:val="11"/>
                <w:szCs w:val="11"/>
                <w:b w:val="1"/>
                <w:bCs w:val="1"/>
                <w:color w:val="auto"/>
              </w:rPr>
              <w:t>(Exact name of obligor as specified in its charter)</w:t>
            </w:r>
          </w:p>
        </w:tc>
        <w:tc>
          <w:tcPr>
            <w:tcW w:w="2660" w:type="dxa"/>
            <w:vAlign w:val="bottom"/>
          </w:tcPr>
          <w:p>
            <w:pPr>
              <w:spacing w:after="0"/>
              <w:rPr>
                <w:sz w:val="12"/>
                <w:szCs w:val="12"/>
                <w:color w:val="auto"/>
              </w:rPr>
            </w:pPr>
          </w:p>
        </w:tc>
      </w:tr>
      <w:tr>
        <w:trPr>
          <w:trHeight w:val="324"/>
        </w:trPr>
        <w:tc>
          <w:tcPr>
            <w:tcW w:w="5900" w:type="dxa"/>
            <w:vAlign w:val="bottom"/>
            <w:gridSpan w:val="3"/>
          </w:tcPr>
          <w:p>
            <w:pPr>
              <w:jc w:val="center"/>
              <w:ind w:right="1560"/>
              <w:spacing w:after="0"/>
              <w:rPr>
                <w:sz w:val="20"/>
                <w:szCs w:val="20"/>
                <w:color w:val="auto"/>
              </w:rPr>
            </w:pPr>
            <w:r>
              <w:rPr>
                <w:rFonts w:ascii="Times New Roman" w:cs="Times New Roman" w:eastAsia="Times New Roman" w:hAnsi="Times New Roman"/>
                <w:sz w:val="14"/>
                <w:szCs w:val="14"/>
                <w:b w:val="1"/>
                <w:bCs w:val="1"/>
                <w:color w:val="auto"/>
                <w:w w:val="97"/>
              </w:rPr>
              <w:t>Curaçao</w:t>
            </w:r>
          </w:p>
        </w:tc>
        <w:tc>
          <w:tcPr>
            <w:tcW w:w="2660" w:type="dxa"/>
            <w:vAlign w:val="bottom"/>
          </w:tcPr>
          <w:p>
            <w:pPr>
              <w:jc w:val="center"/>
              <w:ind w:right="1438"/>
              <w:spacing w:after="0"/>
              <w:rPr>
                <w:sz w:val="20"/>
                <w:szCs w:val="20"/>
                <w:color w:val="auto"/>
              </w:rPr>
            </w:pPr>
            <w:r>
              <w:rPr>
                <w:rFonts w:ascii="Times New Roman" w:cs="Times New Roman" w:eastAsia="Times New Roman" w:hAnsi="Times New Roman"/>
                <w:sz w:val="14"/>
                <w:szCs w:val="14"/>
                <w:b w:val="1"/>
                <w:bCs w:val="1"/>
                <w:color w:val="auto"/>
              </w:rPr>
              <w:t>52-0684746</w:t>
            </w:r>
          </w:p>
        </w:tc>
      </w:tr>
      <w:tr>
        <w:trPr>
          <w:trHeight w:val="115"/>
        </w:trPr>
        <w:tc>
          <w:tcPr>
            <w:tcW w:w="5900" w:type="dxa"/>
            <w:vAlign w:val="bottom"/>
            <w:gridSpan w:val="3"/>
          </w:tcPr>
          <w:p>
            <w:pPr>
              <w:jc w:val="center"/>
              <w:ind w:right="1580"/>
              <w:spacing w:after="0" w:line="115"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660" w:type="dxa"/>
            <w:vAlign w:val="bottom"/>
          </w:tcPr>
          <w:p>
            <w:pPr>
              <w:jc w:val="center"/>
              <w:ind w:right="1418"/>
              <w:spacing w:after="0" w:line="115"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8"/>
        </w:trPr>
        <w:tc>
          <w:tcPr>
            <w:tcW w:w="5900" w:type="dxa"/>
            <w:vAlign w:val="bottom"/>
            <w:gridSpan w:val="3"/>
          </w:tcPr>
          <w:p>
            <w:pPr>
              <w:jc w:val="center"/>
              <w:ind w:right="156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660" w:type="dxa"/>
            <w:vAlign w:val="bottom"/>
          </w:tcPr>
          <w:p>
            <w:pPr>
              <w:jc w:val="center"/>
              <w:ind w:right="1438"/>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306"/>
        </w:trPr>
        <w:tc>
          <w:tcPr>
            <w:tcW w:w="5900" w:type="dxa"/>
            <w:vAlign w:val="bottom"/>
            <w:gridSpan w:val="3"/>
          </w:tcPr>
          <w:p>
            <w:pPr>
              <w:jc w:val="center"/>
              <w:ind w:right="1560"/>
              <w:spacing w:after="0"/>
              <w:rPr>
                <w:sz w:val="20"/>
                <w:szCs w:val="20"/>
                <w:color w:val="auto"/>
              </w:rPr>
            </w:pPr>
            <w:r>
              <w:rPr>
                <w:rFonts w:ascii="Times New Roman" w:cs="Times New Roman" w:eastAsia="Times New Roman" w:hAnsi="Times New Roman"/>
                <w:sz w:val="14"/>
                <w:szCs w:val="14"/>
                <w:b w:val="1"/>
                <w:bCs w:val="1"/>
                <w:color w:val="auto"/>
                <w:w w:val="99"/>
              </w:rPr>
              <w:t>42 rue Saint-Dominique</w:t>
            </w:r>
          </w:p>
        </w:tc>
        <w:tc>
          <w:tcPr>
            <w:tcW w:w="2660" w:type="dxa"/>
            <w:vAlign w:val="bottom"/>
          </w:tcPr>
          <w:p>
            <w:pPr>
              <w:spacing w:after="0"/>
              <w:rPr>
                <w:sz w:val="24"/>
                <w:szCs w:val="24"/>
                <w:color w:val="auto"/>
              </w:rPr>
            </w:pPr>
          </w:p>
        </w:tc>
      </w:tr>
      <w:tr>
        <w:trPr>
          <w:trHeight w:val="185"/>
        </w:trPr>
        <w:tc>
          <w:tcPr>
            <w:tcW w:w="5900" w:type="dxa"/>
            <w:vAlign w:val="bottom"/>
            <w:gridSpan w:val="3"/>
          </w:tcPr>
          <w:p>
            <w:pPr>
              <w:jc w:val="center"/>
              <w:ind w:right="1580"/>
              <w:spacing w:after="0"/>
              <w:rPr>
                <w:sz w:val="20"/>
                <w:szCs w:val="20"/>
                <w:color w:val="auto"/>
              </w:rPr>
            </w:pPr>
            <w:r>
              <w:rPr>
                <w:rFonts w:ascii="Times New Roman" w:cs="Times New Roman" w:eastAsia="Times New Roman" w:hAnsi="Times New Roman"/>
                <w:sz w:val="14"/>
                <w:szCs w:val="14"/>
                <w:b w:val="1"/>
                <w:bCs w:val="1"/>
                <w:color w:val="auto"/>
                <w:w w:val="99"/>
              </w:rPr>
              <w:t>Paris, France</w:t>
            </w:r>
          </w:p>
        </w:tc>
        <w:tc>
          <w:tcPr>
            <w:tcW w:w="2660" w:type="dxa"/>
            <w:vAlign w:val="bottom"/>
          </w:tcPr>
          <w:p>
            <w:pPr>
              <w:jc w:val="center"/>
              <w:ind w:right="1418"/>
              <w:spacing w:after="0"/>
              <w:rPr>
                <w:sz w:val="20"/>
                <w:szCs w:val="20"/>
                <w:color w:val="auto"/>
              </w:rPr>
            </w:pPr>
            <w:r>
              <w:rPr>
                <w:rFonts w:ascii="Times New Roman" w:cs="Times New Roman" w:eastAsia="Times New Roman" w:hAnsi="Times New Roman"/>
                <w:sz w:val="14"/>
                <w:szCs w:val="14"/>
                <w:b w:val="1"/>
                <w:bCs w:val="1"/>
                <w:color w:val="auto"/>
                <w:w w:val="97"/>
              </w:rPr>
              <w:t>75007</w:t>
            </w:r>
          </w:p>
        </w:tc>
      </w:tr>
      <w:tr>
        <w:trPr>
          <w:trHeight w:val="319"/>
        </w:trPr>
        <w:tc>
          <w:tcPr>
            <w:tcW w:w="5900" w:type="dxa"/>
            <w:vAlign w:val="bottom"/>
            <w:gridSpan w:val="3"/>
          </w:tcPr>
          <w:p>
            <w:pPr>
              <w:jc w:val="center"/>
              <w:ind w:right="1560"/>
              <w:spacing w:after="0"/>
              <w:rPr>
                <w:sz w:val="20"/>
                <w:szCs w:val="20"/>
                <w:color w:val="auto"/>
              </w:rPr>
            </w:pPr>
            <w:r>
              <w:rPr>
                <w:rFonts w:ascii="Times New Roman" w:cs="Times New Roman" w:eastAsia="Times New Roman" w:hAnsi="Times New Roman"/>
                <w:sz w:val="14"/>
                <w:szCs w:val="14"/>
                <w:b w:val="1"/>
                <w:bCs w:val="1"/>
                <w:color w:val="auto"/>
                <w:w w:val="99"/>
              </w:rPr>
              <w:t>5599 San Felipe</w:t>
            </w:r>
          </w:p>
        </w:tc>
        <w:tc>
          <w:tcPr>
            <w:tcW w:w="2660" w:type="dxa"/>
            <w:vAlign w:val="bottom"/>
          </w:tcPr>
          <w:p>
            <w:pPr>
              <w:spacing w:after="0"/>
              <w:rPr>
                <w:sz w:val="24"/>
                <w:szCs w:val="24"/>
                <w:color w:val="auto"/>
              </w:rPr>
            </w:pPr>
          </w:p>
        </w:tc>
      </w:tr>
      <w:tr>
        <w:trPr>
          <w:trHeight w:val="185"/>
        </w:trPr>
        <w:tc>
          <w:tcPr>
            <w:tcW w:w="5900" w:type="dxa"/>
            <w:vAlign w:val="bottom"/>
            <w:gridSpan w:val="3"/>
          </w:tcPr>
          <w:p>
            <w:pPr>
              <w:jc w:val="center"/>
              <w:ind w:right="1560"/>
              <w:spacing w:after="0"/>
              <w:rPr>
                <w:sz w:val="20"/>
                <w:szCs w:val="20"/>
                <w:color w:val="auto"/>
              </w:rPr>
            </w:pPr>
            <w:r>
              <w:rPr>
                <w:rFonts w:ascii="Times New Roman" w:cs="Times New Roman" w:eastAsia="Times New Roman" w:hAnsi="Times New Roman"/>
                <w:sz w:val="14"/>
                <w:szCs w:val="14"/>
                <w:b w:val="1"/>
                <w:bCs w:val="1"/>
                <w:color w:val="auto"/>
                <w:w w:val="97"/>
              </w:rPr>
              <w:t>Houston, Texas</w:t>
            </w:r>
          </w:p>
        </w:tc>
        <w:tc>
          <w:tcPr>
            <w:tcW w:w="2660" w:type="dxa"/>
            <w:vAlign w:val="bottom"/>
          </w:tcPr>
          <w:p>
            <w:pPr>
              <w:jc w:val="center"/>
              <w:ind w:right="1418"/>
              <w:spacing w:after="0"/>
              <w:rPr>
                <w:sz w:val="20"/>
                <w:szCs w:val="20"/>
                <w:color w:val="auto"/>
              </w:rPr>
            </w:pPr>
            <w:r>
              <w:rPr>
                <w:rFonts w:ascii="Times New Roman" w:cs="Times New Roman" w:eastAsia="Times New Roman" w:hAnsi="Times New Roman"/>
                <w:sz w:val="14"/>
                <w:szCs w:val="14"/>
                <w:b w:val="1"/>
                <w:bCs w:val="1"/>
                <w:color w:val="auto"/>
                <w:w w:val="97"/>
              </w:rPr>
              <w:t>77056</w:t>
            </w:r>
          </w:p>
        </w:tc>
      </w:tr>
      <w:tr>
        <w:trPr>
          <w:trHeight w:val="316"/>
        </w:trPr>
        <w:tc>
          <w:tcPr>
            <w:tcW w:w="5900" w:type="dxa"/>
            <w:vAlign w:val="bottom"/>
            <w:gridSpan w:val="3"/>
          </w:tcPr>
          <w:p>
            <w:pPr>
              <w:jc w:val="center"/>
              <w:ind w:right="1560"/>
              <w:spacing w:after="0"/>
              <w:rPr>
                <w:sz w:val="20"/>
                <w:szCs w:val="20"/>
                <w:color w:val="auto"/>
              </w:rPr>
            </w:pPr>
            <w:r>
              <w:rPr>
                <w:rFonts w:ascii="Times New Roman" w:cs="Times New Roman" w:eastAsia="Times New Roman" w:hAnsi="Times New Roman"/>
                <w:sz w:val="14"/>
                <w:szCs w:val="14"/>
                <w:b w:val="1"/>
                <w:bCs w:val="1"/>
                <w:color w:val="auto"/>
                <w:w w:val="99"/>
              </w:rPr>
              <w:t>Parkstraat 83, The Hague</w:t>
            </w:r>
          </w:p>
        </w:tc>
        <w:tc>
          <w:tcPr>
            <w:tcW w:w="2660" w:type="dxa"/>
            <w:vAlign w:val="bottom"/>
          </w:tcPr>
          <w:p>
            <w:pPr>
              <w:jc w:val="center"/>
              <w:ind w:right="1418"/>
              <w:spacing w:after="0"/>
              <w:rPr>
                <w:sz w:val="20"/>
                <w:szCs w:val="20"/>
                <w:color w:val="auto"/>
              </w:rPr>
            </w:pPr>
            <w:r>
              <w:rPr>
                <w:rFonts w:ascii="Times New Roman" w:cs="Times New Roman" w:eastAsia="Times New Roman" w:hAnsi="Times New Roman"/>
                <w:sz w:val="14"/>
                <w:szCs w:val="14"/>
                <w:b w:val="1"/>
                <w:bCs w:val="1"/>
                <w:color w:val="auto"/>
              </w:rPr>
              <w:t>2514 JG</w:t>
            </w:r>
          </w:p>
        </w:tc>
      </w:tr>
      <w:tr>
        <w:trPr>
          <w:trHeight w:val="168"/>
        </w:trPr>
        <w:tc>
          <w:tcPr>
            <w:tcW w:w="5900" w:type="dxa"/>
            <w:vAlign w:val="bottom"/>
            <w:gridSpan w:val="3"/>
          </w:tcPr>
          <w:p>
            <w:pPr>
              <w:jc w:val="center"/>
              <w:ind w:right="1580"/>
              <w:spacing w:after="0"/>
              <w:rPr>
                <w:sz w:val="20"/>
                <w:szCs w:val="20"/>
                <w:color w:val="auto"/>
              </w:rPr>
            </w:pPr>
            <w:r>
              <w:rPr>
                <w:rFonts w:ascii="Times New Roman" w:cs="Times New Roman" w:eastAsia="Times New Roman" w:hAnsi="Times New Roman"/>
                <w:sz w:val="14"/>
                <w:szCs w:val="14"/>
                <w:b w:val="1"/>
                <w:bCs w:val="1"/>
                <w:color w:val="auto"/>
              </w:rPr>
              <w:t>The Netherlands</w:t>
            </w:r>
          </w:p>
        </w:tc>
        <w:tc>
          <w:tcPr>
            <w:tcW w:w="2660" w:type="dxa"/>
            <w:vAlign w:val="bottom"/>
          </w:tcPr>
          <w:p>
            <w:pPr>
              <w:jc w:val="center"/>
              <w:ind w:right="1438"/>
              <w:spacing w:after="0"/>
              <w:rPr>
                <w:sz w:val="20"/>
                <w:szCs w:val="20"/>
                <w:color w:val="auto"/>
              </w:rPr>
            </w:pPr>
            <w:r>
              <w:rPr>
                <w:rFonts w:ascii="Times New Roman" w:cs="Times New Roman" w:eastAsia="Times New Roman" w:hAnsi="Times New Roman"/>
                <w:sz w:val="11"/>
                <w:szCs w:val="11"/>
                <w:b w:val="1"/>
                <w:bCs w:val="1"/>
                <w:color w:val="auto"/>
                <w:w w:val="99"/>
              </w:rPr>
              <w:t>(Zip code)</w:t>
            </w:r>
          </w:p>
        </w:tc>
      </w:tr>
      <w:tr>
        <w:trPr>
          <w:trHeight w:val="148"/>
        </w:trPr>
        <w:tc>
          <w:tcPr>
            <w:tcW w:w="5900" w:type="dxa"/>
            <w:vAlign w:val="bottom"/>
            <w:gridSpan w:val="3"/>
          </w:tcPr>
          <w:p>
            <w:pPr>
              <w:jc w:val="center"/>
              <w:ind w:right="156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2660" w:type="dxa"/>
            <w:vAlign w:val="bottom"/>
          </w:tcPr>
          <w:p>
            <w:pPr>
              <w:spacing w:after="0"/>
              <w:rPr>
                <w:sz w:val="12"/>
                <w:szCs w:val="12"/>
                <w:color w:val="auto"/>
              </w:rPr>
            </w:pPr>
          </w:p>
        </w:tc>
      </w:tr>
      <w:tr>
        <w:trPr>
          <w:trHeight w:val="260"/>
        </w:trPr>
        <w:tc>
          <w:tcPr>
            <w:tcW w:w="3380" w:type="dxa"/>
            <w:vAlign w:val="bottom"/>
          </w:tcPr>
          <w:p>
            <w:pPr>
              <w:spacing w:after="0"/>
              <w:rPr>
                <w:sz w:val="22"/>
                <w:szCs w:val="22"/>
                <w:color w:val="auto"/>
              </w:rPr>
            </w:pPr>
          </w:p>
        </w:tc>
        <w:tc>
          <w:tcPr>
            <w:tcW w:w="1800" w:type="dxa"/>
            <w:vAlign w:val="bottom"/>
            <w:tcBorders>
              <w:bottom w:val="single" w:sz="8" w:color="auto"/>
            </w:tcBorders>
          </w:tcPr>
          <w:p>
            <w:pPr>
              <w:spacing w:after="0"/>
              <w:rPr>
                <w:sz w:val="22"/>
                <w:szCs w:val="22"/>
                <w:color w:val="auto"/>
              </w:rPr>
            </w:pPr>
          </w:p>
        </w:tc>
        <w:tc>
          <w:tcPr>
            <w:tcW w:w="720" w:type="dxa"/>
            <w:vAlign w:val="bottom"/>
          </w:tcPr>
          <w:p>
            <w:pPr>
              <w:spacing w:after="0"/>
              <w:rPr>
                <w:sz w:val="22"/>
                <w:szCs w:val="22"/>
                <w:color w:val="auto"/>
              </w:rPr>
            </w:pPr>
          </w:p>
        </w:tc>
        <w:tc>
          <w:tcPr>
            <w:tcW w:w="2660" w:type="dxa"/>
            <w:vAlign w:val="bottom"/>
          </w:tcPr>
          <w:p>
            <w:pPr>
              <w:spacing w:after="0"/>
              <w:rPr>
                <w:sz w:val="22"/>
                <w:szCs w:val="22"/>
                <w:color w:val="auto"/>
              </w:rPr>
            </w:pPr>
          </w:p>
        </w:tc>
      </w:tr>
      <w:tr>
        <w:trPr>
          <w:trHeight w:val="309"/>
        </w:trPr>
        <w:tc>
          <w:tcPr>
            <w:tcW w:w="3380" w:type="dxa"/>
            <w:vAlign w:val="bottom"/>
          </w:tcPr>
          <w:p>
            <w:pPr>
              <w:spacing w:after="0"/>
              <w:rPr>
                <w:sz w:val="24"/>
                <w:szCs w:val="24"/>
                <w:color w:val="auto"/>
              </w:rPr>
            </w:pPr>
          </w:p>
        </w:tc>
        <w:tc>
          <w:tcPr>
            <w:tcW w:w="252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9"/>
              </w:rPr>
              <w:t>Senior Debt Securities</w:t>
            </w:r>
          </w:p>
        </w:tc>
        <w:tc>
          <w:tcPr>
            <w:tcW w:w="2660" w:type="dxa"/>
            <w:vAlign w:val="bottom"/>
          </w:tcPr>
          <w:p>
            <w:pPr>
              <w:spacing w:after="0"/>
              <w:rPr>
                <w:sz w:val="24"/>
                <w:szCs w:val="24"/>
                <w:color w:val="auto"/>
              </w:rPr>
            </w:pPr>
          </w:p>
        </w:tc>
      </w:tr>
      <w:tr>
        <w:trPr>
          <w:trHeight w:val="165"/>
        </w:trPr>
        <w:tc>
          <w:tcPr>
            <w:tcW w:w="5900" w:type="dxa"/>
            <w:vAlign w:val="bottom"/>
            <w:gridSpan w:val="3"/>
          </w:tcPr>
          <w:p>
            <w:pPr>
              <w:jc w:val="center"/>
              <w:ind w:left="2596"/>
              <w:spacing w:after="0"/>
              <w:rPr>
                <w:sz w:val="20"/>
                <w:szCs w:val="20"/>
                <w:color w:val="auto"/>
              </w:rPr>
            </w:pPr>
            <w:r>
              <w:rPr>
                <w:rFonts w:ascii="Times New Roman" w:cs="Times New Roman" w:eastAsia="Times New Roman" w:hAnsi="Times New Roman"/>
                <w:sz w:val="14"/>
                <w:szCs w:val="14"/>
                <w:b w:val="1"/>
                <w:bCs w:val="1"/>
                <w:color w:val="auto"/>
                <w:w w:val="99"/>
              </w:rPr>
              <w:t>Guarantees of Senior Debt Securities</w:t>
            </w:r>
          </w:p>
        </w:tc>
        <w:tc>
          <w:tcPr>
            <w:tcW w:w="2660" w:type="dxa"/>
            <w:vAlign w:val="bottom"/>
          </w:tcPr>
          <w:p>
            <w:pPr>
              <w:spacing w:after="0"/>
              <w:rPr>
                <w:sz w:val="14"/>
                <w:szCs w:val="14"/>
                <w:color w:val="auto"/>
              </w:rPr>
            </w:pPr>
          </w:p>
        </w:tc>
      </w:tr>
      <w:tr>
        <w:trPr>
          <w:trHeight w:val="148"/>
        </w:trPr>
        <w:tc>
          <w:tcPr>
            <w:tcW w:w="3380" w:type="dxa"/>
            <w:vAlign w:val="bottom"/>
          </w:tcPr>
          <w:p>
            <w:pPr>
              <w:spacing w:after="0"/>
              <w:rPr>
                <w:sz w:val="12"/>
                <w:szCs w:val="12"/>
                <w:color w:val="auto"/>
              </w:rPr>
            </w:pPr>
          </w:p>
        </w:tc>
        <w:tc>
          <w:tcPr>
            <w:tcW w:w="2520" w:type="dxa"/>
            <w:vAlign w:val="bottom"/>
            <w:gridSpan w:val="2"/>
          </w:tcPr>
          <w:p>
            <w:pPr>
              <w:jc w:val="center"/>
              <w:ind w:right="720"/>
              <w:spacing w:after="0"/>
              <w:rPr>
                <w:sz w:val="20"/>
                <w:szCs w:val="20"/>
                <w:color w:val="auto"/>
              </w:rPr>
            </w:pPr>
            <w:r>
              <w:rPr>
                <w:rFonts w:ascii="Times New Roman" w:cs="Times New Roman" w:eastAsia="Times New Roman" w:hAnsi="Times New Roman"/>
                <w:sz w:val="11"/>
                <w:szCs w:val="11"/>
                <w:b w:val="1"/>
                <w:bCs w:val="1"/>
                <w:color w:val="auto"/>
              </w:rPr>
              <w:t>(Title of the indenture securities)</w:t>
            </w:r>
          </w:p>
        </w:tc>
        <w:tc>
          <w:tcPr>
            <w:tcW w:w="2660" w:type="dxa"/>
            <w:vAlign w:val="bottom"/>
          </w:tcPr>
          <w:p>
            <w:pPr>
              <w:spacing w:after="0"/>
              <w:rPr>
                <w:sz w:val="12"/>
                <w:szCs w:val="12"/>
                <w:color w:val="auto"/>
              </w:rPr>
            </w:pPr>
          </w:p>
        </w:tc>
      </w:tr>
      <w:tr>
        <w:trPr>
          <w:trHeight w:val="176"/>
        </w:trPr>
        <w:tc>
          <w:tcPr>
            <w:tcW w:w="33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tcPr>
          <w:p>
            <w:pPr>
              <w:spacing w:after="0"/>
              <w:rPr>
                <w:sz w:val="15"/>
                <w:szCs w:val="15"/>
                <w:color w:val="auto"/>
              </w:rPr>
            </w:pPr>
          </w:p>
        </w:tc>
      </w:tr>
      <w:tr>
        <w:trPr>
          <w:trHeight w:val="32"/>
        </w:trPr>
        <w:tc>
          <w:tcPr>
            <w:tcW w:w="3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bl>
    <w:p>
      <w:pPr>
        <w:sectPr>
          <w:pgSz w:w="11900" w:h="16838" w:orient="portrait"/>
          <w:cols w:equalWidth="0" w:num="1">
            <w:col w:w="9019"/>
          </w:cols>
          <w:pgMar w:left="1440" w:top="123" w:right="1440" w:bottom="1440" w:gutter="0" w:footer="0" w:header="0"/>
        </w:sectPr>
      </w:pPr>
    </w:p>
    <w:bookmarkStart w:id="66" w:name="page67"/>
    <w:bookmarkEnd w:id="66"/>
    <w:p>
      <w:pPr>
        <w:ind w:left="640" w:hanging="413"/>
        <w:spacing w:after="0"/>
        <w:tabs>
          <w:tab w:leader="none" w:pos="640" w:val="left"/>
        </w:tabs>
        <w:numPr>
          <w:ilvl w:val="0"/>
          <w:numId w:val="6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General information. Furnish the following information as to the trustee:</w:t>
      </w:r>
    </w:p>
    <w:p>
      <w:pPr>
        <w:spacing w:after="0" w:line="101" w:lineRule="exact"/>
        <w:rPr>
          <w:rFonts w:ascii="Times New Roman" w:cs="Times New Roman" w:eastAsia="Times New Roman" w:hAnsi="Times New Roman"/>
          <w:sz w:val="14"/>
          <w:szCs w:val="14"/>
          <w:b w:val="1"/>
          <w:bCs w:val="1"/>
          <w:color w:val="auto"/>
        </w:rPr>
      </w:pPr>
    </w:p>
    <w:p>
      <w:pPr>
        <w:ind w:left="1140" w:hanging="494"/>
        <w:spacing w:after="0"/>
        <w:tabs>
          <w:tab w:leader="none" w:pos="1140" w:val="left"/>
        </w:tabs>
        <w:numPr>
          <w:ilvl w:val="1"/>
          <w:numId w:val="6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Name and address of each examining or supervising authority to which it is subject.</w:t>
      </w:r>
    </w:p>
    <w:p>
      <w:pPr>
        <w:spacing w:after="0" w:line="192" w:lineRule="exact"/>
        <w:rPr>
          <w:sz w:val="20"/>
          <w:szCs w:val="20"/>
          <w:color w:val="auto"/>
        </w:rPr>
      </w:pPr>
    </w:p>
    <w:tbl>
      <w:tblPr>
        <w:tblLayout w:type="fixed"/>
        <w:tblInd w:w="220" w:type="dxa"/>
        <w:tblCellMar>
          <w:top w:w="0" w:type="dxa"/>
          <w:left w:w="0" w:type="dxa"/>
          <w:bottom w:w="0" w:type="dxa"/>
          <w:right w:w="0" w:type="dxa"/>
        </w:tblCellMar>
      </w:tblPr>
      <w:tr>
        <w:trPr>
          <w:trHeight w:val="178"/>
        </w:trPr>
        <w:tc>
          <w:tcPr>
            <w:tcW w:w="4360" w:type="dxa"/>
            <w:vAlign w:val="bottom"/>
            <w:tcBorders>
              <w:top w:val="single" w:sz="8" w:color="auto"/>
              <w:bottom w:val="single" w:sz="8" w:color="auto"/>
            </w:tcBorders>
          </w:tcPr>
          <w:p>
            <w:pPr>
              <w:ind w:left="2020"/>
              <w:spacing w:after="0"/>
              <w:rPr>
                <w:sz w:val="20"/>
                <w:szCs w:val="20"/>
                <w:color w:val="auto"/>
              </w:rPr>
            </w:pPr>
            <w:r>
              <w:rPr>
                <w:rFonts w:ascii="Times New Roman" w:cs="Times New Roman" w:eastAsia="Times New Roman" w:hAnsi="Times New Roman"/>
                <w:sz w:val="14"/>
                <w:szCs w:val="14"/>
                <w:color w:val="auto"/>
              </w:rPr>
              <w:t>Name</w:t>
            </w:r>
          </w:p>
        </w:tc>
        <w:tc>
          <w:tcPr>
            <w:tcW w:w="4200" w:type="dxa"/>
            <w:vAlign w:val="bottom"/>
            <w:tcBorders>
              <w:top w:val="single" w:sz="8" w:color="auto"/>
              <w:bottom w:val="single" w:sz="8" w:color="auto"/>
            </w:tcBorders>
          </w:tcPr>
          <w:p>
            <w:pPr>
              <w:ind w:left="1920"/>
              <w:spacing w:after="0"/>
              <w:rPr>
                <w:sz w:val="20"/>
                <w:szCs w:val="20"/>
                <w:color w:val="auto"/>
              </w:rPr>
            </w:pPr>
            <w:r>
              <w:rPr>
                <w:rFonts w:ascii="Times New Roman" w:cs="Times New Roman" w:eastAsia="Times New Roman" w:hAnsi="Times New Roman"/>
                <w:sz w:val="14"/>
                <w:szCs w:val="14"/>
                <w:color w:val="auto"/>
              </w:rPr>
              <w:t>Address</w:t>
            </w:r>
          </w:p>
        </w:tc>
      </w:tr>
      <w:tr>
        <w:trPr>
          <w:trHeight w:val="217"/>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Superintendent of the Department of Financial Services of the State of New</w:t>
            </w:r>
          </w:p>
        </w:tc>
        <w:tc>
          <w:tcPr>
            <w:tcW w:w="4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One State Street, New York, NY</w:t>
            </w:r>
          </w:p>
        </w:tc>
      </w:tr>
      <w:tr>
        <w:trPr>
          <w:trHeight w:val="183"/>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York</w:t>
            </w:r>
          </w:p>
        </w:tc>
        <w:tc>
          <w:tcPr>
            <w:tcW w:w="4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10004-1511</w:t>
            </w:r>
          </w:p>
        </w:tc>
      </w:tr>
      <w:tr>
        <w:trPr>
          <w:trHeight w:val="247"/>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Federal Reserve Bank of New York</w:t>
            </w:r>
          </w:p>
        </w:tc>
        <w:tc>
          <w:tcPr>
            <w:tcW w:w="4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33 Liberty Street</w:t>
            </w:r>
          </w:p>
        </w:tc>
      </w:tr>
      <w:tr>
        <w:trPr>
          <w:trHeight w:val="183"/>
        </w:trPr>
        <w:tc>
          <w:tcPr>
            <w:tcW w:w="4360" w:type="dxa"/>
            <w:vAlign w:val="bottom"/>
          </w:tcPr>
          <w:p>
            <w:pPr>
              <w:spacing w:after="0"/>
              <w:rPr>
                <w:sz w:val="15"/>
                <w:szCs w:val="15"/>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New York, NY 10045</w:t>
            </w:r>
          </w:p>
        </w:tc>
      </w:tr>
      <w:tr>
        <w:trPr>
          <w:trHeight w:val="237"/>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Federal Deposit Insurance Corporation</w:t>
            </w:r>
          </w:p>
        </w:tc>
        <w:tc>
          <w:tcPr>
            <w:tcW w:w="4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550 17th Street, N.W.</w:t>
            </w:r>
          </w:p>
        </w:tc>
      </w:tr>
      <w:tr>
        <w:trPr>
          <w:trHeight w:val="183"/>
        </w:trPr>
        <w:tc>
          <w:tcPr>
            <w:tcW w:w="4360" w:type="dxa"/>
            <w:vAlign w:val="bottom"/>
          </w:tcPr>
          <w:p>
            <w:pPr>
              <w:spacing w:after="0"/>
              <w:rPr>
                <w:sz w:val="15"/>
                <w:szCs w:val="15"/>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Washington, D.C. 20429</w:t>
            </w:r>
          </w:p>
        </w:tc>
      </w:tr>
      <w:tr>
        <w:trPr>
          <w:trHeight w:val="237"/>
        </w:trPr>
        <w:tc>
          <w:tcPr>
            <w:tcW w:w="4360" w:type="dxa"/>
            <w:vAlign w:val="bottom"/>
          </w:tcPr>
          <w:p>
            <w:pPr>
              <w:spacing w:after="0"/>
              <w:rPr>
                <w:sz w:val="20"/>
                <w:szCs w:val="20"/>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3501 N. Fairfax Drive</w:t>
            </w:r>
          </w:p>
        </w:tc>
      </w:tr>
      <w:tr>
        <w:trPr>
          <w:trHeight w:val="183"/>
        </w:trPr>
        <w:tc>
          <w:tcPr>
            <w:tcW w:w="4360" w:type="dxa"/>
            <w:vAlign w:val="bottom"/>
          </w:tcPr>
          <w:p>
            <w:pPr>
              <w:spacing w:after="0"/>
              <w:rPr>
                <w:sz w:val="15"/>
                <w:szCs w:val="15"/>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Arlington, VA 22226</w:t>
            </w:r>
          </w:p>
        </w:tc>
      </w:tr>
      <w:tr>
        <w:trPr>
          <w:trHeight w:val="237"/>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The Clearing House Association L.L.C.</w:t>
            </w:r>
          </w:p>
        </w:tc>
        <w:tc>
          <w:tcPr>
            <w:tcW w:w="4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1114 Avenue of the Americas</w:t>
            </w:r>
          </w:p>
        </w:tc>
      </w:tr>
      <w:tr>
        <w:trPr>
          <w:trHeight w:val="183"/>
        </w:trPr>
        <w:tc>
          <w:tcPr>
            <w:tcW w:w="4360" w:type="dxa"/>
            <w:vAlign w:val="bottom"/>
          </w:tcPr>
          <w:p>
            <w:pPr>
              <w:spacing w:after="0"/>
              <w:rPr>
                <w:sz w:val="15"/>
                <w:szCs w:val="15"/>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New York, NY 10036</w:t>
            </w:r>
          </w:p>
        </w:tc>
      </w:tr>
    </w:tbl>
    <w:p>
      <w:pPr>
        <w:spacing w:after="0" w:line="266" w:lineRule="exact"/>
        <w:rPr>
          <w:sz w:val="20"/>
          <w:szCs w:val="20"/>
          <w:color w:val="auto"/>
        </w:rPr>
      </w:pPr>
    </w:p>
    <w:p>
      <w:pPr>
        <w:ind w:left="1140" w:hanging="494"/>
        <w:spacing w:after="0"/>
        <w:tabs>
          <w:tab w:leader="none" w:pos="1140" w:val="left"/>
        </w:tabs>
        <w:numPr>
          <w:ilvl w:val="0"/>
          <w:numId w:val="6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Whether it is authorized to exercise corporate trust powers.</w:t>
      </w:r>
    </w:p>
    <w:p>
      <w:pPr>
        <w:spacing w:after="0" w:line="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Yes.</w:t>
      </w:r>
    </w:p>
    <w:p>
      <w:pPr>
        <w:spacing w:after="0" w:line="288" w:lineRule="exact"/>
        <w:rPr>
          <w:sz w:val="20"/>
          <w:szCs w:val="20"/>
          <w:color w:val="auto"/>
        </w:rPr>
      </w:pPr>
    </w:p>
    <w:p>
      <w:pPr>
        <w:ind w:left="640" w:hanging="413"/>
        <w:spacing w:after="0"/>
        <w:tabs>
          <w:tab w:leader="none" w:pos="640" w:val="left"/>
        </w:tabs>
        <w:numPr>
          <w:ilvl w:val="0"/>
          <w:numId w:val="6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Affiliations with Obligors.</w:t>
      </w:r>
    </w:p>
    <w:p>
      <w:pPr>
        <w:spacing w:after="0" w:line="90" w:lineRule="exact"/>
        <w:rPr>
          <w:rFonts w:ascii="Times New Roman" w:cs="Times New Roman" w:eastAsia="Times New Roman" w:hAnsi="Times New Roman"/>
          <w:sz w:val="14"/>
          <w:szCs w:val="14"/>
          <w:b w:val="1"/>
          <w:bCs w:val="1"/>
          <w:color w:val="auto"/>
        </w:rPr>
      </w:pPr>
    </w:p>
    <w:p>
      <w:pPr>
        <w:ind w:left="6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If any of the obligors is an affiliate of the trustee, describe each such affiliation.</w:t>
      </w:r>
    </w:p>
    <w:p>
      <w:pPr>
        <w:spacing w:after="0" w:line="92" w:lineRule="exact"/>
        <w:rPr>
          <w:rFonts w:ascii="Times New Roman" w:cs="Times New Roman" w:eastAsia="Times New Roman" w:hAnsi="Times New Roman"/>
          <w:sz w:val="14"/>
          <w:szCs w:val="14"/>
          <w:b w:val="1"/>
          <w:bCs w:val="1"/>
          <w:color w:val="auto"/>
        </w:rPr>
      </w:pPr>
    </w:p>
    <w:p>
      <w:pPr>
        <w:ind w:left="660" w:right="299"/>
        <w:spacing w:after="0" w:line="282"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Based upon an examination of the books and records of the trustee and upon information furnished by the obligors, neither obligor is an affiliate of the trustee.</w:t>
      </w:r>
    </w:p>
    <w:p>
      <w:pPr>
        <w:spacing w:after="0" w:line="238" w:lineRule="exact"/>
        <w:rPr>
          <w:sz w:val="20"/>
          <w:szCs w:val="20"/>
          <w:color w:val="auto"/>
        </w:rPr>
      </w:pPr>
    </w:p>
    <w:p>
      <w:pPr>
        <w:ind w:left="640" w:right="279" w:hanging="418"/>
        <w:spacing w:after="0" w:line="267" w:lineRule="auto"/>
        <w:tabs>
          <w:tab w:leader="none" w:pos="620" w:val="left"/>
        </w:tabs>
        <w:rPr>
          <w:sz w:val="20"/>
          <w:szCs w:val="20"/>
          <w:color w:val="auto"/>
        </w:rPr>
      </w:pPr>
      <w:r>
        <w:rPr>
          <w:rFonts w:ascii="Times New Roman" w:cs="Times New Roman" w:eastAsia="Times New Roman" w:hAnsi="Times New Roman"/>
          <w:sz w:val="14"/>
          <w:szCs w:val="14"/>
          <w:b w:val="1"/>
          <w:bCs w:val="1"/>
          <w:color w:val="auto"/>
        </w:rPr>
        <w:t>3-15.</w:t>
        <w:tab/>
        <w:t>Pursuant to General Instruction B of the Form T-1, no responses are included for Items 3-15 of this Form T-1 because, to the best of The Bank of New York Mellon’s knowledge, the obligors are not in default on any securities issued under any indenture under which The Bank of New York Mellon acts as trustee and the trustee is not a foreign trustee as provided under Item 15.</w:t>
      </w:r>
    </w:p>
    <w:p>
      <w:pPr>
        <w:sectPr>
          <w:pgSz w:w="11900" w:h="16838" w:orient="portrait"/>
          <w:cols w:equalWidth="0" w:num="1">
            <w:col w:w="9019"/>
          </w:cols>
          <w:pgMar w:left="1440" w:top="238" w:right="1440" w:bottom="1440" w:gutter="0" w:footer="0" w:header="0"/>
        </w:sectPr>
      </w:pPr>
    </w:p>
    <w:bookmarkStart w:id="67" w:name="page68"/>
    <w:bookmarkEnd w:id="67"/>
    <w:p>
      <w:pPr>
        <w:ind w:left="640" w:hanging="413"/>
        <w:spacing w:after="0"/>
        <w:tabs>
          <w:tab w:leader="none" w:pos="640" w:val="left"/>
        </w:tabs>
        <w:numPr>
          <w:ilvl w:val="0"/>
          <w:numId w:val="6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List of Exhibits.</w:t>
      </w:r>
    </w:p>
    <w:p>
      <w:pPr>
        <w:spacing w:after="0" w:line="90" w:lineRule="exact"/>
        <w:rPr>
          <w:rFonts w:ascii="Times New Roman" w:cs="Times New Roman" w:eastAsia="Times New Roman" w:hAnsi="Times New Roman"/>
          <w:sz w:val="14"/>
          <w:szCs w:val="14"/>
          <w:b w:val="1"/>
          <w:bCs w:val="1"/>
          <w:color w:val="auto"/>
        </w:rPr>
      </w:pPr>
    </w:p>
    <w:p>
      <w:pPr>
        <w:ind w:left="660" w:right="259"/>
        <w:spacing w:after="0" w:line="26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The following exhibits are to be filed as a part of the statement of eligibility of The Bank of New York Mellon. Exhibits identified in parentheses below, on file with the Commission, are incorporated herein by reference as an exhibit hereto, pursuant to Rule 7a-29 under the Trust Indenture Act of 1939 (the “Act”) and 17 C.F.R. 229.10(d).</w:t>
      </w:r>
    </w:p>
    <w:p>
      <w:pPr>
        <w:spacing w:after="0" w:line="62" w:lineRule="exact"/>
        <w:rPr>
          <w:rFonts w:ascii="Times New Roman" w:cs="Times New Roman" w:eastAsia="Times New Roman" w:hAnsi="Times New Roman"/>
          <w:sz w:val="14"/>
          <w:szCs w:val="14"/>
          <w:b w:val="1"/>
          <w:bCs w:val="1"/>
          <w:color w:val="auto"/>
        </w:rPr>
      </w:pPr>
    </w:p>
    <w:p>
      <w:pPr>
        <w:ind w:left="1140" w:right="279" w:hanging="494"/>
        <w:spacing w:after="0" w:line="254" w:lineRule="auto"/>
        <w:tabs>
          <w:tab w:leader="none" w:pos="1140"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Organization Certificate of The Bank of New York Mellon (formerly The Bank of New York and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and Exhibit 1 to Form T-1 filed with Registration Statement No. 333-121195 and Exhibit 1 to Form T-1 filed with Registration Statement</w:t>
      </w:r>
    </w:p>
    <w:p>
      <w:pPr>
        <w:spacing w:after="0" w:line="1" w:lineRule="exact"/>
        <w:rPr>
          <w:rFonts w:ascii="Times New Roman" w:cs="Times New Roman" w:eastAsia="Times New Roman" w:hAnsi="Times New Roman"/>
          <w:sz w:val="14"/>
          <w:szCs w:val="14"/>
          <w:color w:val="auto"/>
        </w:rPr>
      </w:pPr>
    </w:p>
    <w:p>
      <w:pPr>
        <w:ind w:left="11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333-152735.)</w:t>
      </w:r>
    </w:p>
    <w:p>
      <w:pPr>
        <w:spacing w:after="0" w:line="86" w:lineRule="exact"/>
        <w:rPr>
          <w:sz w:val="20"/>
          <w:szCs w:val="20"/>
          <w:color w:val="auto"/>
        </w:rPr>
      </w:pPr>
    </w:p>
    <w:p>
      <w:pPr>
        <w:ind w:left="1140" w:hanging="494"/>
        <w:spacing w:after="0"/>
        <w:tabs>
          <w:tab w:leader="none" w:pos="11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existing By-Laws of the trustee.</w:t>
      </w:r>
    </w:p>
    <w:p>
      <w:pPr>
        <w:spacing w:after="0" w:line="101" w:lineRule="exact"/>
        <w:rPr>
          <w:sz w:val="20"/>
          <w:szCs w:val="20"/>
          <w:color w:val="auto"/>
        </w:rPr>
      </w:pPr>
    </w:p>
    <w:p>
      <w:pPr>
        <w:ind w:left="1140" w:hanging="494"/>
        <w:spacing w:after="0"/>
        <w:tabs>
          <w:tab w:leader="none" w:pos="11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consent of the trustee required by Section 321(b) of the Act.</w:t>
      </w:r>
    </w:p>
    <w:p>
      <w:pPr>
        <w:spacing w:after="0" w:line="101" w:lineRule="exact"/>
        <w:rPr>
          <w:rFonts w:ascii="Times New Roman" w:cs="Times New Roman" w:eastAsia="Times New Roman" w:hAnsi="Times New Roman"/>
          <w:sz w:val="14"/>
          <w:szCs w:val="14"/>
          <w:color w:val="auto"/>
        </w:rPr>
      </w:pPr>
    </w:p>
    <w:p>
      <w:pPr>
        <w:ind w:left="1140" w:right="419" w:hanging="494"/>
        <w:spacing w:after="0" w:line="282" w:lineRule="auto"/>
        <w:tabs>
          <w:tab w:leader="none" w:pos="11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latest report of condition of the trustee published pursuant to law or to the requirements of its supervising or examining authority.</w:t>
      </w:r>
    </w:p>
    <w:p>
      <w:pPr>
        <w:sectPr>
          <w:pgSz w:w="11900" w:h="16838" w:orient="portrait"/>
          <w:cols w:equalWidth="0" w:num="1">
            <w:col w:w="9019"/>
          </w:cols>
          <w:pgMar w:left="1440" w:top="238" w:right="1440"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SIGNATURE</w:t>
      </w:r>
    </w:p>
    <w:p>
      <w:pPr>
        <w:spacing w:after="0" w:line="174" w:lineRule="exact"/>
        <w:rPr>
          <w:sz w:val="20"/>
          <w:szCs w:val="20"/>
          <w:color w:val="auto"/>
        </w:rPr>
      </w:pPr>
    </w:p>
    <w:p>
      <w:pPr>
        <w:ind w:left="220" w:right="239" w:firstLine="342"/>
        <w:spacing w:after="0" w:line="266" w:lineRule="auto"/>
        <w:rPr>
          <w:sz w:val="20"/>
          <w:szCs w:val="20"/>
          <w:color w:val="auto"/>
        </w:rPr>
      </w:pPr>
      <w:r>
        <w:rPr>
          <w:rFonts w:ascii="Times New Roman" w:cs="Times New Roman" w:eastAsia="Times New Roman" w:hAnsi="Times New Roman"/>
          <w:sz w:val="14"/>
          <w:szCs w:val="14"/>
          <w:color w:val="auto"/>
        </w:rPr>
        <w:t>Pursuant to the requirements of the Act, the trustee, The Bank of New York Mellon, a corporation organized and existing under the laws of the State of New York, has duly caused this statement of eligibility to be signed on its behalf by the undersigned, thereunto duly authorized, all in the City of New York, and State of New York, on the 27th day of April 2026.</w:t>
      </w:r>
    </w:p>
    <w:p>
      <w:pPr>
        <w:spacing w:after="0" w:line="15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THE BANK OF NEW YORK MELLON</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Peggy Guel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3585845</wp:posOffset>
            </wp:positionH>
            <wp:positionV relativeFrom="paragraph">
              <wp:posOffset>13335</wp:posOffset>
            </wp:positionV>
            <wp:extent cx="1990725"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1990725" cy="6350"/>
                    </a:xfrm>
                    <a:prstGeom prst="rect">
                      <a:avLst/>
                    </a:prstGeom>
                    <a:noFill/>
                  </pic:spPr>
                </pic:pic>
              </a:graphicData>
            </a:graphic>
          </wp:anchor>
        </w:drawing>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Name: Peggy Guel</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Title: Agent</w:t>
      </w:r>
    </w:p>
    <w:p>
      <w:pPr>
        <w:sectPr>
          <w:pgSz w:w="11900" w:h="16838" w:orient="portrait"/>
          <w:cols w:equalWidth="0" w:num="1">
            <w:col w:w="9019"/>
          </w:cols>
          <w:pgMar w:left="1440" w:top="240" w:right="1440" w:bottom="1440" w:gutter="0" w:footer="0" w:header="0"/>
        </w:sectPr>
      </w:pPr>
    </w:p>
    <w:bookmarkStart w:id="69" w:name="page70"/>
    <w:bookmarkEnd w:id="69"/>
    <w:p>
      <w:pPr>
        <w:jc w:val="right"/>
        <w:ind w:right="239"/>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EXHIBIT 4</w:t>
      </w:r>
    </w:p>
    <w:p>
      <w:pPr>
        <w:spacing w:after="0" w:line="16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7620" w:type="dxa"/>
            <w:vAlign w:val="bottom"/>
          </w:tcPr>
          <w:p>
            <w:pPr>
              <w:jc w:val="center"/>
              <w:ind w:left="870"/>
              <w:spacing w:after="0"/>
              <w:rPr>
                <w:sz w:val="20"/>
                <w:szCs w:val="20"/>
                <w:color w:val="auto"/>
              </w:rPr>
            </w:pPr>
            <w:r>
              <w:rPr>
                <w:rFonts w:ascii="Arial" w:cs="Arial" w:eastAsia="Arial" w:hAnsi="Arial"/>
                <w:sz w:val="14"/>
                <w:szCs w:val="14"/>
                <w:color w:val="auto"/>
                <w:w w:val="95"/>
              </w:rPr>
              <w:t>BY-LAWS</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620" w:type="dxa"/>
            <w:vAlign w:val="bottom"/>
          </w:tcPr>
          <w:p>
            <w:pPr>
              <w:jc w:val="center"/>
              <w:ind w:left="870"/>
              <w:spacing w:after="0" w:line="157" w:lineRule="exact"/>
              <w:rPr>
                <w:sz w:val="20"/>
                <w:szCs w:val="20"/>
                <w:color w:val="auto"/>
              </w:rPr>
            </w:pPr>
            <w:r>
              <w:rPr>
                <w:rFonts w:ascii="Arial" w:cs="Arial" w:eastAsia="Arial" w:hAnsi="Arial"/>
                <w:sz w:val="14"/>
                <w:szCs w:val="14"/>
                <w:color w:val="auto"/>
              </w:rPr>
              <w:t>of</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20" w:type="dxa"/>
            <w:vAlign w:val="bottom"/>
          </w:tcPr>
          <w:p>
            <w:pPr>
              <w:jc w:val="center"/>
              <w:ind w:left="870"/>
              <w:spacing w:after="0" w:line="157" w:lineRule="exact"/>
              <w:rPr>
                <w:sz w:val="20"/>
                <w:szCs w:val="20"/>
                <w:color w:val="auto"/>
              </w:rPr>
            </w:pPr>
            <w:r>
              <w:rPr>
                <w:rFonts w:ascii="Arial" w:cs="Arial" w:eastAsia="Arial" w:hAnsi="Arial"/>
                <w:sz w:val="14"/>
                <w:szCs w:val="14"/>
                <w:color w:val="auto"/>
                <w:w w:val="99"/>
              </w:rPr>
              <w:t>The Bank of New York Mellon</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20" w:type="dxa"/>
            <w:vAlign w:val="bottom"/>
          </w:tcPr>
          <w:p>
            <w:pPr>
              <w:jc w:val="center"/>
              <w:ind w:left="870"/>
              <w:spacing w:after="0" w:line="157" w:lineRule="exact"/>
              <w:rPr>
                <w:sz w:val="20"/>
                <w:szCs w:val="20"/>
                <w:color w:val="auto"/>
              </w:rPr>
            </w:pPr>
            <w:r>
              <w:rPr>
                <w:rFonts w:ascii="Arial" w:cs="Arial" w:eastAsia="Arial" w:hAnsi="Arial"/>
                <w:sz w:val="14"/>
                <w:szCs w:val="14"/>
                <w:color w:val="auto"/>
                <w:w w:val="99"/>
              </w:rPr>
              <w:t>As Amended and Restated through September 9, 2021</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620" w:type="dxa"/>
            <w:vAlign w:val="bottom"/>
          </w:tcPr>
          <w:p>
            <w:pPr>
              <w:jc w:val="center"/>
              <w:ind w:left="870"/>
              <w:spacing w:after="0"/>
              <w:rPr>
                <w:sz w:val="20"/>
                <w:szCs w:val="20"/>
                <w:color w:val="auto"/>
              </w:rPr>
            </w:pPr>
            <w:r>
              <w:rPr>
                <w:rFonts w:ascii="Arial" w:cs="Arial" w:eastAsia="Arial" w:hAnsi="Arial"/>
                <w:sz w:val="14"/>
                <w:szCs w:val="14"/>
                <w:color w:val="auto"/>
                <w:w w:val="97"/>
              </w:rPr>
              <w:t>Table of Contents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7620" w:type="dxa"/>
            <w:vAlign w:val="bottom"/>
            <w:vMerge w:val="restart"/>
          </w:tcPr>
          <w:p>
            <w:pPr>
              <w:spacing w:after="0"/>
              <w:rPr>
                <w:sz w:val="20"/>
                <w:szCs w:val="20"/>
                <w:color w:val="auto"/>
              </w:rPr>
            </w:pPr>
            <w:r>
              <w:rPr>
                <w:rFonts w:ascii="Arial" w:cs="Arial" w:eastAsia="Arial" w:hAnsi="Arial"/>
                <w:sz w:val="14"/>
                <w:szCs w:val="14"/>
                <w:color w:val="auto"/>
              </w:rPr>
              <w:t>ARTICLE I Stockholders</w:t>
            </w:r>
          </w:p>
        </w:tc>
        <w:tc>
          <w:tcPr>
            <w:tcW w:w="900" w:type="dxa"/>
            <w:vAlign w:val="bottom"/>
          </w:tcPr>
          <w:p>
            <w:pPr>
              <w:jc w:val="right"/>
              <w:spacing w:after="0"/>
              <w:rPr>
                <w:sz w:val="20"/>
                <w:szCs w:val="20"/>
                <w:color w:val="auto"/>
              </w:rPr>
            </w:pPr>
            <w:r>
              <w:rPr>
                <w:rFonts w:ascii="Arial" w:cs="Arial" w:eastAsia="Arial" w:hAnsi="Arial"/>
                <w:sz w:val="11"/>
                <w:szCs w:val="11"/>
                <w:color w:val="auto"/>
              </w:rPr>
              <w:t>Page No.</w:t>
            </w:r>
          </w:p>
        </w:tc>
        <w:tc>
          <w:tcPr>
            <w:tcW w:w="0" w:type="dxa"/>
            <w:vAlign w:val="bottom"/>
          </w:tcPr>
          <w:p>
            <w:pPr>
              <w:spacing w:after="0"/>
              <w:rPr>
                <w:sz w:val="1"/>
                <w:szCs w:val="1"/>
                <w:color w:val="auto"/>
              </w:rPr>
            </w:pPr>
          </w:p>
        </w:tc>
      </w:tr>
      <w:tr>
        <w:trPr>
          <w:trHeight w:val="184"/>
        </w:trPr>
        <w:tc>
          <w:tcPr>
            <w:tcW w:w="7620" w:type="dxa"/>
            <w:vAlign w:val="bottom"/>
            <w:vMerge w:val="continue"/>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24"/>
        </w:trPr>
        <w:tc>
          <w:tcPr>
            <w:tcW w:w="7620" w:type="dxa"/>
            <w:vAlign w:val="bottom"/>
          </w:tcPr>
          <w:p>
            <w:pPr>
              <w:ind w:left="280"/>
              <w:spacing w:after="0"/>
              <w:rPr>
                <w:sz w:val="20"/>
                <w:szCs w:val="20"/>
                <w:color w:val="auto"/>
              </w:rPr>
            </w:pPr>
            <w:r>
              <w:rPr>
                <w:rFonts w:ascii="Arial" w:cs="Arial" w:eastAsia="Arial" w:hAnsi="Arial"/>
                <w:sz w:val="14"/>
                <w:szCs w:val="14"/>
                <w:color w:val="auto"/>
              </w:rPr>
              <w:t>SECTION 1.1. Annual Meeting</w:t>
            </w: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8"/>
        </w:trPr>
        <w:tc>
          <w:tcPr>
            <w:tcW w:w="7620" w:type="dxa"/>
            <w:vAlign w:val="bottom"/>
          </w:tcPr>
          <w:p>
            <w:pPr>
              <w:ind w:left="280"/>
              <w:spacing w:after="0"/>
              <w:rPr>
                <w:sz w:val="20"/>
                <w:szCs w:val="20"/>
                <w:color w:val="auto"/>
              </w:rPr>
            </w:pPr>
            <w:r>
              <w:rPr>
                <w:rFonts w:ascii="Arial" w:cs="Arial" w:eastAsia="Arial" w:hAnsi="Arial"/>
                <w:sz w:val="14"/>
                <w:szCs w:val="14"/>
                <w:color w:val="auto"/>
              </w:rPr>
              <w:t>SECTION 1.2. Special Meetings</w:t>
            </w: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8"/>
        </w:trPr>
        <w:tc>
          <w:tcPr>
            <w:tcW w:w="7620" w:type="dxa"/>
            <w:vAlign w:val="bottom"/>
          </w:tcPr>
          <w:p>
            <w:pPr>
              <w:ind w:left="280"/>
              <w:spacing w:after="0"/>
              <w:rPr>
                <w:sz w:val="20"/>
                <w:szCs w:val="20"/>
                <w:color w:val="auto"/>
              </w:rPr>
            </w:pPr>
            <w:r>
              <w:rPr>
                <w:rFonts w:ascii="Arial" w:cs="Arial" w:eastAsia="Arial" w:hAnsi="Arial"/>
                <w:sz w:val="14"/>
                <w:szCs w:val="14"/>
                <w:color w:val="auto"/>
              </w:rPr>
              <w:t>SECTION 1.3. Notice of Meetings</w:t>
            </w: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8"/>
        </w:trPr>
        <w:tc>
          <w:tcPr>
            <w:tcW w:w="7620" w:type="dxa"/>
            <w:vAlign w:val="bottom"/>
          </w:tcPr>
          <w:p>
            <w:pPr>
              <w:ind w:left="280"/>
              <w:spacing w:after="0"/>
              <w:rPr>
                <w:sz w:val="20"/>
                <w:szCs w:val="20"/>
                <w:color w:val="auto"/>
              </w:rPr>
            </w:pPr>
            <w:r>
              <w:rPr>
                <w:rFonts w:ascii="Arial" w:cs="Arial" w:eastAsia="Arial" w:hAnsi="Arial"/>
                <w:sz w:val="14"/>
                <w:szCs w:val="14"/>
                <w:color w:val="auto"/>
              </w:rPr>
              <w:t>SECTION 1.4 Adjournments</w:t>
            </w:r>
          </w:p>
        </w:tc>
        <w:tc>
          <w:tcPr>
            <w:tcW w:w="9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8"/>
        </w:trPr>
        <w:tc>
          <w:tcPr>
            <w:tcW w:w="7620" w:type="dxa"/>
            <w:vAlign w:val="bottom"/>
          </w:tcPr>
          <w:p>
            <w:pPr>
              <w:ind w:left="280"/>
              <w:spacing w:after="0"/>
              <w:rPr>
                <w:sz w:val="20"/>
                <w:szCs w:val="20"/>
                <w:color w:val="auto"/>
              </w:rPr>
            </w:pPr>
            <w:r>
              <w:rPr>
                <w:rFonts w:ascii="Arial" w:cs="Arial" w:eastAsia="Arial" w:hAnsi="Arial"/>
                <w:sz w:val="14"/>
                <w:szCs w:val="14"/>
                <w:color w:val="auto"/>
              </w:rPr>
              <w:t>SECTION 1.5. Quorum of Stockholders and Action by the Stockholders</w:t>
            </w:r>
          </w:p>
        </w:tc>
        <w:tc>
          <w:tcPr>
            <w:tcW w:w="9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5"/>
        </w:trPr>
        <w:tc>
          <w:tcPr>
            <w:tcW w:w="7620" w:type="dxa"/>
            <w:vAlign w:val="bottom"/>
          </w:tcPr>
          <w:p>
            <w:pPr>
              <w:ind w:left="280"/>
              <w:spacing w:after="0"/>
              <w:rPr>
                <w:sz w:val="20"/>
                <w:szCs w:val="20"/>
                <w:color w:val="auto"/>
              </w:rPr>
            </w:pPr>
            <w:r>
              <w:rPr>
                <w:rFonts w:ascii="Arial" w:cs="Arial" w:eastAsia="Arial" w:hAnsi="Arial"/>
                <w:sz w:val="14"/>
                <w:szCs w:val="14"/>
                <w:color w:val="auto"/>
              </w:rPr>
              <w:t>SECTION 1.6 Action without a Meeting</w:t>
            </w:r>
          </w:p>
        </w:tc>
        <w:tc>
          <w:tcPr>
            <w:tcW w:w="9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52"/>
        </w:trPr>
        <w:tc>
          <w:tcPr>
            <w:tcW w:w="7620" w:type="dxa"/>
            <w:vAlign w:val="bottom"/>
          </w:tcPr>
          <w:p>
            <w:pPr>
              <w:spacing w:after="0"/>
              <w:rPr>
                <w:sz w:val="20"/>
                <w:szCs w:val="20"/>
                <w:color w:val="auto"/>
              </w:rPr>
            </w:pPr>
            <w:r>
              <w:rPr>
                <w:rFonts w:ascii="Arial" w:cs="Arial" w:eastAsia="Arial" w:hAnsi="Arial"/>
                <w:sz w:val="14"/>
                <w:szCs w:val="14"/>
                <w:color w:val="auto"/>
              </w:rPr>
              <w:t>ARTICLE II Board of Directors</w:t>
            </w:r>
          </w:p>
        </w:tc>
        <w:tc>
          <w:tcPr>
            <w:tcW w:w="9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24"/>
        </w:trPr>
        <w:tc>
          <w:tcPr>
            <w:tcW w:w="7620" w:type="dxa"/>
            <w:vAlign w:val="bottom"/>
          </w:tcPr>
          <w:p>
            <w:pPr>
              <w:ind w:left="280"/>
              <w:spacing w:after="0"/>
              <w:rPr>
                <w:sz w:val="20"/>
                <w:szCs w:val="20"/>
                <w:color w:val="auto"/>
              </w:rPr>
            </w:pPr>
            <w:r>
              <w:rPr>
                <w:rFonts w:ascii="Arial" w:cs="Arial" w:eastAsia="Arial" w:hAnsi="Arial"/>
                <w:sz w:val="14"/>
                <w:szCs w:val="14"/>
                <w:color w:val="auto"/>
              </w:rPr>
              <w:t>SECTION 2.1. Number of Directors</w:t>
            </w:r>
          </w:p>
        </w:tc>
        <w:tc>
          <w:tcPr>
            <w:tcW w:w="9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8"/>
        </w:trPr>
        <w:tc>
          <w:tcPr>
            <w:tcW w:w="7620" w:type="dxa"/>
            <w:vAlign w:val="bottom"/>
          </w:tcPr>
          <w:p>
            <w:pPr>
              <w:ind w:left="280"/>
              <w:spacing w:after="0"/>
              <w:rPr>
                <w:sz w:val="20"/>
                <w:szCs w:val="20"/>
                <w:color w:val="auto"/>
              </w:rPr>
            </w:pPr>
            <w:r>
              <w:rPr>
                <w:rFonts w:ascii="Arial" w:cs="Arial" w:eastAsia="Arial" w:hAnsi="Arial"/>
                <w:sz w:val="14"/>
                <w:szCs w:val="14"/>
                <w:color w:val="auto"/>
              </w:rPr>
              <w:t>SECTION 2.2. [Reserved]</w:t>
            </w:r>
          </w:p>
        </w:tc>
        <w:tc>
          <w:tcPr>
            <w:tcW w:w="9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8"/>
        </w:trPr>
        <w:tc>
          <w:tcPr>
            <w:tcW w:w="7620" w:type="dxa"/>
            <w:vAlign w:val="bottom"/>
          </w:tcPr>
          <w:p>
            <w:pPr>
              <w:ind w:left="280"/>
              <w:spacing w:after="0"/>
              <w:rPr>
                <w:sz w:val="20"/>
                <w:szCs w:val="20"/>
                <w:color w:val="auto"/>
              </w:rPr>
            </w:pPr>
            <w:r>
              <w:rPr>
                <w:rFonts w:ascii="Arial" w:cs="Arial" w:eastAsia="Arial" w:hAnsi="Arial"/>
                <w:sz w:val="14"/>
                <w:szCs w:val="14"/>
                <w:color w:val="auto"/>
              </w:rPr>
              <w:t>SECTION 2.3. Meetings of the Board</w:t>
            </w:r>
          </w:p>
        </w:tc>
        <w:tc>
          <w:tcPr>
            <w:tcW w:w="90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8"/>
        </w:trPr>
        <w:tc>
          <w:tcPr>
            <w:tcW w:w="7620" w:type="dxa"/>
            <w:vAlign w:val="bottom"/>
          </w:tcPr>
          <w:p>
            <w:pPr>
              <w:ind w:left="280"/>
              <w:spacing w:after="0"/>
              <w:rPr>
                <w:sz w:val="20"/>
                <w:szCs w:val="20"/>
                <w:color w:val="auto"/>
              </w:rPr>
            </w:pPr>
            <w:r>
              <w:rPr>
                <w:rFonts w:ascii="Arial" w:cs="Arial" w:eastAsia="Arial" w:hAnsi="Arial"/>
                <w:sz w:val="14"/>
                <w:szCs w:val="14"/>
                <w:color w:val="auto"/>
              </w:rPr>
              <w:t>SECTION 2.4. Quorum of Directors and Action by the Board</w:t>
            </w:r>
          </w:p>
        </w:tc>
        <w:tc>
          <w:tcPr>
            <w:tcW w:w="90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8"/>
        </w:trPr>
        <w:tc>
          <w:tcPr>
            <w:tcW w:w="7620" w:type="dxa"/>
            <w:vAlign w:val="bottom"/>
          </w:tcPr>
          <w:p>
            <w:pPr>
              <w:ind w:left="280"/>
              <w:spacing w:after="0"/>
              <w:rPr>
                <w:sz w:val="20"/>
                <w:szCs w:val="20"/>
                <w:color w:val="auto"/>
              </w:rPr>
            </w:pPr>
            <w:r>
              <w:rPr>
                <w:rFonts w:ascii="Arial" w:cs="Arial" w:eastAsia="Arial" w:hAnsi="Arial"/>
                <w:sz w:val="14"/>
                <w:szCs w:val="14"/>
                <w:color w:val="auto"/>
              </w:rPr>
              <w:t>SECTION 2.5. Removal or Resignation of Directors</w:t>
            </w:r>
          </w:p>
        </w:tc>
        <w:tc>
          <w:tcPr>
            <w:tcW w:w="90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8"/>
        </w:trPr>
        <w:tc>
          <w:tcPr>
            <w:tcW w:w="7620" w:type="dxa"/>
            <w:vAlign w:val="bottom"/>
          </w:tcPr>
          <w:p>
            <w:pPr>
              <w:ind w:left="280"/>
              <w:spacing w:after="0"/>
              <w:rPr>
                <w:sz w:val="20"/>
                <w:szCs w:val="20"/>
                <w:color w:val="auto"/>
              </w:rPr>
            </w:pPr>
            <w:r>
              <w:rPr>
                <w:rFonts w:ascii="Arial" w:cs="Arial" w:eastAsia="Arial" w:hAnsi="Arial"/>
                <w:sz w:val="14"/>
                <w:szCs w:val="14"/>
                <w:color w:val="auto"/>
              </w:rPr>
              <w:t>SECTION 2.6. Vacancies</w:t>
            </w:r>
          </w:p>
        </w:tc>
        <w:tc>
          <w:tcPr>
            <w:tcW w:w="90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8"/>
        </w:trPr>
        <w:tc>
          <w:tcPr>
            <w:tcW w:w="7620" w:type="dxa"/>
            <w:vAlign w:val="bottom"/>
          </w:tcPr>
          <w:p>
            <w:pPr>
              <w:ind w:left="280"/>
              <w:spacing w:after="0"/>
              <w:rPr>
                <w:sz w:val="20"/>
                <w:szCs w:val="20"/>
                <w:color w:val="auto"/>
              </w:rPr>
            </w:pPr>
            <w:r>
              <w:rPr>
                <w:rFonts w:ascii="Arial" w:cs="Arial" w:eastAsia="Arial" w:hAnsi="Arial"/>
                <w:sz w:val="14"/>
                <w:szCs w:val="14"/>
                <w:color w:val="auto"/>
              </w:rPr>
              <w:t>SECTION 2.7. Compensation</w:t>
            </w:r>
          </w:p>
        </w:tc>
        <w:tc>
          <w:tcPr>
            <w:tcW w:w="90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8"/>
        </w:trPr>
        <w:tc>
          <w:tcPr>
            <w:tcW w:w="7620" w:type="dxa"/>
            <w:vAlign w:val="bottom"/>
          </w:tcPr>
          <w:p>
            <w:pPr>
              <w:ind w:left="280"/>
              <w:spacing w:after="0"/>
              <w:rPr>
                <w:sz w:val="20"/>
                <w:szCs w:val="20"/>
                <w:color w:val="auto"/>
              </w:rPr>
            </w:pPr>
            <w:r>
              <w:rPr>
                <w:rFonts w:ascii="Arial" w:cs="Arial" w:eastAsia="Arial" w:hAnsi="Arial"/>
                <w:sz w:val="14"/>
                <w:szCs w:val="14"/>
                <w:color w:val="auto"/>
              </w:rPr>
              <w:t>SECTION 2.8. Minutes</w:t>
            </w:r>
          </w:p>
        </w:tc>
        <w:tc>
          <w:tcPr>
            <w:tcW w:w="90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8"/>
        </w:trPr>
        <w:tc>
          <w:tcPr>
            <w:tcW w:w="7620" w:type="dxa"/>
            <w:vAlign w:val="bottom"/>
          </w:tcPr>
          <w:p>
            <w:pPr>
              <w:ind w:left="280"/>
              <w:spacing w:after="0"/>
              <w:rPr>
                <w:sz w:val="20"/>
                <w:szCs w:val="20"/>
                <w:color w:val="auto"/>
              </w:rPr>
            </w:pPr>
            <w:r>
              <w:rPr>
                <w:rFonts w:ascii="Arial" w:cs="Arial" w:eastAsia="Arial" w:hAnsi="Arial"/>
                <w:sz w:val="14"/>
                <w:szCs w:val="14"/>
                <w:color w:val="auto"/>
              </w:rPr>
              <w:t>SECTION 2.9. Reports</w:t>
            </w:r>
          </w:p>
        </w:tc>
        <w:tc>
          <w:tcPr>
            <w:tcW w:w="90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5"/>
        </w:trPr>
        <w:tc>
          <w:tcPr>
            <w:tcW w:w="7620" w:type="dxa"/>
            <w:vAlign w:val="bottom"/>
          </w:tcPr>
          <w:p>
            <w:pPr>
              <w:ind w:left="280"/>
              <w:spacing w:after="0"/>
              <w:rPr>
                <w:sz w:val="20"/>
                <w:szCs w:val="20"/>
                <w:color w:val="auto"/>
              </w:rPr>
            </w:pPr>
            <w:r>
              <w:rPr>
                <w:rFonts w:ascii="Arial" w:cs="Arial" w:eastAsia="Arial" w:hAnsi="Arial"/>
                <w:sz w:val="14"/>
                <w:szCs w:val="14"/>
                <w:color w:val="auto"/>
              </w:rPr>
              <w:t>SECTION 2.10 Action without a Meeting</w:t>
            </w:r>
          </w:p>
        </w:tc>
        <w:tc>
          <w:tcPr>
            <w:tcW w:w="90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52"/>
        </w:trPr>
        <w:tc>
          <w:tcPr>
            <w:tcW w:w="7620" w:type="dxa"/>
            <w:vAlign w:val="bottom"/>
          </w:tcPr>
          <w:p>
            <w:pPr>
              <w:spacing w:after="0"/>
              <w:rPr>
                <w:sz w:val="20"/>
                <w:szCs w:val="20"/>
                <w:color w:val="auto"/>
              </w:rPr>
            </w:pPr>
            <w:r>
              <w:rPr>
                <w:rFonts w:ascii="Arial" w:cs="Arial" w:eastAsia="Arial" w:hAnsi="Arial"/>
                <w:sz w:val="14"/>
                <w:szCs w:val="14"/>
                <w:color w:val="auto"/>
              </w:rPr>
              <w:t>ARTICLE III [Reserved]</w:t>
            </w:r>
          </w:p>
        </w:tc>
        <w:tc>
          <w:tcPr>
            <w:tcW w:w="90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52"/>
        </w:trPr>
        <w:tc>
          <w:tcPr>
            <w:tcW w:w="7620" w:type="dxa"/>
            <w:vAlign w:val="bottom"/>
          </w:tcPr>
          <w:p>
            <w:pPr>
              <w:spacing w:after="0"/>
              <w:rPr>
                <w:sz w:val="20"/>
                <w:szCs w:val="20"/>
                <w:color w:val="auto"/>
              </w:rPr>
            </w:pPr>
            <w:r>
              <w:rPr>
                <w:rFonts w:ascii="Arial" w:cs="Arial" w:eastAsia="Arial" w:hAnsi="Arial"/>
                <w:sz w:val="14"/>
                <w:szCs w:val="14"/>
                <w:color w:val="auto"/>
              </w:rPr>
              <w:t>ARTICLE IV Committees</w:t>
            </w:r>
          </w:p>
        </w:tc>
        <w:tc>
          <w:tcPr>
            <w:tcW w:w="90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24"/>
        </w:trPr>
        <w:tc>
          <w:tcPr>
            <w:tcW w:w="7620" w:type="dxa"/>
            <w:vAlign w:val="bottom"/>
          </w:tcPr>
          <w:p>
            <w:pPr>
              <w:ind w:left="280"/>
              <w:spacing w:after="0"/>
              <w:rPr>
                <w:sz w:val="20"/>
                <w:szCs w:val="20"/>
                <w:color w:val="auto"/>
              </w:rPr>
            </w:pPr>
            <w:r>
              <w:rPr>
                <w:rFonts w:ascii="Arial" w:cs="Arial" w:eastAsia="Arial" w:hAnsi="Arial"/>
                <w:sz w:val="14"/>
                <w:szCs w:val="14"/>
                <w:color w:val="auto"/>
              </w:rPr>
              <w:t>SECTION 4.1. Committees of Directors Officers and/ or Other Persons</w:t>
            </w:r>
          </w:p>
        </w:tc>
        <w:tc>
          <w:tcPr>
            <w:tcW w:w="90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8"/>
        </w:trPr>
        <w:tc>
          <w:tcPr>
            <w:tcW w:w="7620" w:type="dxa"/>
            <w:vAlign w:val="bottom"/>
          </w:tcPr>
          <w:p>
            <w:pPr>
              <w:ind w:left="280"/>
              <w:spacing w:after="0"/>
              <w:rPr>
                <w:sz w:val="20"/>
                <w:szCs w:val="20"/>
                <w:color w:val="auto"/>
              </w:rPr>
            </w:pPr>
            <w:r>
              <w:rPr>
                <w:rFonts w:ascii="Arial" w:cs="Arial" w:eastAsia="Arial" w:hAnsi="Arial"/>
                <w:sz w:val="14"/>
                <w:szCs w:val="14"/>
                <w:color w:val="auto"/>
              </w:rPr>
              <w:t>SECTION 4.2. Compensation</w:t>
            </w:r>
          </w:p>
        </w:tc>
        <w:tc>
          <w:tcPr>
            <w:tcW w:w="90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5"/>
        </w:trPr>
        <w:tc>
          <w:tcPr>
            <w:tcW w:w="7620" w:type="dxa"/>
            <w:vAlign w:val="bottom"/>
          </w:tcPr>
          <w:p>
            <w:pPr>
              <w:ind w:left="280"/>
              <w:spacing w:after="0"/>
              <w:rPr>
                <w:sz w:val="20"/>
                <w:szCs w:val="20"/>
                <w:color w:val="auto"/>
              </w:rPr>
            </w:pPr>
            <w:r>
              <w:rPr>
                <w:rFonts w:ascii="Arial" w:cs="Arial" w:eastAsia="Arial" w:hAnsi="Arial"/>
                <w:sz w:val="14"/>
                <w:szCs w:val="14"/>
                <w:color w:val="auto"/>
              </w:rPr>
              <w:t>SECTION 4.3. Manner of Acting</w:t>
            </w:r>
          </w:p>
        </w:tc>
        <w:tc>
          <w:tcPr>
            <w:tcW w:w="90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52"/>
        </w:trPr>
        <w:tc>
          <w:tcPr>
            <w:tcW w:w="7620" w:type="dxa"/>
            <w:vAlign w:val="bottom"/>
          </w:tcPr>
          <w:p>
            <w:pPr>
              <w:spacing w:after="0"/>
              <w:rPr>
                <w:sz w:val="20"/>
                <w:szCs w:val="20"/>
                <w:color w:val="auto"/>
              </w:rPr>
            </w:pPr>
            <w:r>
              <w:rPr>
                <w:rFonts w:ascii="Arial" w:cs="Arial" w:eastAsia="Arial" w:hAnsi="Arial"/>
                <w:sz w:val="14"/>
                <w:szCs w:val="14"/>
                <w:color w:val="auto"/>
              </w:rPr>
              <w:t>ARTICLE V Officers</w:t>
            </w:r>
          </w:p>
        </w:tc>
        <w:tc>
          <w:tcPr>
            <w:tcW w:w="90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24"/>
        </w:trPr>
        <w:tc>
          <w:tcPr>
            <w:tcW w:w="7620" w:type="dxa"/>
            <w:vAlign w:val="bottom"/>
          </w:tcPr>
          <w:p>
            <w:pPr>
              <w:ind w:left="280"/>
              <w:spacing w:after="0"/>
              <w:rPr>
                <w:sz w:val="20"/>
                <w:szCs w:val="20"/>
                <w:color w:val="auto"/>
              </w:rPr>
            </w:pPr>
            <w:r>
              <w:rPr>
                <w:rFonts w:ascii="Arial" w:cs="Arial" w:eastAsia="Arial" w:hAnsi="Arial"/>
                <w:sz w:val="14"/>
                <w:szCs w:val="14"/>
                <w:color w:val="auto"/>
              </w:rPr>
              <w:t>SECTION 5.1. Principal Executive Officers</w:t>
            </w:r>
          </w:p>
        </w:tc>
        <w:tc>
          <w:tcPr>
            <w:tcW w:w="90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8"/>
        </w:trPr>
        <w:tc>
          <w:tcPr>
            <w:tcW w:w="7620" w:type="dxa"/>
            <w:vAlign w:val="bottom"/>
          </w:tcPr>
          <w:p>
            <w:pPr>
              <w:ind w:left="280"/>
              <w:spacing w:after="0"/>
              <w:rPr>
                <w:sz w:val="20"/>
                <w:szCs w:val="20"/>
                <w:color w:val="auto"/>
              </w:rPr>
            </w:pPr>
            <w:r>
              <w:rPr>
                <w:rFonts w:ascii="Arial" w:cs="Arial" w:eastAsia="Arial" w:hAnsi="Arial"/>
                <w:sz w:val="14"/>
                <w:szCs w:val="14"/>
                <w:color w:val="auto"/>
              </w:rPr>
              <w:t>SECTION 5.2. Senior Executive Officers</w:t>
            </w:r>
          </w:p>
        </w:tc>
        <w:tc>
          <w:tcPr>
            <w:tcW w:w="90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8"/>
        </w:trPr>
        <w:tc>
          <w:tcPr>
            <w:tcW w:w="7620" w:type="dxa"/>
            <w:vAlign w:val="bottom"/>
          </w:tcPr>
          <w:p>
            <w:pPr>
              <w:ind w:left="280"/>
              <w:spacing w:after="0"/>
              <w:rPr>
                <w:sz w:val="20"/>
                <w:szCs w:val="20"/>
                <w:color w:val="auto"/>
              </w:rPr>
            </w:pPr>
            <w:r>
              <w:rPr>
                <w:rFonts w:ascii="Arial" w:cs="Arial" w:eastAsia="Arial" w:hAnsi="Arial"/>
                <w:sz w:val="14"/>
                <w:szCs w:val="14"/>
                <w:color w:val="auto"/>
              </w:rPr>
              <w:t>SECTION 5.3. Other Senior Officers</w:t>
            </w:r>
          </w:p>
        </w:tc>
        <w:tc>
          <w:tcPr>
            <w:tcW w:w="90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8"/>
        </w:trPr>
        <w:tc>
          <w:tcPr>
            <w:tcW w:w="7620" w:type="dxa"/>
            <w:vAlign w:val="bottom"/>
          </w:tcPr>
          <w:p>
            <w:pPr>
              <w:ind w:left="280"/>
              <w:spacing w:after="0"/>
              <w:rPr>
                <w:sz w:val="20"/>
                <w:szCs w:val="20"/>
                <w:color w:val="auto"/>
              </w:rPr>
            </w:pPr>
            <w:r>
              <w:rPr>
                <w:rFonts w:ascii="Arial" w:cs="Arial" w:eastAsia="Arial" w:hAnsi="Arial"/>
                <w:sz w:val="14"/>
                <w:szCs w:val="14"/>
                <w:color w:val="auto"/>
              </w:rPr>
              <w:t>SECTION 5.4. Appointed Officers</w:t>
            </w:r>
          </w:p>
        </w:tc>
        <w:tc>
          <w:tcPr>
            <w:tcW w:w="90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8"/>
        </w:trPr>
        <w:tc>
          <w:tcPr>
            <w:tcW w:w="7620" w:type="dxa"/>
            <w:vAlign w:val="bottom"/>
          </w:tcPr>
          <w:p>
            <w:pPr>
              <w:ind w:left="280"/>
              <w:spacing w:after="0"/>
              <w:rPr>
                <w:sz w:val="20"/>
                <w:szCs w:val="20"/>
                <w:color w:val="auto"/>
              </w:rPr>
            </w:pPr>
            <w:r>
              <w:rPr>
                <w:rFonts w:ascii="Arial" w:cs="Arial" w:eastAsia="Arial" w:hAnsi="Arial"/>
                <w:sz w:val="14"/>
                <w:szCs w:val="14"/>
                <w:color w:val="auto"/>
              </w:rPr>
              <w:t>SECTION 5.5. Bonds</w:t>
            </w:r>
          </w:p>
        </w:tc>
        <w:tc>
          <w:tcPr>
            <w:tcW w:w="9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8"/>
        </w:trPr>
        <w:tc>
          <w:tcPr>
            <w:tcW w:w="7620" w:type="dxa"/>
            <w:vAlign w:val="bottom"/>
          </w:tcPr>
          <w:p>
            <w:pPr>
              <w:ind w:left="280"/>
              <w:spacing w:after="0"/>
              <w:rPr>
                <w:sz w:val="20"/>
                <w:szCs w:val="20"/>
                <w:color w:val="auto"/>
              </w:rPr>
            </w:pPr>
            <w:r>
              <w:rPr>
                <w:rFonts w:ascii="Arial" w:cs="Arial" w:eastAsia="Arial" w:hAnsi="Arial"/>
                <w:sz w:val="14"/>
                <w:szCs w:val="14"/>
                <w:color w:val="auto"/>
              </w:rPr>
              <w:t>SECTION 5.6. General Supervisory Powers</w:t>
            </w:r>
          </w:p>
        </w:tc>
        <w:tc>
          <w:tcPr>
            <w:tcW w:w="9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8"/>
        </w:trPr>
        <w:tc>
          <w:tcPr>
            <w:tcW w:w="7620" w:type="dxa"/>
            <w:vAlign w:val="bottom"/>
          </w:tcPr>
          <w:p>
            <w:pPr>
              <w:ind w:left="280"/>
              <w:spacing w:after="0"/>
              <w:rPr>
                <w:sz w:val="20"/>
                <w:szCs w:val="20"/>
                <w:color w:val="auto"/>
              </w:rPr>
            </w:pPr>
            <w:r>
              <w:rPr>
                <w:rFonts w:ascii="Arial" w:cs="Arial" w:eastAsia="Arial" w:hAnsi="Arial"/>
                <w:sz w:val="14"/>
                <w:szCs w:val="14"/>
                <w:color w:val="auto"/>
              </w:rPr>
              <w:t>SECTION 5.7. Executive Officers</w:t>
            </w:r>
          </w:p>
        </w:tc>
        <w:tc>
          <w:tcPr>
            <w:tcW w:w="9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8"/>
        </w:trPr>
        <w:tc>
          <w:tcPr>
            <w:tcW w:w="7620" w:type="dxa"/>
            <w:vAlign w:val="bottom"/>
          </w:tcPr>
          <w:p>
            <w:pPr>
              <w:ind w:left="280"/>
              <w:spacing w:after="0"/>
              <w:rPr>
                <w:sz w:val="20"/>
                <w:szCs w:val="20"/>
                <w:color w:val="auto"/>
              </w:rPr>
            </w:pPr>
            <w:r>
              <w:rPr>
                <w:rFonts w:ascii="Arial" w:cs="Arial" w:eastAsia="Arial" w:hAnsi="Arial"/>
                <w:sz w:val="14"/>
                <w:szCs w:val="14"/>
                <w:color w:val="auto"/>
              </w:rPr>
              <w:t>SECTION 5.8. Senior Vice Presidents, Managing Directors, Directors, First Vice Presidents and Vice Presidents</w:t>
            </w:r>
          </w:p>
        </w:tc>
        <w:tc>
          <w:tcPr>
            <w:tcW w:w="9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8"/>
        </w:trPr>
        <w:tc>
          <w:tcPr>
            <w:tcW w:w="7620" w:type="dxa"/>
            <w:vAlign w:val="bottom"/>
          </w:tcPr>
          <w:p>
            <w:pPr>
              <w:ind w:left="280"/>
              <w:spacing w:after="0"/>
              <w:rPr>
                <w:sz w:val="20"/>
                <w:szCs w:val="20"/>
                <w:color w:val="auto"/>
              </w:rPr>
            </w:pPr>
            <w:r>
              <w:rPr>
                <w:rFonts w:ascii="Arial" w:cs="Arial" w:eastAsia="Arial" w:hAnsi="Arial"/>
                <w:sz w:val="14"/>
                <w:szCs w:val="14"/>
                <w:color w:val="auto"/>
              </w:rPr>
              <w:t>SECTION 5.9. Secretary</w:t>
            </w:r>
          </w:p>
        </w:tc>
        <w:tc>
          <w:tcPr>
            <w:tcW w:w="9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8"/>
        </w:trPr>
        <w:tc>
          <w:tcPr>
            <w:tcW w:w="7620" w:type="dxa"/>
            <w:vAlign w:val="bottom"/>
          </w:tcPr>
          <w:p>
            <w:pPr>
              <w:ind w:left="280"/>
              <w:spacing w:after="0"/>
              <w:rPr>
                <w:sz w:val="20"/>
                <w:szCs w:val="20"/>
                <w:color w:val="auto"/>
              </w:rPr>
            </w:pPr>
            <w:r>
              <w:rPr>
                <w:rFonts w:ascii="Arial" w:cs="Arial" w:eastAsia="Arial" w:hAnsi="Arial"/>
                <w:sz w:val="14"/>
                <w:szCs w:val="14"/>
                <w:color w:val="auto"/>
              </w:rPr>
              <w:t>SECTION 5.10. Treasurer</w:t>
            </w:r>
          </w:p>
        </w:tc>
        <w:tc>
          <w:tcPr>
            <w:tcW w:w="9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8"/>
        </w:trPr>
        <w:tc>
          <w:tcPr>
            <w:tcW w:w="7620" w:type="dxa"/>
            <w:vAlign w:val="bottom"/>
          </w:tcPr>
          <w:p>
            <w:pPr>
              <w:ind w:left="280"/>
              <w:spacing w:after="0"/>
              <w:rPr>
                <w:sz w:val="20"/>
                <w:szCs w:val="20"/>
                <w:color w:val="auto"/>
              </w:rPr>
            </w:pPr>
            <w:r>
              <w:rPr>
                <w:rFonts w:ascii="Arial" w:cs="Arial" w:eastAsia="Arial" w:hAnsi="Arial"/>
                <w:sz w:val="14"/>
                <w:szCs w:val="14"/>
                <w:color w:val="auto"/>
              </w:rPr>
              <w:t>SECTION 5.11. Comptroller</w:t>
            </w:r>
          </w:p>
        </w:tc>
        <w:tc>
          <w:tcPr>
            <w:tcW w:w="9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8"/>
        </w:trPr>
        <w:tc>
          <w:tcPr>
            <w:tcW w:w="7620" w:type="dxa"/>
            <w:vAlign w:val="bottom"/>
          </w:tcPr>
          <w:p>
            <w:pPr>
              <w:ind w:left="280"/>
              <w:spacing w:after="0"/>
              <w:rPr>
                <w:sz w:val="20"/>
                <w:szCs w:val="20"/>
                <w:color w:val="auto"/>
              </w:rPr>
            </w:pPr>
            <w:r>
              <w:rPr>
                <w:rFonts w:ascii="Arial" w:cs="Arial" w:eastAsia="Arial" w:hAnsi="Arial"/>
                <w:sz w:val="14"/>
                <w:szCs w:val="14"/>
                <w:color w:val="auto"/>
              </w:rPr>
              <w:t>SECTION 5.12. Chief Auditor</w:t>
            </w:r>
          </w:p>
        </w:tc>
        <w:tc>
          <w:tcPr>
            <w:tcW w:w="90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5"/>
        </w:trPr>
        <w:tc>
          <w:tcPr>
            <w:tcW w:w="7620" w:type="dxa"/>
            <w:vAlign w:val="bottom"/>
          </w:tcPr>
          <w:p>
            <w:pPr>
              <w:ind w:left="280"/>
              <w:spacing w:after="0"/>
              <w:rPr>
                <w:sz w:val="20"/>
                <w:szCs w:val="20"/>
                <w:color w:val="auto"/>
              </w:rPr>
            </w:pPr>
            <w:r>
              <w:rPr>
                <w:rFonts w:ascii="Arial" w:cs="Arial" w:eastAsia="Arial" w:hAnsi="Arial"/>
                <w:sz w:val="14"/>
                <w:szCs w:val="14"/>
                <w:color w:val="auto"/>
              </w:rPr>
              <w:t>SECTION 5.13. Other Officers</w:t>
            </w:r>
          </w:p>
        </w:tc>
        <w:tc>
          <w:tcPr>
            <w:tcW w:w="90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bl>
    <w:p>
      <w:pPr>
        <w:sectPr>
          <w:pgSz w:w="11900" w:h="16838" w:orient="portrait"/>
          <w:cols w:equalWidth="0" w:num="1">
            <w:col w:w="9019"/>
          </w:cols>
          <w:pgMar w:left="1440" w:top="240" w:right="1440" w:bottom="1440" w:gutter="0" w:footer="0" w:header="0"/>
        </w:sectPr>
      </w:pPr>
    </w:p>
    <w:bookmarkStart w:id="70" w:name="page71"/>
    <w:bookmarkEnd w:id="7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195"/>
        </w:trPr>
        <w:tc>
          <w:tcPr>
            <w:tcW w:w="3660" w:type="dxa"/>
            <w:vAlign w:val="bottom"/>
          </w:tcPr>
          <w:p>
            <w:pPr>
              <w:spacing w:after="0"/>
              <w:rPr>
                <w:sz w:val="20"/>
                <w:szCs w:val="20"/>
                <w:color w:val="auto"/>
              </w:rPr>
            </w:pPr>
            <w:r>
              <w:rPr>
                <w:rFonts w:ascii="Arial" w:cs="Arial" w:eastAsia="Arial" w:hAnsi="Arial"/>
                <w:sz w:val="14"/>
                <w:szCs w:val="14"/>
                <w:color w:val="auto"/>
              </w:rPr>
              <w:t>ARTICLE VI Signing Authorities</w:t>
            </w:r>
          </w:p>
        </w:tc>
        <w:tc>
          <w:tcPr>
            <w:tcW w:w="486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24"/>
        </w:trPr>
        <w:tc>
          <w:tcPr>
            <w:tcW w:w="3660" w:type="dxa"/>
            <w:vAlign w:val="bottom"/>
          </w:tcPr>
          <w:p>
            <w:pPr>
              <w:ind w:left="280"/>
              <w:spacing w:after="0"/>
              <w:rPr>
                <w:sz w:val="20"/>
                <w:szCs w:val="20"/>
                <w:color w:val="auto"/>
              </w:rPr>
            </w:pPr>
            <w:r>
              <w:rPr>
                <w:rFonts w:ascii="Arial" w:cs="Arial" w:eastAsia="Arial" w:hAnsi="Arial"/>
                <w:sz w:val="14"/>
                <w:szCs w:val="14"/>
                <w:color w:val="auto"/>
              </w:rPr>
              <w:t>SECTION 6.1. [Reserved]</w:t>
            </w:r>
          </w:p>
        </w:tc>
        <w:tc>
          <w:tcPr>
            <w:tcW w:w="486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68"/>
        </w:trPr>
        <w:tc>
          <w:tcPr>
            <w:tcW w:w="3660" w:type="dxa"/>
            <w:vAlign w:val="bottom"/>
          </w:tcPr>
          <w:p>
            <w:pPr>
              <w:ind w:left="280"/>
              <w:spacing w:after="0"/>
              <w:rPr>
                <w:sz w:val="20"/>
                <w:szCs w:val="20"/>
                <w:color w:val="auto"/>
              </w:rPr>
            </w:pPr>
            <w:r>
              <w:rPr>
                <w:rFonts w:ascii="Arial" w:cs="Arial" w:eastAsia="Arial" w:hAnsi="Arial"/>
                <w:sz w:val="14"/>
                <w:szCs w:val="14"/>
                <w:color w:val="auto"/>
              </w:rPr>
              <w:t>SECTION 6.2. Senior Signing Powers</w:t>
            </w:r>
          </w:p>
        </w:tc>
        <w:tc>
          <w:tcPr>
            <w:tcW w:w="486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68"/>
        </w:trPr>
        <w:tc>
          <w:tcPr>
            <w:tcW w:w="3660" w:type="dxa"/>
            <w:vAlign w:val="bottom"/>
          </w:tcPr>
          <w:p>
            <w:pPr>
              <w:ind w:left="280"/>
              <w:spacing w:after="0"/>
              <w:rPr>
                <w:sz w:val="20"/>
                <w:szCs w:val="20"/>
                <w:color w:val="auto"/>
              </w:rPr>
            </w:pPr>
            <w:r>
              <w:rPr>
                <w:rFonts w:ascii="Arial" w:cs="Arial" w:eastAsia="Arial" w:hAnsi="Arial"/>
                <w:sz w:val="14"/>
                <w:szCs w:val="14"/>
                <w:color w:val="auto"/>
              </w:rPr>
              <w:t>SECTION 6.3. Limited Signing Powers</w:t>
            </w:r>
          </w:p>
        </w:tc>
        <w:tc>
          <w:tcPr>
            <w:tcW w:w="486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68"/>
        </w:trPr>
        <w:tc>
          <w:tcPr>
            <w:tcW w:w="3660" w:type="dxa"/>
            <w:vAlign w:val="bottom"/>
          </w:tcPr>
          <w:p>
            <w:pPr>
              <w:ind w:left="280"/>
              <w:spacing w:after="0"/>
              <w:rPr>
                <w:sz w:val="20"/>
                <w:szCs w:val="20"/>
                <w:color w:val="auto"/>
              </w:rPr>
            </w:pPr>
            <w:r>
              <w:rPr>
                <w:rFonts w:ascii="Arial" w:cs="Arial" w:eastAsia="Arial" w:hAnsi="Arial"/>
                <w:sz w:val="14"/>
                <w:szCs w:val="14"/>
                <w:color w:val="auto"/>
              </w:rPr>
              <w:t>SECTION 6.4. Rescission of Signing Powers</w:t>
            </w:r>
          </w:p>
        </w:tc>
        <w:tc>
          <w:tcPr>
            <w:tcW w:w="486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68"/>
        </w:trPr>
        <w:tc>
          <w:tcPr>
            <w:tcW w:w="3660" w:type="dxa"/>
            <w:vAlign w:val="bottom"/>
          </w:tcPr>
          <w:p>
            <w:pPr>
              <w:ind w:left="280"/>
              <w:spacing w:after="0"/>
              <w:rPr>
                <w:sz w:val="20"/>
                <w:szCs w:val="20"/>
                <w:color w:val="auto"/>
              </w:rPr>
            </w:pPr>
            <w:r>
              <w:rPr>
                <w:rFonts w:ascii="Arial" w:cs="Arial" w:eastAsia="Arial" w:hAnsi="Arial"/>
                <w:sz w:val="14"/>
                <w:szCs w:val="14"/>
                <w:color w:val="auto"/>
              </w:rPr>
              <w:t>SECTION 6.5. Powers of Attorney</w:t>
            </w:r>
          </w:p>
        </w:tc>
        <w:tc>
          <w:tcPr>
            <w:tcW w:w="486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68"/>
        </w:trPr>
        <w:tc>
          <w:tcPr>
            <w:tcW w:w="3660" w:type="dxa"/>
            <w:vAlign w:val="bottom"/>
          </w:tcPr>
          <w:p>
            <w:pPr>
              <w:ind w:left="280"/>
              <w:spacing w:after="0"/>
              <w:rPr>
                <w:sz w:val="20"/>
                <w:szCs w:val="20"/>
                <w:color w:val="auto"/>
              </w:rPr>
            </w:pPr>
            <w:r>
              <w:rPr>
                <w:rFonts w:ascii="Arial" w:cs="Arial" w:eastAsia="Arial" w:hAnsi="Arial"/>
                <w:sz w:val="14"/>
                <w:szCs w:val="14"/>
                <w:color w:val="auto"/>
              </w:rPr>
              <w:t>SECTION 6.6. Chief Auditor</w:t>
            </w:r>
          </w:p>
        </w:tc>
        <w:tc>
          <w:tcPr>
            <w:tcW w:w="486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95"/>
        </w:trPr>
        <w:tc>
          <w:tcPr>
            <w:tcW w:w="3660" w:type="dxa"/>
            <w:vAlign w:val="bottom"/>
          </w:tcPr>
          <w:p>
            <w:pPr>
              <w:ind w:left="280"/>
              <w:spacing w:after="0"/>
              <w:rPr>
                <w:sz w:val="20"/>
                <w:szCs w:val="20"/>
                <w:color w:val="auto"/>
              </w:rPr>
            </w:pPr>
            <w:r>
              <w:rPr>
                <w:rFonts w:ascii="Arial" w:cs="Arial" w:eastAsia="Arial" w:hAnsi="Arial"/>
                <w:sz w:val="14"/>
                <w:szCs w:val="14"/>
                <w:color w:val="auto"/>
              </w:rPr>
              <w:t>SECTION 6.7. Signatures</w:t>
            </w:r>
          </w:p>
        </w:tc>
        <w:tc>
          <w:tcPr>
            <w:tcW w:w="486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52"/>
        </w:trPr>
        <w:tc>
          <w:tcPr>
            <w:tcW w:w="3660" w:type="dxa"/>
            <w:vAlign w:val="bottom"/>
          </w:tcPr>
          <w:p>
            <w:pPr>
              <w:spacing w:after="0"/>
              <w:rPr>
                <w:sz w:val="20"/>
                <w:szCs w:val="20"/>
                <w:color w:val="auto"/>
              </w:rPr>
            </w:pPr>
            <w:r>
              <w:rPr>
                <w:rFonts w:ascii="Arial" w:cs="Arial" w:eastAsia="Arial" w:hAnsi="Arial"/>
                <w:sz w:val="14"/>
                <w:szCs w:val="14"/>
                <w:color w:val="auto"/>
              </w:rPr>
              <w:t>ARTICLE VII Indemnification</w:t>
            </w:r>
          </w:p>
        </w:tc>
        <w:tc>
          <w:tcPr>
            <w:tcW w:w="486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24"/>
        </w:trPr>
        <w:tc>
          <w:tcPr>
            <w:tcW w:w="3660" w:type="dxa"/>
            <w:vAlign w:val="bottom"/>
          </w:tcPr>
          <w:p>
            <w:pPr>
              <w:ind w:left="280"/>
              <w:spacing w:after="0"/>
              <w:rPr>
                <w:sz w:val="20"/>
                <w:szCs w:val="20"/>
                <w:color w:val="auto"/>
              </w:rPr>
            </w:pPr>
            <w:r>
              <w:rPr>
                <w:rFonts w:ascii="Arial" w:cs="Arial" w:eastAsia="Arial" w:hAnsi="Arial"/>
                <w:sz w:val="14"/>
                <w:szCs w:val="14"/>
                <w:color w:val="auto"/>
              </w:rPr>
              <w:t>SECTION 7.1. Indemnification</w:t>
            </w:r>
          </w:p>
        </w:tc>
        <w:tc>
          <w:tcPr>
            <w:tcW w:w="486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68"/>
        </w:trPr>
        <w:tc>
          <w:tcPr>
            <w:tcW w:w="3660" w:type="dxa"/>
            <w:vAlign w:val="bottom"/>
          </w:tcPr>
          <w:p>
            <w:pPr>
              <w:ind w:left="280"/>
              <w:spacing w:after="0"/>
              <w:rPr>
                <w:sz w:val="20"/>
                <w:szCs w:val="20"/>
                <w:color w:val="auto"/>
              </w:rPr>
            </w:pPr>
            <w:r>
              <w:rPr>
                <w:rFonts w:ascii="Arial" w:cs="Arial" w:eastAsia="Arial" w:hAnsi="Arial"/>
                <w:sz w:val="14"/>
                <w:szCs w:val="14"/>
                <w:color w:val="auto"/>
              </w:rPr>
              <w:t>SECTION 7.2. Other Indemnification</w:t>
            </w:r>
          </w:p>
        </w:tc>
        <w:tc>
          <w:tcPr>
            <w:tcW w:w="486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95"/>
        </w:trPr>
        <w:tc>
          <w:tcPr>
            <w:tcW w:w="3660" w:type="dxa"/>
            <w:vAlign w:val="bottom"/>
          </w:tcPr>
          <w:p>
            <w:pPr>
              <w:ind w:left="280"/>
              <w:spacing w:after="0"/>
              <w:rPr>
                <w:sz w:val="20"/>
                <w:szCs w:val="20"/>
                <w:color w:val="auto"/>
              </w:rPr>
            </w:pPr>
            <w:r>
              <w:rPr>
                <w:rFonts w:ascii="Arial" w:cs="Arial" w:eastAsia="Arial" w:hAnsi="Arial"/>
                <w:sz w:val="14"/>
                <w:szCs w:val="14"/>
                <w:color w:val="auto"/>
              </w:rPr>
              <w:t>SECTION 7.3. Insurace</w:t>
            </w:r>
          </w:p>
        </w:tc>
        <w:tc>
          <w:tcPr>
            <w:tcW w:w="486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52"/>
        </w:trPr>
        <w:tc>
          <w:tcPr>
            <w:tcW w:w="3660" w:type="dxa"/>
            <w:vAlign w:val="bottom"/>
          </w:tcPr>
          <w:p>
            <w:pPr>
              <w:spacing w:after="0"/>
              <w:rPr>
                <w:sz w:val="20"/>
                <w:szCs w:val="20"/>
                <w:color w:val="auto"/>
              </w:rPr>
            </w:pPr>
            <w:r>
              <w:rPr>
                <w:rFonts w:ascii="Arial" w:cs="Arial" w:eastAsia="Arial" w:hAnsi="Arial"/>
                <w:sz w:val="14"/>
                <w:szCs w:val="14"/>
                <w:color w:val="auto"/>
              </w:rPr>
              <w:t>ARTICLE VIII Capital Stock</w:t>
            </w:r>
          </w:p>
        </w:tc>
        <w:tc>
          <w:tcPr>
            <w:tcW w:w="486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24"/>
        </w:trPr>
        <w:tc>
          <w:tcPr>
            <w:tcW w:w="3660" w:type="dxa"/>
            <w:vAlign w:val="bottom"/>
          </w:tcPr>
          <w:p>
            <w:pPr>
              <w:ind w:left="280"/>
              <w:spacing w:after="0"/>
              <w:rPr>
                <w:sz w:val="20"/>
                <w:szCs w:val="20"/>
                <w:color w:val="auto"/>
              </w:rPr>
            </w:pPr>
            <w:r>
              <w:rPr>
                <w:rFonts w:ascii="Arial" w:cs="Arial" w:eastAsia="Arial" w:hAnsi="Arial"/>
                <w:sz w:val="14"/>
                <w:szCs w:val="14"/>
                <w:color w:val="auto"/>
              </w:rPr>
              <w:t>SECTION 8.1. Certificates of Stock</w:t>
            </w:r>
          </w:p>
        </w:tc>
        <w:tc>
          <w:tcPr>
            <w:tcW w:w="486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68"/>
        </w:trPr>
        <w:tc>
          <w:tcPr>
            <w:tcW w:w="3660" w:type="dxa"/>
            <w:vAlign w:val="bottom"/>
          </w:tcPr>
          <w:p>
            <w:pPr>
              <w:ind w:left="280"/>
              <w:spacing w:after="0"/>
              <w:rPr>
                <w:sz w:val="20"/>
                <w:szCs w:val="20"/>
                <w:color w:val="auto"/>
              </w:rPr>
            </w:pPr>
            <w:r>
              <w:rPr>
                <w:rFonts w:ascii="Arial" w:cs="Arial" w:eastAsia="Arial" w:hAnsi="Arial"/>
                <w:sz w:val="14"/>
                <w:szCs w:val="14"/>
                <w:color w:val="auto"/>
              </w:rPr>
              <w:t>SECTION 8.2. Transfer of Certificates</w:t>
            </w:r>
          </w:p>
        </w:tc>
        <w:tc>
          <w:tcPr>
            <w:tcW w:w="486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68"/>
        </w:trPr>
        <w:tc>
          <w:tcPr>
            <w:tcW w:w="3660" w:type="dxa"/>
            <w:vAlign w:val="bottom"/>
          </w:tcPr>
          <w:p>
            <w:pPr>
              <w:ind w:left="280"/>
              <w:spacing w:after="0"/>
              <w:rPr>
                <w:sz w:val="20"/>
                <w:szCs w:val="20"/>
                <w:color w:val="auto"/>
              </w:rPr>
            </w:pPr>
            <w:r>
              <w:rPr>
                <w:rFonts w:ascii="Arial" w:cs="Arial" w:eastAsia="Arial" w:hAnsi="Arial"/>
                <w:sz w:val="14"/>
                <w:szCs w:val="14"/>
                <w:color w:val="auto"/>
              </w:rPr>
              <w:t>SECTION 8.3. New Certificates</w:t>
            </w:r>
          </w:p>
        </w:tc>
        <w:tc>
          <w:tcPr>
            <w:tcW w:w="486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95"/>
        </w:trPr>
        <w:tc>
          <w:tcPr>
            <w:tcW w:w="3660" w:type="dxa"/>
            <w:vAlign w:val="bottom"/>
          </w:tcPr>
          <w:p>
            <w:pPr>
              <w:ind w:left="280"/>
              <w:spacing w:after="0"/>
              <w:rPr>
                <w:sz w:val="20"/>
                <w:szCs w:val="20"/>
                <w:color w:val="auto"/>
              </w:rPr>
            </w:pPr>
            <w:r>
              <w:rPr>
                <w:rFonts w:ascii="Arial" w:cs="Arial" w:eastAsia="Arial" w:hAnsi="Arial"/>
                <w:sz w:val="14"/>
                <w:szCs w:val="14"/>
                <w:color w:val="auto"/>
              </w:rPr>
              <w:t>SECTION 8.4. Holders of Record</w:t>
            </w:r>
          </w:p>
        </w:tc>
        <w:tc>
          <w:tcPr>
            <w:tcW w:w="486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52"/>
        </w:trPr>
        <w:tc>
          <w:tcPr>
            <w:tcW w:w="3660" w:type="dxa"/>
            <w:vAlign w:val="bottom"/>
          </w:tcPr>
          <w:p>
            <w:pPr>
              <w:spacing w:after="0"/>
              <w:rPr>
                <w:sz w:val="20"/>
                <w:szCs w:val="20"/>
                <w:color w:val="auto"/>
              </w:rPr>
            </w:pPr>
            <w:r>
              <w:rPr>
                <w:rFonts w:ascii="Arial" w:cs="Arial" w:eastAsia="Arial" w:hAnsi="Arial"/>
                <w:sz w:val="14"/>
                <w:szCs w:val="14"/>
                <w:color w:val="auto"/>
              </w:rPr>
              <w:t>ARTICLE IX Corporate Seal</w:t>
            </w:r>
          </w:p>
        </w:tc>
        <w:tc>
          <w:tcPr>
            <w:tcW w:w="486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52"/>
        </w:trPr>
        <w:tc>
          <w:tcPr>
            <w:tcW w:w="3660" w:type="dxa"/>
            <w:vAlign w:val="bottom"/>
          </w:tcPr>
          <w:p>
            <w:pPr>
              <w:ind w:left="280"/>
              <w:spacing w:after="0"/>
              <w:rPr>
                <w:sz w:val="20"/>
                <w:szCs w:val="20"/>
                <w:color w:val="auto"/>
              </w:rPr>
            </w:pPr>
            <w:r>
              <w:rPr>
                <w:rFonts w:ascii="Arial" w:cs="Arial" w:eastAsia="Arial" w:hAnsi="Arial"/>
                <w:sz w:val="14"/>
                <w:szCs w:val="14"/>
                <w:color w:val="auto"/>
              </w:rPr>
              <w:t>SECTION 9.1. The Seal</w:t>
            </w:r>
          </w:p>
        </w:tc>
        <w:tc>
          <w:tcPr>
            <w:tcW w:w="486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52"/>
        </w:trPr>
        <w:tc>
          <w:tcPr>
            <w:tcW w:w="3660" w:type="dxa"/>
            <w:vAlign w:val="bottom"/>
          </w:tcPr>
          <w:p>
            <w:pPr>
              <w:spacing w:after="0"/>
              <w:rPr>
                <w:sz w:val="20"/>
                <w:szCs w:val="20"/>
                <w:color w:val="auto"/>
              </w:rPr>
            </w:pPr>
            <w:r>
              <w:rPr>
                <w:rFonts w:ascii="Arial" w:cs="Arial" w:eastAsia="Arial" w:hAnsi="Arial"/>
                <w:sz w:val="14"/>
                <w:szCs w:val="14"/>
                <w:color w:val="auto"/>
              </w:rPr>
              <w:t>ARTICLE X By-Laws</w:t>
            </w:r>
          </w:p>
        </w:tc>
        <w:tc>
          <w:tcPr>
            <w:tcW w:w="486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24"/>
        </w:trPr>
        <w:tc>
          <w:tcPr>
            <w:tcW w:w="3660" w:type="dxa"/>
            <w:vAlign w:val="bottom"/>
          </w:tcPr>
          <w:p>
            <w:pPr>
              <w:ind w:left="280"/>
              <w:spacing w:after="0"/>
              <w:rPr>
                <w:sz w:val="20"/>
                <w:szCs w:val="20"/>
                <w:color w:val="auto"/>
              </w:rPr>
            </w:pPr>
            <w:r>
              <w:rPr>
                <w:rFonts w:ascii="Arial" w:cs="Arial" w:eastAsia="Arial" w:hAnsi="Arial"/>
                <w:sz w:val="14"/>
                <w:szCs w:val="14"/>
                <w:color w:val="auto"/>
              </w:rPr>
              <w:t>SECTION 10.1. Amendments</w:t>
            </w:r>
          </w:p>
        </w:tc>
        <w:tc>
          <w:tcPr>
            <w:tcW w:w="486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95"/>
        </w:trPr>
        <w:tc>
          <w:tcPr>
            <w:tcW w:w="3660" w:type="dxa"/>
            <w:vAlign w:val="bottom"/>
          </w:tcPr>
          <w:p>
            <w:pPr>
              <w:ind w:left="280"/>
              <w:spacing w:after="0"/>
              <w:rPr>
                <w:sz w:val="20"/>
                <w:szCs w:val="20"/>
                <w:color w:val="auto"/>
              </w:rPr>
            </w:pPr>
            <w:r>
              <w:rPr>
                <w:rFonts w:ascii="Arial" w:cs="Arial" w:eastAsia="Arial" w:hAnsi="Arial"/>
                <w:sz w:val="14"/>
                <w:szCs w:val="14"/>
                <w:color w:val="auto"/>
              </w:rPr>
              <w:t>SECTION 10.2. Inspection</w:t>
            </w:r>
          </w:p>
        </w:tc>
        <w:tc>
          <w:tcPr>
            <w:tcW w:w="486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73"/>
        </w:trPr>
        <w:tc>
          <w:tcPr>
            <w:tcW w:w="3660" w:type="dxa"/>
            <w:vAlign w:val="bottom"/>
          </w:tcPr>
          <w:p>
            <w:pPr>
              <w:spacing w:after="0"/>
              <w:rPr>
                <w:sz w:val="23"/>
                <w:szCs w:val="23"/>
                <w:color w:val="auto"/>
              </w:rPr>
            </w:pPr>
          </w:p>
        </w:tc>
        <w:tc>
          <w:tcPr>
            <w:tcW w:w="4860" w:type="dxa"/>
            <w:vAlign w:val="bottom"/>
          </w:tcPr>
          <w:p>
            <w:pPr>
              <w:jc w:val="right"/>
              <w:ind w:right="4130"/>
              <w:spacing w:after="0"/>
              <w:rPr>
                <w:sz w:val="20"/>
                <w:szCs w:val="20"/>
                <w:color w:val="auto"/>
              </w:rPr>
            </w:pPr>
            <w:r>
              <w:rPr>
                <w:rFonts w:ascii="Arial" w:cs="Arial" w:eastAsia="Arial" w:hAnsi="Arial"/>
                <w:sz w:val="14"/>
                <w:szCs w:val="14"/>
                <w:color w:val="auto"/>
              </w:rPr>
              <w:t>2</w:t>
            </w:r>
          </w:p>
        </w:tc>
      </w:tr>
    </w:tbl>
    <w:p>
      <w:pPr>
        <w:sectPr>
          <w:pgSz w:w="11900" w:h="16838" w:orient="portrait"/>
          <w:cols w:equalWidth="0" w:num="1">
            <w:col w:w="9019"/>
          </w:cols>
          <w:pgMar w:left="1440" w:top="240" w:right="1440" w:bottom="1440" w:gutter="0" w:footer="0" w:header="0"/>
        </w:sectPr>
      </w:pPr>
    </w:p>
    <w:bookmarkStart w:id="71" w:name="page72"/>
    <w:bookmarkEnd w:id="71"/>
    <w:p>
      <w:pPr>
        <w:jc w:val="cente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BY-LAWS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of</w:t>
      </w:r>
    </w:p>
    <w:p>
      <w:pPr>
        <w:jc w:val="center"/>
        <w:spacing w:after="0"/>
        <w:rPr>
          <w:sz w:val="20"/>
          <w:szCs w:val="20"/>
          <w:color w:val="auto"/>
        </w:rPr>
      </w:pPr>
      <w:r>
        <w:rPr>
          <w:rFonts w:ascii="Arial" w:cs="Arial" w:eastAsia="Arial" w:hAnsi="Arial"/>
          <w:sz w:val="14"/>
          <w:szCs w:val="14"/>
          <w:color w:val="auto"/>
        </w:rPr>
        <w:t>The Bank of New York Mellon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As amended and restated through September 9, 2021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I</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STOCKHOLDERS</w:t>
      </w:r>
    </w:p>
    <w:p>
      <w:pPr>
        <w:spacing w:after="0" w:line="150" w:lineRule="exact"/>
        <w:rPr>
          <w:sz w:val="20"/>
          <w:szCs w:val="20"/>
          <w:color w:val="auto"/>
        </w:rPr>
      </w:pPr>
    </w:p>
    <w:p>
      <w:pPr>
        <w:ind w:left="220" w:right="259" w:firstLine="342"/>
        <w:spacing w:after="0" w:line="239" w:lineRule="auto"/>
        <w:rPr>
          <w:sz w:val="20"/>
          <w:szCs w:val="20"/>
          <w:color w:val="auto"/>
        </w:rPr>
      </w:pPr>
      <w:r>
        <w:rPr>
          <w:rFonts w:ascii="Arial" w:cs="Arial" w:eastAsia="Arial" w:hAnsi="Arial"/>
          <w:sz w:val="14"/>
          <w:szCs w:val="14"/>
          <w:color w:val="auto"/>
        </w:rPr>
        <w:t>SECTION 1.1. Annual Meeting. The annual meeting of stockholders of The Bank of New York Mellon (the “Bank”) for the election of directors and the transaction of such other business as properly may be brought before such meeting shall be held within the first four months of the Bank’s fiscal year, unless otherwise permitted under the New York Banking Law (the “Banking Law”) or applicable regulation, at the principal office of the Bank, or such other place in the city in which such principal office is located as shall be specified in the notice of such meeting, on such day and at such hour as may be fixed by the Board of Directors (the “Board”); provided, however, that so long as The Bank of New York Mellon Corporation owns 100 percent of the outstanding common stock of the Bank, directly or indirectly through one or more wholly-owned subsidiaries, action to elect directors may be taken by written consent in lieu of an annual meeting and the Board will not be required to fix a date and time for an annual meeting of the Bank’s stockholders.</w:t>
      </w:r>
    </w:p>
    <w:p>
      <w:pPr>
        <w:spacing w:after="0" w:line="143" w:lineRule="exact"/>
        <w:rPr>
          <w:sz w:val="20"/>
          <w:szCs w:val="20"/>
          <w:color w:val="auto"/>
        </w:rPr>
      </w:pPr>
    </w:p>
    <w:p>
      <w:pPr>
        <w:ind w:left="220" w:right="239" w:firstLine="342"/>
        <w:spacing w:after="0" w:line="266" w:lineRule="auto"/>
        <w:rPr>
          <w:sz w:val="20"/>
          <w:szCs w:val="20"/>
          <w:color w:val="auto"/>
        </w:rPr>
      </w:pPr>
      <w:r>
        <w:rPr>
          <w:rFonts w:ascii="Arial" w:cs="Arial" w:eastAsia="Arial" w:hAnsi="Arial"/>
          <w:sz w:val="13"/>
          <w:szCs w:val="13"/>
          <w:color w:val="auto"/>
        </w:rPr>
        <w:t>SECTION 1.2. Special Meetings. Special meetings of the stockholders of the Bank (the “stockholders”) may be called by the Board, the Executive Chairman (as defined below), the Chief Executive Officer or the President and shall be called upon the written request of the holders of record of not less than twenty percent of the outstanding shares of stock of the Bank entitled to vote at the meeting requested to be called. Such meetings of stockholders shall be held on such day and at such hour and at such place, within or without the State of New York (or may not be held at any place, but may instead be held solely by means of remote communication), as may be fixed by the Board.</w:t>
      </w:r>
    </w:p>
    <w:p>
      <w:pPr>
        <w:spacing w:after="0" w:line="126" w:lineRule="exact"/>
        <w:rPr>
          <w:sz w:val="20"/>
          <w:szCs w:val="20"/>
          <w:color w:val="auto"/>
        </w:rPr>
      </w:pPr>
    </w:p>
    <w:p>
      <w:pPr>
        <w:ind w:left="220" w:right="419" w:firstLine="342"/>
        <w:spacing w:after="0" w:line="243" w:lineRule="auto"/>
        <w:rPr>
          <w:sz w:val="20"/>
          <w:szCs w:val="20"/>
          <w:color w:val="auto"/>
        </w:rPr>
      </w:pPr>
      <w:r>
        <w:rPr>
          <w:rFonts w:ascii="Arial" w:cs="Arial" w:eastAsia="Arial" w:hAnsi="Arial"/>
          <w:sz w:val="14"/>
          <w:szCs w:val="14"/>
          <w:color w:val="auto"/>
        </w:rPr>
        <w:t>SECTION 1.3. Notice of Meetings. Notice of each meeting of stockholders shall be given in writing, personally or by mail, not less than ten nor more than fifty days before the date of the meeting, to each stockholder entitled to vote at such meeting, and shall state the place, date and hour of the meeting and, in the case of a special meeting, the purpose or purposes for which the meeting is called. If mailed, such notice shall be deemed to have been given when deposited in the United States mail, postage prepaid, directed to the stockholder at such stockholder’s address as it appears on the records of the Bank.</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019"/>
          </w:cols>
          <w:pgMar w:left="1440" w:top="240" w:right="1440" w:bottom="1440" w:gutter="0" w:footer="0" w:header="0"/>
        </w:sectPr>
      </w:pPr>
    </w:p>
    <w:bookmarkStart w:id="72" w:name="page73"/>
    <w:bookmarkEnd w:id="72"/>
    <w:p>
      <w:pPr>
        <w:ind w:left="220" w:right="459" w:firstLine="342"/>
        <w:spacing w:after="0" w:line="28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Notwithstanding the foregoing, notice of meeting need not be given to any stockholder who submits a signed waiver of notice, in person or by proxy, whether before or after the meeting. The attendance of any stockholder at a meeting, in person or by proxy, without protesting prior to the conclusion of the meeting the lack of notice of such meeting, shall constitute a waiver of notice by him or her.</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019"/>
          </w:cols>
          <w:pgMar w:left="1440" w:top="240" w:right="1440" w:bottom="1440" w:gutter="0" w:footer="0" w:header="0"/>
        </w:sectPr>
      </w:pPr>
    </w:p>
    <w:bookmarkStart w:id="73" w:name="page74"/>
    <w:bookmarkEnd w:id="73"/>
    <w:p>
      <w:pPr>
        <w:ind w:left="220" w:right="379" w:firstLine="342"/>
        <w:spacing w:after="0" w:line="24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SECTION 1.4. Adjournments. Any meeting of stockholders, annual or special, may be adjourned from time to time to reconvene at the same or some other place, and notice need not be given of any such adjourned meeting if the time, place, if any, thereof, and the means of remote communications, if any, thereof are announced at the meeting at which the adjournment is taken. At the adjourned meeting the Bank may transact any business which might have been transacted at the original meeting. If the adjournment is for more than 30 days, or if after the adjournment a new record date is fixed for the adjourned meeting, a notice of the adjourned meeting shall be given to each stockholder of record entitled to vote at the adjourned meeting.</w:t>
      </w:r>
    </w:p>
    <w:p>
      <w:pPr>
        <w:spacing w:after="0" w:line="141" w:lineRule="exact"/>
        <w:rPr>
          <w:sz w:val="20"/>
          <w:szCs w:val="20"/>
          <w:color w:val="auto"/>
        </w:rPr>
      </w:pPr>
    </w:p>
    <w:p>
      <w:pPr>
        <w:ind w:left="220" w:right="259" w:firstLine="342"/>
        <w:spacing w:after="0" w:line="243" w:lineRule="auto"/>
        <w:rPr>
          <w:sz w:val="20"/>
          <w:szCs w:val="20"/>
          <w:color w:val="auto"/>
        </w:rPr>
      </w:pPr>
      <w:r>
        <w:rPr>
          <w:rFonts w:ascii="Arial" w:cs="Arial" w:eastAsia="Arial" w:hAnsi="Arial"/>
          <w:sz w:val="14"/>
          <w:szCs w:val="14"/>
          <w:color w:val="auto"/>
        </w:rPr>
        <w:t>SECTION 1.5. Quorum of Stockholders and Action by Stockholders. The holders of a majority of the shares entitled to vote thereat shall constitute a quorum at a meeting of stockholders for the transaction of any business. At all meetings of stockholders, a quorum being present, all matters, except as otherwise provided by law or the Organization Certificate of the Bank, shall be authorized by a majority of the votes cast at the meeting by the stockholders present in person or by proxy and entitled to vote thereon. The stockholders present may adjourn the meeting despite the absence of a quorum.</w:t>
      </w:r>
    </w:p>
    <w:p>
      <w:pPr>
        <w:spacing w:after="0" w:line="139" w:lineRule="exact"/>
        <w:rPr>
          <w:sz w:val="20"/>
          <w:szCs w:val="20"/>
          <w:color w:val="auto"/>
        </w:rPr>
      </w:pPr>
    </w:p>
    <w:p>
      <w:pPr>
        <w:ind w:left="220" w:right="379" w:firstLine="342"/>
        <w:spacing w:after="0" w:line="251" w:lineRule="auto"/>
        <w:rPr>
          <w:sz w:val="20"/>
          <w:szCs w:val="20"/>
          <w:color w:val="auto"/>
        </w:rPr>
      </w:pPr>
      <w:r>
        <w:rPr>
          <w:rFonts w:ascii="Arial" w:cs="Arial" w:eastAsia="Arial" w:hAnsi="Arial"/>
          <w:sz w:val="14"/>
          <w:szCs w:val="14"/>
          <w:color w:val="auto"/>
        </w:rPr>
        <w:t>SECTION 1.6 Action without a Meeting. Any action that may be taken by the stockholders at a duly convened meeting may also betaken pursuant to waiver of notice thereof and upon the unanimous written consent of all stockholders of the Bank; such consent shall set forth the action so taken and shall be filed with the Secretary.</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II</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BOARD OF DIRECTORS</w:t>
      </w:r>
    </w:p>
    <w:p>
      <w:pPr>
        <w:spacing w:after="0" w:line="150" w:lineRule="exact"/>
        <w:rPr>
          <w:sz w:val="20"/>
          <w:szCs w:val="20"/>
          <w:color w:val="auto"/>
        </w:rPr>
      </w:pPr>
    </w:p>
    <w:p>
      <w:pPr>
        <w:ind w:left="220" w:right="239" w:firstLine="342"/>
        <w:spacing w:after="0" w:line="239" w:lineRule="auto"/>
        <w:rPr>
          <w:sz w:val="20"/>
          <w:szCs w:val="20"/>
          <w:color w:val="auto"/>
        </w:rPr>
      </w:pPr>
      <w:r>
        <w:rPr>
          <w:rFonts w:ascii="Arial" w:cs="Arial" w:eastAsia="Arial" w:hAnsi="Arial"/>
          <w:sz w:val="14"/>
          <w:szCs w:val="14"/>
          <w:color w:val="auto"/>
        </w:rPr>
        <w:t>SECTION 2.1. Number of Directors. The business of the Bank shall be managed by the Board, which shall consist of such number of directors, within the minimum and maximum limits prescribed in the Organization Certificate of the Bank and the Banking Law, as from time-to-time shall be determined by the vote of a majority of the directors then in office or by the stockholders. In the event of any increase in the number of directors, additional directors shall be elected in the manner herein prescribed for the filling of vacancies. No decrease in the number of directors shall shorten the term of any incumbent director. Each director or, where applicable, all directors collectively must possess such qualifications as to citizenship, age and active service as an officer or employee of the Bank as are prescribed by the Banking Law. Directors shall hold office until the next annual meeting of the stockholders and until their successors are elected and have qualified.</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4"/>
          <w:szCs w:val="14"/>
          <w:color w:val="auto"/>
        </w:rPr>
        <w:t>SECTION 2.2. [Reserved]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019"/>
          </w:cols>
          <w:pgMar w:left="1440" w:top="240" w:right="1440" w:bottom="1440" w:gutter="0" w:footer="0" w:header="0"/>
        </w:sectPr>
      </w:pPr>
    </w:p>
    <w:bookmarkStart w:id="74" w:name="page75"/>
    <w:bookmarkEnd w:id="74"/>
    <w:p>
      <w:pPr>
        <w:ind w:left="220" w:right="319" w:firstLine="342"/>
        <w:spacing w:after="0" w:line="24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SECTION 2.3. Meetings of the Board. An annual meeting of the Board shall be held in each year within fifteen days after the annual meeting of stockholders. Regular meetings of the Board shall be held on such day and at such hour as the directors may fix from time-to-time, and no notice thereof need be given. In case any date for a meeting shall fall on a public holiday, such meeting shall be held on the next succeeding business day. Special meetings of the Board may be held at any time upon the call of the Executive Chairman of the Board or the Chief Executive Officer or, in their absence, another principal executive officer and shall be called upon the written request of any three directors.</w:t>
      </w:r>
    </w:p>
    <w:p>
      <w:pPr>
        <w:spacing w:after="0" w:line="141" w:lineRule="exact"/>
        <w:rPr>
          <w:sz w:val="20"/>
          <w:szCs w:val="20"/>
          <w:color w:val="auto"/>
        </w:rPr>
      </w:pPr>
    </w:p>
    <w:p>
      <w:pPr>
        <w:ind w:left="220" w:right="299" w:firstLine="342"/>
        <w:spacing w:after="0" w:line="251" w:lineRule="auto"/>
        <w:rPr>
          <w:sz w:val="20"/>
          <w:szCs w:val="20"/>
          <w:color w:val="auto"/>
        </w:rPr>
      </w:pPr>
      <w:r>
        <w:rPr>
          <w:rFonts w:ascii="Arial" w:cs="Arial" w:eastAsia="Arial" w:hAnsi="Arial"/>
          <w:sz w:val="14"/>
          <w:szCs w:val="14"/>
          <w:color w:val="auto"/>
        </w:rPr>
        <w:t>Meetings of the Board shall be held at such places within or without the State of New York (or may not be held at any place, but may instead be held solely by means of remote communication) as may be fixed by the Board. If no place is so fixed, meetings of the Board shall be held at the principal office of the Bank in the City of New York.</w:t>
      </w:r>
    </w:p>
    <w:p>
      <w:pPr>
        <w:spacing w:after="0" w:line="134" w:lineRule="exact"/>
        <w:rPr>
          <w:sz w:val="20"/>
          <w:szCs w:val="20"/>
          <w:color w:val="auto"/>
        </w:rPr>
      </w:pPr>
    </w:p>
    <w:p>
      <w:pPr>
        <w:ind w:left="220" w:right="359" w:firstLine="342"/>
        <w:spacing w:after="0" w:line="246" w:lineRule="auto"/>
        <w:rPr>
          <w:sz w:val="20"/>
          <w:szCs w:val="20"/>
          <w:color w:val="auto"/>
        </w:rPr>
      </w:pPr>
      <w:r>
        <w:rPr>
          <w:rFonts w:ascii="Arial" w:cs="Arial" w:eastAsia="Arial" w:hAnsi="Arial"/>
          <w:sz w:val="14"/>
          <w:szCs w:val="14"/>
          <w:color w:val="auto"/>
        </w:rPr>
        <w:t>Notices of the annual and special meetings of the Board shall be given by delivery, mail, facsimile, e-mail or other form of electronic transmission or by oral notice given in person or by telephone to each director at his or her usual place of business or residence address not later than noon, New York time, on the third day prior to the day on which the meeting is to be held or, if given personally or by telephone, not later than noon, New York time, on the day before the day on which the meeting is to be held.</w:t>
      </w:r>
    </w:p>
    <w:p>
      <w:pPr>
        <w:spacing w:after="0" w:line="137" w:lineRule="exact"/>
        <w:rPr>
          <w:sz w:val="20"/>
          <w:szCs w:val="20"/>
          <w:color w:val="auto"/>
        </w:rPr>
      </w:pPr>
    </w:p>
    <w:p>
      <w:pPr>
        <w:ind w:left="220" w:right="299" w:firstLine="342"/>
        <w:spacing w:after="0" w:line="269" w:lineRule="auto"/>
        <w:rPr>
          <w:sz w:val="20"/>
          <w:szCs w:val="20"/>
          <w:color w:val="auto"/>
        </w:rPr>
      </w:pPr>
      <w:r>
        <w:rPr>
          <w:rFonts w:ascii="Arial" w:cs="Arial" w:eastAsia="Arial" w:hAnsi="Arial"/>
          <w:sz w:val="14"/>
          <w:szCs w:val="14"/>
          <w:color w:val="auto"/>
        </w:rPr>
        <w:t>Notice of a meeting of the Board need not be given to any director who submits a signed waiver of notice whether before or after the meeting, or who attends the meeting without protesting, prior thereto or at its commencement, the lack of notice to him or her.</w:t>
      </w:r>
    </w:p>
    <w:p>
      <w:pPr>
        <w:spacing w:after="0" w:line="121" w:lineRule="exact"/>
        <w:rPr>
          <w:sz w:val="20"/>
          <w:szCs w:val="20"/>
          <w:color w:val="auto"/>
        </w:rPr>
      </w:pPr>
    </w:p>
    <w:p>
      <w:pPr>
        <w:ind w:left="220" w:right="359" w:firstLine="342"/>
        <w:spacing w:after="0" w:line="269" w:lineRule="auto"/>
        <w:rPr>
          <w:sz w:val="20"/>
          <w:szCs w:val="20"/>
          <w:color w:val="auto"/>
        </w:rPr>
      </w:pPr>
      <w:r>
        <w:rPr>
          <w:rFonts w:ascii="Arial" w:cs="Arial" w:eastAsia="Arial" w:hAnsi="Arial"/>
          <w:sz w:val="14"/>
          <w:szCs w:val="14"/>
          <w:color w:val="auto"/>
        </w:rPr>
        <w:t>A majority of the directors present, whether or not a quorum is present, may adjourn any meeting to another time and place. Except for announcement at the meeting, notice of the time and place of any adjourned meeting need not be given.</w:t>
      </w:r>
    </w:p>
    <w:p>
      <w:pPr>
        <w:spacing w:after="0" w:line="121" w:lineRule="exact"/>
        <w:rPr>
          <w:sz w:val="20"/>
          <w:szCs w:val="20"/>
          <w:color w:val="auto"/>
        </w:rPr>
      </w:pPr>
    </w:p>
    <w:p>
      <w:pPr>
        <w:ind w:left="220" w:right="519" w:firstLine="342"/>
        <w:spacing w:after="0" w:line="251" w:lineRule="auto"/>
        <w:rPr>
          <w:sz w:val="20"/>
          <w:szCs w:val="20"/>
          <w:color w:val="auto"/>
        </w:rPr>
      </w:pPr>
      <w:r>
        <w:rPr>
          <w:rFonts w:ascii="Arial" w:cs="Arial" w:eastAsia="Arial" w:hAnsi="Arial"/>
          <w:sz w:val="14"/>
          <w:szCs w:val="14"/>
          <w:color w:val="auto"/>
        </w:rPr>
        <w:t>Members of the Board may participate in a meeting of the Board by means of a conference telephone or similar communications equipment allowing all persons participating in the meeting to hear each other at the same time. Participation by such means shall constitute presence in person at a meeting.</w:t>
      </w:r>
    </w:p>
    <w:p>
      <w:pPr>
        <w:spacing w:after="0" w:line="134" w:lineRule="exact"/>
        <w:rPr>
          <w:sz w:val="20"/>
          <w:szCs w:val="20"/>
          <w:color w:val="auto"/>
        </w:rPr>
      </w:pPr>
    </w:p>
    <w:p>
      <w:pPr>
        <w:ind w:left="220" w:right="259" w:firstLine="342"/>
        <w:spacing w:after="0" w:line="246" w:lineRule="auto"/>
        <w:rPr>
          <w:sz w:val="20"/>
          <w:szCs w:val="20"/>
          <w:color w:val="auto"/>
        </w:rPr>
      </w:pPr>
      <w:r>
        <w:rPr>
          <w:rFonts w:ascii="Arial" w:cs="Arial" w:eastAsia="Arial" w:hAnsi="Arial"/>
          <w:sz w:val="14"/>
          <w:szCs w:val="14"/>
          <w:color w:val="auto"/>
        </w:rPr>
        <w:t>SECTION 2.4. Quorum of Directors and Action by the Board. One-third of the entire Board, but in no case less than five directors, shall constitute a quorum for the transaction of business. Except as otherwise required by law, the Organization Certificate of the Bank or these By-laws, the vote of a majority of the directors present at a meeting at the time of such vote, if a quorum is then present, shall be the act of the Board.</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019"/>
          </w:cols>
          <w:pgMar w:left="1440" w:top="240" w:right="1440" w:bottom="1440" w:gutter="0" w:footer="0" w:header="0"/>
        </w:sectPr>
      </w:pPr>
    </w:p>
    <w:bookmarkStart w:id="75" w:name="page76"/>
    <w:bookmarkEnd w:id="75"/>
    <w:p>
      <w:pPr>
        <w:ind w:left="220" w:right="519" w:firstLine="342"/>
        <w:spacing w:after="0" w:line="26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SECTION 2.5. Removal or Resignation of Directors. Any one or more of the directors may be removed for cause by action of the Board. Any or all of the directors may be removed with or without cause by vote of the stockholders.</w:t>
      </w:r>
    </w:p>
    <w:p>
      <w:pPr>
        <w:spacing w:after="0" w:line="121" w:lineRule="exact"/>
        <w:rPr>
          <w:sz w:val="20"/>
          <w:szCs w:val="20"/>
          <w:color w:val="auto"/>
        </w:rPr>
      </w:pPr>
    </w:p>
    <w:p>
      <w:pPr>
        <w:ind w:left="220" w:right="279" w:firstLine="342"/>
        <w:spacing w:after="0" w:line="251" w:lineRule="auto"/>
        <w:rPr>
          <w:sz w:val="20"/>
          <w:szCs w:val="20"/>
          <w:color w:val="auto"/>
        </w:rPr>
      </w:pPr>
      <w:r>
        <w:rPr>
          <w:rFonts w:ascii="Arial" w:cs="Arial" w:eastAsia="Arial" w:hAnsi="Arial"/>
          <w:sz w:val="14"/>
          <w:szCs w:val="14"/>
          <w:color w:val="auto"/>
        </w:rPr>
        <w:t>Any director may resign at any time upon written notice to the Board or to the Executive Chairman, the Chief Executive Officer or the Secretary. Such resignation shall take effect at the time specified therein, and unless otherwise specified therein no acceptance of such resignation shall be necessary to make it effective.</w:t>
      </w:r>
    </w:p>
    <w:p>
      <w:pPr>
        <w:spacing w:after="0" w:line="134" w:lineRule="exact"/>
        <w:rPr>
          <w:sz w:val="20"/>
          <w:szCs w:val="20"/>
          <w:color w:val="auto"/>
        </w:rPr>
      </w:pPr>
    </w:p>
    <w:p>
      <w:pPr>
        <w:jc w:val="both"/>
        <w:ind w:left="220" w:right="359" w:firstLine="342"/>
        <w:spacing w:after="0" w:line="251" w:lineRule="auto"/>
        <w:rPr>
          <w:sz w:val="20"/>
          <w:szCs w:val="20"/>
          <w:color w:val="auto"/>
        </w:rPr>
      </w:pPr>
      <w:r>
        <w:rPr>
          <w:rFonts w:ascii="Arial" w:cs="Arial" w:eastAsia="Arial" w:hAnsi="Arial"/>
          <w:sz w:val="14"/>
          <w:szCs w:val="14"/>
          <w:color w:val="auto"/>
        </w:rPr>
        <w:t>SECTION 2.6. Vacancies. All vacancies in the office of director shall be filled by election by the stockholders, except that vacancies not exceeding one-third of the entire Board may be filled by the affirmative vote of a majority of the directors in office and the directors so elected shall hold office for the balance of the unexpired term.</w:t>
      </w:r>
    </w:p>
    <w:p>
      <w:pPr>
        <w:spacing w:after="0" w:line="134" w:lineRule="exact"/>
        <w:rPr>
          <w:sz w:val="20"/>
          <w:szCs w:val="20"/>
          <w:color w:val="auto"/>
        </w:rPr>
      </w:pPr>
    </w:p>
    <w:p>
      <w:pPr>
        <w:ind w:left="220" w:right="419" w:firstLine="342"/>
        <w:spacing w:after="0" w:line="251" w:lineRule="auto"/>
        <w:rPr>
          <w:sz w:val="20"/>
          <w:szCs w:val="20"/>
          <w:color w:val="auto"/>
        </w:rPr>
      </w:pPr>
      <w:r>
        <w:rPr>
          <w:rFonts w:ascii="Arial" w:cs="Arial" w:eastAsia="Arial" w:hAnsi="Arial"/>
          <w:sz w:val="14"/>
          <w:szCs w:val="14"/>
          <w:color w:val="auto"/>
        </w:rPr>
        <w:t>SECTION 2.7. Compensation. Members of the Board, except members who are officers of The Bank of New York Mellon Corporation or any of its subsidiaries, shall be entitled to receive such compensation and such fees for attendance as the Board shall fix from time-to-time.</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9019"/>
          </w:cols>
          <w:pgMar w:left="1440" w:top="240" w:right="1440" w:bottom="1440" w:gutter="0" w:footer="0" w:header="0"/>
        </w:sectPr>
      </w:pPr>
    </w:p>
    <w:bookmarkStart w:id="76" w:name="page77"/>
    <w:bookmarkEnd w:id="76"/>
    <w:p>
      <w:pPr>
        <w:ind w:left="220" w:right="619" w:firstLine="342"/>
        <w:spacing w:after="0" w:line="26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SECTION 2.8. Minutes. Regular minutes of the proceedings of the Board shall be kept in books to be provided for that purpose which shall always be open for the inspection of any director.</w:t>
      </w:r>
    </w:p>
    <w:p>
      <w:pPr>
        <w:spacing w:after="0" w:line="121" w:lineRule="exact"/>
        <w:rPr>
          <w:sz w:val="20"/>
          <w:szCs w:val="20"/>
          <w:color w:val="auto"/>
        </w:rPr>
      </w:pPr>
    </w:p>
    <w:p>
      <w:pPr>
        <w:ind w:left="220" w:right="379" w:firstLine="342"/>
        <w:spacing w:after="0" w:line="269" w:lineRule="auto"/>
        <w:rPr>
          <w:sz w:val="20"/>
          <w:szCs w:val="20"/>
          <w:color w:val="auto"/>
        </w:rPr>
      </w:pPr>
      <w:r>
        <w:rPr>
          <w:rFonts w:ascii="Arial" w:cs="Arial" w:eastAsia="Arial" w:hAnsi="Arial"/>
          <w:sz w:val="14"/>
          <w:szCs w:val="14"/>
          <w:color w:val="auto"/>
        </w:rPr>
        <w:t>SECTION 2.9. Reports. At each regular meeting of the Board there shall be submitted a report of the concerns and business of the Bank, including such reports as shall be required by law or by regulation of the authorities having jurisdiction over the Bank.</w:t>
      </w:r>
    </w:p>
    <w:p>
      <w:pPr>
        <w:spacing w:after="0" w:line="121" w:lineRule="exact"/>
        <w:rPr>
          <w:sz w:val="20"/>
          <w:szCs w:val="20"/>
          <w:color w:val="auto"/>
        </w:rPr>
      </w:pPr>
    </w:p>
    <w:p>
      <w:pPr>
        <w:ind w:left="220" w:right="439" w:firstLine="342"/>
        <w:spacing w:after="0" w:line="246" w:lineRule="auto"/>
        <w:rPr>
          <w:sz w:val="20"/>
          <w:szCs w:val="20"/>
          <w:color w:val="auto"/>
        </w:rPr>
      </w:pPr>
      <w:r>
        <w:rPr>
          <w:rFonts w:ascii="Arial" w:cs="Arial" w:eastAsia="Arial" w:hAnsi="Arial"/>
          <w:sz w:val="14"/>
          <w:szCs w:val="14"/>
          <w:color w:val="auto"/>
        </w:rPr>
        <w:t>SECTION 2.10. Action without a Meeting. Any action required or permitted to be taken at any meeting of the Board, or of any committee thereof, to the extent permitted by law and regulation, may be taken without a meeting if all members of the Board or of such committee, as the case may be, consent thereto in writing and such consent is filed with the minutes of the proceedings of the Board or such committee.</w:t>
      </w:r>
    </w:p>
    <w:p>
      <w:pPr>
        <w:spacing w:after="0" w:line="304" w:lineRule="exact"/>
        <w:rPr>
          <w:sz w:val="20"/>
          <w:szCs w:val="20"/>
          <w:color w:val="auto"/>
        </w:rPr>
      </w:pPr>
    </w:p>
    <w:p>
      <w:pPr>
        <w:ind w:left="4140"/>
        <w:spacing w:after="0"/>
        <w:rPr>
          <w:sz w:val="20"/>
          <w:szCs w:val="20"/>
          <w:color w:val="auto"/>
        </w:rPr>
      </w:pPr>
      <w:r>
        <w:rPr>
          <w:rFonts w:ascii="Arial" w:cs="Arial" w:eastAsia="Arial" w:hAnsi="Arial"/>
          <w:sz w:val="14"/>
          <w:szCs w:val="14"/>
          <w:color w:val="auto"/>
        </w:rPr>
        <w:t>ARTICLE III</w:t>
      </w:r>
    </w:p>
    <w:p>
      <w:pPr>
        <w:spacing w:after="0" w:line="10" w:lineRule="exact"/>
        <w:rPr>
          <w:sz w:val="20"/>
          <w:szCs w:val="20"/>
          <w:color w:val="auto"/>
        </w:rPr>
      </w:pPr>
    </w:p>
    <w:p>
      <w:pPr>
        <w:ind w:left="4160"/>
        <w:spacing w:after="0"/>
        <w:rPr>
          <w:sz w:val="20"/>
          <w:szCs w:val="20"/>
          <w:color w:val="auto"/>
        </w:rPr>
      </w:pPr>
      <w:r>
        <w:rPr>
          <w:rFonts w:ascii="Arial" w:cs="Arial" w:eastAsia="Arial" w:hAnsi="Arial"/>
          <w:sz w:val="14"/>
          <w:szCs w:val="14"/>
          <w:color w:val="auto"/>
        </w:rPr>
        <w:t>[Reserved]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ARTICLE IV</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COMMITTEES</w:t>
      </w:r>
    </w:p>
    <w:p>
      <w:pPr>
        <w:spacing w:after="0" w:line="150" w:lineRule="exact"/>
        <w:rPr>
          <w:sz w:val="20"/>
          <w:szCs w:val="20"/>
          <w:color w:val="auto"/>
        </w:rPr>
      </w:pPr>
    </w:p>
    <w:p>
      <w:pPr>
        <w:ind w:left="220" w:right="299" w:firstLine="342"/>
        <w:spacing w:after="0" w:line="260" w:lineRule="auto"/>
        <w:rPr>
          <w:sz w:val="20"/>
          <w:szCs w:val="20"/>
          <w:color w:val="auto"/>
        </w:rPr>
      </w:pPr>
      <w:r>
        <w:rPr>
          <w:rFonts w:ascii="Arial" w:cs="Arial" w:eastAsia="Arial" w:hAnsi="Arial"/>
          <w:sz w:val="13"/>
          <w:szCs w:val="13"/>
          <w:color w:val="auto"/>
        </w:rPr>
        <w:t>SECTION 4.1. Committees of Directors, Officers and/ or Other Persons. The Board may appoint, or authorize the Executive Chairman or the Chief Executive Officer or, in their absence, another principal executive officer to appoint, from time-to-time, such other committees consisting of directors, officers and/ or other persons and having such powers, duties and functions in or relating to the business and affairs of the Bank as the Board may determine. Each such committee and each member thereof shall serve at the pleasure of the Board and, in the case of any committee appointed by the Executive Chairman, the Chief Executive Officer or another principal executive officer, at the pleasure of such officer. A majority of all members of any such committee may determine the rules of order and procedure of such committee and the time and place of its meetings, unless the Board, or, in the case of any committee appointed by the Executive Chairman, the Chief Executive Officer or another principal executive officer, such officer shall otherwise provide.</w:t>
      </w:r>
    </w:p>
    <w:p>
      <w:pPr>
        <w:spacing w:after="0" w:line="130" w:lineRule="exact"/>
        <w:rPr>
          <w:sz w:val="20"/>
          <w:szCs w:val="20"/>
          <w:color w:val="auto"/>
        </w:rPr>
      </w:pPr>
    </w:p>
    <w:p>
      <w:pPr>
        <w:ind w:left="220" w:right="299" w:firstLine="342"/>
        <w:spacing w:after="0" w:line="251" w:lineRule="auto"/>
        <w:rPr>
          <w:sz w:val="20"/>
          <w:szCs w:val="20"/>
          <w:color w:val="auto"/>
        </w:rPr>
      </w:pPr>
      <w:r>
        <w:rPr>
          <w:rFonts w:ascii="Arial" w:cs="Arial" w:eastAsia="Arial" w:hAnsi="Arial"/>
          <w:sz w:val="14"/>
          <w:szCs w:val="14"/>
          <w:color w:val="auto"/>
        </w:rPr>
        <w:t>SECTION 4.2. Compensation. Members of committees, other than officers of The Bank of New York Mellon Corporation or any of its subsidiaries, shall be paid such compensation and such other fees for attendance at meetings as the Board shall determine from time-to-time.</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9019"/>
          </w:cols>
          <w:pgMar w:left="1440" w:top="240" w:right="1440" w:bottom="1440" w:gutter="0" w:footer="0" w:header="0"/>
        </w:sectPr>
      </w:pPr>
    </w:p>
    <w:bookmarkStart w:id="77" w:name="page78"/>
    <w:bookmarkEnd w:id="77"/>
    <w:p>
      <w:pPr>
        <w:ind w:left="220" w:right="279" w:firstLine="342"/>
        <w:spacing w:after="0" w:line="25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SECTION 4.3. Manner of Acting. Members of committees may participate in a meeting of such committee by means of a conference telephone or similar communications equipment allowing all persons participating in the meeting to hear each other at the same time. Participation by such means shall constitute presence in person at a meeting.</w:t>
      </w:r>
    </w:p>
    <w:p>
      <w:pPr>
        <w:spacing w:after="0" w:line="302" w:lineRule="exact"/>
        <w:rPr>
          <w:sz w:val="20"/>
          <w:szCs w:val="20"/>
          <w:color w:val="auto"/>
        </w:rPr>
      </w:pPr>
    </w:p>
    <w:p>
      <w:pPr>
        <w:ind w:left="4140"/>
        <w:spacing w:after="0"/>
        <w:rPr>
          <w:sz w:val="20"/>
          <w:szCs w:val="20"/>
          <w:color w:val="auto"/>
        </w:rPr>
      </w:pPr>
      <w:r>
        <w:rPr>
          <w:rFonts w:ascii="Arial" w:cs="Arial" w:eastAsia="Arial" w:hAnsi="Arial"/>
          <w:sz w:val="14"/>
          <w:szCs w:val="14"/>
          <w:color w:val="auto"/>
        </w:rPr>
        <w:t>ARTICLE V</w:t>
      </w:r>
    </w:p>
    <w:p>
      <w:pPr>
        <w:spacing w:after="0" w:line="10" w:lineRule="exact"/>
        <w:rPr>
          <w:sz w:val="20"/>
          <w:szCs w:val="20"/>
          <w:color w:val="auto"/>
        </w:rPr>
      </w:pPr>
    </w:p>
    <w:p>
      <w:pPr>
        <w:ind w:left="4160"/>
        <w:spacing w:after="0"/>
        <w:rPr>
          <w:sz w:val="20"/>
          <w:szCs w:val="20"/>
          <w:color w:val="auto"/>
        </w:rPr>
      </w:pPr>
      <w:r>
        <w:rPr>
          <w:rFonts w:ascii="Arial" w:cs="Arial" w:eastAsia="Arial" w:hAnsi="Arial"/>
          <w:sz w:val="14"/>
          <w:szCs w:val="14"/>
          <w:color w:val="auto"/>
        </w:rPr>
        <w:t>OFFICERS</w:t>
      </w:r>
    </w:p>
    <w:p>
      <w:pPr>
        <w:spacing w:after="0" w:line="150" w:lineRule="exact"/>
        <w:rPr>
          <w:sz w:val="20"/>
          <w:szCs w:val="20"/>
          <w:color w:val="auto"/>
        </w:rPr>
      </w:pPr>
    </w:p>
    <w:p>
      <w:pPr>
        <w:ind w:left="220" w:right="299" w:firstLine="342"/>
        <w:spacing w:after="0" w:line="241" w:lineRule="auto"/>
        <w:rPr>
          <w:sz w:val="20"/>
          <w:szCs w:val="20"/>
          <w:color w:val="auto"/>
        </w:rPr>
      </w:pPr>
      <w:r>
        <w:rPr>
          <w:rFonts w:ascii="Arial" w:cs="Arial" w:eastAsia="Arial" w:hAnsi="Arial"/>
          <w:sz w:val="14"/>
          <w:szCs w:val="14"/>
          <w:color w:val="auto"/>
        </w:rPr>
        <w:t>SECTION 5.1. Principal Executive Officers. The Board at its annual meeting shall elect from its number an Executive Chairman of the Board (the “Executive Chairman”), a Chief Executive Officer, and a President (each such officer, a “principal executive officer”). The Board may designate the Chief Executive Officer or the President, or one of the persons holding titles provided in Section 5.2, to act as and carry the additional title of Chief Operating Officer. Officers elected pursuant to this Section 5.1 shall hold office during the pleasure of the Board, which may fill any vacancy and change the designation of the Chief Operating Officer at any regular or special meeting. Officers elected under this Section 5.1 may be removed with or without cause by the Board.</w:t>
      </w:r>
    </w:p>
    <w:p>
      <w:pPr>
        <w:spacing w:after="0" w:line="141" w:lineRule="exact"/>
        <w:rPr>
          <w:sz w:val="20"/>
          <w:szCs w:val="20"/>
          <w:color w:val="auto"/>
        </w:rPr>
      </w:pPr>
    </w:p>
    <w:p>
      <w:pPr>
        <w:jc w:val="both"/>
        <w:ind w:left="220" w:right="319" w:firstLine="342"/>
        <w:spacing w:after="0" w:line="243" w:lineRule="auto"/>
        <w:rPr>
          <w:sz w:val="20"/>
          <w:szCs w:val="20"/>
          <w:color w:val="auto"/>
        </w:rPr>
      </w:pPr>
      <w:r>
        <w:rPr>
          <w:rFonts w:ascii="Arial" w:cs="Arial" w:eastAsia="Arial" w:hAnsi="Arial"/>
          <w:sz w:val="14"/>
          <w:szCs w:val="14"/>
          <w:color w:val="auto"/>
        </w:rPr>
        <w:t>SECTION 5.2. Senior Executive Officers. The Board shall elect, or the Chief Executive Officer may appoint, subject to confirmation by the Board, one or more senior executive officers, any of whom may be designated Vice Chairman of the Board, Senior Executive Vice President or Executive Vice President, and any such other officers with such titles as may be specified upon election (each such officer, a “senior executive officer”). Senior executive officers elected or appointed under this Section 5.2 may be removed with or without cause by the Board.</w:t>
      </w:r>
    </w:p>
    <w:p>
      <w:pPr>
        <w:spacing w:after="0" w:line="139" w:lineRule="exact"/>
        <w:rPr>
          <w:sz w:val="20"/>
          <w:szCs w:val="20"/>
          <w:color w:val="auto"/>
        </w:rPr>
      </w:pPr>
    </w:p>
    <w:p>
      <w:pPr>
        <w:ind w:left="220" w:right="379" w:firstLine="342"/>
        <w:spacing w:after="0" w:line="246" w:lineRule="auto"/>
        <w:rPr>
          <w:sz w:val="20"/>
          <w:szCs w:val="20"/>
          <w:color w:val="auto"/>
        </w:rPr>
      </w:pPr>
      <w:r>
        <w:rPr>
          <w:rFonts w:ascii="Arial" w:cs="Arial" w:eastAsia="Arial" w:hAnsi="Arial"/>
          <w:sz w:val="14"/>
          <w:szCs w:val="14"/>
          <w:color w:val="auto"/>
        </w:rPr>
        <w:t>SECTION 5.3. Other Senior Officers. The Board shall elect a Secretary (who shall be a different person from the Chief Executive Officer and the President); a Treasurer; a Comptroller; a Chief Auditor; and such other officers with such titles as may be specified upon election. The Chief Executive Officer or, in his or her absence, another principal executive officer, may remove any of the officers elected under this Section 5.3 with or without cause with the approval of the Board.</w:t>
      </w:r>
    </w:p>
    <w:p>
      <w:pPr>
        <w:spacing w:after="0" w:line="137" w:lineRule="exact"/>
        <w:rPr>
          <w:sz w:val="20"/>
          <w:szCs w:val="20"/>
          <w:color w:val="auto"/>
        </w:rPr>
      </w:pPr>
    </w:p>
    <w:p>
      <w:pPr>
        <w:ind w:left="220" w:right="319" w:firstLine="342"/>
        <w:spacing w:after="0" w:line="243" w:lineRule="auto"/>
        <w:rPr>
          <w:sz w:val="20"/>
          <w:szCs w:val="20"/>
          <w:color w:val="auto"/>
        </w:rPr>
      </w:pPr>
      <w:r>
        <w:rPr>
          <w:rFonts w:ascii="Arial" w:cs="Arial" w:eastAsia="Arial" w:hAnsi="Arial"/>
          <w:sz w:val="14"/>
          <w:szCs w:val="14"/>
          <w:color w:val="auto"/>
        </w:rPr>
        <w:t>SECTION 5.4. Appointed Officers. Officers of the Bank carrying titles set forth in this Section 5.4 may be appointed and removed with or without cause by the Chief Executive Officer or any Senior Executive Vice President or Executive Vice President. Such officers may include one or more Managing Directors; one or more Directors; one or more Senior Vice Presidents; one or more First Vice Presidents; one or more Vice Presidents; one or more Senior Associates; one or more Associates; and such other officers with such titles as may be specified upon appointment.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9019"/>
          </w:cols>
          <w:pgMar w:left="1440" w:top="240" w:right="1440" w:bottom="1440" w:gutter="0" w:footer="0" w:header="0"/>
        </w:sectPr>
      </w:pPr>
    </w:p>
    <w:bookmarkStart w:id="78" w:name="page79"/>
    <w:bookmarkEnd w:id="78"/>
    <w:p>
      <w:pPr>
        <w:ind w:left="5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SECTION 5.5. Bonds. The Board may require any or all officers or employees to give bonds from time-to-time.</w:t>
      </w:r>
    </w:p>
    <w:p>
      <w:pPr>
        <w:spacing w:after="0" w:line="164" w:lineRule="exact"/>
        <w:rPr>
          <w:sz w:val="20"/>
          <w:szCs w:val="20"/>
          <w:color w:val="auto"/>
        </w:rPr>
      </w:pPr>
    </w:p>
    <w:p>
      <w:pPr>
        <w:ind w:left="220" w:right="239" w:firstLine="342"/>
        <w:spacing w:after="0" w:line="251" w:lineRule="auto"/>
        <w:rPr>
          <w:sz w:val="20"/>
          <w:szCs w:val="20"/>
          <w:color w:val="auto"/>
        </w:rPr>
      </w:pPr>
      <w:r>
        <w:rPr>
          <w:rFonts w:ascii="Arial" w:cs="Arial" w:eastAsia="Arial" w:hAnsi="Arial"/>
          <w:sz w:val="14"/>
          <w:szCs w:val="14"/>
          <w:color w:val="auto"/>
        </w:rPr>
        <w:t>SECTION 5.6. General Supervisory Powers. The Chief Executive Officer or, in his or her absence, another principal executive officer, shall have general supervision of the policies and operations of the Bank which shall in every case be subject to the oversight of the Board.</w:t>
      </w:r>
    </w:p>
    <w:p>
      <w:pPr>
        <w:spacing w:after="0" w:line="134" w:lineRule="exact"/>
        <w:rPr>
          <w:sz w:val="20"/>
          <w:szCs w:val="20"/>
          <w:color w:val="auto"/>
        </w:rPr>
      </w:pPr>
    </w:p>
    <w:p>
      <w:pPr>
        <w:ind w:left="220" w:right="239" w:firstLine="342"/>
        <w:spacing w:after="0" w:line="246" w:lineRule="auto"/>
        <w:rPr>
          <w:sz w:val="20"/>
          <w:szCs w:val="20"/>
          <w:color w:val="auto"/>
        </w:rPr>
      </w:pPr>
      <w:r>
        <w:rPr>
          <w:rFonts w:ascii="Arial" w:cs="Arial" w:eastAsia="Arial" w:hAnsi="Arial"/>
          <w:sz w:val="14"/>
          <w:szCs w:val="14"/>
          <w:color w:val="auto"/>
        </w:rPr>
        <w:t>SECTION 5.7. Executive Officers. The principal executive officers and the senior executive officers shall participate in the supervision of the policies and operations of the Bank as directed by the Chief Executive Officer, or, in his or her absence another principal executive officer or a senior executive officer designated by the Chief Executive Officer or the Board, shall direct the general supervision of such policies and operations.</w:t>
      </w:r>
    </w:p>
    <w:p>
      <w:pPr>
        <w:spacing w:after="0" w:line="137" w:lineRule="exact"/>
        <w:rPr>
          <w:sz w:val="20"/>
          <w:szCs w:val="20"/>
          <w:color w:val="auto"/>
        </w:rPr>
      </w:pPr>
    </w:p>
    <w:p>
      <w:pPr>
        <w:ind w:left="220" w:right="439" w:firstLine="342"/>
        <w:spacing w:after="0" w:line="243" w:lineRule="auto"/>
        <w:rPr>
          <w:sz w:val="20"/>
          <w:szCs w:val="20"/>
          <w:color w:val="auto"/>
        </w:rPr>
      </w:pPr>
      <w:r>
        <w:rPr>
          <w:rFonts w:ascii="Arial" w:cs="Arial" w:eastAsia="Arial" w:hAnsi="Arial"/>
          <w:sz w:val="14"/>
          <w:szCs w:val="14"/>
          <w:color w:val="auto"/>
        </w:rPr>
        <w:t>SECTION 5.8. Senior Vice Presidents, Managing Directors, Directors, First Vice Presidents and Vice Presidents. Senior Vice Presidents, Managing Directors, Directors, First Vice Presidents and Vice Presidents shall participate in the supervision of operations of the Bank as directed by the Chief Executive Officer, or, in his or her absence another principal executive officer or a senior executive officer designated by the Chief Executive Officer or the Board. They shall perform such other duties as shall be assigned to them by the Board, the Chief Executive Officer or a principal or senior executive officer.</w:t>
      </w:r>
    </w:p>
    <w:p>
      <w:pPr>
        <w:spacing w:after="0" w:line="139" w:lineRule="exact"/>
        <w:rPr>
          <w:sz w:val="20"/>
          <w:szCs w:val="20"/>
          <w:color w:val="auto"/>
        </w:rPr>
      </w:pPr>
    </w:p>
    <w:p>
      <w:pPr>
        <w:ind w:left="220" w:right="259" w:firstLine="342"/>
        <w:spacing w:after="0" w:line="241" w:lineRule="auto"/>
        <w:rPr>
          <w:sz w:val="20"/>
          <w:szCs w:val="20"/>
          <w:color w:val="auto"/>
        </w:rPr>
      </w:pPr>
      <w:r>
        <w:rPr>
          <w:rFonts w:ascii="Arial" w:cs="Arial" w:eastAsia="Arial" w:hAnsi="Arial"/>
          <w:sz w:val="14"/>
          <w:szCs w:val="14"/>
          <w:color w:val="auto"/>
        </w:rPr>
        <w:t>SECTION 5.9. Secretary. The Secretary shall keep the minutes of all meetings of the Board; shall attend to the giving of such notices of meetings as may be required by these By-laws; and shall perform all the duties assigned to him or her by the Board or the Chief Executive Officer and in general those duties incident to the office of Secretary. He or she shall have custody of the corporate seal and shall have authority to affix the same to any documents requiring such seal and to attest the same. The Board or the Chief Executive Officer, or his or her designee, may appoint one or more Assistant Secretaries who shall assist the Secretary in the performance of his or her duties. In the absence of the Secretary, an Assistant Secretary shall act in his or her stead.</w:t>
      </w:r>
    </w:p>
    <w:p>
      <w:pPr>
        <w:spacing w:after="0" w:line="141" w:lineRule="exact"/>
        <w:rPr>
          <w:sz w:val="20"/>
          <w:szCs w:val="20"/>
          <w:color w:val="auto"/>
        </w:rPr>
      </w:pPr>
    </w:p>
    <w:p>
      <w:pPr>
        <w:ind w:left="220" w:right="279" w:firstLine="342"/>
        <w:spacing w:after="0" w:line="251" w:lineRule="auto"/>
        <w:rPr>
          <w:sz w:val="20"/>
          <w:szCs w:val="20"/>
          <w:color w:val="auto"/>
        </w:rPr>
      </w:pPr>
      <w:r>
        <w:rPr>
          <w:rFonts w:ascii="Arial" w:cs="Arial" w:eastAsia="Arial" w:hAnsi="Arial"/>
          <w:sz w:val="14"/>
          <w:szCs w:val="14"/>
          <w:color w:val="auto"/>
        </w:rPr>
        <w:t>SECTION 5.10. Treasurer. The Treasurer shall have the care and custody of all moneys, funds and other property of the Bank which may come into his or her hands and shall perform such other duties as may be assigned to him or her from time-to-time by the Board or the Chief Executive Officer.</w:t>
      </w:r>
    </w:p>
    <w:p>
      <w:pPr>
        <w:spacing w:after="0" w:line="134" w:lineRule="exact"/>
        <w:rPr>
          <w:sz w:val="20"/>
          <w:szCs w:val="20"/>
          <w:color w:val="auto"/>
        </w:rPr>
      </w:pPr>
    </w:p>
    <w:p>
      <w:pPr>
        <w:ind w:left="220" w:right="359" w:firstLine="342"/>
        <w:spacing w:after="0" w:line="266" w:lineRule="auto"/>
        <w:rPr>
          <w:sz w:val="20"/>
          <w:szCs w:val="20"/>
          <w:color w:val="auto"/>
        </w:rPr>
      </w:pPr>
      <w:r>
        <w:rPr>
          <w:rFonts w:ascii="Arial" w:cs="Arial" w:eastAsia="Arial" w:hAnsi="Arial"/>
          <w:sz w:val="13"/>
          <w:szCs w:val="13"/>
          <w:color w:val="auto"/>
        </w:rPr>
        <w:t>SECTION 5.11. Comptroller. The Comptroller shall exercise general supervision over, and be responsible for, all matters pertaining to the accounting and bookkeeping of the Bank. He or she shall keep the permanent records of property and indebtedness and of all transactions bearing on the financial affairs of the Bank. The Comptroller shall perform such additional duties as shall be assigned to him or her by the Board or the Chief Executive Officer. He or she shall at any time on the request of any three directors report to the Board such matters concerning the affairs of the Bank as, in his, her or their judgment, should be brought to the attention of the directors.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9019"/>
          </w:cols>
          <w:pgMar w:left="1440" w:top="240" w:right="1440" w:bottom="1440" w:gutter="0" w:footer="0" w:header="0"/>
        </w:sectPr>
      </w:pPr>
    </w:p>
    <w:bookmarkStart w:id="79" w:name="page80"/>
    <w:bookmarkEnd w:id="79"/>
    <w:p>
      <w:pPr>
        <w:ind w:left="220" w:right="259" w:firstLine="342"/>
        <w:spacing w:after="0" w:line="24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SECTION 5.12. Chief Auditor. The Chief Auditor shall report to the Board, which may be through a committee of the Board. He or she shall be responsible for the planning and direction of the internal auditing function and the evaluation of the internal control safeguards of the Bank. He or she shall perform such additional duties as shall be assigned by the Board, any committee of the Board or the Chief Executive Officer.</w:t>
      </w:r>
    </w:p>
    <w:p>
      <w:pPr>
        <w:spacing w:after="0" w:line="137" w:lineRule="exact"/>
        <w:rPr>
          <w:sz w:val="20"/>
          <w:szCs w:val="20"/>
          <w:color w:val="auto"/>
        </w:rPr>
      </w:pPr>
    </w:p>
    <w:p>
      <w:pPr>
        <w:ind w:left="220" w:right="519" w:firstLine="342"/>
        <w:spacing w:after="0" w:line="269" w:lineRule="auto"/>
        <w:rPr>
          <w:sz w:val="20"/>
          <w:szCs w:val="20"/>
          <w:color w:val="auto"/>
        </w:rPr>
      </w:pPr>
      <w:r>
        <w:rPr>
          <w:rFonts w:ascii="Arial" w:cs="Arial" w:eastAsia="Arial" w:hAnsi="Arial"/>
          <w:sz w:val="14"/>
          <w:szCs w:val="14"/>
          <w:color w:val="auto"/>
        </w:rPr>
        <w:t>SECTION 5.13. Other Officers. All officers whose duties are not described by these By-laws shall perform such duties as may be designated by the Chief Executive Officer or any officer authorized by the Chief Executive Officer to do so.</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VI</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SIGNING AUTHORITIES</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SECTION 6.1. [Reserved]</w:t>
      </w:r>
    </w:p>
    <w:p>
      <w:pPr>
        <w:spacing w:after="0" w:line="164" w:lineRule="exact"/>
        <w:rPr>
          <w:sz w:val="20"/>
          <w:szCs w:val="20"/>
          <w:color w:val="auto"/>
        </w:rPr>
      </w:pPr>
    </w:p>
    <w:p>
      <w:pPr>
        <w:ind w:left="220" w:right="279" w:firstLine="342"/>
        <w:spacing w:after="0" w:line="238" w:lineRule="auto"/>
        <w:rPr>
          <w:sz w:val="20"/>
          <w:szCs w:val="20"/>
          <w:color w:val="auto"/>
        </w:rPr>
      </w:pPr>
      <w:r>
        <w:rPr>
          <w:rFonts w:ascii="Arial" w:cs="Arial" w:eastAsia="Arial" w:hAnsi="Arial"/>
          <w:sz w:val="14"/>
          <w:szCs w:val="14"/>
          <w:color w:val="auto"/>
        </w:rPr>
        <w:t>SECTION 6.2. Senior Signing Powers. The Chief Executive Officer, the President, any Vice Chairman, any Senior Executive Vice President, any Executive Vice President or any other senior officer appointed by the Board pursuant to Section 5.3 (any such officer, an “Authorized Senior Signer”) is authorized to accept, endorse, execute or sign any document, instrument or paper in the name of, or on behalf of, the Bank in all transactions arising out of, or in connection with, the normal course of the Bank’s business or in any fiduciary, representative or agency capacity and, when required, to affix the seal of the Bank thereto. In such instances as in the judgment of any Authorized Senior Signer may be proper and desirable, any one of said officers may authorize in writing, including email and other forms of electronic communication or approval, from time-to-time any other officer to have the powers set forth in this Section 6.2 applicable only to the performance or discharge of the duties of such officer within his or her particular division or function. Any officer of the Bank authorized in or pursuant to Section 6.3 to have any of the powers set forth therein, other than the officer signing pursuant to this Section 6.2, is authorized to attest to the seal of the Bank on any documents requiring such seal.</w:t>
      </w:r>
    </w:p>
    <w:p>
      <w:pPr>
        <w:spacing w:after="0" w:line="144" w:lineRule="exact"/>
        <w:rPr>
          <w:sz w:val="20"/>
          <w:szCs w:val="20"/>
          <w:color w:val="auto"/>
        </w:rPr>
      </w:pPr>
    </w:p>
    <w:p>
      <w:pPr>
        <w:ind w:left="220" w:right="239" w:firstLine="342"/>
        <w:spacing w:after="0"/>
        <w:rPr>
          <w:sz w:val="20"/>
          <w:szCs w:val="20"/>
          <w:color w:val="auto"/>
        </w:rPr>
      </w:pPr>
      <w:r>
        <w:rPr>
          <w:rFonts w:ascii="Arial" w:cs="Arial" w:eastAsia="Arial" w:hAnsi="Arial"/>
          <w:sz w:val="14"/>
          <w:szCs w:val="14"/>
          <w:color w:val="auto"/>
        </w:rPr>
        <w:t>SECTION 6.3. Limited Signing Powers. In such instances as may be proper and desirable in the judgment of any Authorized Senior Signer or any delegate authorized in writing by any such Authorized Senior Signer, any such Authorized Senior Signer or delegate (to the extent relating to the performance or discharge of the duties of such delegate within his or her particular division or function) may authorize in writing, including email and other forms of electronic communication or approval, from time to time any other officer, employee or individual to have the limited signing powers or limited power to affix the seal of the Bank to specified classes of documents set forth in a resolution of the Board applicable only to the performance or discharge of the duties of such officer, employee or individual within his or her division or function.</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9019"/>
          </w:cols>
          <w:pgMar w:left="1440" w:top="240" w:right="1440" w:bottom="1440" w:gutter="0" w:footer="0" w:header="0"/>
        </w:sectPr>
      </w:pPr>
    </w:p>
    <w:bookmarkStart w:id="80" w:name="page81"/>
    <w:bookmarkEnd w:id="80"/>
    <w:p>
      <w:pPr>
        <w:jc w:val="both"/>
        <w:ind w:left="220" w:right="339" w:firstLine="342"/>
        <w:spacing w:after="0" w:line="27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SECTION 6.4. Rescission of Signing Powers. Any signing authority authorized by an Authorized Senior Signer or delegate may be rescinded at any time by any one of said persons, and any signing power authorized in or pursuant to Section 6.3 shall terminate without necessity of further action when the officer or employee having such power leaves the employ of the Bank, but any document, instrument or certificate executed by an officer or employee having signing authority prior to such termination shall be valid and binding on the Bank.</w:t>
      </w:r>
    </w:p>
    <w:p>
      <w:pPr>
        <w:spacing w:after="0" w:line="122" w:lineRule="exact"/>
        <w:rPr>
          <w:sz w:val="20"/>
          <w:szCs w:val="20"/>
          <w:color w:val="auto"/>
        </w:rPr>
      </w:pPr>
    </w:p>
    <w:p>
      <w:pPr>
        <w:ind w:left="220" w:right="339" w:firstLine="342"/>
        <w:spacing w:after="0"/>
        <w:rPr>
          <w:sz w:val="20"/>
          <w:szCs w:val="20"/>
          <w:color w:val="auto"/>
        </w:rPr>
      </w:pPr>
      <w:r>
        <w:rPr>
          <w:rFonts w:ascii="Arial" w:cs="Arial" w:eastAsia="Arial" w:hAnsi="Arial"/>
          <w:sz w:val="14"/>
          <w:szCs w:val="14"/>
          <w:color w:val="auto"/>
        </w:rPr>
        <w:t>SECTION 6.5. Powers of Attorney. All powers of attorney on behalf of the Bank shall be executed by any officer of the Bank jointly with the Chief Executive Officer, the President, any Vice Chairman, any Senior Executive Vice President, any Executive Vice President, any Senior Vice President, any Managing Director, or any Director provided that the execution by such Senior Vice President, Managing Director or Director of said Power of Attorney shall be applicable only to the performance or discharge of the duties of such officer within his or her particular division or function. Any such power of attorney may, however, be executed by any officer or officers or person or persons who may be specifically authorized to execute the same by the Board and, at foreign branches only, by any two officers provided one of such officers is the Branch Manager.</w:t>
      </w:r>
    </w:p>
    <w:p>
      <w:pPr>
        <w:spacing w:after="0" w:line="142" w:lineRule="exact"/>
        <w:rPr>
          <w:sz w:val="20"/>
          <w:szCs w:val="20"/>
          <w:color w:val="auto"/>
        </w:rPr>
      </w:pPr>
    </w:p>
    <w:p>
      <w:pPr>
        <w:jc w:val="both"/>
        <w:ind w:left="220" w:right="359" w:firstLine="342"/>
        <w:spacing w:after="0" w:line="251" w:lineRule="auto"/>
        <w:rPr>
          <w:sz w:val="20"/>
          <w:szCs w:val="20"/>
          <w:color w:val="auto"/>
        </w:rPr>
      </w:pPr>
      <w:r>
        <w:rPr>
          <w:rFonts w:ascii="Arial" w:cs="Arial" w:eastAsia="Arial" w:hAnsi="Arial"/>
          <w:sz w:val="14"/>
          <w:szCs w:val="14"/>
          <w:color w:val="auto"/>
        </w:rPr>
        <w:t>SECTION 6.6. Chief Auditor. The Chief Auditor or any officer designated by the Chief Auditor is authorized to certify in the name of, or on behalf of the Bank, in its own right or in a fiduciary or representative capacity, as to the accuracy and completeness of any account, schedule of assets, or other document, instrument or paper requiring such certification.</w:t>
      </w:r>
    </w:p>
    <w:p>
      <w:pPr>
        <w:spacing w:after="0" w:line="134" w:lineRule="exact"/>
        <w:rPr>
          <w:sz w:val="20"/>
          <w:szCs w:val="20"/>
          <w:color w:val="auto"/>
        </w:rPr>
      </w:pPr>
    </w:p>
    <w:p>
      <w:pPr>
        <w:ind w:left="220" w:right="419" w:firstLine="342"/>
        <w:spacing w:after="0" w:line="269" w:lineRule="auto"/>
        <w:rPr>
          <w:sz w:val="20"/>
          <w:szCs w:val="20"/>
          <w:color w:val="auto"/>
        </w:rPr>
      </w:pPr>
      <w:r>
        <w:rPr>
          <w:rFonts w:ascii="Arial" w:cs="Arial" w:eastAsia="Arial" w:hAnsi="Arial"/>
          <w:sz w:val="14"/>
          <w:szCs w:val="14"/>
          <w:color w:val="auto"/>
        </w:rPr>
        <w:t>SECTION 6.7. Signatures. The signature authorized by or pursuant to these By-laws of any signatory authorized by these By-laws on any document may be manual, facsimile or electronic, to the extent permitted by law.</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ARTICLE VII</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INDEMNIFICATION</w:t>
      </w:r>
    </w:p>
    <w:p>
      <w:pPr>
        <w:spacing w:after="0" w:line="150" w:lineRule="exact"/>
        <w:rPr>
          <w:sz w:val="20"/>
          <w:szCs w:val="20"/>
          <w:color w:val="auto"/>
        </w:rPr>
      </w:pPr>
    </w:p>
    <w:p>
      <w:pPr>
        <w:ind w:left="220" w:right="339" w:firstLine="342"/>
        <w:spacing w:after="0" w:line="246" w:lineRule="auto"/>
        <w:rPr>
          <w:sz w:val="20"/>
          <w:szCs w:val="20"/>
          <w:color w:val="auto"/>
        </w:rPr>
      </w:pPr>
      <w:r>
        <w:rPr>
          <w:rFonts w:ascii="Arial" w:cs="Arial" w:eastAsia="Arial" w:hAnsi="Arial"/>
          <w:sz w:val="14"/>
          <w:szCs w:val="14"/>
          <w:color w:val="auto"/>
        </w:rPr>
        <w:t>SECTION 7.1. Indemnification. Any person made, or threatened to be made, a party to any action or proceeding, whether civil or criminal, by reason of the fact that he, she, or his or her testator or intestate, is or was a director or officer of the Bank or serves or served any other corporation in any capacity, at the request of the Bank, shall be indemnified by the Bank and the Bank may advance his or her related expenses, to the full extent permitted by law. Persons who are not directors or officers of the Bank</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9019"/>
          </w:cols>
          <w:pgMar w:left="1440" w:top="240" w:right="1440" w:bottom="1440" w:gutter="0" w:footer="0" w:header="0"/>
        </w:sectPr>
      </w:pPr>
    </w:p>
    <w:bookmarkStart w:id="81" w:name="page82"/>
    <w:bookmarkEnd w:id="81"/>
    <w:p>
      <w:pPr>
        <w:ind w:left="220" w:right="299"/>
        <w:spacing w:after="0" w:line="24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may be similarly indemnified in respect of service to the Bank or to another such entity at the request of the Bank to the extent the Board at any time denominates any of such persons as entitled to indemnification and/ or advancement of expenses. For purposes of this Article VII, the Bank may consider the term “Bank” to include any corporation which has been merged or consolidated into the Bank or of which the Bank has acquired all or substantially all the assets in a transaction requiring authorization by the shareholders of the corporation whose assets were acquired.</w:t>
      </w:r>
    </w:p>
    <w:p>
      <w:pPr>
        <w:spacing w:after="0" w:line="139" w:lineRule="exact"/>
        <w:rPr>
          <w:sz w:val="20"/>
          <w:szCs w:val="20"/>
          <w:color w:val="auto"/>
        </w:rPr>
      </w:pPr>
    </w:p>
    <w:p>
      <w:pPr>
        <w:ind w:left="220" w:right="319" w:firstLine="342"/>
        <w:spacing w:after="0" w:line="246" w:lineRule="auto"/>
        <w:rPr>
          <w:sz w:val="20"/>
          <w:szCs w:val="20"/>
          <w:color w:val="auto"/>
        </w:rPr>
      </w:pPr>
      <w:r>
        <w:rPr>
          <w:rFonts w:ascii="Arial" w:cs="Arial" w:eastAsia="Arial" w:hAnsi="Arial"/>
          <w:sz w:val="14"/>
          <w:szCs w:val="14"/>
          <w:color w:val="auto"/>
        </w:rPr>
        <w:t>SECTION 7.2. Other Indemnification. The foregoing provisions of this Article VII shall apply in respect of all alleged or actual causes of action accrued before, on or after September 1, 1964, except that, as to any such cause of action which accrued before such date, the Bank may provide, and any person concerned shall be entitled to, indemnification under and pursuant to any statutory provision or principle of common law in effect prior to such date, all to the extent permitted by law.</w:t>
      </w:r>
    </w:p>
    <w:p>
      <w:pPr>
        <w:spacing w:after="0" w:line="137" w:lineRule="exact"/>
        <w:rPr>
          <w:sz w:val="20"/>
          <w:szCs w:val="20"/>
          <w:color w:val="auto"/>
        </w:rPr>
      </w:pPr>
    </w:p>
    <w:p>
      <w:pPr>
        <w:ind w:left="220" w:right="279" w:firstLine="342"/>
        <w:spacing w:after="0" w:line="251" w:lineRule="auto"/>
        <w:rPr>
          <w:sz w:val="20"/>
          <w:szCs w:val="20"/>
          <w:color w:val="auto"/>
        </w:rPr>
      </w:pPr>
      <w:r>
        <w:rPr>
          <w:rFonts w:ascii="Arial" w:cs="Arial" w:eastAsia="Arial" w:hAnsi="Arial"/>
          <w:sz w:val="14"/>
          <w:szCs w:val="14"/>
          <w:color w:val="auto"/>
        </w:rPr>
        <w:t>SECTION 7.3. Insurance. The Bank may purchase and maintain insurance to indemnify it against payments it is permitted to make under this Article VII and to indemnify directors, officers and employees against legal or professional expenses incurred in connection with actions or proceedings to the extent permitted by law.</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VIII</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CAPITAL STOCK</w:t>
      </w:r>
    </w:p>
    <w:p>
      <w:pPr>
        <w:spacing w:after="0" w:line="150" w:lineRule="exact"/>
        <w:rPr>
          <w:sz w:val="20"/>
          <w:szCs w:val="20"/>
          <w:color w:val="auto"/>
        </w:rPr>
      </w:pPr>
    </w:p>
    <w:p>
      <w:pPr>
        <w:ind w:left="220" w:right="239" w:firstLine="342"/>
        <w:spacing w:after="0" w:line="246" w:lineRule="auto"/>
        <w:rPr>
          <w:sz w:val="20"/>
          <w:szCs w:val="20"/>
          <w:color w:val="auto"/>
        </w:rPr>
      </w:pPr>
      <w:r>
        <w:rPr>
          <w:rFonts w:ascii="Arial" w:cs="Arial" w:eastAsia="Arial" w:hAnsi="Arial"/>
          <w:sz w:val="14"/>
          <w:szCs w:val="14"/>
          <w:color w:val="auto"/>
        </w:rPr>
        <w:t>SECTION 8.1. Certificates of Stock. Certificates of stock shall be signed by the President or a Vice President and the Secretary or an Assistant Secretary and may bear the seal of the Bank. The signatures and the seal may be facsimile to the extent permitted by law. In case any officer who has signed or whose facsimile signature has been placed upon a certificate shall have ceased to be such officer before such certificate is issued, it may be issued by the Bank with the same effect as if he or she were such officer at the date of issue.</w:t>
      </w:r>
    </w:p>
    <w:p>
      <w:pPr>
        <w:spacing w:after="0" w:line="137" w:lineRule="exact"/>
        <w:rPr>
          <w:sz w:val="20"/>
          <w:szCs w:val="20"/>
          <w:color w:val="auto"/>
        </w:rPr>
      </w:pPr>
    </w:p>
    <w:p>
      <w:pPr>
        <w:ind w:left="220" w:right="279" w:firstLine="342"/>
        <w:spacing w:after="0" w:line="243" w:lineRule="auto"/>
        <w:rPr>
          <w:sz w:val="20"/>
          <w:szCs w:val="20"/>
          <w:color w:val="auto"/>
        </w:rPr>
      </w:pPr>
      <w:r>
        <w:rPr>
          <w:rFonts w:ascii="Arial" w:cs="Arial" w:eastAsia="Arial" w:hAnsi="Arial"/>
          <w:sz w:val="14"/>
          <w:szCs w:val="14"/>
          <w:color w:val="auto"/>
        </w:rPr>
        <w:t>SECTION 8.2. Transfer of Certificates. Separate books of transfer shall be kept in which transfers of shares of stock shall be entered by the person entitled to make such transfer or his or her attorney-in-fact, upon surrender of the certificate for the shares to be transferred properly endorsed by the stockholder, or by his or her assignee, agent or legal representative, who shall furnish proper evidence of assignment, authority or legal succession, or by the agent of one of the foregoing thereunto duly authorized by an instrument duly executed and filed with the Bank in accordance with regular commercial practice.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9019"/>
          </w:cols>
          <w:pgMar w:left="1440" w:top="240" w:right="1440" w:bottom="1440" w:gutter="0" w:footer="0" w:header="0"/>
        </w:sectPr>
      </w:pPr>
    </w:p>
    <w:bookmarkStart w:id="82" w:name="page83"/>
    <w:bookmarkEnd w:id="82"/>
    <w:p>
      <w:pPr>
        <w:ind w:left="220" w:right="279" w:firstLine="342"/>
        <w:spacing w:after="0" w:line="24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SECTION 8.3. New Certificates. No new certificate shall be issued until the former certificate is cancelled except in the circumstances provided in this Section 8.3. The holder of any shares of the Bank shall immediately notify it of any loss, theft or destruction of any stock certificate representing such shares. New certificates for shares of stock may be issued to replace such certificates upon satisfactory proof of the loss, theft or destruction and upon such other terms and conditions as the Board, the Chief Executive Officer or any person designated by either of them may from time to time determine.</w:t>
      </w:r>
    </w:p>
    <w:p>
      <w:pPr>
        <w:spacing w:after="0" w:line="139" w:lineRule="exact"/>
        <w:rPr>
          <w:sz w:val="20"/>
          <w:szCs w:val="20"/>
          <w:color w:val="auto"/>
        </w:rPr>
      </w:pPr>
    </w:p>
    <w:p>
      <w:pPr>
        <w:ind w:left="220" w:right="239" w:firstLine="342"/>
        <w:spacing w:after="0" w:line="246" w:lineRule="auto"/>
        <w:rPr>
          <w:sz w:val="20"/>
          <w:szCs w:val="20"/>
          <w:color w:val="auto"/>
        </w:rPr>
      </w:pPr>
      <w:r>
        <w:rPr>
          <w:rFonts w:ascii="Arial" w:cs="Arial" w:eastAsia="Arial" w:hAnsi="Arial"/>
          <w:sz w:val="14"/>
          <w:szCs w:val="14"/>
          <w:color w:val="auto"/>
        </w:rPr>
        <w:t>SECTION 8.4. Holders of Record. The Bank shall be entitled to treat any person in whose name shares of stock of the Bank stand on its books as the holder and owner in fact thereof for all purposes, and it shall not be bound to recognize any equitable or other claims to or interest in such shares on the part of any other person, whether or not it shall have express or other notice thereof, except as otherwise expressly provided by law.</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IX</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CORPORATE SEAL</w:t>
      </w:r>
    </w:p>
    <w:p>
      <w:pPr>
        <w:spacing w:after="0" w:line="150" w:lineRule="exact"/>
        <w:rPr>
          <w:sz w:val="20"/>
          <w:szCs w:val="20"/>
          <w:color w:val="auto"/>
        </w:rPr>
      </w:pPr>
    </w:p>
    <w:p>
      <w:pPr>
        <w:ind w:left="220" w:right="319" w:firstLine="342"/>
        <w:spacing w:after="0" w:line="269" w:lineRule="auto"/>
        <w:rPr>
          <w:sz w:val="20"/>
          <w:szCs w:val="20"/>
          <w:color w:val="auto"/>
        </w:rPr>
      </w:pPr>
      <w:r>
        <w:rPr>
          <w:rFonts w:ascii="Arial" w:cs="Arial" w:eastAsia="Arial" w:hAnsi="Arial"/>
          <w:sz w:val="14"/>
          <w:szCs w:val="14"/>
          <w:color w:val="auto"/>
        </w:rPr>
        <w:t>SECTION 9.1. The Seal. The Board shall provide a corporate seal for the Bank which may be affixed to any document, certificate or paper and attested by such individuals as provided by these By-laws or as the Board may from time-to- time determine.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X</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BY-LAWS</w:t>
      </w:r>
    </w:p>
    <w:p>
      <w:pPr>
        <w:spacing w:after="0" w:line="150" w:lineRule="exact"/>
        <w:rPr>
          <w:sz w:val="20"/>
          <w:szCs w:val="20"/>
          <w:color w:val="auto"/>
        </w:rPr>
      </w:pPr>
    </w:p>
    <w:p>
      <w:pPr>
        <w:ind w:left="220" w:right="259" w:firstLine="342"/>
        <w:spacing w:after="0" w:line="241" w:lineRule="auto"/>
        <w:rPr>
          <w:sz w:val="20"/>
          <w:szCs w:val="20"/>
          <w:color w:val="auto"/>
        </w:rPr>
      </w:pPr>
      <w:r>
        <w:rPr>
          <w:rFonts w:ascii="Arial" w:cs="Arial" w:eastAsia="Arial" w:hAnsi="Arial"/>
          <w:sz w:val="14"/>
          <w:szCs w:val="14"/>
          <w:color w:val="auto"/>
        </w:rPr>
        <w:t>SECTION 10.1. Amendments. By-laws of the Bank may be adopted, amended or repealed by vote of the stockholders entitled to vote in any election of directors. Bylaws may also be adopted, amended or repealed by a majority of all the directors then in office. Any By-law adopted by the Board may be amended or repealed by the stockholders entitled to vote thereon as hereinabove provided. If any By-law regulating an impending election of directors is adopted, amended or repealed by the Board, there shall be set forth in the notice of the next meeting of stockholders for the election of directors the By-law so adopted, amended or repealed, together with a concise statement of the changes made.</w:t>
      </w:r>
    </w:p>
    <w:p>
      <w:pPr>
        <w:spacing w:after="0" w:line="141" w:lineRule="exact"/>
        <w:rPr>
          <w:sz w:val="20"/>
          <w:szCs w:val="20"/>
          <w:color w:val="auto"/>
        </w:rPr>
      </w:pPr>
    </w:p>
    <w:p>
      <w:pPr>
        <w:ind w:left="220" w:right="339" w:firstLine="342"/>
        <w:spacing w:after="0" w:line="269" w:lineRule="auto"/>
        <w:rPr>
          <w:sz w:val="20"/>
          <w:szCs w:val="20"/>
          <w:color w:val="auto"/>
        </w:rPr>
      </w:pPr>
      <w:r>
        <w:rPr>
          <w:rFonts w:ascii="Arial" w:cs="Arial" w:eastAsia="Arial" w:hAnsi="Arial"/>
          <w:sz w:val="14"/>
          <w:szCs w:val="14"/>
          <w:color w:val="auto"/>
        </w:rPr>
        <w:t>SECTION 10.2. Inspection. A copy of these By-laws, with all amendments thereto, shall at all times be kept in a convenient place at the principal office of the Bank and shall be open for inspection to all stockholders during regular business hours.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9019"/>
          </w:cols>
          <w:pgMar w:left="1440" w:top="240" w:right="1440" w:bottom="1440" w:gutter="0" w:footer="0" w:header="0"/>
        </w:sectPr>
      </w:pPr>
    </w:p>
    <w:bookmarkStart w:id="83" w:name="page84"/>
    <w:bookmarkEnd w:id="83"/>
    <w:p>
      <w:pPr>
        <w:jc w:val="right"/>
        <w:ind w:right="23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EXHIBIT 6</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OF THE TRUSTEE</w:t>
      </w:r>
    </w:p>
    <w:p>
      <w:pPr>
        <w:spacing w:after="0" w:line="176" w:lineRule="exact"/>
        <w:rPr>
          <w:sz w:val="20"/>
          <w:szCs w:val="20"/>
          <w:color w:val="auto"/>
        </w:rPr>
      </w:pPr>
    </w:p>
    <w:p>
      <w:pPr>
        <w:ind w:left="220" w:right="299"/>
        <w:spacing w:after="0" w:line="266" w:lineRule="auto"/>
        <w:rPr>
          <w:sz w:val="20"/>
          <w:szCs w:val="20"/>
          <w:color w:val="auto"/>
        </w:rPr>
      </w:pPr>
      <w:r>
        <w:rPr>
          <w:rFonts w:ascii="Times New Roman" w:cs="Times New Roman" w:eastAsia="Times New Roman" w:hAnsi="Times New Roman"/>
          <w:sz w:val="14"/>
          <w:szCs w:val="14"/>
          <w:color w:val="auto"/>
        </w:rPr>
        <w:t>Pursuant to the requirements of Section 321(b) of the Trust Indenture Act of 1939, The Bank of New York Mellon hereby consents that reports of examinations by Federal, State, Territorial or District authorities may be furnished by such authorities to the Securities and Exchange Commission upon request therefor.</w:t>
      </w:r>
    </w:p>
    <w:p>
      <w:pPr>
        <w:spacing w:after="0" w:line="15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THE BANK OF NEW YORK MELLON</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Peggy Guel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3585845</wp:posOffset>
            </wp:positionH>
            <wp:positionV relativeFrom="paragraph">
              <wp:posOffset>13335</wp:posOffset>
            </wp:positionV>
            <wp:extent cx="1990725"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1990725" cy="6350"/>
                    </a:xfrm>
                    <a:prstGeom prst="rect">
                      <a:avLst/>
                    </a:prstGeom>
                    <a:noFill/>
                  </pic:spPr>
                </pic:pic>
              </a:graphicData>
            </a:graphic>
          </wp:anchor>
        </w:drawing>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Name: Peggy Guel</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Title: Agent</w:t>
      </w:r>
    </w:p>
    <w:p>
      <w:pPr>
        <w:spacing w:after="0" w:line="1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Houston, Texas</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April 27, 2026</w:t>
      </w:r>
    </w:p>
    <w:p>
      <w:pPr>
        <w:sectPr>
          <w:pgSz w:w="11900" w:h="16838" w:orient="portrait"/>
          <w:cols w:equalWidth="0" w:num="1">
            <w:col w:w="9019"/>
          </w:cols>
          <w:pgMar w:left="1440" w:top="238" w:right="1440" w:bottom="1440" w:gutter="0" w:footer="0" w:header="0"/>
        </w:sectPr>
      </w:pPr>
    </w:p>
    <w:bookmarkStart w:id="84" w:name="page85"/>
    <w:bookmarkEnd w:id="84"/>
    <w:p>
      <w:pPr>
        <w:jc w:val="right"/>
        <w:ind w:right="23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141605</wp:posOffset>
            </wp:positionV>
            <wp:extent cx="5432425"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extLst>
                        <a:ext uri="{28A0092B-C50C-407E-A947-70E740481C1C}"/>
                      </a:extLst>
                    </a:blip>
                    <a:srcRect/>
                    <a:stretch>
                      <a:fillRect/>
                    </a:stretch>
                  </pic:blipFill>
                  <pic:spPr bwMode="auto">
                    <a:xfrm>
                      <a:off x="0" y="0"/>
                      <a:ext cx="5432425" cy="6350"/>
                    </a:xfrm>
                    <a:prstGeom prst="rect">
                      <a:avLst/>
                    </a:prstGeom>
                    <a:noFill/>
                  </pic:spPr>
                </pic:pic>
              </a:graphicData>
            </a:graphic>
          </wp:anchor>
        </w:drawing>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Consolidated Report of Condition of</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BANK OF NEW YORK MELLON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of 240 Greenwich Street, New York, N.Y. 10286</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And Foreign and Domestic Subsidiaries,</w:t>
      </w:r>
    </w:p>
    <w:p>
      <w:pPr>
        <w:spacing w:after="0" w:line="160" w:lineRule="exact"/>
        <w:rPr>
          <w:sz w:val="20"/>
          <w:szCs w:val="20"/>
          <w:color w:val="auto"/>
        </w:rPr>
      </w:pPr>
    </w:p>
    <w:p>
      <w:pPr>
        <w:ind w:left="220" w:right="319"/>
        <w:spacing w:after="0" w:line="282" w:lineRule="auto"/>
        <w:rPr>
          <w:sz w:val="20"/>
          <w:szCs w:val="20"/>
          <w:color w:val="auto"/>
        </w:rPr>
      </w:pPr>
      <w:r>
        <w:rPr>
          <w:rFonts w:ascii="Times New Roman" w:cs="Times New Roman" w:eastAsia="Times New Roman" w:hAnsi="Times New Roman"/>
          <w:sz w:val="14"/>
          <w:szCs w:val="14"/>
          <w:color w:val="auto"/>
        </w:rPr>
        <w:t>a member of the Federal Reserve System, at the close of business December 31, 2025, published in accordance with a call made by the Federal Reserve Bank of this District pursuant to the provisions of the Federal Reserve Act.</w:t>
      </w:r>
    </w:p>
    <w:p>
      <w:pPr>
        <w:spacing w:after="0" w:line="141" w:lineRule="exact"/>
        <w:rPr>
          <w:sz w:val="20"/>
          <w:szCs w:val="20"/>
          <w:color w:val="auto"/>
        </w:rPr>
      </w:pPr>
    </w:p>
    <w:tbl>
      <w:tblPr>
        <w:tblLayout w:type="fixed"/>
        <w:tblInd w:w="220" w:type="dxa"/>
        <w:tblCellMar>
          <w:top w:w="0" w:type="dxa"/>
          <w:left w:w="0" w:type="dxa"/>
          <w:bottom w:w="0" w:type="dxa"/>
          <w:right w:w="0" w:type="dxa"/>
        </w:tblCellMar>
      </w:tblPr>
      <w:tr>
        <w:trPr>
          <w:trHeight w:val="135"/>
        </w:trPr>
        <w:tc>
          <w:tcPr>
            <w:tcW w:w="72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Dollar amounts in thousands</w:t>
            </w:r>
          </w:p>
        </w:tc>
      </w:tr>
      <w:tr>
        <w:trPr>
          <w:trHeight w:val="168"/>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balances due from depository institutions:</w:t>
            </w:r>
          </w:p>
        </w:tc>
        <w:tc>
          <w:tcPr>
            <w:tcW w:w="1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8"/>
        </w:trPr>
        <w:tc>
          <w:tcPr>
            <w:tcW w:w="7220" w:type="dxa"/>
            <w:vAlign w:val="bottom"/>
          </w:tcPr>
          <w:p>
            <w:pPr>
              <w:spacing w:after="0"/>
              <w:rPr>
                <w:sz w:val="20"/>
                <w:szCs w:val="20"/>
                <w:color w:val="auto"/>
              </w:rPr>
            </w:pPr>
            <w:r>
              <w:rPr>
                <w:rFonts w:ascii="Times New Roman" w:cs="Times New Roman" w:eastAsia="Times New Roman" w:hAnsi="Times New Roman"/>
                <w:sz w:val="14"/>
                <w:szCs w:val="14"/>
                <w:color w:val="auto"/>
              </w:rPr>
              <w:t>Noninterest-bearing balances and currency and coin</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4,214,000</w:t>
            </w:r>
          </w:p>
        </w:tc>
      </w:tr>
      <w:tr>
        <w:trPr>
          <w:trHeight w:val="168"/>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Interest-bearing balances</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122,567,000</w:t>
            </w:r>
          </w:p>
        </w:tc>
      </w:tr>
      <w:tr>
        <w:trPr>
          <w:trHeight w:val="168"/>
        </w:trPr>
        <w:tc>
          <w:tcPr>
            <w:tcW w:w="7220" w:type="dxa"/>
            <w:vAlign w:val="bottom"/>
          </w:tcPr>
          <w:p>
            <w:pPr>
              <w:spacing w:after="0"/>
              <w:rPr>
                <w:sz w:val="20"/>
                <w:szCs w:val="20"/>
                <w:color w:val="auto"/>
              </w:rPr>
            </w:pPr>
            <w:r>
              <w:rPr>
                <w:rFonts w:ascii="Times New Roman" w:cs="Times New Roman" w:eastAsia="Times New Roman" w:hAnsi="Times New Roman"/>
                <w:sz w:val="14"/>
                <w:szCs w:val="14"/>
                <w:color w:val="auto"/>
              </w:rPr>
              <w:t>Securities:</w:t>
            </w:r>
          </w:p>
        </w:tc>
        <w:tc>
          <w:tcPr>
            <w:tcW w:w="13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Held-to-maturity securities</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48,093,000</w:t>
            </w:r>
          </w:p>
        </w:tc>
      </w:tr>
      <w:tr>
        <w:trPr>
          <w:trHeight w:val="168"/>
        </w:trPr>
        <w:tc>
          <w:tcPr>
            <w:tcW w:w="7220" w:type="dxa"/>
            <w:vAlign w:val="bottom"/>
          </w:tcPr>
          <w:p>
            <w:pPr>
              <w:spacing w:after="0"/>
              <w:rPr>
                <w:sz w:val="20"/>
                <w:szCs w:val="20"/>
                <w:color w:val="auto"/>
              </w:rPr>
            </w:pPr>
            <w:r>
              <w:rPr>
                <w:rFonts w:ascii="Times New Roman" w:cs="Times New Roman" w:eastAsia="Times New Roman" w:hAnsi="Times New Roman"/>
                <w:sz w:val="14"/>
                <w:szCs w:val="14"/>
                <w:color w:val="auto"/>
              </w:rPr>
              <w:t>Available-for-sale debt securities</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101,873,000</w:t>
            </w:r>
          </w:p>
        </w:tc>
      </w:tr>
      <w:tr>
        <w:trPr>
          <w:trHeight w:val="168"/>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securities with readily determinable fair values not held for trading</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8"/>
        </w:trPr>
        <w:tc>
          <w:tcPr>
            <w:tcW w:w="7220" w:type="dxa"/>
            <w:vAlign w:val="bottom"/>
          </w:tcPr>
          <w:p>
            <w:pPr>
              <w:spacing w:after="0"/>
              <w:rPr>
                <w:sz w:val="20"/>
                <w:szCs w:val="20"/>
                <w:color w:val="auto"/>
              </w:rPr>
            </w:pPr>
            <w:r>
              <w:rPr>
                <w:rFonts w:ascii="Times New Roman" w:cs="Times New Roman" w:eastAsia="Times New Roman" w:hAnsi="Times New Roman"/>
                <w:sz w:val="14"/>
                <w:szCs w:val="14"/>
                <w:color w:val="auto"/>
              </w:rPr>
              <w:t>Federal funds sold and securities purchased under agreements to resell:</w:t>
            </w:r>
          </w:p>
        </w:tc>
        <w:tc>
          <w:tcPr>
            <w:tcW w:w="13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Federal funds sold in domestic offices</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8"/>
        </w:trPr>
        <w:tc>
          <w:tcPr>
            <w:tcW w:w="7220" w:type="dxa"/>
            <w:vAlign w:val="bottom"/>
          </w:tcPr>
          <w:p>
            <w:pPr>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25,462,000</w:t>
            </w:r>
          </w:p>
        </w:tc>
      </w:tr>
      <w:tr>
        <w:trPr>
          <w:trHeight w:val="168"/>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and lease financing receivables:</w:t>
            </w:r>
          </w:p>
        </w:tc>
        <w:tc>
          <w:tcPr>
            <w:tcW w:w="1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8"/>
        </w:trPr>
        <w:tc>
          <w:tcPr>
            <w:tcW w:w="7220" w:type="dxa"/>
            <w:vAlign w:val="bottom"/>
          </w:tcPr>
          <w:p>
            <w:pPr>
              <w:spacing w:after="0"/>
              <w:rPr>
                <w:sz w:val="20"/>
                <w:szCs w:val="20"/>
                <w:color w:val="auto"/>
              </w:rPr>
            </w:pPr>
            <w:r>
              <w:rPr>
                <w:rFonts w:ascii="Times New Roman" w:cs="Times New Roman" w:eastAsia="Times New Roman" w:hAnsi="Times New Roman"/>
                <w:sz w:val="14"/>
                <w:szCs w:val="14"/>
                <w:color w:val="auto"/>
              </w:rPr>
              <w:t>Loans and leases held for sale</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8"/>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and leases held for investment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40,704,000</w:t>
            </w:r>
          </w:p>
        </w:tc>
      </w:tr>
      <w:tr>
        <w:trPr>
          <w:trHeight w:val="168"/>
        </w:trPr>
        <w:tc>
          <w:tcPr>
            <w:tcW w:w="7220" w:type="dxa"/>
            <w:vAlign w:val="bottom"/>
          </w:tcPr>
          <w:p>
            <w:pPr>
              <w:spacing w:after="0"/>
              <w:rPr>
                <w:sz w:val="20"/>
                <w:szCs w:val="20"/>
                <w:color w:val="auto"/>
              </w:rPr>
            </w:pPr>
            <w:r>
              <w:rPr>
                <w:rFonts w:ascii="Times New Roman" w:cs="Times New Roman" w:eastAsia="Times New Roman" w:hAnsi="Times New Roman"/>
                <w:sz w:val="14"/>
                <w:szCs w:val="14"/>
                <w:color w:val="auto"/>
              </w:rPr>
              <w:t>LESS: Allowance for credit losses on loans and leases</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224,000</w:t>
            </w:r>
          </w:p>
        </w:tc>
      </w:tr>
      <w:tr>
        <w:trPr>
          <w:trHeight w:val="168"/>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and leases held for investment, net of allowance</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40,480,000</w:t>
            </w:r>
          </w:p>
        </w:tc>
      </w:tr>
      <w:tr>
        <w:trPr>
          <w:trHeight w:val="168"/>
        </w:trPr>
        <w:tc>
          <w:tcPr>
            <w:tcW w:w="7220" w:type="dxa"/>
            <w:vAlign w:val="bottom"/>
          </w:tcPr>
          <w:p>
            <w:pPr>
              <w:spacing w:after="0"/>
              <w:rPr>
                <w:sz w:val="20"/>
                <w:szCs w:val="20"/>
                <w:color w:val="auto"/>
              </w:rPr>
            </w:pPr>
            <w:r>
              <w:rPr>
                <w:rFonts w:ascii="Times New Roman" w:cs="Times New Roman" w:eastAsia="Times New Roman" w:hAnsi="Times New Roman"/>
                <w:sz w:val="14"/>
                <w:szCs w:val="14"/>
                <w:color w:val="auto"/>
              </w:rPr>
              <w:t>Trading assets</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6,629,000</w:t>
            </w:r>
          </w:p>
        </w:tc>
      </w:tr>
      <w:tr>
        <w:trPr>
          <w:trHeight w:val="168"/>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Premises and fixed assets (including right-of-use assets)</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3,248,000</w:t>
            </w:r>
          </w:p>
        </w:tc>
      </w:tr>
      <w:tr>
        <w:trPr>
          <w:trHeight w:val="168"/>
        </w:trPr>
        <w:tc>
          <w:tcPr>
            <w:tcW w:w="7220" w:type="dxa"/>
            <w:vAlign w:val="bottom"/>
          </w:tcPr>
          <w:p>
            <w:pPr>
              <w:spacing w:after="0"/>
              <w:rPr>
                <w:sz w:val="20"/>
                <w:szCs w:val="20"/>
                <w:color w:val="auto"/>
              </w:rPr>
            </w:pPr>
            <w:r>
              <w:rPr>
                <w:rFonts w:ascii="Times New Roman" w:cs="Times New Roman" w:eastAsia="Times New Roman" w:hAnsi="Times New Roman"/>
                <w:sz w:val="14"/>
                <w:szCs w:val="14"/>
                <w:color w:val="auto"/>
              </w:rPr>
              <w:t>Other real estate owned</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1,000</w:t>
            </w:r>
          </w:p>
        </w:tc>
      </w:tr>
      <w:tr>
        <w:trPr>
          <w:trHeight w:val="168"/>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in unconsolidated subsidiaries and associated companies</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2,552,000</w:t>
            </w:r>
          </w:p>
        </w:tc>
      </w:tr>
      <w:tr>
        <w:trPr>
          <w:trHeight w:val="168"/>
        </w:trPr>
        <w:tc>
          <w:tcPr>
            <w:tcW w:w="7220" w:type="dxa"/>
            <w:vAlign w:val="bottom"/>
          </w:tcPr>
          <w:p>
            <w:pPr>
              <w:spacing w:after="0"/>
              <w:rPr>
                <w:sz w:val="20"/>
                <w:szCs w:val="20"/>
                <w:color w:val="auto"/>
              </w:rPr>
            </w:pPr>
            <w:r>
              <w:rPr>
                <w:rFonts w:ascii="Times New Roman" w:cs="Times New Roman" w:eastAsia="Times New Roman" w:hAnsi="Times New Roman"/>
                <w:sz w:val="14"/>
                <w:szCs w:val="14"/>
                <w:color w:val="auto"/>
              </w:rPr>
              <w:t>Direct and indirect investments in real estate ventures</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8"/>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7,361,000</w:t>
            </w:r>
          </w:p>
        </w:tc>
      </w:tr>
      <w:tr>
        <w:trPr>
          <w:trHeight w:val="169"/>
        </w:trPr>
        <w:tc>
          <w:tcPr>
            <w:tcW w:w="722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18,517,000</w:t>
            </w:r>
          </w:p>
        </w:tc>
        <w:tc>
          <w:tcPr>
            <w:tcW w:w="40" w:type="dxa"/>
            <w:vAlign w:val="bottom"/>
          </w:tcPr>
          <w:p>
            <w:pPr>
              <w:spacing w:after="0"/>
              <w:rPr>
                <w:sz w:val="14"/>
                <w:szCs w:val="14"/>
                <w:color w:val="auto"/>
              </w:rPr>
            </w:pPr>
          </w:p>
        </w:tc>
      </w:tr>
      <w:tr>
        <w:trPr>
          <w:trHeight w:val="168"/>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380,997,000</w:t>
            </w:r>
          </w:p>
        </w:tc>
      </w:tr>
      <w:tr>
        <w:trPr>
          <w:trHeight w:val="20"/>
        </w:trPr>
        <w:tc>
          <w:tcPr>
            <w:tcW w:w="7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9019"/>
          </w:cols>
          <w:pgMar w:left="1440" w:top="238" w:right="1440" w:bottom="1440" w:gutter="0" w:footer="0" w:header="0"/>
        </w:sectPr>
      </w:pPr>
    </w:p>
    <w:bookmarkStart w:id="85" w:name="page86"/>
    <w:bookmarkEnd w:id="8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4">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168"/>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8"/>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Deposits:</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 domestic offices</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220,677,000</w:t>
            </w:r>
          </w:p>
        </w:tc>
      </w:tr>
      <w:tr>
        <w:trPr>
          <w:trHeight w:val="168"/>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Noninterest-bearing</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59,544,000</w:t>
            </w:r>
          </w:p>
        </w:tc>
      </w:tr>
      <w:tr>
        <w:trPr>
          <w:trHeight w:val="168"/>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Interest-bearing</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161,133,000</w:t>
            </w:r>
          </w:p>
        </w:tc>
      </w:tr>
      <w:tr>
        <w:trPr>
          <w:trHeight w:val="168"/>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In foreign offices, Edge and Agreement subsidiaries, and IBFs</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111,756,000</w:t>
            </w:r>
          </w:p>
        </w:tc>
      </w:tr>
      <w:tr>
        <w:trPr>
          <w:trHeight w:val="168"/>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Noninterest-bearing</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7,405,000</w:t>
            </w:r>
          </w:p>
        </w:tc>
      </w:tr>
      <w:tr>
        <w:trPr>
          <w:trHeight w:val="168"/>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Interest-bearing</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104,351,000</w:t>
            </w:r>
          </w:p>
        </w:tc>
      </w:tr>
      <w:tr>
        <w:trPr>
          <w:trHeight w:val="168"/>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Federal funds purchased and securities sold under agreements to repurchase:</w:t>
            </w: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8"/>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Federal funds purchased in domestic offices</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8"/>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2,657,000</w:t>
            </w:r>
          </w:p>
        </w:tc>
      </w:tr>
      <w:tr>
        <w:trPr>
          <w:trHeight w:val="168"/>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Trading liabilities</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2,771,000</w:t>
            </w:r>
          </w:p>
        </w:tc>
      </w:tr>
      <w:tr>
        <w:trPr>
          <w:trHeight w:val="168"/>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borrowed money:</w:t>
            </w: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8"/>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(includes mortgage indebtedness)</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4,940,000</w:t>
            </w:r>
          </w:p>
        </w:tc>
      </w:tr>
      <w:tr>
        <w:trPr>
          <w:trHeight w:val="168"/>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8"/>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Subordinated notes and debentures</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8"/>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77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8,374,000</w:t>
            </w:r>
          </w:p>
        </w:tc>
      </w:tr>
      <w:tr>
        <w:trPr>
          <w:trHeight w:val="169"/>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351,175,000</w:t>
            </w:r>
          </w:p>
        </w:tc>
        <w:tc>
          <w:tcPr>
            <w:tcW w:w="40" w:type="dxa"/>
            <w:vAlign w:val="bottom"/>
          </w:tcPr>
          <w:p>
            <w:pPr>
              <w:spacing w:after="0"/>
              <w:rPr>
                <w:sz w:val="14"/>
                <w:szCs w:val="14"/>
                <w:color w:val="auto"/>
              </w:rPr>
            </w:pPr>
          </w:p>
        </w:tc>
      </w:tr>
      <w:tr>
        <w:trPr>
          <w:trHeight w:val="20"/>
        </w:trPr>
        <w:tc>
          <w:tcPr>
            <w:tcW w:w="77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778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EQUITY CAPITAL</w:t>
            </w: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8"/>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Perpetual preferred stock and related surplus</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8"/>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1,135,000</w:t>
            </w:r>
          </w:p>
        </w:tc>
      </w:tr>
      <w:tr>
        <w:trPr>
          <w:trHeight w:val="183"/>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Surplus (exclude all surplus related to preferred stock)</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12,943,000</w:t>
            </w:r>
          </w:p>
        </w:tc>
      </w:tr>
    </w:tbl>
    <w:p>
      <w:pPr>
        <w:sectPr>
          <w:pgSz w:w="11900" w:h="16838" w:orient="portrait"/>
          <w:cols w:equalWidth="0" w:num="1">
            <w:col w:w="9019"/>
          </w:cols>
          <w:pgMar w:left="1440" w:top="255" w:right="1440" w:bottom="1440" w:gutter="0" w:footer="0" w:header="0"/>
        </w:sectPr>
      </w:pPr>
    </w:p>
    <w:bookmarkStart w:id="86" w:name="page87"/>
    <w:bookmarkEnd w:id="8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168"/>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17,363,000</w:t>
            </w:r>
          </w:p>
        </w:tc>
      </w:tr>
      <w:tr>
        <w:trPr>
          <w:trHeight w:val="168"/>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-1,619,000</w:t>
            </w:r>
          </w:p>
        </w:tc>
      </w:tr>
      <w:tr>
        <w:trPr>
          <w:trHeight w:val="168"/>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equity capital components</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8"/>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Total bank equity capital</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29,822,000</w:t>
            </w:r>
          </w:p>
        </w:tc>
      </w:tr>
      <w:tr>
        <w:trPr>
          <w:trHeight w:val="168"/>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Noncontrolling (minority) interests in consolidated subsidiaries</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9"/>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Total equity capital</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29,822,000</w:t>
            </w:r>
          </w:p>
        </w:tc>
        <w:tc>
          <w:tcPr>
            <w:tcW w:w="40" w:type="dxa"/>
            <w:vAlign w:val="bottom"/>
          </w:tcPr>
          <w:p>
            <w:pPr>
              <w:spacing w:after="0"/>
              <w:rPr>
                <w:sz w:val="14"/>
                <w:szCs w:val="14"/>
                <w:color w:val="auto"/>
              </w:rPr>
            </w:pPr>
          </w:p>
        </w:tc>
      </w:tr>
      <w:tr>
        <w:trPr>
          <w:trHeight w:val="168"/>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 and equity capital</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380,997,000</w:t>
            </w:r>
          </w:p>
        </w:tc>
      </w:tr>
      <w:tr>
        <w:trPr>
          <w:trHeight w:val="20"/>
        </w:trPr>
        <w:tc>
          <w:tcPr>
            <w:tcW w:w="77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4" w:lineRule="exact"/>
        <w:rPr>
          <w:sz w:val="20"/>
          <w:szCs w:val="20"/>
          <w:color w:val="auto"/>
        </w:rPr>
      </w:pPr>
    </w:p>
    <w:p>
      <w:pPr>
        <w:ind w:left="220" w:right="359" w:firstLine="342"/>
        <w:spacing w:after="0" w:line="282" w:lineRule="auto"/>
        <w:rPr>
          <w:sz w:val="20"/>
          <w:szCs w:val="20"/>
          <w:color w:val="auto"/>
        </w:rPr>
      </w:pPr>
      <w:r>
        <w:rPr>
          <w:rFonts w:ascii="Times New Roman" w:cs="Times New Roman" w:eastAsia="Times New Roman" w:hAnsi="Times New Roman"/>
          <w:sz w:val="14"/>
          <w:szCs w:val="14"/>
          <w:color w:val="auto"/>
        </w:rPr>
        <w:t>I, Dermot McDonogh, Chief Financial Officer of the above-named bank do hereby declare that this Report of Condition is true and correct to the best of my knowledge and belief.</w:t>
      </w:r>
    </w:p>
    <w:p>
      <w:pPr>
        <w:spacing w:after="0" w:line="125"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4"/>
          <w:szCs w:val="14"/>
          <w:color w:val="auto"/>
        </w:rPr>
        <w:t>Dermot McDonogh</w:t>
      </w:r>
    </w:p>
    <w:p>
      <w:pPr>
        <w:spacing w:after="0" w:line="22"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60" w:lineRule="exact"/>
        <w:rPr>
          <w:sz w:val="20"/>
          <w:szCs w:val="20"/>
          <w:color w:val="auto"/>
        </w:rPr>
      </w:pPr>
    </w:p>
    <w:p>
      <w:pPr>
        <w:ind w:left="220" w:right="439" w:firstLine="342"/>
        <w:spacing w:after="0" w:line="282" w:lineRule="auto"/>
        <w:rPr>
          <w:sz w:val="20"/>
          <w:szCs w:val="20"/>
          <w:color w:val="auto"/>
        </w:rPr>
      </w:pPr>
      <w:r>
        <w:rPr>
          <w:rFonts w:ascii="Times New Roman" w:cs="Times New Roman" w:eastAsia="Times New Roman" w:hAnsi="Times New Roman"/>
          <w:sz w:val="14"/>
          <w:szCs w:val="14"/>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pacing w:after="0" w:line="141" w:lineRule="exact"/>
        <w:rPr>
          <w:sz w:val="20"/>
          <w:szCs w:val="20"/>
          <w:color w:val="auto"/>
        </w:rPr>
      </w:pPr>
    </w:p>
    <w:tbl>
      <w:tblPr>
        <w:tblLayout w:type="fixed"/>
        <w:tblInd w:w="220" w:type="dxa"/>
        <w:tblCellMar>
          <w:top w:w="0" w:type="dxa"/>
          <w:left w:w="0" w:type="dxa"/>
          <w:bottom w:w="0" w:type="dxa"/>
          <w:right w:w="0" w:type="dxa"/>
        </w:tblCellMar>
      </w:tblPr>
      <w:tr>
        <w:trPr>
          <w:trHeight w:val="164"/>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Robin A. Vince</w:t>
            </w:r>
          </w:p>
        </w:tc>
        <w:tc>
          <w:tcPr>
            <w:tcW w:w="2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99"/>
              </w:rPr>
              <w:t> </w:t>
            </w:r>
          </w:p>
        </w:tc>
        <w:tc>
          <w:tcPr>
            <w:tcW w:w="6220" w:type="dxa"/>
            <w:vAlign w:val="bottom"/>
          </w:tcPr>
          <w:p>
            <w:pPr>
              <w:spacing w:after="0"/>
              <w:rPr>
                <w:sz w:val="14"/>
                <w:szCs w:val="14"/>
                <w:color w:val="auto"/>
              </w:rPr>
            </w:pPr>
          </w:p>
        </w:tc>
      </w:tr>
      <w:tr>
        <w:trPr>
          <w:trHeight w:val="168"/>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Jeffrey A. Goldstein</w:t>
            </w:r>
          </w:p>
        </w:tc>
        <w:tc>
          <w:tcPr>
            <w:tcW w:w="280" w:type="dxa"/>
            <w:vAlign w:val="bottom"/>
            <w:tcBorders>
              <w:right w:val="single" w:sz="8" w:color="auto"/>
            </w:tcBorders>
          </w:tcPr>
          <w:p>
            <w:pPr>
              <w:spacing w:after="0"/>
              <w:rPr>
                <w:sz w:val="14"/>
                <w:szCs w:val="14"/>
                <w:color w:val="auto"/>
              </w:rPr>
            </w:pPr>
          </w:p>
        </w:tc>
        <w:tc>
          <w:tcPr>
            <w:tcW w:w="6220" w:type="dxa"/>
            <w:vAlign w:val="bottom"/>
          </w:tcPr>
          <w:p>
            <w:pPr>
              <w:ind w:left="2880"/>
              <w:spacing w:after="0"/>
              <w:rPr>
                <w:sz w:val="20"/>
                <w:szCs w:val="20"/>
                <w:color w:val="auto"/>
              </w:rPr>
            </w:pPr>
            <w:r>
              <w:rPr>
                <w:rFonts w:ascii="Times New Roman" w:cs="Times New Roman" w:eastAsia="Times New Roman" w:hAnsi="Times New Roman"/>
                <w:sz w:val="14"/>
                <w:szCs w:val="14"/>
                <w:color w:val="auto"/>
              </w:rPr>
              <w:t>Directors</w:t>
            </w:r>
          </w:p>
        </w:tc>
      </w:tr>
      <w:tr>
        <w:trPr>
          <w:trHeight w:val="182"/>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Joseph J. Echevarria</w:t>
            </w:r>
          </w:p>
        </w:tc>
        <w:tc>
          <w:tcPr>
            <w:tcW w:w="280" w:type="dxa"/>
            <w:vAlign w:val="bottom"/>
            <w:tcBorders>
              <w:bottom w:val="single" w:sz="8" w:color="auto"/>
              <w:right w:val="single" w:sz="8" w:color="auto"/>
            </w:tcBorders>
          </w:tcPr>
          <w:p>
            <w:pPr>
              <w:spacing w:after="0"/>
              <w:rPr>
                <w:sz w:val="15"/>
                <w:szCs w:val="15"/>
                <w:color w:val="auto"/>
              </w:rPr>
            </w:pPr>
          </w:p>
        </w:tc>
        <w:tc>
          <w:tcPr>
            <w:tcW w:w="6220" w:type="dxa"/>
            <w:vAlign w:val="bottom"/>
          </w:tcPr>
          <w:p>
            <w:pPr>
              <w:spacing w:after="0"/>
              <w:rPr>
                <w:sz w:val="15"/>
                <w:szCs w:val="15"/>
                <w:color w:val="auto"/>
              </w:rPr>
            </w:pPr>
          </w:p>
        </w:tc>
      </w:tr>
      <w:tr>
        <w:trPr>
          <w:trHeight w:val="190"/>
        </w:trPr>
        <w:tc>
          <w:tcPr>
            <w:tcW w:w="20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20" w:type="dxa"/>
            <w:vAlign w:val="bottom"/>
            <w:tcBorders>
              <w:bottom w:val="single" w:sz="8" w:color="auto"/>
            </w:tcBorders>
          </w:tcPr>
          <w:p>
            <w:pPr>
              <w:spacing w:after="0"/>
              <w:rPr>
                <w:sz w:val="16"/>
                <w:szCs w:val="16"/>
                <w:color w:val="auto"/>
              </w:rPr>
            </w:pPr>
          </w:p>
        </w:tc>
      </w:tr>
    </w:tbl>
    <w:p>
      <w:pPr>
        <w:sectPr>
          <w:pgSz w:w="11900" w:h="16838" w:orient="portrait"/>
          <w:cols w:equalWidth="0" w:num="1">
            <w:col w:w="9019"/>
          </w:cols>
          <w:pgMar w:left="1440" w:top="255" w:right="1440" w:bottom="1440" w:gutter="0" w:footer="0" w:header="0"/>
        </w:sectPr>
      </w:pPr>
    </w:p>
    <w:bookmarkStart w:id="87" w:name="page88"/>
    <w:bookmarkEnd w:id="87"/>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1"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7"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SLB LIMITED/NV</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0" w:type="dxa"/>
            <w:vAlign w:val="bottom"/>
            <w:tcBorders>
              <w:bottom w:val="single" w:sz="8" w:color="auto"/>
            </w:tcBorders>
          </w:tcPr>
          <w:p>
            <w:pPr>
              <w:spacing w:after="0"/>
              <w:rPr>
                <w:sz w:val="23"/>
                <w:szCs w:val="23"/>
                <w:color w:val="auto"/>
              </w:rPr>
            </w:pPr>
          </w:p>
        </w:tc>
        <w:tc>
          <w:tcPr>
            <w:tcW w:w="4600" w:type="dxa"/>
            <w:vAlign w:val="bottom"/>
            <w:tcBorders>
              <w:bottom w:val="single" w:sz="8" w:color="auto"/>
            </w:tcBorders>
            <w:gridSpan w:val="11"/>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4"/>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Filing Fee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Proposed</w:t>
            </w: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4"/>
              </w:rPr>
              <w:t>Carry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Connection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10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10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Class 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20" w:type="dxa"/>
            <w:vAlign w:val="bottom"/>
            <w:shd w:val="clear" w:color="auto" w:fill="9ADAF6"/>
          </w:tcPr>
          <w:p>
            <w:pPr>
              <w:ind w:left="60"/>
              <w:spacing w:after="0" w:line="189" w:lineRule="exact"/>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4"/>
              </w:rPr>
              <w:t>Initial</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Carried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-1233805</wp:posOffset>
            </wp:positionV>
            <wp:extent cx="7214235" cy="46393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6">
                      <a:extLst>
                        <a:ext uri="{28A0092B-C50C-407E-A947-70E740481C1C}"/>
                      </a:extLst>
                    </a:blip>
                    <a:srcRect/>
                    <a:stretch>
                      <a:fillRect/>
                    </a:stretch>
                  </pic:blipFill>
                  <pic:spPr bwMode="auto">
                    <a:xfrm>
                      <a:off x="0" y="0"/>
                      <a:ext cx="7214235" cy="463931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30"/>
        </w:trPr>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40" w:type="dxa"/>
            <w:vAlign w:val="bottom"/>
            <w:gridSpan w:val="7"/>
          </w:tcPr>
          <w:p>
            <w:pPr>
              <w:jc w:val="right"/>
              <w:ind w:right="296"/>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Senior Debt</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Securities of</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vMerge w:val="restart"/>
            <w:shd w:val="clear" w:color="auto" w:fill="E7E7E2"/>
          </w:tcPr>
          <w:p>
            <w:pPr>
              <w:spacing w:after="0" w:line="189" w:lineRule="exact"/>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line="189"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8"/>
                <w:szCs w:val="8"/>
                <w:color w:val="auto"/>
              </w:rPr>
            </w:pPr>
          </w:p>
        </w:tc>
        <w:tc>
          <w:tcPr>
            <w:tcW w:w="1080" w:type="dxa"/>
            <w:vAlign w:val="bottom"/>
            <w:vMerge w:val="restart"/>
            <w:shd w:val="clear" w:color="auto" w:fill="E7E7E2"/>
          </w:tcPr>
          <w:p>
            <w:pPr>
              <w:ind w:left="20"/>
              <w:spacing w:after="0" w:line="189" w:lineRule="exact"/>
              <w:rPr>
                <w:sz w:val="20"/>
                <w:szCs w:val="20"/>
                <w:color w:val="auto"/>
              </w:rPr>
            </w:pPr>
            <w:r>
              <w:rPr>
                <w:rFonts w:ascii="Arial" w:cs="Arial" w:eastAsia="Arial" w:hAnsi="Arial"/>
                <w:sz w:val="17"/>
                <w:szCs w:val="17"/>
                <w:color w:val="auto"/>
                <w:w w:val="98"/>
              </w:rPr>
              <w:t>Schlumberger</w:t>
            </w:r>
          </w:p>
        </w:tc>
        <w:tc>
          <w:tcPr>
            <w:tcW w:w="20" w:type="dxa"/>
            <w:vAlign w:val="bottom"/>
          </w:tcPr>
          <w:p>
            <w:pPr>
              <w:spacing w:after="0"/>
              <w:rPr>
                <w:sz w:val="8"/>
                <w:szCs w:val="8"/>
                <w:color w:val="auto"/>
              </w:rPr>
            </w:pPr>
          </w:p>
        </w:tc>
        <w:tc>
          <w:tcPr>
            <w:tcW w:w="920" w:type="dxa"/>
            <w:vAlign w:val="bottom"/>
            <w:vMerge w:val="restart"/>
            <w:shd w:val="clear" w:color="auto" w:fill="E7E7E2"/>
          </w:tcPr>
          <w:p>
            <w:pPr>
              <w:ind w:left="240"/>
              <w:spacing w:after="0" w:line="189" w:lineRule="exact"/>
              <w:rPr>
                <w:sz w:val="20"/>
                <w:szCs w:val="20"/>
                <w:color w:val="auto"/>
              </w:rPr>
            </w:pPr>
            <w:r>
              <w:rPr>
                <w:rFonts w:ascii="Arial" w:cs="Arial" w:eastAsia="Arial" w:hAnsi="Arial"/>
                <w:sz w:val="17"/>
                <w:szCs w:val="17"/>
                <w:color w:val="auto"/>
              </w:rPr>
              <w:t>457(r)</w:t>
            </w: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line="189" w:lineRule="exact"/>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8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vMerge w:val="restart"/>
            <w:shd w:val="clear" w:color="auto" w:fill="E7E7E2"/>
          </w:tcPr>
          <w:p>
            <w:pPr>
              <w:ind w:left="20"/>
              <w:spacing w:after="0" w:line="189" w:lineRule="exact"/>
              <w:rPr>
                <w:sz w:val="20"/>
                <w:szCs w:val="20"/>
                <w:color w:val="auto"/>
              </w:rPr>
            </w:pPr>
            <w:r>
              <w:rPr>
                <w:rFonts w:ascii="Arial" w:cs="Arial" w:eastAsia="Arial" w:hAnsi="Arial"/>
                <w:sz w:val="17"/>
                <w:szCs w:val="17"/>
                <w:color w:val="auto"/>
              </w:rPr>
              <w:t>Investment</w:t>
            </w: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shd w:val="clear" w:color="auto" w:fill="E7E7E2"/>
          </w:tcPr>
          <w:p>
            <w:pPr>
              <w:ind w:left="20"/>
              <w:spacing w:after="0"/>
              <w:rPr>
                <w:sz w:val="20"/>
                <w:szCs w:val="20"/>
                <w:color w:val="auto"/>
              </w:rPr>
            </w:pPr>
            <w:r>
              <w:rPr>
                <w:rFonts w:ascii="Arial" w:cs="Arial" w:eastAsia="Arial" w:hAnsi="Arial"/>
                <w:sz w:val="17"/>
                <w:szCs w:val="17"/>
                <w:color w:val="auto"/>
              </w:rPr>
              <w:t>S.A.</w:t>
            </w: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auto"/>
              </w:rPr>
              <w:t>Guarantees</w:t>
            </w: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ind w:left="20"/>
              <w:spacing w:after="0" w:line="189" w:lineRule="exact"/>
              <w:rPr>
                <w:sz w:val="20"/>
                <w:szCs w:val="20"/>
                <w:color w:val="auto"/>
              </w:rPr>
            </w:pPr>
            <w:r>
              <w:rPr>
                <w:rFonts w:ascii="Arial" w:cs="Arial" w:eastAsia="Arial" w:hAnsi="Arial"/>
                <w:sz w:val="17"/>
                <w:szCs w:val="17"/>
                <w:color w:val="auto"/>
              </w:rPr>
              <w:t>of Senior</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ind w:left="20"/>
              <w:spacing w:after="0" w:line="189"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 w:type="dxa"/>
            <w:vAlign w:val="bottom"/>
            <w:vMerge w:val="restart"/>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ind w:left="20"/>
              <w:spacing w:after="0" w:line="189" w:lineRule="exact"/>
              <w:rPr>
                <w:sz w:val="20"/>
                <w:szCs w:val="20"/>
                <w:color w:val="auto"/>
              </w:rPr>
            </w:pPr>
            <w:r>
              <w:rPr>
                <w:rFonts w:ascii="Arial" w:cs="Arial" w:eastAsia="Arial" w:hAnsi="Arial"/>
                <w:sz w:val="17"/>
                <w:szCs w:val="17"/>
                <w:color w:val="auto"/>
              </w:rPr>
              <w:t>Securities of</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8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3"/>
          </w:tcPr>
          <w:p>
            <w:pPr>
              <w:spacing w:after="0" w:line="110" w:lineRule="exact"/>
              <w:rPr>
                <w:sz w:val="20"/>
                <w:szCs w:val="20"/>
                <w:color w:val="auto"/>
              </w:rPr>
            </w:pPr>
            <w:r>
              <w:rPr>
                <w:rFonts w:ascii="Arial" w:cs="Arial" w:eastAsia="Arial" w:hAnsi="Arial"/>
                <w:sz w:val="12"/>
                <w:szCs w:val="12"/>
                <w:color w:val="auto"/>
              </w:rPr>
              <w:t>2 Other</w:t>
            </w:r>
          </w:p>
        </w:tc>
        <w:tc>
          <w:tcPr>
            <w:tcW w:w="20" w:type="dxa"/>
            <w:vAlign w:val="bottom"/>
          </w:tcPr>
          <w:p>
            <w:pPr>
              <w:spacing w:after="0"/>
              <w:rPr>
                <w:sz w:val="11"/>
                <w:szCs w:val="11"/>
                <w:color w:val="auto"/>
              </w:rPr>
            </w:pPr>
          </w:p>
        </w:tc>
        <w:tc>
          <w:tcPr>
            <w:tcW w:w="1080" w:type="dxa"/>
            <w:vAlign w:val="bottom"/>
          </w:tcPr>
          <w:p>
            <w:pPr>
              <w:ind w:left="20"/>
              <w:spacing w:after="0" w:line="110" w:lineRule="exact"/>
              <w:rPr>
                <w:sz w:val="20"/>
                <w:szCs w:val="20"/>
                <w:color w:val="auto"/>
              </w:rPr>
            </w:pPr>
            <w:r>
              <w:rPr>
                <w:rFonts w:ascii="Arial" w:cs="Arial" w:eastAsia="Arial" w:hAnsi="Arial"/>
                <w:sz w:val="12"/>
                <w:szCs w:val="12"/>
                <w:color w:val="auto"/>
              </w:rPr>
              <w:t>Schlumberger</w:t>
            </w:r>
          </w:p>
        </w:tc>
        <w:tc>
          <w:tcPr>
            <w:tcW w:w="20" w:type="dxa"/>
            <w:vAlign w:val="bottom"/>
          </w:tcPr>
          <w:p>
            <w:pPr>
              <w:spacing w:after="0"/>
              <w:rPr>
                <w:sz w:val="11"/>
                <w:szCs w:val="11"/>
                <w:color w:val="auto"/>
              </w:rPr>
            </w:pPr>
          </w:p>
        </w:tc>
        <w:tc>
          <w:tcPr>
            <w:tcW w:w="920" w:type="dxa"/>
            <w:vAlign w:val="bottom"/>
          </w:tcPr>
          <w:p>
            <w:pPr>
              <w:ind w:left="240"/>
              <w:spacing w:after="0" w:line="110" w:lineRule="exact"/>
              <w:rPr>
                <w:sz w:val="20"/>
                <w:szCs w:val="20"/>
                <w:color w:val="auto"/>
              </w:rPr>
            </w:pPr>
            <w:r>
              <w:rPr>
                <w:rFonts w:ascii="Arial" w:cs="Arial" w:eastAsia="Arial" w:hAnsi="Arial"/>
                <w:sz w:val="12"/>
                <w:szCs w:val="12"/>
                <w:color w:val="auto"/>
              </w:rPr>
              <w:t>Other</w:t>
            </w:r>
          </w:p>
        </w:tc>
        <w:tc>
          <w:tcPr>
            <w:tcW w:w="3460" w:type="dxa"/>
            <w:vAlign w:val="bottom"/>
            <w:gridSpan w:val="8"/>
          </w:tcPr>
          <w:p>
            <w:pPr>
              <w:jc w:val="right"/>
              <w:spacing w:after="0" w:line="110" w:lineRule="exact"/>
              <w:rPr>
                <w:sz w:val="20"/>
                <w:szCs w:val="20"/>
                <w:color w:val="auto"/>
              </w:rPr>
            </w:pPr>
            <w:r>
              <w:rPr>
                <w:rFonts w:ascii="Arial" w:cs="Arial" w:eastAsia="Arial" w:hAnsi="Arial"/>
                <w:sz w:val="12"/>
                <w:szCs w:val="12"/>
                <w:color w:val="auto"/>
              </w:rPr>
              <w:t>0.0001381</w:t>
            </w:r>
          </w:p>
        </w:tc>
        <w:tc>
          <w:tcPr>
            <w:tcW w:w="1020" w:type="dxa"/>
            <w:vAlign w:val="bottom"/>
            <w:gridSpan w:val="2"/>
          </w:tcPr>
          <w:p>
            <w:pPr>
              <w:jc w:val="right"/>
              <w:spacing w:after="0" w:line="110" w:lineRule="exact"/>
              <w:rPr>
                <w:sz w:val="20"/>
                <w:szCs w:val="20"/>
                <w:color w:val="auto"/>
              </w:rPr>
            </w:pPr>
            <w:r>
              <w:rPr>
                <w:rFonts w:ascii="Arial" w:cs="Arial" w:eastAsia="Arial" w:hAnsi="Arial"/>
                <w:sz w:val="12"/>
                <w:szCs w:val="12"/>
                <w:color w:val="auto"/>
              </w:rPr>
              <w:t>$ 0.00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1120" w:type="dxa"/>
            <w:vAlign w:val="bottom"/>
          </w:tcPr>
          <w:p>
            <w:pPr>
              <w:spacing w:after="0"/>
              <w:rPr>
                <w:sz w:val="20"/>
                <w:szCs w:val="20"/>
                <w:color w:val="auto"/>
              </w:rPr>
            </w:pPr>
            <w:r>
              <w:rPr>
                <w:rFonts w:ascii="Arial" w:cs="Arial" w:eastAsia="Arial" w:hAnsi="Arial"/>
                <w:sz w:val="17"/>
                <w:szCs w:val="17"/>
                <w:color w:val="auto"/>
              </w:rPr>
              <w:t>be Paid</w:t>
            </w:r>
          </w:p>
        </w:tc>
        <w:tc>
          <w:tcPr>
            <w:tcW w:w="1460" w:type="dxa"/>
            <w:vAlign w:val="bottom"/>
            <w:vMerge w:val="restart"/>
          </w:tcPr>
          <w:p>
            <w:pPr>
              <w:ind w:left="560"/>
              <w:spacing w:after="0"/>
              <w:rPr>
                <w:sz w:val="20"/>
                <w:szCs w:val="20"/>
                <w:color w:val="auto"/>
              </w:rPr>
            </w:pPr>
            <w:r>
              <w:rPr>
                <w:rFonts w:ascii="Arial" w:cs="Arial" w:eastAsia="Arial" w:hAnsi="Arial"/>
                <w:sz w:val="17"/>
                <w:szCs w:val="17"/>
                <w:color w:val="auto"/>
              </w:rPr>
              <w:t>Investment</w:t>
            </w:r>
          </w:p>
        </w:tc>
        <w:tc>
          <w:tcPr>
            <w:tcW w:w="0" w:type="dxa"/>
            <w:vAlign w:val="bottom"/>
          </w:tcPr>
          <w:p>
            <w:pPr>
              <w:spacing w:after="0"/>
              <w:rPr>
                <w:sz w:val="1"/>
                <w:szCs w:val="1"/>
                <w:color w:val="auto"/>
              </w:rPr>
            </w:pPr>
          </w:p>
        </w:tc>
      </w:tr>
      <w:tr>
        <w:trPr>
          <w:trHeight w:val="28"/>
        </w:trPr>
        <w:tc>
          <w:tcPr>
            <w:tcW w:w="11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tcPr>
          <w:p>
            <w:pPr>
              <w:spacing w:after="0"/>
              <w:rPr>
                <w:sz w:val="16"/>
                <w:szCs w:val="16"/>
                <w:color w:val="auto"/>
              </w:rPr>
            </w:pPr>
          </w:p>
        </w:tc>
        <w:tc>
          <w:tcPr>
            <w:tcW w:w="1460" w:type="dxa"/>
            <w:vAlign w:val="bottom"/>
          </w:tcPr>
          <w:p>
            <w:pPr>
              <w:ind w:left="560"/>
              <w:spacing w:after="0" w:line="189" w:lineRule="exact"/>
              <w:rPr>
                <w:sz w:val="20"/>
                <w:szCs w:val="20"/>
                <w:color w:val="auto"/>
              </w:rPr>
            </w:pPr>
            <w:r>
              <w:rPr>
                <w:rFonts w:ascii="Arial" w:cs="Arial" w:eastAsia="Arial" w:hAnsi="Arial"/>
                <w:sz w:val="17"/>
                <w:szCs w:val="17"/>
                <w:color w:val="auto"/>
                <w:w w:val="95"/>
              </w:rPr>
              <w:t>S.A. by SLB</w:t>
            </w:r>
          </w:p>
        </w:tc>
        <w:tc>
          <w:tcPr>
            <w:tcW w:w="0" w:type="dxa"/>
            <w:vAlign w:val="bottom"/>
          </w:tcPr>
          <w:p>
            <w:pPr>
              <w:spacing w:after="0"/>
              <w:rPr>
                <w:sz w:val="1"/>
                <w:szCs w:val="1"/>
                <w:color w:val="auto"/>
              </w:rPr>
            </w:pPr>
          </w:p>
        </w:tc>
      </w:tr>
      <w:tr>
        <w:trPr>
          <w:trHeight w:val="189"/>
        </w:trPr>
        <w:tc>
          <w:tcPr>
            <w:tcW w:w="1120" w:type="dxa"/>
            <w:vAlign w:val="bottom"/>
          </w:tcPr>
          <w:p>
            <w:pPr>
              <w:spacing w:after="0"/>
              <w:rPr>
                <w:sz w:val="16"/>
                <w:szCs w:val="16"/>
                <w:color w:val="auto"/>
              </w:rPr>
            </w:pPr>
          </w:p>
        </w:tc>
        <w:tc>
          <w:tcPr>
            <w:tcW w:w="1460" w:type="dxa"/>
            <w:vAlign w:val="bottom"/>
          </w:tcPr>
          <w:p>
            <w:pPr>
              <w:ind w:left="560"/>
              <w:spacing w:after="0" w:line="189" w:lineRule="exact"/>
              <w:rPr>
                <w:sz w:val="20"/>
                <w:szCs w:val="20"/>
                <w:color w:val="auto"/>
              </w:rPr>
            </w:pPr>
            <w:r>
              <w:rPr>
                <w:rFonts w:ascii="Arial" w:cs="Arial" w:eastAsia="Arial" w:hAnsi="Arial"/>
                <w:sz w:val="17"/>
                <w:szCs w:val="17"/>
                <w:color w:val="auto"/>
              </w:rPr>
              <w:t>N.V. (SLB</w:t>
            </w: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1460" w:type="dxa"/>
            <w:vAlign w:val="bottom"/>
          </w:tcPr>
          <w:p>
            <w:pPr>
              <w:ind w:left="560"/>
              <w:spacing w:after="0"/>
              <w:rPr>
                <w:sz w:val="20"/>
                <w:szCs w:val="20"/>
                <w:color w:val="auto"/>
              </w:rPr>
            </w:pPr>
            <w:r>
              <w:rPr>
                <w:rFonts w:ascii="Arial" w:cs="Arial" w:eastAsia="Arial" w:hAnsi="Arial"/>
                <w:sz w:val="17"/>
                <w:szCs w:val="17"/>
                <w:color w:val="auto"/>
              </w:rPr>
              <w:t>Limited)</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Fees</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color w:val="auto"/>
        </w:rPr>
        <w:t>Previously</w:t>
      </w:r>
    </w:p>
    <w:p>
      <w:pPr>
        <w:ind w:left="40"/>
        <w:spacing w:after="0"/>
        <w:rPr>
          <w:sz w:val="20"/>
          <w:szCs w:val="20"/>
          <w:color w:val="auto"/>
        </w:rPr>
      </w:pPr>
      <w:r>
        <w:rPr>
          <w:rFonts w:ascii="Arial" w:cs="Arial" w:eastAsia="Arial" w:hAnsi="Arial"/>
          <w:sz w:val="17"/>
          <w:szCs w:val="17"/>
          <w:color w:val="auto"/>
        </w:rPr>
        <w:t>Paid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Carry Forward Securities</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Carry</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Forward</w:t>
      </w:r>
    </w:p>
    <w:p>
      <w:pPr>
        <w:ind w:left="40"/>
        <w:spacing w:after="0"/>
        <w:rPr>
          <w:sz w:val="20"/>
          <w:szCs w:val="20"/>
          <w:color w:val="auto"/>
        </w:rPr>
      </w:pPr>
      <w:r>
        <w:rPr>
          <w:rFonts w:ascii="Arial" w:cs="Arial" w:eastAsia="Arial" w:hAnsi="Arial"/>
          <w:sz w:val="17"/>
          <w:szCs w:val="17"/>
          <w:color w:val="auto"/>
        </w:rPr>
        <w:t>Securities</w:t>
      </w:r>
    </w:p>
    <w:p>
      <w:pPr>
        <w:spacing w:after="0" w:line="19" w:lineRule="exact"/>
        <w:rPr>
          <w:sz w:val="20"/>
          <w:szCs w:val="20"/>
          <w:color w:val="auto"/>
        </w:rPr>
      </w:pPr>
    </w:p>
    <w:tbl>
      <w:tblPr>
        <w:tblLayout w:type="fixed"/>
        <w:tblInd w:w="2600" w:type="dxa"/>
        <w:tblCellMar>
          <w:top w:w="0" w:type="dxa"/>
          <w:left w:w="0" w:type="dxa"/>
          <w:bottom w:w="0" w:type="dxa"/>
          <w:right w:w="0" w:type="dxa"/>
        </w:tblCellMar>
      </w:tblPr>
      <w:tr>
        <w:trPr>
          <w:trHeight w:val="222"/>
        </w:trPr>
        <w:tc>
          <w:tcPr>
            <w:tcW w:w="2640" w:type="dxa"/>
            <w:vAlign w:val="bottom"/>
          </w:tcPr>
          <w:p>
            <w:pPr>
              <w:jc w:val="right"/>
              <w:ind w:right="536"/>
              <w:spacing w:after="0"/>
              <w:rPr>
                <w:sz w:val="20"/>
                <w:szCs w:val="20"/>
                <w:color w:val="auto"/>
              </w:rPr>
            </w:pPr>
            <w:r>
              <w:rPr>
                <w:rFonts w:ascii="Arial" w:cs="Arial" w:eastAsia="Arial" w:hAnsi="Arial"/>
                <w:sz w:val="17"/>
                <w:szCs w:val="17"/>
                <w:color w:val="auto"/>
              </w:rPr>
              <w:t>Total Offering Amounts:</w:t>
            </w:r>
          </w:p>
        </w:tc>
        <w:tc>
          <w:tcPr>
            <w:tcW w:w="1780" w:type="dxa"/>
            <w:vAlign w:val="bottom"/>
          </w:tcPr>
          <w:p>
            <w:pPr>
              <w:jc w:val="right"/>
              <w:ind w:right="616"/>
              <w:spacing w:after="0"/>
              <w:rPr>
                <w:sz w:val="20"/>
                <w:szCs w:val="20"/>
                <w:color w:val="auto"/>
              </w:rPr>
            </w:pPr>
            <w:r>
              <w:rPr>
                <w:rFonts w:ascii="Arial" w:cs="Arial" w:eastAsia="Arial" w:hAnsi="Arial"/>
                <w:sz w:val="17"/>
                <w:szCs w:val="17"/>
                <w:color w:val="auto"/>
              </w:rPr>
              <w:t>$ 0.00</w:t>
            </w:r>
          </w:p>
        </w:tc>
        <w:tc>
          <w:tcPr>
            <w:tcW w:w="118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31"/>
        </w:trPr>
        <w:tc>
          <w:tcPr>
            <w:tcW w:w="2640" w:type="dxa"/>
            <w:vAlign w:val="bottom"/>
          </w:tcPr>
          <w:p>
            <w:pPr>
              <w:jc w:val="right"/>
              <w:ind w:right="536"/>
              <w:spacing w:after="0"/>
              <w:rPr>
                <w:sz w:val="20"/>
                <w:szCs w:val="20"/>
                <w:color w:val="auto"/>
              </w:rPr>
            </w:pPr>
            <w:r>
              <w:rPr>
                <w:rFonts w:ascii="Arial" w:cs="Arial" w:eastAsia="Arial" w:hAnsi="Arial"/>
                <w:sz w:val="17"/>
                <w:szCs w:val="17"/>
                <w:color w:val="auto"/>
                <w:w w:val="96"/>
              </w:rPr>
              <w:t>Total Fees Previously Paid:</w:t>
            </w:r>
          </w:p>
        </w:tc>
        <w:tc>
          <w:tcPr>
            <w:tcW w:w="17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31"/>
        </w:trPr>
        <w:tc>
          <w:tcPr>
            <w:tcW w:w="2640" w:type="dxa"/>
            <w:vAlign w:val="bottom"/>
          </w:tcPr>
          <w:p>
            <w:pPr>
              <w:jc w:val="right"/>
              <w:ind w:right="536"/>
              <w:spacing w:after="0"/>
              <w:rPr>
                <w:sz w:val="20"/>
                <w:szCs w:val="20"/>
                <w:color w:val="auto"/>
              </w:rPr>
            </w:pPr>
            <w:r>
              <w:rPr>
                <w:rFonts w:ascii="Arial" w:cs="Arial" w:eastAsia="Arial" w:hAnsi="Arial"/>
                <w:sz w:val="17"/>
                <w:szCs w:val="17"/>
                <w:color w:val="auto"/>
              </w:rPr>
              <w:t>Total Fee Offsets:</w:t>
            </w:r>
          </w:p>
        </w:tc>
        <w:tc>
          <w:tcPr>
            <w:tcW w:w="17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31"/>
        </w:trPr>
        <w:tc>
          <w:tcPr>
            <w:tcW w:w="2640" w:type="dxa"/>
            <w:vAlign w:val="bottom"/>
          </w:tcPr>
          <w:p>
            <w:pPr>
              <w:jc w:val="right"/>
              <w:ind w:right="536"/>
              <w:spacing w:after="0"/>
              <w:rPr>
                <w:sz w:val="20"/>
                <w:szCs w:val="20"/>
                <w:color w:val="auto"/>
              </w:rPr>
            </w:pPr>
            <w:r>
              <w:rPr>
                <w:rFonts w:ascii="Arial" w:cs="Arial" w:eastAsia="Arial" w:hAnsi="Arial"/>
                <w:sz w:val="17"/>
                <w:szCs w:val="17"/>
                <w:color w:val="auto"/>
              </w:rPr>
              <w:t>Net Fee Due:</w:t>
            </w:r>
          </w:p>
        </w:tc>
        <w:tc>
          <w:tcPr>
            <w:tcW w:w="17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$ 0.00</w:t>
            </w:r>
          </w:p>
        </w:tc>
      </w:tr>
    </w:tbl>
    <w:p>
      <w:pPr>
        <w:spacing w:after="0" w:line="25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09" w:lineRule="exact"/>
        <w:rPr>
          <w:sz w:val="20"/>
          <w:szCs w:val="20"/>
          <w:color w:val="auto"/>
        </w:rPr>
      </w:pPr>
    </w:p>
    <w:p>
      <w:pPr>
        <w:ind w:left="220" w:right="240" w:hanging="185"/>
        <w:spacing w:after="0" w:line="228" w:lineRule="auto"/>
        <w:tabs>
          <w:tab w:leader="none" w:pos="220" w:val="left"/>
        </w:tabs>
        <w:numPr>
          <w:ilvl w:val="0"/>
          <w:numId w:val="71"/>
        </w:numPr>
        <w:rPr>
          <w:rFonts w:ascii="Arial" w:cs="Arial" w:eastAsia="Arial" w:hAnsi="Arial"/>
          <w:sz w:val="21"/>
          <w:szCs w:val="21"/>
          <w:color w:val="auto"/>
          <w:vertAlign w:val="superscript"/>
        </w:rPr>
      </w:pPr>
      <w:r>
        <w:rPr>
          <w:rFonts w:ascii="Arial" w:cs="Arial" w:eastAsia="Arial" w:hAnsi="Arial"/>
          <w:sz w:val="17"/>
          <w:szCs w:val="17"/>
          <w:color w:val="auto"/>
        </w:rPr>
        <w:t>(1) The registrant is deferring payment of the registration fee pursuant to Rule 456(b) under the Securities Act of 1933, as amended (the "Securities Act") and is excluding this information in reliance on Rule 456(b) and Rule 457(r) under the Securities Act. Any additional registration fees will be paid subsequently on a pay-as-you-go basis. (2) The registrant is registering hereby an indeterminate initial offering price and number or amount of securities of each identified class of securities as may from time to time be sold at indeterminate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60325</wp:posOffset>
            </wp:positionV>
            <wp:extent cx="714819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7">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21" w:lineRule="exact"/>
        <w:rPr>
          <w:sz w:val="20"/>
          <w:szCs w:val="20"/>
          <w:color w:val="auto"/>
        </w:rPr>
      </w:pPr>
    </w:p>
    <w:p>
      <w:pPr>
        <w:ind w:left="220" w:right="160" w:hanging="185"/>
        <w:spacing w:after="0" w:line="229" w:lineRule="auto"/>
        <w:tabs>
          <w:tab w:leader="none" w:pos="220" w:val="left"/>
        </w:tabs>
        <w:numPr>
          <w:ilvl w:val="0"/>
          <w:numId w:val="72"/>
        </w:numPr>
        <w:rPr>
          <w:rFonts w:ascii="Arial" w:cs="Arial" w:eastAsia="Arial" w:hAnsi="Arial"/>
          <w:sz w:val="21"/>
          <w:szCs w:val="21"/>
          <w:color w:val="auto"/>
          <w:vertAlign w:val="superscript"/>
        </w:rPr>
      </w:pPr>
      <w:r>
        <w:rPr>
          <w:rFonts w:ascii="Arial" w:cs="Arial" w:eastAsia="Arial" w:hAnsi="Arial"/>
          <w:sz w:val="17"/>
          <w:szCs w:val="17"/>
          <w:color w:val="auto"/>
        </w:rPr>
        <w:t>(1) The registrant is deferring payment of the registration fee pursuant to Rule 456(b) under the Securities Act of 1933, as amended (the "Securities Act") and is excluding this information in reliance on Rule 456(b) and Rule 457(r) under the Securities Act. Any additional registration fees will be paid subsequently on a pay-as-you-go basis. (2) The registrant is registering hereby an indeterminate initial offering price and number or amount of securities of each identified class of securities as may from time to time be sold at indeterminate prices. (3) Pursuant to Rule 456(n), no separate fee is payable with respect to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714819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8">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0" w:type="dxa"/>
            <w:vAlign w:val="bottom"/>
            <w:tcBorders>
              <w:bottom w:val="single" w:sz="8" w:color="auto"/>
            </w:tcBorders>
          </w:tcPr>
          <w:p>
            <w:pPr>
              <w:spacing w:after="0"/>
              <w:rPr>
                <w:sz w:val="23"/>
                <w:szCs w:val="23"/>
                <w:color w:val="auto"/>
              </w:rPr>
            </w:pPr>
          </w:p>
        </w:tc>
        <w:tc>
          <w:tcPr>
            <w:tcW w:w="330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4"/>
          </w:tcPr>
          <w:p>
            <w:pPr>
              <w:ind w:left="36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9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9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-994410</wp:posOffset>
            </wp:positionV>
            <wp:extent cx="7169150" cy="23761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9">
                      <a:extLst>
                        <a:ext uri="{28A0092B-C50C-407E-A947-70E740481C1C}"/>
                      </a:extLst>
                    </a:blip>
                    <a:srcRect/>
                    <a:stretch>
                      <a:fillRect/>
                    </a:stretch>
                  </pic:blipFill>
                  <pic:spPr bwMode="auto">
                    <a:xfrm>
                      <a:off x="0" y="0"/>
                      <a:ext cx="7169150" cy="2376170"/>
                    </a:xfrm>
                    <a:prstGeom prst="rect">
                      <a:avLst/>
                    </a:prstGeom>
                    <a:noFill/>
                  </pic:spPr>
                </pic:pic>
              </a:graphicData>
            </a:graphic>
          </wp:anchor>
        </w:drawing>
      </w:r>
    </w:p>
    <w:p>
      <w:pPr>
        <w:jc w:val="center"/>
        <w:ind w:right="80"/>
        <w:spacing w:after="0"/>
        <w:rPr>
          <w:sz w:val="20"/>
          <w:szCs w:val="20"/>
          <w:color w:val="auto"/>
        </w:rPr>
      </w:pPr>
      <w:r>
        <w:rPr>
          <w:rFonts w:ascii="Arial" w:cs="Arial" w:eastAsia="Arial" w:hAnsi="Arial"/>
          <w:sz w:val="17"/>
          <w:szCs w:val="17"/>
          <w:b w:val="1"/>
          <w:bCs w:val="1"/>
          <w:color w:val="auto"/>
        </w:rPr>
        <w:t>Rules 457(b) and 0-11(a)(2)</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7"/>
          <w:szCs w:val="17"/>
          <w:color w:val="auto"/>
        </w:rPr>
        <w:t>Claims</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7"/>
          <w:szCs w:val="17"/>
          <w:color w:val="auto"/>
        </w:rPr>
        <w:t>Sources</w:t>
      </w:r>
    </w:p>
    <w:p>
      <w:pPr>
        <w:spacing w:after="0" w:line="19"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Rule 457(p)</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7"/>
          <w:szCs w:val="17"/>
          <w:color w:val="auto"/>
        </w:rPr>
        <w:t>Claims</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7"/>
          <w:szCs w:val="17"/>
          <w:color w:val="auto"/>
        </w:rPr>
        <w:t>Sources</w:t>
      </w:r>
    </w:p>
    <w:p>
      <w:pPr>
        <w:spacing w:after="0" w:line="233" w:lineRule="exact"/>
        <w:rPr>
          <w:sz w:val="20"/>
          <w:szCs w:val="20"/>
          <w:color w:val="auto"/>
        </w:rPr>
      </w:pPr>
    </w:p>
    <w:p>
      <w:pPr>
        <w:ind w:left="40"/>
        <w:spacing w:after="0" w:line="196" w:lineRule="exact"/>
        <w:tabs>
          <w:tab w:leader="none" w:pos="9920" w:val="left"/>
        </w:tabs>
        <w:rPr>
          <w:sz w:val="20"/>
          <w:szCs w:val="20"/>
          <w:color w:val="auto"/>
        </w:rPr>
      </w:pPr>
      <w:r>
        <w:rPr>
          <w:rFonts w:ascii="Arial" w:cs="Arial" w:eastAsia="Arial" w:hAnsi="Arial"/>
          <w:sz w:val="17"/>
          <w:szCs w:val="17"/>
          <w:b w:val="1"/>
          <w:bCs w:val="1"/>
          <w:color w:val="auto"/>
        </w:rPr>
        <w:t>Table 3: Combined Prospectuses</w:t>
      </w:r>
      <w:r>
        <w:rPr>
          <w:sz w:val="20"/>
          <w:szCs w:val="20"/>
          <w:color w:val="auto"/>
        </w:rPr>
        <w:tab/>
      </w: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7169150" cy="1270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0">
                      <a:extLst>
                        <a:ext uri="{28A0092B-C50C-407E-A947-70E740481C1C}"/>
                      </a:extLst>
                    </a:blip>
                    <a:srcRect/>
                    <a:stretch>
                      <a:fillRect/>
                    </a:stretch>
                  </pic:blipFill>
                  <pic:spPr bwMode="auto">
                    <a:xfrm>
                      <a:off x="0" y="0"/>
                      <a:ext cx="7169150" cy="127000"/>
                    </a:xfrm>
                    <a:prstGeom prst="rect">
                      <a:avLst/>
                    </a:prstGeom>
                    <a:noFill/>
                  </pic:spPr>
                </pic:pic>
              </a:graphicData>
            </a:graphic>
          </wp:anchor>
        </w:drawing>
      </w:r>
    </w:p>
    <w:p>
      <w:pPr>
        <w:sectPr>
          <w:pgSz w:w="11900" w:h="16838" w:orient="portrait"/>
          <w:cols w:equalWidth="0" w:num="1">
            <w:col w:w="11360"/>
          </w:cols>
          <w:pgMar w:left="300" w:top="141" w:right="239" w:bottom="0" w:gutter="0" w:footer="0" w:header="0"/>
        </w:sectPr>
      </w:pPr>
    </w:p>
    <w:bookmarkStart w:id="88" w:name="page89"/>
    <w:bookmarkEnd w:id="88"/>
    <w:tbl>
      <w:tblPr>
        <w:tblLayout w:type="fixed"/>
        <w:tblInd w:w="10" w:type="dxa"/>
        <w:tblCellMar>
          <w:top w:w="0" w:type="dxa"/>
          <w:left w:w="0" w:type="dxa"/>
          <w:bottom w:w="0" w:type="dxa"/>
          <w:right w:w="0" w:type="dxa"/>
        </w:tblCellMar>
      </w:tblP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ind w:left="240"/>
              <w:spacing w:after="0"/>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16"/>
                <w:szCs w:val="16"/>
                <w:color w:val="auto"/>
              </w:rPr>
            </w:pPr>
          </w:p>
        </w:tc>
        <w:tc>
          <w:tcPr>
            <w:tcW w:w="2800" w:type="dxa"/>
            <w:vAlign w:val="bottom"/>
            <w:shd w:val="clear" w:color="auto" w:fill="9ADAF6"/>
          </w:tcPr>
          <w:p>
            <w:pPr>
              <w:ind w:left="620"/>
              <w:spacing w:after="0"/>
              <w:rPr>
                <w:sz w:val="20"/>
                <w:szCs w:val="20"/>
                <w:color w:val="auto"/>
              </w:rPr>
            </w:pPr>
            <w:r>
              <w:rPr>
                <w:rFonts w:ascii="Arial" w:cs="Arial" w:eastAsia="Arial" w:hAnsi="Arial"/>
                <w:sz w:val="17"/>
                <w:szCs w:val="17"/>
                <w:b w:val="1"/>
                <w:bCs w:val="1"/>
                <w:color w:val="auto"/>
              </w:rPr>
              <w:t>Security Class Title</w:t>
            </w:r>
          </w:p>
        </w:tc>
        <w:tc>
          <w:tcPr>
            <w:tcW w:w="20" w:type="dxa"/>
            <w:vAlign w:val="bottom"/>
          </w:tcPr>
          <w:p>
            <w:pPr>
              <w:spacing w:after="0"/>
              <w:rPr>
                <w:sz w:val="16"/>
                <w:szCs w:val="16"/>
                <w:color w:val="auto"/>
              </w:rPr>
            </w:pPr>
          </w:p>
        </w:tc>
        <w:tc>
          <w:tcPr>
            <w:tcW w:w="1560" w:type="dxa"/>
            <w:vAlign w:val="bottom"/>
            <w:shd w:val="clear" w:color="auto" w:fill="9ADAF6"/>
          </w:tcPr>
          <w:p>
            <w:pPr>
              <w:ind w:left="360"/>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6"/>
                <w:szCs w:val="16"/>
                <w:color w:val="auto"/>
              </w:rPr>
            </w:pPr>
          </w:p>
        </w:tc>
        <w:tc>
          <w:tcPr>
            <w:tcW w:w="680" w:type="dxa"/>
            <w:vAlign w:val="bottom"/>
            <w:shd w:val="clear" w:color="auto" w:fill="9ADAF6"/>
          </w:tcPr>
          <w:p>
            <w:pPr>
              <w:ind w:left="140"/>
              <w:spacing w:after="0"/>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1120" w:type="dxa"/>
            <w:vAlign w:val="bottom"/>
            <w:shd w:val="clear" w:color="auto" w:fill="9ADAF6"/>
          </w:tcPr>
          <w:p>
            <w:pPr>
              <w:ind w:left="60"/>
              <w:spacing w:after="0"/>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16"/>
                <w:szCs w:val="16"/>
                <w:color w:val="auto"/>
              </w:rPr>
            </w:pPr>
          </w:p>
        </w:tc>
        <w:tc>
          <w:tcPr>
            <w:tcW w:w="92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16"/>
                <w:szCs w:val="16"/>
                <w:color w:val="auto"/>
              </w:rPr>
            </w:pPr>
          </w:p>
        </w:tc>
        <w:tc>
          <w:tcPr>
            <w:tcW w:w="680" w:type="dxa"/>
            <w:vAlign w:val="bottom"/>
            <w:shd w:val="clear" w:color="auto" w:fill="9ADAF6"/>
          </w:tcPr>
          <w:p>
            <w:pPr>
              <w:ind w:left="16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r>
      <w:tr>
        <w:trPr>
          <w:trHeight w:val="220"/>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9ADAF6"/>
          </w:tcPr>
          <w:p>
            <w:pPr>
              <w:ind w:left="34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9"/>
                <w:szCs w:val="19"/>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right w:val="single" w:sz="8" w:color="auto"/>
            </w:tcBorders>
            <w:shd w:val="clear" w:color="auto" w:fill="9ADAF6"/>
          </w:tcPr>
          <w:p>
            <w:pPr>
              <w:spacing w:after="0"/>
              <w:rPr>
                <w:sz w:val="19"/>
                <w:szCs w:val="19"/>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E7E7E2"/>
              <w:right w:val="single" w:sz="8" w:color="auto"/>
            </w:tcBorders>
          </w:tcPr>
          <w:p>
            <w:pPr>
              <w:spacing w:after="0" w:line="20" w:lineRule="exact"/>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1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1)"/>
      <w:numFmt w:val="decimal"/>
      <w:start w:val="1"/>
    </w:lvl>
  </w:abstractNum>
  <w:abstractNum w:abstractNumId="11">
    <w:nsid w:val="70A64E2A"/>
    <w:multiLevelType w:val="hybridMultilevel"/>
    <w:lvl w:ilvl="0">
      <w:lvlJc w:val="left"/>
      <w:lvlText w:val="(%1)"/>
      <w:numFmt w:val="decimal"/>
      <w:start w:val="1"/>
    </w:lvl>
  </w:abstractNum>
  <w:abstractNum w:abstractNumId="12">
    <w:nsid w:val="6A2342EC"/>
    <w:multiLevelType w:val="hybridMultilevel"/>
    <w:lvl w:ilvl="0">
      <w:lvlJc w:val="left"/>
      <w:lvlText w:val="(%1)"/>
      <w:numFmt w:val="decimal"/>
      <w:start w:val="1"/>
    </w:lvl>
  </w:abstractNum>
  <w:abstractNum w:abstractNumId="13">
    <w:nsid w:val="2A487CB0"/>
    <w:multiLevelType w:val="hybridMultilevel"/>
    <w:lvl w:ilvl="0">
      <w:lvlJc w:val="left"/>
      <w:lvlText w:val="(%1)"/>
      <w:numFmt w:val="decimal"/>
      <w:start w:val="7"/>
    </w:lvl>
  </w:abstractNum>
  <w:abstractNum w:abstractNumId="14">
    <w:nsid w:val="1D4ED43B"/>
    <w:multiLevelType w:val="hybridMultilevel"/>
    <w:lvl w:ilvl="0">
      <w:lvlJc w:val="left"/>
      <w:lvlText w:val="(%1)"/>
      <w:numFmt w:val="lowerRoman"/>
      <w:start w:val="10"/>
    </w:lvl>
  </w:abstractNum>
  <w:abstractNum w:abstractNumId="15">
    <w:nsid w:val="725A06FB"/>
    <w:multiLevelType w:val="hybridMultilevel"/>
    <w:lvl w:ilvl="0">
      <w:lvlJc w:val="left"/>
      <w:lvlText w:val="(%1)"/>
      <w:numFmt w:val="lowerLetter"/>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1)"/>
      <w:numFmt w:val="decimal"/>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
      <w:numFmt w:val="bullet"/>
      <w:start w:val="1"/>
    </w:lvl>
  </w:abstractNum>
  <w:abstractNum w:abstractNumId="30">
    <w:nsid w:val="79A1DEAA"/>
    <w:multiLevelType w:val="hybridMultilevel"/>
    <w:lvl w:ilvl="0">
      <w:lvlJc w:val="left"/>
      <w:lvlText w:val=" "/>
      <w:numFmt w:val="bullet"/>
      <w:start w:val="1"/>
    </w:lvl>
  </w:abstractNum>
  <w:abstractNum w:abstractNumId="31">
    <w:nsid w:val="75C6C33A"/>
    <w:multiLevelType w:val="hybridMultilevel"/>
    <w:lvl w:ilvl="0">
      <w:lvlJc w:val="left"/>
      <w:lvlText w:val=" "/>
      <w:numFmt w:val="bullet"/>
      <w:start w:val="1"/>
    </w:lvl>
  </w:abstractNum>
  <w:abstractNum w:abstractNumId="32">
    <w:nsid w:val="12E685FB"/>
    <w:multiLevelType w:val="hybridMultilevel"/>
    <w:lvl w:ilvl="0">
      <w:lvlJc w:val="left"/>
      <w:lvlText w:val="%1"/>
      <w:numFmt w:val="decimal"/>
      <w:start w:val="107"/>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35">
    <w:nsid w:val="374A3FE6"/>
    <w:multiLevelType w:val="hybridMultilevel"/>
    <w:lvl w:ilvl="0">
      <w:lvlJc w:val="left"/>
      <w:lvlText w:val="(%1)"/>
      <w:numFmt w:val="lowerRoman"/>
      <w:start w:val="2"/>
    </w:lvl>
  </w:abstractNum>
  <w:abstractNum w:abstractNumId="36">
    <w:nsid w:val="4F4EF005"/>
    <w:multiLevelType w:val="hybridMultilevel"/>
    <w:lvl w:ilvl="0">
      <w:lvlJc w:val="left"/>
      <w:lvlText w:val="(%1)"/>
      <w:numFmt w:val="decimal"/>
      <w:start w:val="2"/>
    </w:lvl>
    <w:lvl w:ilvl="1">
      <w:lvlJc w:val="left"/>
      <w:lvlText w:val="(%2)"/>
      <w:numFmt w:val="lowerRoman"/>
      <w:start w:val="1"/>
    </w:lvl>
  </w:abstractNum>
  <w:abstractNum w:abstractNumId="37">
    <w:nsid w:val="23F9C13C"/>
    <w:multiLevelType w:val="hybridMultilevel"/>
    <w:lvl w:ilvl="0">
      <w:lvlJc w:val="left"/>
      <w:lvlText w:val="%1"/>
      <w:numFmt w:val="lowerLetter"/>
      <w:start w:val="1"/>
    </w:lvl>
    <w:lvl w:ilvl="1">
      <w:lvlJc w:val="left"/>
      <w:lvlText w:val="(%2)"/>
      <w:numFmt w:val="lowerRoman"/>
      <w:start w:val="1"/>
    </w:lvl>
  </w:abstractNum>
  <w:abstractNum w:abstractNumId="38">
    <w:nsid w:val="649BB77C"/>
    <w:multiLevelType w:val="hybridMultilevel"/>
    <w:lvl w:ilvl="0">
      <w:lvlJc w:val="left"/>
      <w:lvlText w:val="(%1)"/>
      <w:numFmt w:val="lowerLetter"/>
      <w:start w:val="2"/>
    </w:lvl>
    <w:lvl w:ilvl="1">
      <w:lvlJc w:val="left"/>
      <w:lvlText w:val="%2"/>
      <w:numFmt w:val="lowerRoman"/>
      <w:start w:val="1"/>
    </w:lvl>
  </w:abstractNum>
  <w:abstractNum w:abstractNumId="39">
    <w:nsid w:val="275AC794"/>
    <w:multiLevelType w:val="hybridMultilevel"/>
    <w:lvl w:ilvl="0">
      <w:lvlJc w:val="left"/>
      <w:lvlText w:val="(%1)"/>
      <w:numFmt w:val="lowerRoman"/>
      <w:start w:val="1"/>
    </w:lvl>
  </w:abstractNum>
  <w:abstractNum w:abstractNumId="40">
    <w:nsid w:val="39386575"/>
    <w:multiLevelType w:val="hybridMultilevel"/>
    <w:lvl w:ilvl="0">
      <w:lvlJc w:val="left"/>
      <w:lvlText w:val="(%1)"/>
      <w:numFmt w:val="lowerRoman"/>
      <w:start w:val="1"/>
    </w:lvl>
  </w:abstractNum>
  <w:abstractNum w:abstractNumId="41">
    <w:nsid w:val="1CF10FD8"/>
    <w:multiLevelType w:val="hybridMultilevel"/>
    <w:lvl w:ilvl="0">
      <w:lvlJc w:val="left"/>
      <w:lvlText w:val="%1."/>
      <w:numFmt w:val="decimal"/>
      <w:start w:val="1"/>
    </w:lvl>
  </w:abstractNum>
  <w:abstractNum w:abstractNumId="42">
    <w:nsid w:val="180115BE"/>
    <w:multiLevelType w:val="hybridMultilevel"/>
    <w:lvl w:ilvl="0">
      <w:lvlJc w:val="left"/>
      <w:lvlText w:val="(%1)"/>
      <w:numFmt w:val="lowerRoman"/>
      <w:start w:val="8"/>
    </w:lvl>
  </w:abstractNum>
  <w:abstractNum w:abstractNumId="43">
    <w:nsid w:val="235BA861"/>
    <w:multiLevelType w:val="hybridMultilevel"/>
    <w:lvl w:ilvl="0">
      <w:lvlJc w:val="left"/>
      <w:lvlText w:val="%1."/>
      <w:numFmt w:val="decimal"/>
      <w:start w:val="1"/>
    </w:lvl>
  </w:abstractNum>
  <w:abstractNum w:abstractNumId="44">
    <w:nsid w:val="47398C89"/>
    <w:multiLevelType w:val="hybridMultilevel"/>
    <w:lvl w:ilvl="0">
      <w:lvlJc w:val="left"/>
      <w:lvlText w:val="1"/>
      <w:numFmt w:val="bullet"/>
      <w:start w:val="1"/>
    </w:lvl>
  </w:abstractNum>
  <w:abstractNum w:abstractNumId="45">
    <w:nsid w:val="354FE9F9"/>
    <w:multiLevelType w:val="hybridMultilevel"/>
    <w:lvl w:ilvl="0">
      <w:lvlJc w:val="left"/>
      <w:lvlText w:val="2"/>
      <w:numFmt w:val="bullet"/>
      <w:start w:val="1"/>
    </w:lvl>
  </w:abstractNum>
  <w:abstractNum w:abstractNumId="46">
    <w:nsid w:val="15B5AF5C"/>
    <w:multiLevelType w:val="hybridMultilevel"/>
    <w:lvl w:ilvl="0">
      <w:lvlJc w:val="left"/>
      <w:lvlText w:val="3"/>
      <w:numFmt w:val="bullet"/>
      <w:start w:val="1"/>
    </w:lvl>
  </w:abstractNum>
  <w:abstractNum w:abstractNumId="47">
    <w:nsid w:val="741226BB"/>
    <w:multiLevelType w:val="hybridMultilevel"/>
    <w:lvl w:ilvl="0">
      <w:lvlJc w:val="left"/>
      <w:lvlText w:val="4"/>
      <w:numFmt w:val="bullet"/>
      <w:start w:val="1"/>
    </w:lvl>
  </w:abstractNum>
  <w:abstractNum w:abstractNumId="48">
    <w:nsid w:val="D34B6A8"/>
    <w:multiLevelType w:val="hybridMultilevel"/>
    <w:lvl w:ilvl="0">
      <w:lvlJc w:val="left"/>
      <w:lvlText w:val="5"/>
      <w:numFmt w:val="bullet"/>
      <w:start w:val="1"/>
    </w:lvl>
  </w:abstractNum>
  <w:abstractNum w:abstractNumId="49">
    <w:nsid w:val="10233C99"/>
    <w:multiLevelType w:val="hybridMultilevel"/>
    <w:lvl w:ilvl="0">
      <w:lvlJc w:val="left"/>
      <w:lvlText w:val="6"/>
      <w:numFmt w:val="bullet"/>
      <w:start w:val="1"/>
    </w:lvl>
  </w:abstractNum>
  <w:abstractNum w:abstractNumId="50">
    <w:nsid w:val="3F6AB60F"/>
    <w:multiLevelType w:val="hybridMultilevel"/>
    <w:lvl w:ilvl="0">
      <w:lvlJc w:val="left"/>
      <w:lvlText w:val="1"/>
      <w:numFmt w:val="bullet"/>
      <w:start w:val="1"/>
    </w:lvl>
  </w:abstractNum>
  <w:abstractNum w:abstractNumId="51">
    <w:nsid w:val="61574095"/>
    <w:multiLevelType w:val="hybridMultilevel"/>
    <w:lvl w:ilvl="0">
      <w:lvlJc w:val="left"/>
      <w:lvlText w:val="2"/>
      <w:numFmt w:val="bullet"/>
      <w:start w:val="1"/>
    </w:lvl>
  </w:abstractNum>
  <w:abstractNum w:abstractNumId="52">
    <w:nsid w:val="7E0C57B1"/>
    <w:multiLevelType w:val="hybridMultilevel"/>
    <w:lvl w:ilvl="0">
      <w:lvlJc w:val="left"/>
      <w:lvlText w:val="1"/>
      <w:numFmt w:val="bullet"/>
      <w:start w:val="1"/>
    </w:lvl>
  </w:abstractNum>
  <w:abstractNum w:abstractNumId="53">
    <w:nsid w:val="77AE35EB"/>
    <w:multiLevelType w:val="hybridMultilevel"/>
    <w:lvl w:ilvl="0">
      <w:lvlJc w:val="left"/>
      <w:lvlText w:val="2"/>
      <w:numFmt w:val="bullet"/>
      <w:start w:val="1"/>
    </w:lvl>
  </w:abstractNum>
  <w:abstractNum w:abstractNumId="54">
    <w:nsid w:val="579BE4F1"/>
    <w:multiLevelType w:val="hybridMultilevel"/>
    <w:lvl w:ilvl="0">
      <w:lvlJc w:val="left"/>
      <w:lvlText w:val="3"/>
      <w:numFmt w:val="bullet"/>
      <w:start w:val="1"/>
    </w:lvl>
  </w:abstractNum>
  <w:abstractNum w:abstractNumId="55">
    <w:nsid w:val="310C50B3"/>
    <w:multiLevelType w:val="hybridMultilevel"/>
    <w:lvl w:ilvl="0">
      <w:lvlJc w:val="left"/>
      <w:lvlText w:val="4"/>
      <w:numFmt w:val="bullet"/>
      <w:start w:val="1"/>
    </w:lvl>
  </w:abstractNum>
  <w:abstractNum w:abstractNumId="56">
    <w:nsid w:val="5FF87E05"/>
    <w:multiLevelType w:val="hybridMultilevel"/>
    <w:lvl w:ilvl="0">
      <w:lvlJc w:val="left"/>
      <w:lvlText w:val="5"/>
      <w:numFmt w:val="bullet"/>
      <w:start w:val="1"/>
    </w:lvl>
  </w:abstractNum>
  <w:abstractNum w:abstractNumId="57">
    <w:nsid w:val="2F305DEF"/>
    <w:multiLevelType w:val="hybridMultilevel"/>
    <w:lvl w:ilvl="0">
      <w:lvlJc w:val="left"/>
      <w:lvlText w:val="1"/>
      <w:numFmt w:val="bullet"/>
      <w:start w:val="1"/>
    </w:lvl>
  </w:abstractNum>
  <w:abstractNum w:abstractNumId="58">
    <w:nsid w:val="25A70BF7"/>
    <w:multiLevelType w:val="hybridMultilevel"/>
    <w:lvl w:ilvl="0">
      <w:lvlJc w:val="left"/>
      <w:lvlText w:val="2"/>
      <w:numFmt w:val="bullet"/>
      <w:start w:val="1"/>
    </w:lvl>
  </w:abstractNum>
  <w:abstractNum w:abstractNumId="59">
    <w:nsid w:val="1DBABF00"/>
    <w:multiLevelType w:val="hybridMultilevel"/>
    <w:lvl w:ilvl="0">
      <w:lvlJc w:val="left"/>
      <w:lvlText w:val="3"/>
      <w:numFmt w:val="bullet"/>
      <w:start w:val="1"/>
    </w:lvl>
  </w:abstractNum>
  <w:abstractNum w:abstractNumId="60">
    <w:nsid w:val="4AD084E9"/>
    <w:multiLevelType w:val="hybridMultilevel"/>
    <w:lvl w:ilvl="0">
      <w:lvlJc w:val="left"/>
      <w:lvlText w:val="4"/>
      <w:numFmt w:val="bullet"/>
      <w:start w:val="1"/>
    </w:lvl>
  </w:abstractNum>
  <w:abstractNum w:abstractNumId="61">
    <w:nsid w:val="1F48EAA1"/>
    <w:multiLevelType w:val="hybridMultilevel"/>
    <w:lvl w:ilvl="0">
      <w:lvlJc w:val="left"/>
      <w:lvlText w:val="5"/>
      <w:numFmt w:val="bullet"/>
      <w:start w:val="1"/>
    </w:lvl>
  </w:abstractNum>
  <w:abstractNum w:abstractNumId="62">
    <w:nsid w:val="1381823A"/>
    <w:multiLevelType w:val="hybridMultilevel"/>
    <w:lvl w:ilvl="0">
      <w:lvlJc w:val="left"/>
      <w:lvlText w:val="(%1)"/>
      <w:numFmt w:val="lowerRoman"/>
      <w:start w:val="2"/>
    </w:lvl>
  </w:abstractNum>
  <w:abstractNum w:abstractNumId="63">
    <w:nsid w:val="5DB70AE5"/>
    <w:multiLevelType w:val="hybridMultilevel"/>
    <w:lvl w:ilvl="0">
      <w:lvlJc w:val="left"/>
      <w:lvlText w:val="☐"/>
      <w:numFmt w:val="bullet"/>
      <w:start w:val="1"/>
    </w:lvl>
  </w:abstractNum>
  <w:abstractNum w:abstractNumId="64">
    <w:nsid w:val="100F8FCA"/>
    <w:multiLevelType w:val="hybridMultilevel"/>
    <w:lvl w:ilvl="0">
      <w:lvlJc w:val="left"/>
      <w:lvlText w:val="%1."/>
      <w:numFmt w:val="decimal"/>
      <w:start w:val="1"/>
    </w:lvl>
    <w:lvl w:ilvl="1">
      <w:lvlJc w:val="left"/>
      <w:lvlText w:val="(%2)"/>
      <w:numFmt w:val="lowerLetter"/>
      <w:start w:val="1"/>
    </w:lvl>
  </w:abstractNum>
  <w:abstractNum w:abstractNumId="65">
    <w:nsid w:val="6590700B"/>
    <w:multiLevelType w:val="hybridMultilevel"/>
    <w:lvl w:ilvl="0">
      <w:lvlJc w:val="left"/>
      <w:lvlText w:val="(%1)"/>
      <w:numFmt w:val="lowerLetter"/>
      <w:start w:val="2"/>
    </w:lvl>
  </w:abstractNum>
  <w:abstractNum w:abstractNumId="66">
    <w:nsid w:val="15014ACB"/>
    <w:multiLevelType w:val="hybridMultilevel"/>
    <w:lvl w:ilvl="0">
      <w:lvlJc w:val="left"/>
      <w:lvlText w:val="%1."/>
      <w:numFmt w:val="decimal"/>
      <w:start w:val="2"/>
    </w:lvl>
  </w:abstractNum>
  <w:abstractNum w:abstractNumId="67">
    <w:nsid w:val="5F5E7FD0"/>
    <w:multiLevelType w:val="hybridMultilevel"/>
    <w:lvl w:ilvl="0">
      <w:lvlJc w:val="left"/>
      <w:lvlText w:val="%1."/>
      <w:numFmt w:val="decimal"/>
      <w:start w:val="16"/>
    </w:lvl>
    <w:lvl w:ilvl="1">
      <w:lvlJc w:val="left"/>
      <w:lvlText w:val="%2."/>
      <w:numFmt w:val="decimal"/>
      <w:start w:val="1"/>
    </w:lvl>
  </w:abstractNum>
  <w:abstractNum w:abstractNumId="68">
    <w:nsid w:val="98A3148"/>
    <w:multiLevelType w:val="hybridMultilevel"/>
    <w:lvl w:ilvl="0">
      <w:lvlJc w:val="left"/>
      <w:lvlText w:val="%1."/>
      <w:numFmt w:val="decimal"/>
      <w:start w:val="4"/>
    </w:lvl>
  </w:abstractNum>
  <w:abstractNum w:abstractNumId="69">
    <w:nsid w:val="799D0247"/>
    <w:multiLevelType w:val="hybridMultilevel"/>
    <w:lvl w:ilvl="0">
      <w:lvlJc w:val="left"/>
      <w:lvlText w:val="%1."/>
      <w:numFmt w:val="decimal"/>
      <w:start w:val="6"/>
    </w:lvl>
  </w:abstractNum>
  <w:abstractNum w:abstractNumId="70">
    <w:nsid w:val="6B94764"/>
    <w:multiLevelType w:val="hybridMultilevel"/>
    <w:lvl w:ilvl="0">
      <w:lvlJc w:val="left"/>
      <w:lvlText w:val="1"/>
      <w:numFmt w:val="bullet"/>
      <w:start w:val="1"/>
    </w:lvl>
  </w:abstractNum>
  <w:abstractNum w:abstractNumId="71">
    <w:nsid w:val="42C296BD"/>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jpeg"/><Relationship Id="rId80" Type="http://schemas.openxmlformats.org/officeDocument/2006/relationships/image" Target="media/image63.png"/><Relationship Id="rId81" Type="http://schemas.openxmlformats.org/officeDocument/2006/relationships/image" Target="media/image64.jpeg"/><Relationship Id="rId82" Type="http://schemas.openxmlformats.org/officeDocument/2006/relationships/image" Target="media/image65.png"/><Relationship Id="rId83" Type="http://schemas.openxmlformats.org/officeDocument/2006/relationships/image" Target="media/image66.jpeg"/><Relationship Id="rId84" Type="http://schemas.openxmlformats.org/officeDocument/2006/relationships/image" Target="media/image67.png"/><Relationship Id="rId85" Type="http://schemas.openxmlformats.org/officeDocument/2006/relationships/image" Target="media/image68.jpeg"/><Relationship Id="rId86" Type="http://schemas.openxmlformats.org/officeDocument/2006/relationships/image" Target="media/image69.png"/><Relationship Id="rId87" Type="http://schemas.openxmlformats.org/officeDocument/2006/relationships/image" Target="media/image70.jpeg"/><Relationship Id="rId88" Type="http://schemas.openxmlformats.org/officeDocument/2006/relationships/image" Target="media/image71.png"/><Relationship Id="rId89" Type="http://schemas.openxmlformats.org/officeDocument/2006/relationships/image" Target="media/image72.jpeg"/><Relationship Id="rId90" Type="http://schemas.openxmlformats.org/officeDocument/2006/relationships/image" Target="media/image73.png"/><Relationship Id="rId91" Type="http://schemas.openxmlformats.org/officeDocument/2006/relationships/image" Target="media/image74.jpeg"/><Relationship Id="rId92" Type="http://schemas.openxmlformats.org/officeDocument/2006/relationships/image" Target="media/image75.png"/><Relationship Id="rId93" Type="http://schemas.openxmlformats.org/officeDocument/2006/relationships/image" Target="media/image76.jpeg"/><Relationship Id="rId94" Type="http://schemas.openxmlformats.org/officeDocument/2006/relationships/image" Target="media/image77.png"/><Relationship Id="rId95" Type="http://schemas.openxmlformats.org/officeDocument/2006/relationships/image" Target="media/image78.jpe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jpeg"/><Relationship Id="rId99" Type="http://schemas.openxmlformats.org/officeDocument/2006/relationships/image" Target="media/image82.png"/><Relationship Id="rId100" Type="http://schemas.openxmlformats.org/officeDocument/2006/relationships/image" Target="media/image83.jpeg"/><Relationship Id="rId101" Type="http://schemas.openxmlformats.org/officeDocument/2006/relationships/image" Target="media/image84.png"/><Relationship Id="rId102" Type="http://schemas.openxmlformats.org/officeDocument/2006/relationships/image" Target="media/image85.jpeg"/><Relationship Id="rId103" Type="http://schemas.openxmlformats.org/officeDocument/2006/relationships/image" Target="media/image86.png"/><Relationship Id="rId104" Type="http://schemas.openxmlformats.org/officeDocument/2006/relationships/image" Target="media/image87.jpe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0"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png"/><Relationship Id="rId13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38" Type="http://schemas.openxmlformats.org/officeDocument/2006/relationships/image" Target="media/image121.png"/><Relationship Id="rId139" Type="http://schemas.openxmlformats.org/officeDocument/2006/relationships/image" Target="media/image122.png"/><Relationship Id="rId140" Type="http://schemas.openxmlformats.org/officeDocument/2006/relationships/image" Target="media/image123.png"/><Relationship Id="rId141" Type="http://schemas.openxmlformats.org/officeDocument/2006/relationships/image" Target="media/image124.png"/><Relationship Id="rId142" Type="http://schemas.openxmlformats.org/officeDocument/2006/relationships/image" Target="media/image125.png"/><Relationship Id="rId143" Type="http://schemas.openxmlformats.org/officeDocument/2006/relationships/image" Target="media/image126.png"/><Relationship Id="rId144" Type="http://schemas.openxmlformats.org/officeDocument/2006/relationships/image" Target="media/image127.png"/><Relationship Id="rId145" Type="http://schemas.openxmlformats.org/officeDocument/2006/relationships/image" Target="media/image128.png"/><Relationship Id="rId146" Type="http://schemas.openxmlformats.org/officeDocument/2006/relationships/image" Target="media/image129.png"/><Relationship Id="rId147" Type="http://schemas.openxmlformats.org/officeDocument/2006/relationships/image" Target="media/image130.png"/><Relationship Id="rId148" Type="http://schemas.openxmlformats.org/officeDocument/2006/relationships/image" Target="media/image131.png"/><Relationship Id="rId149" Type="http://schemas.openxmlformats.org/officeDocument/2006/relationships/image" Target="media/image132.png"/><Relationship Id="rId150" Type="http://schemas.openxmlformats.org/officeDocument/2006/relationships/image" Target="media/image133.png"/><Relationship Id="rId30" Type="http://schemas.openxmlformats.org/officeDocument/2006/relationships/hyperlink" Target="http://www.sec.gov/Archives/edgar/data/87347/000119312526021017/slb-20251231.htm" TargetMode="External"/><Relationship Id="rId31" Type="http://schemas.openxmlformats.org/officeDocument/2006/relationships/hyperlink" Target="http://www.sec.gov/Archives/edgar/data/87347/000130817926000024/slb2026-def14a.htm" TargetMode="External"/><Relationship Id="rId32" Type="http://schemas.openxmlformats.org/officeDocument/2006/relationships/hyperlink" Target="http://www.sec.gov/ix?doc=/Archives/edgar/data/87347/000119312526190101/slb-20260331.htm" TargetMode="External"/><Relationship Id="rId33" Type="http://schemas.openxmlformats.org/officeDocument/2006/relationships/hyperlink" Target="http://www.sec.gov/ix?doc=/Archives/edgar/data/0000087347/000119312526147610/d58029d8k.htm" TargetMode="External"/><Relationship Id="rId66" Type="http://schemas.openxmlformats.org/officeDocument/2006/relationships/hyperlink" Target="http://www.sec.gov/Archives/edgar/data/87347/000119312525246028/slb-ex3_1.htm" TargetMode="External"/><Relationship Id="rId67" Type="http://schemas.openxmlformats.org/officeDocument/2006/relationships/hyperlink" Target="http://www.sec.gov/Archives/edgar/data/87347/000119312525246028/slb-ex3_2.htm" TargetMode="External"/><Relationship Id="rId68" Type="http://schemas.openxmlformats.org/officeDocument/2006/relationships/hyperlink" Target="http://www.sec.gov/Archives/edgar/data/87347/000119312513346708/d527282dex33.htm" TargetMode="External"/><Relationship Id="rId69" Type="http://schemas.openxmlformats.org/officeDocument/2006/relationships/hyperlink" Target="http://www.sec.gov/Archives/edgar/data/87347/000119312513460494/d637672dex41.htm" TargetMode="External"/><Relationship Id="rId70" Type="http://schemas.openxmlformats.org/officeDocument/2006/relationships/hyperlink" Target="http://www.sec.gov/Archives/edgar/data/87347/000119312520180957/d925505dex41.htm" TargetMode="External"/><Relationship Id="rId71" Type="http://schemas.openxmlformats.org/officeDocument/2006/relationships/hyperlink" Target="http://www.sec.gov/Archives/edgar/data/87347/000119312526021017/slb-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2026-04-30T07:57:24Z</dcterms:created>
  <dcterms:modified xsi:type="dcterms:W3CDTF">2026-04-30T07:57:24Z</dcterms:modified>
</cp:coreProperties>
</file>