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Rennick Gavin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9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02/08/2019</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5599 SAN FELIPE, 17TH FLOOR</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77056</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LIMITED/NV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420"/>
              <w:spacing w:after="0"/>
              <w:rPr>
                <w:sz w:val="20"/>
                <w:szCs w:val="20"/>
                <w:color w:val="auto"/>
              </w:rPr>
            </w:pPr>
            <w:r>
              <w:rPr>
                <w:rFonts w:ascii="Arial" w:cs="Arial" w:eastAsia="Arial" w:hAnsi="Arial"/>
                <w:sz w:val="18"/>
                <w:szCs w:val="18"/>
                <w:color w:val="0000FF"/>
              </w:rPr>
              <w:t>VP, Human Resources</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tcPr>
          <w:p>
            <w:pPr>
              <w:jc w:val="right"/>
              <w:ind w:right="974"/>
              <w:spacing w:after="0"/>
              <w:rPr>
                <w:sz w:val="20"/>
                <w:szCs w:val="20"/>
                <w:color w:val="auto"/>
              </w:rPr>
            </w:pPr>
            <w:r>
              <w:rPr>
                <w:rFonts w:ascii="Arial" w:cs="Arial" w:eastAsia="Arial" w:hAnsi="Arial"/>
                <w:sz w:val="18"/>
                <w:szCs w:val="18"/>
                <w:color w:val="0000FF"/>
              </w:rPr>
              <w:t>705</w:t>
            </w:r>
          </w:p>
        </w:tc>
        <w:tc>
          <w:tcPr>
            <w:tcW w:w="700" w:type="dxa"/>
            <w:vAlign w:val="bottom"/>
          </w:tcPr>
          <w:p>
            <w:pPr>
              <w:ind w:left="4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2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680" w:type="dxa"/>
            <w:vAlign w:val="bottom"/>
            <w:gridSpan w:val="6"/>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40" w:type="dxa"/>
            <w:vAlign w:val="bottom"/>
            <w:gridSpan w:val="2"/>
            <w:vMerge w:val="restart"/>
          </w:tcPr>
          <w:p>
            <w:pPr>
              <w:jc w:val="center"/>
              <w:ind w:left="298"/>
              <w:spacing w:after="0"/>
              <w:rPr>
                <w:sz w:val="20"/>
                <w:szCs w:val="20"/>
                <w:color w:val="auto"/>
              </w:rPr>
            </w:pPr>
            <w:r>
              <w:rPr>
                <w:rFonts w:ascii="Arial" w:cs="Arial" w:eastAsia="Arial" w:hAnsi="Arial"/>
                <w:sz w:val="11"/>
                <w:szCs w:val="11"/>
                <w:color w:val="008000"/>
                <w:w w:val="88"/>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01/16/2024</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5,630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88.765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40" w:type="dxa"/>
            <w:vAlign w:val="bottom"/>
            <w:gridSpan w:val="2"/>
            <w:vMerge w:val="restart"/>
          </w:tcPr>
          <w:p>
            <w:pPr>
              <w:jc w:val="center"/>
              <w:ind w:left="298"/>
              <w:spacing w:after="0"/>
              <w:rPr>
                <w:sz w:val="20"/>
                <w:szCs w:val="20"/>
                <w:color w:val="auto"/>
              </w:rPr>
            </w:pPr>
            <w:r>
              <w:rPr>
                <w:rFonts w:ascii="Arial" w:cs="Arial" w:eastAsia="Arial" w:hAnsi="Arial"/>
                <w:sz w:val="14"/>
                <w:szCs w:val="14"/>
                <w:color w:val="0000FF"/>
                <w:w w:val="85"/>
              </w:rPr>
              <w:t>04/16/2020</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04/16/2025</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91.74</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40" w:type="dxa"/>
            <w:vAlign w:val="bottom"/>
            <w:gridSpan w:val="2"/>
            <w:vMerge w:val="restart"/>
          </w:tcPr>
          <w:p>
            <w:pPr>
              <w:jc w:val="center"/>
              <w:ind w:left="298"/>
              <w:spacing w:after="0"/>
              <w:rPr>
                <w:sz w:val="20"/>
                <w:szCs w:val="20"/>
                <w:color w:val="auto"/>
              </w:rPr>
            </w:pPr>
            <w:r>
              <w:rPr>
                <w:rFonts w:ascii="Arial" w:cs="Arial" w:eastAsia="Arial" w:hAnsi="Arial"/>
                <w:sz w:val="14"/>
                <w:szCs w:val="14"/>
                <w:color w:val="0000FF"/>
                <w:w w:val="85"/>
              </w:rPr>
              <w:t>10/15/2020</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10/15/2025</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79"/>
              </w:rPr>
              <w:t>110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75.075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40" w:type="dxa"/>
            <w:vAlign w:val="bottom"/>
            <w:gridSpan w:val="2"/>
            <w:vMerge w:val="restart"/>
          </w:tcPr>
          <w:p>
            <w:pPr>
              <w:jc w:val="center"/>
              <w:ind w:left="298"/>
              <w:spacing w:after="0"/>
              <w:rPr>
                <w:sz w:val="20"/>
                <w:szCs w:val="20"/>
                <w:color w:val="auto"/>
              </w:rPr>
            </w:pPr>
            <w:r>
              <w:rPr>
                <w:rFonts w:ascii="Arial" w:cs="Arial" w:eastAsia="Arial" w:hAnsi="Arial"/>
                <w:sz w:val="14"/>
                <w:szCs w:val="14"/>
                <w:color w:val="0000FF"/>
                <w:w w:val="85"/>
              </w:rPr>
              <w:t>04/20/2021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04/20/2026</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1,241</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80.525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40" w:type="dxa"/>
            <w:vAlign w:val="bottom"/>
            <w:gridSpan w:val="2"/>
            <w:vMerge w:val="restart"/>
          </w:tcPr>
          <w:p>
            <w:pPr>
              <w:jc w:val="center"/>
              <w:ind w:left="298"/>
              <w:spacing w:after="0"/>
              <w:rPr>
                <w:sz w:val="20"/>
                <w:szCs w:val="20"/>
                <w:color w:val="auto"/>
              </w:rPr>
            </w:pPr>
            <w:r>
              <w:rPr>
                <w:rFonts w:ascii="Arial" w:cs="Arial" w:eastAsia="Arial" w:hAnsi="Arial"/>
                <w:sz w:val="14"/>
                <w:szCs w:val="14"/>
                <w:color w:val="0000FF"/>
                <w:w w:val="85"/>
              </w:rPr>
              <w:t>01/19/2022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01/19/2027</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1,144</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87.38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8"/>
              <w:spacing w:after="0"/>
              <w:rPr>
                <w:sz w:val="20"/>
                <w:szCs w:val="20"/>
                <w:color w:val="auto"/>
              </w:rPr>
            </w:pPr>
            <w:r>
              <w:rPr>
                <w:rFonts w:ascii="Arial" w:cs="Arial" w:eastAsia="Arial" w:hAnsi="Arial"/>
                <w:sz w:val="14"/>
                <w:szCs w:val="14"/>
                <w:color w:val="0000FF"/>
                <w:w w:val="85"/>
              </w:rPr>
              <w:t>01/21/2015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01/21/2020</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1,200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68.505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8"/>
              <w:spacing w:after="0"/>
              <w:rPr>
                <w:sz w:val="20"/>
                <w:szCs w:val="20"/>
                <w:color w:val="auto"/>
              </w:rPr>
            </w:pPr>
            <w:r>
              <w:rPr>
                <w:rFonts w:ascii="Arial" w:cs="Arial" w:eastAsia="Arial" w:hAnsi="Arial"/>
                <w:sz w:val="11"/>
                <w:szCs w:val="11"/>
                <w:color w:val="008000"/>
                <w:w w:val="88"/>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01/20/2021</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5,000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83.885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8"/>
              <w:spacing w:after="0"/>
              <w:rPr>
                <w:sz w:val="20"/>
                <w:szCs w:val="20"/>
                <w:color w:val="auto"/>
              </w:rPr>
            </w:pPr>
            <w:r>
              <w:rPr>
                <w:rFonts w:ascii="Arial" w:cs="Arial" w:eastAsia="Arial" w:hAnsi="Arial"/>
                <w:sz w:val="11"/>
                <w:szCs w:val="11"/>
                <w:color w:val="008000"/>
                <w:w w:val="88"/>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01/19/2022</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4,000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72.11</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8"/>
              <w:spacing w:after="0"/>
              <w:rPr>
                <w:sz w:val="20"/>
                <w:szCs w:val="20"/>
                <w:color w:val="auto"/>
              </w:rPr>
            </w:pPr>
            <w:r>
              <w:rPr>
                <w:rFonts w:ascii="Arial" w:cs="Arial" w:eastAsia="Arial" w:hAnsi="Arial"/>
                <w:sz w:val="11"/>
                <w:szCs w:val="11"/>
                <w:color w:val="008000"/>
                <w:w w:val="88"/>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04/18/2023</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5,000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70.925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8"/>
              <w:spacing w:after="0"/>
              <w:rPr>
                <w:sz w:val="20"/>
                <w:szCs w:val="20"/>
                <w:color w:val="auto"/>
              </w:rPr>
            </w:pPr>
            <w:r>
              <w:rPr>
                <w:rFonts w:ascii="Arial" w:cs="Arial" w:eastAsia="Arial" w:hAnsi="Arial"/>
                <w:sz w:val="11"/>
                <w:szCs w:val="11"/>
                <w:color w:val="008000"/>
                <w:w w:val="88"/>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01/16/2024</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2,370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88.765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8"/>
              <w:spacing w:after="0"/>
              <w:rPr>
                <w:sz w:val="20"/>
                <w:szCs w:val="20"/>
                <w:color w:val="auto"/>
              </w:rPr>
            </w:pPr>
            <w:r>
              <w:rPr>
                <w:rFonts w:ascii="Arial" w:cs="Arial" w:eastAsia="Arial" w:hAnsi="Arial"/>
                <w:sz w:val="11"/>
                <w:szCs w:val="11"/>
                <w:color w:val="008000"/>
                <w:w w:val="88"/>
              </w:rPr>
              <w:t>(6)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04/16/2025</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4,000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91.74</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8"/>
              <w:spacing w:after="0"/>
              <w:rPr>
                <w:sz w:val="20"/>
                <w:szCs w:val="20"/>
                <w:color w:val="auto"/>
              </w:rPr>
            </w:pPr>
            <w:r>
              <w:rPr>
                <w:rFonts w:ascii="Arial" w:cs="Arial" w:eastAsia="Arial" w:hAnsi="Arial"/>
                <w:sz w:val="11"/>
                <w:szCs w:val="11"/>
                <w:color w:val="008000"/>
                <w:w w:val="88"/>
              </w:rPr>
              <w:t>(7)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10/15/2025</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9,890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75.075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8"/>
              <w:spacing w:after="0"/>
              <w:rPr>
                <w:sz w:val="20"/>
                <w:szCs w:val="20"/>
                <w:color w:val="auto"/>
              </w:rPr>
            </w:pPr>
            <w:r>
              <w:rPr>
                <w:rFonts w:ascii="Arial" w:cs="Arial" w:eastAsia="Arial" w:hAnsi="Arial"/>
                <w:sz w:val="11"/>
                <w:szCs w:val="11"/>
                <w:color w:val="008000"/>
                <w:w w:val="88"/>
              </w:rPr>
              <w:t>(8)</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04/20/2026</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18,759</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80.525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w w:val="93"/>
              </w:rPr>
              <w:t>Non-Qualified Stock Option (Right to Buy)</w:t>
            </w:r>
          </w:p>
        </w:tc>
        <w:tc>
          <w:tcPr>
            <w:tcW w:w="1240" w:type="dxa"/>
            <w:vAlign w:val="bottom"/>
            <w:gridSpan w:val="2"/>
            <w:vMerge w:val="restart"/>
          </w:tcPr>
          <w:p>
            <w:pPr>
              <w:jc w:val="center"/>
              <w:ind w:left="298"/>
              <w:spacing w:after="0"/>
              <w:rPr>
                <w:sz w:val="20"/>
                <w:szCs w:val="20"/>
                <w:color w:val="auto"/>
              </w:rPr>
            </w:pPr>
            <w:r>
              <w:rPr>
                <w:rFonts w:ascii="Arial" w:cs="Arial" w:eastAsia="Arial" w:hAnsi="Arial"/>
                <w:sz w:val="11"/>
                <w:szCs w:val="11"/>
                <w:color w:val="008000"/>
                <w:w w:val="88"/>
              </w:rPr>
              <w:t>(9)</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01/19/2027</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23,856</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87.38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2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06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6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3091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72020" cy="3091180"/>
                    </a:xfrm>
                    <a:prstGeom prst="rect">
                      <a:avLst/>
                    </a:prstGeom>
                    <a:noFill/>
                  </pic:spPr>
                </pic:pic>
              </a:graphicData>
            </a:graphic>
          </wp:anchor>
        </w:drawing>
        <w:t>Table II - Derivative Securities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Non-Qualified Stock Option (Right to Buy)</w:t>
            </w:r>
          </w:p>
        </w:tc>
        <w:tc>
          <w:tcPr>
            <w:tcW w:w="880" w:type="dxa"/>
            <w:vAlign w:val="bottom"/>
            <w:vMerge w:val="restart"/>
          </w:tcPr>
          <w:p>
            <w:pPr>
              <w:jc w:val="right"/>
              <w:ind w:right="278"/>
              <w:spacing w:after="0"/>
              <w:rPr>
                <w:sz w:val="20"/>
                <w:szCs w:val="20"/>
                <w:color w:val="auto"/>
              </w:rPr>
            </w:pPr>
            <w:r>
              <w:rPr>
                <w:rFonts w:ascii="Arial" w:cs="Arial" w:eastAsia="Arial" w:hAnsi="Arial"/>
                <w:sz w:val="11"/>
                <w:szCs w:val="11"/>
                <w:color w:val="008000"/>
              </w:rPr>
              <w:t>(10)</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01/17/2028</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11,490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91"/>
              </w:rPr>
              <w:t>77.1</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35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Non-Qualified Stock Option (Right to Buy)</w:t>
            </w:r>
          </w:p>
        </w:tc>
        <w:tc>
          <w:tcPr>
            <w:tcW w:w="880" w:type="dxa"/>
            <w:vAlign w:val="bottom"/>
            <w:vMerge w:val="restart"/>
          </w:tcPr>
          <w:p>
            <w:pPr>
              <w:jc w:val="right"/>
              <w:ind w:right="278"/>
              <w:spacing w:after="0"/>
              <w:rPr>
                <w:sz w:val="20"/>
                <w:szCs w:val="20"/>
                <w:color w:val="auto"/>
              </w:rPr>
            </w:pPr>
            <w:r>
              <w:rPr>
                <w:rFonts w:ascii="Arial" w:cs="Arial" w:eastAsia="Arial" w:hAnsi="Arial"/>
                <w:sz w:val="11"/>
                <w:szCs w:val="11"/>
                <w:color w:val="008000"/>
              </w:rPr>
              <w:t>(11)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01/16/2029</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25,810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41.47</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35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880" w:type="dxa"/>
            <w:vAlign w:val="bottom"/>
            <w:vMerge w:val="restart"/>
          </w:tcPr>
          <w:p>
            <w:pPr>
              <w:jc w:val="right"/>
              <w:ind w:right="278"/>
              <w:spacing w:after="0"/>
              <w:rPr>
                <w:sz w:val="20"/>
                <w:szCs w:val="20"/>
                <w:color w:val="auto"/>
              </w:rPr>
            </w:pPr>
            <w:r>
              <w:rPr>
                <w:rFonts w:ascii="Arial" w:cs="Arial" w:eastAsia="Arial" w:hAnsi="Arial"/>
                <w:sz w:val="11"/>
                <w:szCs w:val="11"/>
                <w:color w:val="008000"/>
              </w:rPr>
              <w:t>(12)</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(12)</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6,200</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(13)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35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880" w:type="dxa"/>
            <w:vAlign w:val="bottom"/>
            <w:vMerge w:val="restart"/>
          </w:tcPr>
          <w:p>
            <w:pPr>
              <w:jc w:val="right"/>
              <w:ind w:right="278"/>
              <w:spacing w:after="0"/>
              <w:rPr>
                <w:sz w:val="20"/>
                <w:szCs w:val="20"/>
                <w:color w:val="auto"/>
              </w:rPr>
            </w:pPr>
            <w:r>
              <w:rPr>
                <w:rFonts w:ascii="Arial" w:cs="Arial" w:eastAsia="Arial" w:hAnsi="Arial"/>
                <w:sz w:val="11"/>
                <w:szCs w:val="11"/>
                <w:color w:val="008000"/>
              </w:rPr>
              <w:t>(14)</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(14)</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4,210</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(13)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35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880" w:type="dxa"/>
            <w:vAlign w:val="bottom"/>
            <w:vMerge w:val="restart"/>
          </w:tcPr>
          <w:p>
            <w:pPr>
              <w:jc w:val="right"/>
              <w:ind w:right="278"/>
              <w:spacing w:after="0"/>
              <w:rPr>
                <w:sz w:val="20"/>
                <w:szCs w:val="20"/>
                <w:color w:val="auto"/>
              </w:rPr>
            </w:pPr>
            <w:r>
              <w:rPr>
                <w:rFonts w:ascii="Arial" w:cs="Arial" w:eastAsia="Arial" w:hAnsi="Arial"/>
                <w:sz w:val="11"/>
                <w:szCs w:val="11"/>
                <w:color w:val="008000"/>
              </w:rPr>
              <w:t>(15)</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(15)</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6,720</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(13)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35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became exercisable in five equal annual installments beginning January 16, 2015, of 1,126 shares.</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became exercisable in five equal annual installments beginning January 20, 2012, of 1,000 shares.</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exercisable in five equal annual installments beginning January 19, 2013, of 800 shares.</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became exercisable in five equal annual installments beginning April 18, 2014, of 1,000 shares.</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became exercisable in five equal annual installments beginning January 16, 2015, of 474 shares.</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option became exercisable in three equal annual installments beginning April 16, 2016, of 1,000 shares and becomes exercisable in a final installment of 1,000 shares on April 16, 2019.</w:t>
      </w:r>
    </w:p>
    <w:p>
      <w:pPr>
        <w:spacing w:after="0" w:line="64" w:lineRule="exact"/>
        <w:rPr>
          <w:rFonts w:ascii="Arial" w:cs="Arial" w:eastAsia="Arial" w:hAnsi="Arial"/>
          <w:sz w:val="12"/>
          <w:szCs w:val="12"/>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became exercisable in four equal annual installments of 2,000 shares beginning October 15, 2016, and a final installment of 1,890 shares on October 15, 2020.</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became exercisable in four equal annual installments of 4,000 shares beginning April 20, 2017, and a final installment of 2,759 shares on April 20, 2021.</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became exercisable in four equal annual installments of 5,000 shares beginning January 19, 2018, and a final installment of 3,856 shares on January 19, 2022.</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became exercisable in five equal annual installments of 2,298 shares beginning January 17, 2019.</w:t>
      </w:r>
    </w:p>
    <w:p>
      <w:pPr>
        <w:spacing w:after="0" w:line="41" w:lineRule="exact"/>
        <w:rPr>
          <w:rFonts w:ascii="Arial" w:cs="Arial" w:eastAsia="Arial" w:hAnsi="Arial"/>
          <w:sz w:val="14"/>
          <w:szCs w:val="14"/>
          <w:color w:val="008000"/>
        </w:rPr>
      </w:pPr>
    </w:p>
    <w:p>
      <w:pPr>
        <w:ind w:left="220" w:hanging="191"/>
        <w:spacing w:after="0"/>
        <w:tabs>
          <w:tab w:leader="none" w:pos="22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option becomes exercisable in five annual installments of 5,162 shares beginning January 16, 2020.</w:t>
      </w:r>
    </w:p>
    <w:p>
      <w:pPr>
        <w:spacing w:after="0" w:line="64" w:lineRule="exact"/>
        <w:rPr>
          <w:rFonts w:ascii="Arial" w:cs="Arial" w:eastAsia="Arial" w:hAnsi="Arial"/>
          <w:sz w:val="12"/>
          <w:szCs w:val="12"/>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 award was granted on January 19, 2017 and vests 100% on January 19, 2020.</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represents the right to receive, at settlement, one (1) share of common stock.</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 award was granted on January 17, 2018 and vests 100% on January 17, 2021.</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 award was granted on January 16, 2019 and vests 100% on January 16, 2022.</w:t>
      </w:r>
    </w:p>
    <w:p>
      <w:pPr>
        <w:ind w:left="6840"/>
        <w:spacing w:after="0" w:line="184" w:lineRule="auto"/>
        <w:rPr>
          <w:sz w:val="20"/>
          <w:szCs w:val="20"/>
          <w:color w:val="auto"/>
        </w:rPr>
      </w:pPr>
      <w:r>
        <w:rPr>
          <w:rFonts w:ascii="Arial" w:cs="Arial" w:eastAsia="Arial" w:hAnsi="Arial"/>
          <w:sz w:val="17"/>
          <w:szCs w:val="17"/>
          <w:color w:val="0000FF"/>
        </w:rPr>
        <w:t xml:space="preserve">/s/ Grace B. Holmes, Attorney- </w:t>
      </w:r>
      <w:r>
        <w:rPr>
          <w:rFonts w:ascii="Arial" w:cs="Arial" w:eastAsia="Arial" w:hAnsi="Arial"/>
          <w:sz w:val="34"/>
          <w:szCs w:val="34"/>
          <w:color w:val="0000FF"/>
          <w:vertAlign w:val="subscript"/>
        </w:rPr>
        <w:t>02/19/2019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-27940</wp:posOffset>
            </wp:positionV>
            <wp:extent cx="13931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319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-22860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20" w:right="356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80"/>
          </w:cols>
          <w:pgMar w:left="260" w:top="188" w:right="2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SCHLUMBERGER LIMITED POWER OF ATTORNEY</w:t>
      </w:r>
    </w:p>
    <w:p>
      <w:pPr>
        <w:spacing w:after="0" w:line="207" w:lineRule="exact"/>
        <w:rPr>
          <w:sz w:val="20"/>
          <w:szCs w:val="20"/>
          <w:color w:val="auto"/>
        </w:rPr>
      </w:pPr>
    </w:p>
    <w:p>
      <w:pPr>
        <w:ind w:right="4319" w:firstLine="737"/>
        <w:spacing w:after="0" w:line="268"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Curacao corporation (the "Company"), does hereby appoint each of Saul Laureles, Matthew Rinegar and Grace Holmes, or</w:t>
      </w:r>
    </w:p>
    <w:p>
      <w:pPr>
        <w:spacing w:after="0" w:line="1" w:lineRule="exact"/>
        <w:rPr>
          <w:sz w:val="20"/>
          <w:szCs w:val="20"/>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1"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11" w:lineRule="exact"/>
        <w:rPr>
          <w:sz w:val="20"/>
          <w:szCs w:val="20"/>
          <w:color w:val="auto"/>
        </w:rPr>
      </w:pPr>
    </w:p>
    <w:p>
      <w:pPr>
        <w:ind w:right="3999" w:firstLine="737"/>
        <w:spacing w:after="0" w:line="237" w:lineRule="auto"/>
        <w:rPr>
          <w:sz w:val="20"/>
          <w:szCs w:val="20"/>
          <w:color w:val="auto"/>
        </w:rPr>
      </w:pPr>
      <w:r>
        <w:rPr>
          <w:rFonts w:ascii="Courier New" w:cs="Courier New" w:eastAsia="Courier New" w:hAnsi="Courier New"/>
          <w:sz w:val="18"/>
          <w:szCs w:val="18"/>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Gavin Rennick</w:t>
      </w:r>
    </w:p>
    <w:p>
      <w:pPr>
        <w:spacing w:after="0" w:line="238" w:lineRule="auto"/>
        <w:rPr>
          <w:sz w:val="20"/>
          <w:szCs w:val="20"/>
          <w:color w:val="auto"/>
        </w:rPr>
      </w:pPr>
      <w:r>
        <w:rPr>
          <w:rFonts w:ascii="Courier New" w:cs="Courier New" w:eastAsia="Courier New" w:hAnsi="Courier New"/>
          <w:sz w:val="18"/>
          <w:szCs w:val="18"/>
          <w:color w:val="auto"/>
        </w:rPr>
        <w:t>Gavin Rennick</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767983"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2019-12-23T21:24:34Z</dcterms:created>
  <dcterms:modified xsi:type="dcterms:W3CDTF">2019-12-23T21:24:34Z</dcterms:modified>
</cp:coreProperties>
</file>