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60"/>
        <w:spacing w:after="0"/>
        <w:rPr>
          <w:sz w:val="20"/>
          <w:szCs w:val="20"/>
          <w:color w:val="auto"/>
        </w:rPr>
      </w:pPr>
      <w:r>
        <w:rPr>
          <w:rFonts w:ascii="Arial" w:cs="Arial" w:eastAsia="Arial" w:hAnsi="Arial"/>
          <w:sz w:val="22"/>
          <w:szCs w:val="22"/>
          <w:b w:val="1"/>
          <w:bCs w:val="1"/>
          <w:color w:val="auto"/>
        </w:rPr>
        <w:t>Date of Report (Date of earliest event reported): December 3,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419"/>
        <w:spacing w:after="0"/>
        <w:rPr>
          <w:sz w:val="20"/>
          <w:szCs w:val="20"/>
          <w:color w:val="auto"/>
        </w:rPr>
      </w:pPr>
      <w:r>
        <w:rPr>
          <w:rFonts w:ascii="Arial" w:cs="Arial" w:eastAsia="Arial" w:hAnsi="Arial"/>
          <w:sz w:val="36"/>
          <w:szCs w:val="36"/>
          <w:b w:val="1"/>
          <w:bCs w:val="1"/>
          <w:color w:val="auto"/>
        </w:rPr>
        <w:t>SCHLUMBERGER N.V. (SCHLUMBERGER LIMITED)</w:t>
      </w:r>
    </w:p>
    <w:p>
      <w:pPr>
        <w:spacing w:after="0" w:line="4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6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December 3, 2013, Schlumberger Investment SA (“SISA”) issued $1,500,000,000 aggregate principal amount of its 3.650% Senior Notes due 2023 (the “Notes”) under a registration statement on Form S-3 under the Securities Act of 1933, as amended (the “Securities Act”), filed with the Securities and Exchange Commission (the “Commission”) on August 26, 2013 (Registration No. 333-190822) (the “Registration Statement”). The Notes, which are fully and unconditionally guaranteed by Schlumberger Limited (“Schlumberger”), were sold pursuant to an underwriting agreement dated as of November 25, 2013 (the “Underwriting Agreement”), by and among (a) SISA and Schlumberger and (b) Citigroup Global Markets Inc., Deutsche Bank Securities Inc. and J.P. Morgan Securities LLC, as representatives of the several underwriters (collectively, the “Underwriters”). The Notes were issued under an Indenture dated as of December 3, 2013, by and among SISA, as issuer, Schlumberger, as guarantor, and The Bank of New York Mellon Trust Company, N.A., as trustee (the “Indenture”), as supplemented by a First Supplemental Indenture dated as of December 3, 2013 by and among SISA, as issuer, Schlumberger, as guarantor, and The Bank of New York Mellon Trust Company, N.A., as trustee (the “First Supplemental Indenture”).</w:t>
      </w:r>
    </w:p>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relevant terms of the Notes, the Indenture and the First Supplemental Indenture are further described under the caption “Description of the Notes” in the prospectus supplement dated November 25, 2013, filed with the Commission by Schlumberger on November 26, 2013, pursuant to Rule 424(b)(5) under the Securities Act and in the section entitled “Description of Debt Securities” in the base prospectus dated August 26, 2013, included in the Registration Statement, which descriptions are incorporated herein by reference.</w:t>
      </w:r>
    </w:p>
    <w:p>
      <w:pPr>
        <w:spacing w:after="0" w:line="18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Underwriting Agreement, the Indenture and the First Supplemental Indenture (including the form of the Notes) are filed as exhibits hereto and incorporated herein by reference. The descriptions of the Underwriting Agreement, the Indenture and the First Supplemental Indenture (including the form of the Notes) in this Current Report on Form 8-K are summaries and are qualified in their entirety by the terms of the Underwriting Agreement, the Indenture and the Supplemental Indenture (including the form of the Notes), respectively. Schlumberger is filing this Current Report on Form 8-K so as to file with the Commission certain items that are to be incorporated by reference into its Registration Statement.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 Financial Statements and Exhibits</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700" w:right="100" w:hanging="602"/>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Underwriting Agreement dated November 25, 2013, by and between (a) Schlumberger Investment SA and Schlumberger Limited and (b) Citigroup Global Markets Inc., Deutsche Bank Securities Inc. and J.P. Morgan Securities LLC.</w:t>
      </w:r>
    </w:p>
    <w:p>
      <w:pPr>
        <w:spacing w:after="0" w:line="62" w:lineRule="exact"/>
        <w:rPr>
          <w:sz w:val="20"/>
          <w:szCs w:val="20"/>
          <w:color w:val="auto"/>
        </w:rPr>
      </w:pPr>
    </w:p>
    <w:p>
      <w:pPr>
        <w:ind w:left="700" w:right="360" w:hanging="598"/>
        <w:spacing w:after="0" w:line="277" w:lineRule="auto"/>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Indenture dated as of December 3, 2013, among Schlumberger Investment SA, Schlumberger Limited and The Bank of New York Mellon Trust Company, N.A., as trustee.</w:t>
      </w:r>
    </w:p>
    <w:p>
      <w:pPr>
        <w:spacing w:after="0" w:line="62" w:lineRule="exact"/>
        <w:rPr>
          <w:sz w:val="20"/>
          <w:szCs w:val="20"/>
          <w:color w:val="auto"/>
        </w:rPr>
      </w:pPr>
    </w:p>
    <w:p>
      <w:pPr>
        <w:ind w:left="700" w:right="340" w:hanging="598"/>
        <w:spacing w:after="0" w:line="277" w:lineRule="auto"/>
        <w:tabs>
          <w:tab w:leader="none" w:pos="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First Supplemental Indenture dated as of December 3, 2013, among Schlumberger Investment SA, Schlumberger Limited and The Bank of New York Mellon Trust Company, N.A., as trustee.</w:t>
      </w:r>
    </w:p>
    <w:p>
      <w:pPr>
        <w:spacing w:after="0" w:line="62"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3.650% Senior Notes due 2023 (included as Exhibit A to Exhibit 4.2).</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Baker Botts L.L.P.</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Loyens &amp; Loeff Luxembourg S.à r.l.</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Opinion of STvB Advocaten.</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Baker Botts LLP (included in Exhibit 5.1).</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Loyens &amp; Loeff Luxembourg S.à r.l. (included in Exhibit 5.2).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STvB Advocaten (included in Exhibit 5.3).</w:t>
      </w:r>
    </w:p>
    <w:p>
      <w:pPr>
        <w:sectPr>
          <w:pgSz w:w="11900" w:h="16838" w:orient="portrait"/>
          <w:cols w:equalWidth="0" w:num="1">
            <w:col w:w="11420"/>
          </w:cols>
          <w:pgMar w:left="240" w:top="270" w:right="239" w:bottom="1440" w:gutter="0" w:footer="0" w:header="0"/>
        </w:sectPr>
      </w:pPr>
    </w:p>
    <w:bookmarkStart w:id="2" w:name="page3"/>
    <w:bookmarkEnd w:id="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2013</w:t>
      </w:r>
    </w:p>
    <w:p>
      <w:pPr>
        <w:sectPr>
          <w:pgSz w:w="11900" w:h="16838" w:orient="portrait"/>
          <w:cols w:equalWidth="0" w:num="1">
            <w:col w:w="10800"/>
          </w:cols>
          <w:pgMar w:left="240" w:top="270"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 MORGAN SECURITIES LLC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INVESTMENT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$1,500,000,000 3.650% Senior Notes due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guaranteed 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25,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Schlumberger Investment SA, a public limited liability company (société anonyme) organized under the laws of the Grand Duchy of Luxembourg and having its registered address at 5, Avenue Gaston Diderich, L-1420 Luxembourg, and registered with the Luxembourg Register of Commerce and Companies under number B 163.122 (the “</w:t>
      </w:r>
      <w:r>
        <w:rPr>
          <w:rFonts w:ascii="Arial" w:cs="Arial" w:eastAsia="Arial" w:hAnsi="Arial"/>
          <w:sz w:val="17"/>
          <w:szCs w:val="17"/>
          <w:u w:val="single" w:color="auto"/>
          <w:color w:val="auto"/>
        </w:rPr>
        <w:t>Company</w:t>
      </w:r>
      <w:r>
        <w:rPr>
          <w:rFonts w:ascii="Arial" w:cs="Arial" w:eastAsia="Arial" w:hAnsi="Arial"/>
          <w:sz w:val="17"/>
          <w:szCs w:val="17"/>
          <w:color w:val="auto"/>
        </w:rPr>
        <w:t>”), proposes to issue and sell to the several Underwriters listed in Schedule 1 hereto (the “</w:t>
      </w:r>
      <w:r>
        <w:rPr>
          <w:rFonts w:ascii="Arial" w:cs="Arial" w:eastAsia="Arial" w:hAnsi="Arial"/>
          <w:sz w:val="17"/>
          <w:szCs w:val="17"/>
          <w:u w:val="single" w:color="auto"/>
          <w:color w:val="auto"/>
        </w:rPr>
        <w:t>Underwriters</w:t>
      </w:r>
      <w:r>
        <w:rPr>
          <w:rFonts w:ascii="Arial" w:cs="Arial" w:eastAsia="Arial" w:hAnsi="Arial"/>
          <w:sz w:val="17"/>
          <w:szCs w:val="17"/>
          <w:color w:val="auto"/>
        </w:rPr>
        <w:t>”), for whom Citigroup Global Markets Inc., Deutsche Bank Securities Inc. and J.P. Morgan Securities LLC are acting as</w:t>
      </w:r>
    </w:p>
    <w:p>
      <w:pPr>
        <w:sectPr>
          <w:pgSz w:w="11900" w:h="16838" w:orient="portrait"/>
          <w:cols w:equalWidth="0" w:num="1">
            <w:col w:w="11420"/>
          </w:cols>
          <w:pgMar w:left="240" w:top="121" w:right="239" w:bottom="1440" w:gutter="0" w:footer="0" w:header="0"/>
        </w:sectPr>
      </w:pPr>
    </w:p>
    <w:bookmarkStart w:id="4" w:name="page5"/>
    <w:bookmarkEnd w:id="4"/>
    <w:p>
      <w:pPr>
        <w:jc w:val="both"/>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representatives (each a “</w:t>
      </w:r>
      <w:r>
        <w:rPr>
          <w:rFonts w:ascii="Arial" w:cs="Arial" w:eastAsia="Arial" w:hAnsi="Arial"/>
          <w:sz w:val="17"/>
          <w:szCs w:val="17"/>
          <w:u w:val="single" w:color="auto"/>
          <w:color w:val="auto"/>
        </w:rPr>
        <w:t>Representative</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Representatives</w:t>
      </w:r>
      <w:r>
        <w:rPr>
          <w:rFonts w:ascii="Arial" w:cs="Arial" w:eastAsia="Arial" w:hAnsi="Arial"/>
          <w:sz w:val="17"/>
          <w:szCs w:val="17"/>
          <w:color w:val="auto"/>
        </w:rPr>
        <w:t>”), $1,500,000,000 principal amount of its 3.650% Senior Notes due 2023 (the “</w:t>
      </w:r>
      <w:r>
        <w:rPr>
          <w:rFonts w:ascii="Arial" w:cs="Arial" w:eastAsia="Arial" w:hAnsi="Arial"/>
          <w:sz w:val="17"/>
          <w:szCs w:val="17"/>
          <w:u w:val="single" w:color="auto"/>
          <w:color w:val="auto"/>
        </w:rPr>
        <w:t>Securities</w:t>
      </w:r>
      <w:r>
        <w:rPr>
          <w:rFonts w:ascii="Arial" w:cs="Arial" w:eastAsia="Arial" w:hAnsi="Arial"/>
          <w:sz w:val="17"/>
          <w:szCs w:val="17"/>
          <w:color w:val="auto"/>
        </w:rPr>
        <w:t>”). The Securities will be issued pursuant to an Indenture to be dated as of December 3, 2013 (the “</w:t>
      </w:r>
      <w:r>
        <w:rPr>
          <w:rFonts w:ascii="Arial" w:cs="Arial" w:eastAsia="Arial" w:hAnsi="Arial"/>
          <w:sz w:val="17"/>
          <w:szCs w:val="17"/>
          <w:u w:val="single" w:color="auto"/>
          <w:color w:val="auto"/>
        </w:rPr>
        <w:t>Indenture</w:t>
      </w:r>
      <w:r>
        <w:rPr>
          <w:rFonts w:ascii="Arial" w:cs="Arial" w:eastAsia="Arial" w:hAnsi="Arial"/>
          <w:sz w:val="17"/>
          <w:szCs w:val="17"/>
          <w:color w:val="auto"/>
        </w:rPr>
        <w:t>”) among the Company, Schlumberger Limited, a Curacao corporation, as guarantor (the “</w:t>
      </w:r>
      <w:r>
        <w:rPr>
          <w:rFonts w:ascii="Arial" w:cs="Arial" w:eastAsia="Arial" w:hAnsi="Arial"/>
          <w:sz w:val="17"/>
          <w:szCs w:val="17"/>
          <w:u w:val="single" w:color="auto"/>
          <w:color w:val="auto"/>
        </w:rPr>
        <w:t>Guarantor</w:t>
      </w:r>
      <w:r>
        <w:rPr>
          <w:rFonts w:ascii="Arial" w:cs="Arial" w:eastAsia="Arial" w:hAnsi="Arial"/>
          <w:sz w:val="17"/>
          <w:szCs w:val="17"/>
          <w:color w:val="auto"/>
        </w:rPr>
        <w:t>”), and The Bank of New York Mellon Trust Company, N.A.,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and will be unconditionally guaranteed on an unsecured senior basis by the Guarantor (the “</w:t>
      </w:r>
      <w:r>
        <w:rPr>
          <w:rFonts w:ascii="Arial" w:cs="Arial" w:eastAsia="Arial" w:hAnsi="Arial"/>
          <w:sz w:val="17"/>
          <w:szCs w:val="17"/>
          <w:u w:val="single" w:color="auto"/>
          <w:color w:val="auto"/>
        </w:rPr>
        <w:t>Guarantee</w:t>
      </w:r>
      <w:r>
        <w:rPr>
          <w:rFonts w:ascii="Arial" w:cs="Arial" w:eastAsia="Arial" w:hAnsi="Arial"/>
          <w:sz w:val="17"/>
          <w:szCs w:val="17"/>
          <w:color w:val="auto"/>
        </w:rPr>
        <w:t>”).</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Company and the Guarantor hereby confirm their agreement with the several Underwriters concerning the purchase and sale of the Securities, as follows:</w:t>
      </w:r>
    </w:p>
    <w:p>
      <w:pPr>
        <w:spacing w:after="0" w:line="62" w:lineRule="exact"/>
        <w:rPr>
          <w:sz w:val="20"/>
          <w:szCs w:val="20"/>
          <w:color w:val="auto"/>
        </w:rPr>
      </w:pPr>
    </w:p>
    <w:p>
      <w:pPr>
        <w:ind w:firstLine="464"/>
        <w:spacing w:after="0" w:line="285" w:lineRule="auto"/>
        <w:tabs>
          <w:tab w:leader="none" w:pos="636"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and the Guarantor have prepared and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and the rules and regulations of the Commission thereunder (collectively,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 registration statement on Form S-3 (File No. 333-190822), including a prospectus, relating to the Securities. Such registration statement, as amended at the time it becomes effective, including the information, if any, deemed pursuant to Rule 430B under the Securities Act to be part of the registration statement at the time of its effectiveness (“</w:t>
      </w:r>
      <w:r>
        <w:rPr>
          <w:rFonts w:ascii="Arial" w:cs="Arial" w:eastAsia="Arial" w:hAnsi="Arial"/>
          <w:sz w:val="16"/>
          <w:szCs w:val="16"/>
          <w:u w:val="single" w:color="auto"/>
          <w:color w:val="auto"/>
        </w:rPr>
        <w:t>Rule 430 Information</w:t>
      </w:r>
      <w:r>
        <w:rPr>
          <w:rFonts w:ascii="Arial" w:cs="Arial" w:eastAsia="Arial" w:hAnsi="Arial"/>
          <w:sz w:val="16"/>
          <w:szCs w:val="16"/>
          <w:color w:val="auto"/>
        </w:rPr>
        <w:t>”), is referred to herein as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as used herein, the term “</w:t>
      </w:r>
      <w:r>
        <w:rPr>
          <w:rFonts w:ascii="Arial" w:cs="Arial" w:eastAsia="Arial" w:hAnsi="Arial"/>
          <w:sz w:val="16"/>
          <w:szCs w:val="16"/>
          <w:u w:val="single" w:color="auto"/>
          <w:color w:val="auto"/>
        </w:rPr>
        <w:t>Preliminary Prospectus</w:t>
      </w:r>
      <w:r>
        <w:rPr>
          <w:rFonts w:ascii="Arial" w:cs="Arial" w:eastAsia="Arial" w:hAnsi="Arial"/>
          <w:sz w:val="16"/>
          <w:szCs w:val="16"/>
          <w:color w:val="auto"/>
        </w:rPr>
        <w:t>” means each preliminary prospectus relating to the Securities filed with the Commission pursuant to Rule 424(b) under the Securities Act and the prospectus included in the Registration Statement at the time of its effectiveness that omits Rule 430 Information, and the term “</w:t>
      </w:r>
      <w:r>
        <w:rPr>
          <w:rFonts w:ascii="Arial" w:cs="Arial" w:eastAsia="Arial" w:hAnsi="Arial"/>
          <w:sz w:val="16"/>
          <w:szCs w:val="16"/>
          <w:u w:val="single" w:color="auto"/>
          <w:color w:val="auto"/>
        </w:rPr>
        <w:t>Prospectus</w:t>
      </w:r>
      <w:r>
        <w:rPr>
          <w:rFonts w:ascii="Arial" w:cs="Arial" w:eastAsia="Arial" w:hAnsi="Arial"/>
          <w:sz w:val="16"/>
          <w:szCs w:val="16"/>
          <w:color w:val="auto"/>
        </w:rPr>
        <w:t>” means the prospectus in the form first used (or made available upon request of purchasers pursuant to Rule 173 under the Securities Act) in connection with confirmation of sales of the Securities. If the Company and the Guarantor have filed an abbreviated registration statement pursuant to Rule 462(b) under the Securities Act (the “</w:t>
      </w:r>
      <w:r>
        <w:rPr>
          <w:rFonts w:ascii="Arial" w:cs="Arial" w:eastAsia="Arial" w:hAnsi="Arial"/>
          <w:sz w:val="16"/>
          <w:szCs w:val="16"/>
          <w:u w:val="single" w:color="auto"/>
          <w:color w:val="auto"/>
        </w:rPr>
        <w:t>Rule 462</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then any reference herein to the term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shall be deemed to include such Rule 462 Registration Statement. Any reference in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w:t>
      </w:r>
      <w:r>
        <w:rPr>
          <w:rFonts w:ascii="Arial" w:cs="Arial" w:eastAsia="Arial" w:hAnsi="Arial"/>
          <w:sz w:val="16"/>
          <w:szCs w:val="16"/>
          <w:u w:val="single" w:color="auto"/>
          <w:color w:val="auto"/>
        </w:rPr>
        <w:t>amend</w:t>
      </w:r>
      <w:r>
        <w:rPr>
          <w:rFonts w:ascii="Arial" w:cs="Arial" w:eastAsia="Arial" w:hAnsi="Arial"/>
          <w:sz w:val="16"/>
          <w:szCs w:val="16"/>
          <w:color w:val="auto"/>
        </w:rPr>
        <w:t>”, “</w:t>
      </w:r>
      <w:r>
        <w:rPr>
          <w:rFonts w:ascii="Arial" w:cs="Arial" w:eastAsia="Arial" w:hAnsi="Arial"/>
          <w:sz w:val="16"/>
          <w:szCs w:val="16"/>
          <w:u w:val="single" w:color="auto"/>
          <w:color w:val="auto"/>
        </w:rPr>
        <w:t>amendment</w:t>
      </w:r>
      <w:r>
        <w:rPr>
          <w:rFonts w:ascii="Arial" w:cs="Arial" w:eastAsia="Arial" w:hAnsi="Arial"/>
          <w:sz w:val="16"/>
          <w:szCs w:val="16"/>
          <w:color w:val="auto"/>
        </w:rPr>
        <w:t>” or “</w:t>
      </w:r>
      <w:r>
        <w:rPr>
          <w:rFonts w:ascii="Arial" w:cs="Arial" w:eastAsia="Arial" w:hAnsi="Arial"/>
          <w:sz w:val="16"/>
          <w:szCs w:val="16"/>
          <w:u w:val="single" w:color="auto"/>
          <w:color w:val="auto"/>
        </w:rPr>
        <w:t>supplement</w:t>
      </w:r>
      <w:r>
        <w:rPr>
          <w:rFonts w:ascii="Arial" w:cs="Arial" w:eastAsia="Arial" w:hAnsi="Arial"/>
          <w:sz w:val="16"/>
          <w:szCs w:val="16"/>
          <w:color w:val="auto"/>
        </w:rPr>
        <w: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that are deemed to be incorporated by reference therein. Capitalized terms used but not defined herein shall have the meanings given to such terms in the Registration Statement and the Prospectus.</w:t>
      </w:r>
    </w:p>
    <w:p>
      <w:pPr>
        <w:spacing w:after="0" w:line="17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At or prior to the Time of Sale (as defined below) , the Company and the Guarantor had prepared the following information (collectively, the “</w:t>
      </w:r>
      <w:r>
        <w:rPr>
          <w:rFonts w:ascii="Arial" w:cs="Arial" w:eastAsia="Arial" w:hAnsi="Arial"/>
          <w:sz w:val="18"/>
          <w:szCs w:val="18"/>
          <w:u w:val="single" w:color="auto"/>
          <w:color w:val="auto"/>
        </w:rPr>
        <w:t>Time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Sale Information</w:t>
      </w:r>
      <w:r>
        <w:rPr>
          <w:rFonts w:ascii="Arial" w:cs="Arial" w:eastAsia="Arial" w:hAnsi="Arial"/>
          <w:sz w:val="18"/>
          <w:szCs w:val="18"/>
          <w:color w:val="auto"/>
        </w:rPr>
        <w:t>”): a Preliminary Prospectus dated November 25, 2013, and each “</w:t>
      </w:r>
      <w:r>
        <w:rPr>
          <w:rFonts w:ascii="Arial" w:cs="Arial" w:eastAsia="Arial" w:hAnsi="Arial"/>
          <w:sz w:val="18"/>
          <w:szCs w:val="18"/>
          <w:u w:val="single" w:color="auto"/>
          <w:color w:val="auto"/>
        </w:rPr>
        <w:t>free-writing prospectus</w:t>
      </w:r>
      <w:r>
        <w:rPr>
          <w:rFonts w:ascii="Arial" w:cs="Arial" w:eastAsia="Arial" w:hAnsi="Arial"/>
          <w:sz w:val="18"/>
          <w:szCs w:val="18"/>
          <w:color w:val="auto"/>
        </w:rPr>
        <w:t>” (as defined pursuant to Rule 405 under the Securities Act) listed on Annex A 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Time of Sale</w:t>
      </w:r>
      <w:r>
        <w:rPr>
          <w:rFonts w:ascii="Arial" w:cs="Arial" w:eastAsia="Arial" w:hAnsi="Arial"/>
          <w:sz w:val="18"/>
          <w:szCs w:val="18"/>
          <w:color w:val="auto"/>
        </w:rPr>
        <w:t>” means 3:00 p.m., New York City time, on November 25, 2013.</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ind w:left="600" w:hanging="17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of the Securities by the Underwriters</w:t>
      </w:r>
      <w:r>
        <w:rPr>
          <w:rFonts w:ascii="Arial" w:cs="Arial" w:eastAsia="Arial" w:hAnsi="Arial"/>
          <w:sz w:val="18"/>
          <w:szCs w:val="18"/>
          <w:color w:val="auto"/>
        </w:rPr>
        <w:t>.</w:t>
      </w:r>
    </w:p>
    <w:p>
      <w:pPr>
        <w:spacing w:after="0" w:line="117" w:lineRule="exact"/>
        <w:rPr>
          <w:sz w:val="20"/>
          <w:szCs w:val="20"/>
          <w:color w:val="auto"/>
        </w:rPr>
      </w:pPr>
    </w:p>
    <w:p>
      <w:pPr>
        <w:ind w:left="-40" w:right="100" w:firstLine="464"/>
        <w:spacing w:after="0" w:line="297" w:lineRule="auto"/>
        <w:tabs>
          <w:tab w:leader="none" w:pos="66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principal amount of Securities set forth opposite such Underwriter's name in Schedule 1 hereto at a price equal to 99.210% of the principal amount thereof plus accrued interest, if any, from December 3, 2013 to the Closing Date (as defined below). The Company will not be obligated to deliver any of the Securities except upon payment for all the Securities to be purchased as provided herein.</w:t>
      </w:r>
    </w:p>
    <w:p>
      <w:pPr>
        <w:spacing w:after="0" w:line="50" w:lineRule="exact"/>
        <w:rPr>
          <w:rFonts w:ascii="Arial" w:cs="Arial" w:eastAsia="Arial" w:hAnsi="Arial"/>
          <w:sz w:val="16"/>
          <w:szCs w:val="16"/>
          <w:color w:val="auto"/>
        </w:rPr>
      </w:pPr>
    </w:p>
    <w:p>
      <w:pPr>
        <w:ind w:left="-40" w:right="140" w:firstLine="464"/>
        <w:spacing w:after="0" w:line="279" w:lineRule="auto"/>
        <w:tabs>
          <w:tab w:leader="none" w:pos="671"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and the Guarantor understand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and the Guarantor acknowledge and agree that the Underwriters may offer and sell Securities to or through any affiliate of an Underwriter and that any such affiliate may offer and sell Securities purchased by it to or through any Underwriter.</w:t>
      </w:r>
    </w:p>
    <w:p>
      <w:pPr>
        <w:spacing w:after="0" w:line="63" w:lineRule="exact"/>
        <w:rPr>
          <w:rFonts w:ascii="Arial" w:cs="Arial" w:eastAsia="Arial" w:hAnsi="Arial"/>
          <w:sz w:val="17"/>
          <w:szCs w:val="17"/>
          <w:color w:val="auto"/>
        </w:rPr>
      </w:pPr>
    </w:p>
    <w:p>
      <w:pPr>
        <w:ind w:left="-40" w:right="40" w:firstLine="464"/>
        <w:spacing w:after="0" w:line="312" w:lineRule="auto"/>
        <w:tabs>
          <w:tab w:leader="none" w:pos="661" w:val="left"/>
        </w:tabs>
        <w:numPr>
          <w:ilvl w:val="0"/>
          <w:numId w:val="5"/>
        </w:numPr>
        <w:rPr>
          <w:rFonts w:ascii="Arial" w:cs="Arial" w:eastAsia="Arial" w:hAnsi="Arial"/>
          <w:sz w:val="16"/>
          <w:szCs w:val="16"/>
          <w:color w:val="auto"/>
        </w:rPr>
      </w:pPr>
      <w:r>
        <w:rPr>
          <w:rFonts w:ascii="Arial" w:cs="Arial" w:eastAsia="Arial" w:hAnsi="Arial"/>
          <w:sz w:val="16"/>
          <w:szCs w:val="16"/>
          <w:color w:val="auto"/>
        </w:rPr>
        <w:t>Payment for and delivery of the Securities will be made at the offices of Davis Polk &amp; Wardwell LLP at 10:00 A.M., New York City time, on December 3, 2013, or at such other time or place on the same or such other date, not later than the fifth business day thereafter, as the Representatives and the Company may agree upon in writing. The time and date of such payment and delivery is referred to herein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40" w:right="40" w:firstLine="464"/>
        <w:spacing w:after="0" w:line="257" w:lineRule="auto"/>
        <w:tabs>
          <w:tab w:leader="none" w:pos="671"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Payment for the Securities shall be made by wire transfer in immediately available funds to the account(s) specified by the Company to the Representatives against delivery to the nominee of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for the account of the Underwriters, of one or more global notes representing the Securities (collectively, the “</w:t>
      </w:r>
      <w:r>
        <w:rPr>
          <w:rFonts w:ascii="Arial" w:cs="Arial" w:eastAsia="Arial" w:hAnsi="Arial"/>
          <w:sz w:val="18"/>
          <w:szCs w:val="18"/>
          <w:u w:val="single" w:color="auto"/>
          <w:color w:val="auto"/>
        </w:rPr>
        <w:t>Global Note</w:t>
      </w:r>
      <w:r>
        <w:rPr>
          <w:rFonts w:ascii="Arial" w:cs="Arial" w:eastAsia="Arial" w:hAnsi="Arial"/>
          <w:sz w:val="18"/>
          <w:szCs w:val="18"/>
          <w:color w:val="auto"/>
        </w:rPr>
        <w:t>”), with any transfer taxes payable in connection with the sale of the Securities duly paid by the Company. The Global Note will be made available for inspection by the Representatives not later than 1:00 P.M., New York City time, on the business day prior to the Closing Date.</w:t>
      </w:r>
    </w:p>
    <w:p>
      <w:pPr>
        <w:spacing w:after="0" w:line="80" w:lineRule="exact"/>
        <w:rPr>
          <w:rFonts w:ascii="Arial" w:cs="Arial" w:eastAsia="Arial" w:hAnsi="Arial"/>
          <w:sz w:val="18"/>
          <w:szCs w:val="18"/>
          <w:color w:val="auto"/>
        </w:rPr>
      </w:pPr>
    </w:p>
    <w:p>
      <w:pPr>
        <w:ind w:left="-40" w:firstLine="464"/>
        <w:spacing w:after="0" w:line="257" w:lineRule="auto"/>
        <w:tabs>
          <w:tab w:leader="none" w:pos="66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and the Guarantor acknowledge and agree that each Underwriter is acting solely in the capacity of an arm’s length contractual counterparty to the Company and the Guarantor with respect to the offering of Securities contemplated hereby (including in connection with determining the terms of the offering) and not as a financial advisor or a fiduciary to, or an agent of, the Company, the Guarantor or any other person. Additionally, neither the Representatives nor any other Underwriter is advising the Company, the Guarantor or any other person as to any legal, tax, investment, accounting or regulatory matters in any jurisdiction. The Company and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74" w:right="259" w:bottom="1440" w:gutter="0" w:footer="0" w:header="0"/>
        </w:sectPr>
      </w:pPr>
    </w:p>
    <w:bookmarkStart w:id="6" w:name="page7"/>
    <w:bookmarkEnd w:id="6"/>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Guarantor shall consult with their own advisors concerning such matters and shall be responsible for making their own independent investigation and appraisal of the transactions contemplated hereby, and neither the Representatives nor any other Underwriter shall have any responsibility or liability to the Company or the Guarantor with respect thereto. Any review by the Representatives or any Underwriter of the Company, the Guarantor, the transactions contemplated hereby or other matters relating to such transactions will be performed solely for the benefit of the Representatives or such Underwriter and shall not be on behalf of the Company or the Guarantor or any other person.</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3A. </w:t>
      </w:r>
      <w:r>
        <w:rPr>
          <w:rFonts w:ascii="Arial" w:cs="Arial" w:eastAsia="Arial" w:hAnsi="Arial"/>
          <w:sz w:val="18"/>
          <w:szCs w:val="18"/>
          <w:u w:val="single" w:color="auto"/>
          <w:color w:val="auto"/>
        </w:rPr>
        <w:t>Representations and Warranties of the Company and the Guarantor</w:t>
      </w:r>
      <w:r>
        <w:rPr>
          <w:rFonts w:ascii="Arial" w:cs="Arial" w:eastAsia="Arial" w:hAnsi="Arial"/>
          <w:sz w:val="18"/>
          <w:szCs w:val="18"/>
          <w:color w:val="auto"/>
        </w:rPr>
        <w:t>. The Company and the Guarantor jointly and severally represent and warrant to each Underwriter that:</w:t>
      </w:r>
    </w:p>
    <w:p>
      <w:pPr>
        <w:spacing w:after="0" w:line="62" w:lineRule="exact"/>
        <w:rPr>
          <w:sz w:val="20"/>
          <w:szCs w:val="20"/>
          <w:color w:val="auto"/>
        </w:rPr>
      </w:pPr>
    </w:p>
    <w:p>
      <w:pPr>
        <w:ind w:right="20" w:firstLine="464"/>
        <w:spacing w:after="0" w:line="255" w:lineRule="auto"/>
        <w:tabs>
          <w:tab w:leader="none" w:pos="701"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Preliminary Prospectus. </w:t>
      </w:r>
      <w:r>
        <w:rPr>
          <w:rFonts w:ascii="Arial" w:cs="Arial" w:eastAsia="Arial" w:hAnsi="Arial"/>
          <w:sz w:val="18"/>
          <w:szCs w:val="18"/>
          <w:color w:val="auto"/>
        </w:rPr>
        <w:t>No order preventing or suspending the use of any Preliminary Prospectus has been issued by the Commission,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and the Guarantor make no representation or warranty with respect to any statements or omissions in the Preliminary Prospectus based upon information relating to any Underwriter furnished to the Company in writing through the Representatives expressly for use therein.</w:t>
      </w:r>
    </w:p>
    <w:p>
      <w:pPr>
        <w:spacing w:after="0" w:line="85" w:lineRule="exact"/>
        <w:rPr>
          <w:rFonts w:ascii="Arial" w:cs="Arial" w:eastAsia="Arial" w:hAnsi="Arial"/>
          <w:sz w:val="18"/>
          <w:szCs w:val="18"/>
          <w:color w:val="auto"/>
        </w:rPr>
      </w:pPr>
    </w:p>
    <w:p>
      <w:pPr>
        <w:ind w:right="60" w:firstLine="464"/>
        <w:spacing w:after="0" w:line="293" w:lineRule="auto"/>
        <w:tabs>
          <w:tab w:leader="none" w:pos="711"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Time of Sale Information</w:t>
      </w:r>
      <w:r>
        <w:rPr>
          <w:rFonts w:ascii="Arial" w:cs="Arial" w:eastAsia="Arial" w:hAnsi="Arial"/>
          <w:sz w:val="16"/>
          <w:szCs w:val="16"/>
          <w:color w:val="auto"/>
        </w:rPr>
        <w:t>. The Time of Sale Information, at the Time of Sale did not, and at the Closing Date will not, contain any untrue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and the Guarantor make no representation or warranty with respect to any statements or omissions in the Time of Sale Information based upon information relating to any Underwriter furnished to the Company in writing through the Representatives expressly for use therein.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56" w:lineRule="exact"/>
        <w:rPr>
          <w:rFonts w:ascii="Arial" w:cs="Arial" w:eastAsia="Arial" w:hAnsi="Arial"/>
          <w:sz w:val="16"/>
          <w:szCs w:val="16"/>
          <w:color w:val="auto"/>
        </w:rPr>
      </w:pPr>
    </w:p>
    <w:p>
      <w:pPr>
        <w:ind w:right="20" w:firstLine="464"/>
        <w:spacing w:after="0" w:line="255" w:lineRule="auto"/>
        <w:tabs>
          <w:tab w:leader="none" w:pos="701"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Issuer Free Writing Prospectus. </w:t>
      </w:r>
      <w:r>
        <w:rPr>
          <w:rFonts w:ascii="Arial" w:cs="Arial" w:eastAsia="Arial" w:hAnsi="Arial"/>
          <w:sz w:val="18"/>
          <w:szCs w:val="18"/>
          <w:color w:val="auto"/>
        </w:rPr>
        <w:t>The Company (including its agents and representatives, other than the Underwriters in their capacity as such) has</w:t>
      </w:r>
      <w:r>
        <w:rPr>
          <w:rFonts w:ascii="Arial" w:cs="Arial" w:eastAsia="Arial" w:hAnsi="Arial"/>
          <w:sz w:val="18"/>
          <w:szCs w:val="18"/>
          <w:i w:val="1"/>
          <w:iCs w:val="1"/>
          <w:color w:val="auto"/>
        </w:rPr>
        <w:t xml:space="preserve"> </w:t>
      </w:r>
      <w:r>
        <w:rPr>
          <w:rFonts w:ascii="Arial" w:cs="Arial" w:eastAsia="Arial" w:hAnsi="Arial"/>
          <w:sz w:val="18"/>
          <w:szCs w:val="18"/>
          <w:color w:val="auto"/>
        </w:rPr>
        <w:t>not prepared, made, used, authorized, approved or referred to and will not prepare, make, use, authorize, approve or refer to any “</w:t>
      </w:r>
      <w:r>
        <w:rPr>
          <w:rFonts w:ascii="Arial" w:cs="Arial" w:eastAsia="Arial" w:hAnsi="Arial"/>
          <w:sz w:val="18"/>
          <w:szCs w:val="18"/>
          <w:u w:val="single" w:color="auto"/>
          <w:color w:val="auto"/>
        </w:rPr>
        <w:t>written communication</w:t>
      </w:r>
      <w:r>
        <w:rPr>
          <w:rFonts w:ascii="Arial" w:cs="Arial" w:eastAsia="Arial" w:hAnsi="Arial"/>
          <w:sz w:val="18"/>
          <w:szCs w:val="18"/>
          <w:color w:val="auto"/>
        </w:rPr>
        <w:t>” (as defined in Rule 405 under the Securities Act) that constitutes an offer to sell or solicitation of an offer to buy the Securities (each such communication by the Company or its agents and representatives (other than a communication referred to in clauses (i), (ii), (iii) and (iv) below) an “</w:t>
      </w:r>
      <w:r>
        <w:rPr>
          <w:rFonts w:ascii="Arial" w:cs="Arial" w:eastAsia="Arial" w:hAnsi="Arial"/>
          <w:sz w:val="18"/>
          <w:szCs w:val="18"/>
          <w:u w:val="single" w:color="auto"/>
          <w:color w:val="auto"/>
        </w:rPr>
        <w:t>Issuer Free Writing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Prospectus</w:t>
      </w:r>
      <w:r>
        <w:rPr>
          <w:rFonts w:ascii="Arial" w:cs="Arial" w:eastAsia="Arial" w:hAnsi="Arial"/>
          <w:sz w:val="18"/>
          <w:szCs w:val="18"/>
          <w:color w:val="auto"/>
        </w:rPr>
        <w:t>”) other than (i) any document not constituting a prospectus pursuant to Section 2(a)(10)(a) of the Securities Act or Rule 134 under the Securities Act, (ii) the Preliminary Prospectus, (iii) the Prospectus, (iv) the documents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7" w:name="page8"/>
    <w:bookmarkEnd w:id="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listed on Annex A hereto as constituting part of the Time of Sale Information and (v) any electronic road show or other written communications, in each case used in accordance with Section 4(c).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did not at the Time of Sale,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and the Guarantor make no representation or warranty with respect to any statements or omissions in the Issuer Free Writing Prospectus based upon information relating to any Underwriter furnished to the Company in writing through the Representatives expressly for use therein.</w:t>
      </w:r>
    </w:p>
    <w:p>
      <w:pPr>
        <w:spacing w:after="0" w:line="71" w:lineRule="exact"/>
        <w:rPr>
          <w:sz w:val="20"/>
          <w:szCs w:val="20"/>
          <w:color w:val="auto"/>
        </w:rPr>
      </w:pPr>
    </w:p>
    <w:p>
      <w:pPr>
        <w:ind w:right="20" w:firstLine="464"/>
        <w:spacing w:after="0" w:line="286" w:lineRule="auto"/>
        <w:tabs>
          <w:tab w:leader="none" w:pos="711"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The Registration Statement is an “automatic shelf registration statement” as defined under Rule 405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to the knowledge of the Company or the Guarantor,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thereunder (collectively, the “</w:t>
      </w:r>
      <w:r>
        <w:rPr>
          <w:rFonts w:ascii="Arial" w:cs="Arial" w:eastAsia="Arial" w:hAnsi="Arial"/>
          <w:sz w:val="16"/>
          <w:szCs w:val="16"/>
          <w:u w:val="single" w:color="auto"/>
          <w:color w:val="auto"/>
        </w:rPr>
        <w:t>Trust Indenture Act</w:t>
      </w:r>
      <w:r>
        <w:rPr>
          <w:rFonts w:ascii="Arial" w:cs="Arial" w:eastAsia="Arial" w:hAnsi="Arial"/>
          <w:sz w:val="16"/>
          <w:szCs w:val="16"/>
          <w:color w:val="auto"/>
        </w:rPr>
        <w:t xml:space="preserve">”), and did not and will not contain any untrue statement of a material fact or omit to state a material fact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and the Guarantor make no representation or warranty with respect to (i) that part of the Registration Statement that constitutes the Statement of Eligibility and Qualification (Form T-1) of the Trustee under the Trust Indenture Act or (ii) any statements or omissions in the Registration Statement and the Prospectus and any amendment or supplement thereto based upon information relating to any Underwriter furnished to the Company in writing through the Representatives expressly for use therein.</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8" w:name="page9"/>
    <w:bookmarkEnd w:id="8"/>
    <w:p>
      <w:pPr>
        <w:ind w:left="-20" w:right="80" w:firstLine="464"/>
        <w:spacing w:after="0" w:line="255" w:lineRule="auto"/>
        <w:tabs>
          <w:tab w:leader="none" w:pos="681"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Organization and Good Standing of the Company</w:t>
      </w:r>
      <w:r>
        <w:rPr>
          <w:rFonts w:ascii="Arial" w:cs="Arial" w:eastAsia="Arial" w:hAnsi="Arial"/>
          <w:sz w:val="18"/>
          <w:szCs w:val="18"/>
          <w:color w:val="auto"/>
        </w:rPr>
        <w:t>. The Company has been duly incorporated, is validly existing as a corporation in good 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applicable, under the laws of the jurisdiction of its incorporation, has the corporate power and authority to own its property and to conduct its business and is duly qualified to transact business and is in good standing, to the extent applicable, in each jurisdiction in which the conduct of its business or its ownership or leasing of property requires such qualification, except to the extent that the failure to be so qualified or be in good standing, to the extent applicable, would not be reasonably expected to have a material adverse effect on the financial condition, results of operations or business of the Guarantor and its subsidiaries, taken as a whole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jc w:val="both"/>
        <w:ind w:left="-20" w:right="40" w:firstLine="464"/>
        <w:spacing w:after="0" w:line="279" w:lineRule="auto"/>
        <w:tabs>
          <w:tab w:leader="none" w:pos="661"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Due Authorization</w:t>
      </w:r>
      <w:r>
        <w:rPr>
          <w:rFonts w:ascii="Arial" w:cs="Arial" w:eastAsia="Arial" w:hAnsi="Arial"/>
          <w:sz w:val="17"/>
          <w:szCs w:val="17"/>
          <w:color w:val="auto"/>
        </w:rPr>
        <w:t>. The Company has all requisite right, power and authority to execute and deliver the Securities and the Company has all requisite</w:t>
      </w:r>
      <w:r>
        <w:rPr>
          <w:rFonts w:ascii="Arial" w:cs="Arial" w:eastAsia="Arial" w:hAnsi="Arial"/>
          <w:sz w:val="17"/>
          <w:szCs w:val="17"/>
          <w:i w:val="1"/>
          <w:iCs w:val="1"/>
          <w:color w:val="auto"/>
        </w:rPr>
        <w:t xml:space="preserve"> </w:t>
      </w:r>
      <w:r>
        <w:rPr>
          <w:rFonts w:ascii="Arial" w:cs="Arial" w:eastAsia="Arial" w:hAnsi="Arial"/>
          <w:sz w:val="17"/>
          <w:szCs w:val="17"/>
          <w:color w:val="auto"/>
        </w:rPr>
        <w:t>right, power and authority to execute and deliver this Agreement and the Indenture (collectively, the “</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and to perform its obligations hereunder and thereunder; and all corporate action required to be taken by it for the due and proper authorization, execution and delivery of each of the Transaction Documents and the consummation of the transactions contemplated thereby has been duly and validly taken.</w:t>
      </w:r>
    </w:p>
    <w:p>
      <w:pPr>
        <w:spacing w:after="0" w:line="63" w:lineRule="exact"/>
        <w:rPr>
          <w:rFonts w:ascii="Arial" w:cs="Arial" w:eastAsia="Arial" w:hAnsi="Arial"/>
          <w:sz w:val="17"/>
          <w:szCs w:val="17"/>
          <w:color w:val="auto"/>
        </w:rPr>
      </w:pPr>
    </w:p>
    <w:p>
      <w:pPr>
        <w:ind w:left="-20" w:right="20" w:firstLine="464"/>
        <w:spacing w:after="0" w:line="259" w:lineRule="auto"/>
        <w:tabs>
          <w:tab w:leader="none" w:pos="691"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The Indenture. </w:t>
      </w:r>
      <w:r>
        <w:rPr>
          <w:rFonts w:ascii="Arial" w:cs="Arial" w:eastAsia="Arial" w:hAnsi="Arial"/>
          <w:sz w:val="18"/>
          <w:szCs w:val="18"/>
          <w:color w:val="auto"/>
        </w:rPr>
        <w:t>The Indenture has been duly authorized, executed and delivered by, and is a valid and binding agreement of, the Company (assuming</w:t>
      </w:r>
      <w:r>
        <w:rPr>
          <w:rFonts w:ascii="Arial" w:cs="Arial" w:eastAsia="Arial" w:hAnsi="Arial"/>
          <w:sz w:val="18"/>
          <w:szCs w:val="18"/>
          <w:i w:val="1"/>
          <w:iCs w:val="1"/>
          <w:color w:val="auto"/>
        </w:rPr>
        <w:t xml:space="preserve"> </w:t>
      </w:r>
      <w:r>
        <w:rPr>
          <w:rFonts w:ascii="Arial" w:cs="Arial" w:eastAsia="Arial" w:hAnsi="Arial"/>
          <w:sz w:val="18"/>
          <w:szCs w:val="18"/>
          <w:color w:val="auto"/>
        </w:rPr>
        <w:t>the due authorization, execution and delivery of the other parties thereto), enforceable in accordance with its terms, subject to applicable bankruptcy, insolvency, fraudulent transfer, reorganization, moratorium or similar laws affecting creditors’ rights generally and general principles of equity (collectively, the “</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20" w:firstLine="464"/>
        <w:spacing w:after="0" w:line="312" w:lineRule="auto"/>
        <w:tabs>
          <w:tab w:leader="none" w:pos="69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Securities. The Securities have been duly authorized by the Company and, when executed and authenticated in accordance with the provisions of the Indenture and delivered to and paid for by the Underwriters in accordance with the terms of this Agreement, will be valid and binding obligations of the Company, enforceable in accordance with their terms, subject to the Enforceability Exceptions, and will be entitled to the benefits of the Indenture.</w:t>
      </w:r>
    </w:p>
    <w:p>
      <w:pPr>
        <w:spacing w:after="0" w:line="38" w:lineRule="exact"/>
        <w:rPr>
          <w:rFonts w:ascii="Arial" w:cs="Arial" w:eastAsia="Arial" w:hAnsi="Arial"/>
          <w:sz w:val="16"/>
          <w:szCs w:val="16"/>
          <w:color w:val="auto"/>
        </w:rPr>
      </w:pPr>
    </w:p>
    <w:p>
      <w:pPr>
        <w:ind w:left="660" w:hanging="21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Underwriting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left="-20" w:right="300" w:firstLine="464"/>
        <w:spacing w:after="0" w:line="277" w:lineRule="auto"/>
        <w:tabs>
          <w:tab w:leader="none" w:pos="651"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Descriptions of the Transaction Documents</w:t>
      </w:r>
      <w:r>
        <w:rPr>
          <w:rFonts w:ascii="Arial" w:cs="Arial" w:eastAsia="Arial" w:hAnsi="Arial"/>
          <w:sz w:val="18"/>
          <w:szCs w:val="18"/>
          <w:color w:val="auto"/>
        </w:rPr>
        <w:t>. Each Transaction Document conforms in all material respects to the description thereof contained in</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Time of Sale Information and the Prospectus.</w:t>
      </w:r>
    </w:p>
    <w:p>
      <w:pPr>
        <w:spacing w:after="0" w:line="62" w:lineRule="exact"/>
        <w:rPr>
          <w:rFonts w:ascii="Arial" w:cs="Arial" w:eastAsia="Arial" w:hAnsi="Arial"/>
          <w:sz w:val="18"/>
          <w:szCs w:val="18"/>
          <w:color w:val="auto"/>
        </w:rPr>
      </w:pPr>
    </w:p>
    <w:p>
      <w:pPr>
        <w:ind w:left="-20" w:right="120" w:firstLine="464"/>
        <w:spacing w:after="0" w:line="273" w:lineRule="auto"/>
        <w:tabs>
          <w:tab w:leader="none" w:pos="691"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No Violation or Default</w:t>
      </w:r>
      <w:r>
        <w:rPr>
          <w:rFonts w:ascii="Arial" w:cs="Arial" w:eastAsia="Arial" w:hAnsi="Arial"/>
          <w:sz w:val="17"/>
          <w:szCs w:val="17"/>
          <w:color w:val="auto"/>
        </w:rPr>
        <w:t>. The Company is not (i) in violation of its charter or by-laws or similar organizational documents; (ii) in default, and no</w:t>
      </w:r>
      <w:r>
        <w:rPr>
          <w:rFonts w:ascii="Arial" w:cs="Arial" w:eastAsia="Arial" w:hAnsi="Arial"/>
          <w:sz w:val="17"/>
          <w:szCs w:val="17"/>
          <w:i w:val="1"/>
          <w:iCs w:val="1"/>
          <w:color w:val="auto"/>
        </w:rPr>
        <w:t xml:space="preserve"> </w:t>
      </w:r>
      <w:r>
        <w:rPr>
          <w:rFonts w:ascii="Arial" w:cs="Arial" w:eastAsia="Arial" w:hAnsi="Arial"/>
          <w:sz w:val="17"/>
          <w:szCs w:val="17"/>
          <w:color w:val="auto"/>
        </w:rPr>
        <w:t>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be reasonably expected to have a Material Adverse Effect.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74" w:right="239" w:bottom="1440" w:gutter="0" w:footer="0" w:header="0"/>
        </w:sectPr>
      </w:pPr>
    </w:p>
    <w:bookmarkStart w:id="9" w:name="page10"/>
    <w:bookmarkEnd w:id="9"/>
    <w:p>
      <w:pPr>
        <w:ind w:left="-80" w:right="100" w:firstLine="464"/>
        <w:spacing w:after="0" w:line="271" w:lineRule="auto"/>
        <w:tabs>
          <w:tab w:leader="none" w:pos="591"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Conflicts; No Consents Required</w:t>
      </w:r>
      <w:r>
        <w:rPr>
          <w:rFonts w:ascii="Arial" w:cs="Arial" w:eastAsia="Arial" w:hAnsi="Arial"/>
          <w:sz w:val="17"/>
          <w:szCs w:val="17"/>
          <w:color w:val="auto"/>
        </w:rPr>
        <w:t>. The execution and delivery by the Company, and the performance by the Company of its obligations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the Indenture and the Securities will not contravene (i) any provision of applicable law; (ii) the articles of incorporation or by-laws of the Company; (iii) any agreement or other instrument binding upon the Company; or (iv) any judgment, order or decree of any governmental body, agency or court having jurisdiction over the Company, except, in the case of clauses (i), (iii) and (iv) above, for any such contravention that would not reasonably be expected to, individually or in the aggregate, have a Material Adverse Effect, and no consent, approval, authorization or order of, or qualification with, any governmental body or agency is required for the performance by the Company of its obligations under the Transaction Documents or the Securities, except such as may be required by the securities or Blue Sky laws of the various states of the United States of America or comparable laws of other jurisdictions in connection with the offer and sale of the Securities.</w:t>
      </w:r>
    </w:p>
    <w:p>
      <w:pPr>
        <w:spacing w:after="0" w:line="70" w:lineRule="exact"/>
        <w:rPr>
          <w:rFonts w:ascii="Arial" w:cs="Arial" w:eastAsia="Arial" w:hAnsi="Arial"/>
          <w:sz w:val="17"/>
          <w:szCs w:val="17"/>
          <w:color w:val="auto"/>
        </w:rPr>
      </w:pPr>
    </w:p>
    <w:p>
      <w:pPr>
        <w:ind w:left="-80" w:firstLine="464"/>
        <w:spacing w:after="0" w:line="257" w:lineRule="auto"/>
        <w:tabs>
          <w:tab w:leader="none" w:pos="681"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Legal Proceedings</w:t>
      </w:r>
      <w:r>
        <w:rPr>
          <w:rFonts w:ascii="Arial" w:cs="Arial" w:eastAsia="Arial" w:hAnsi="Arial"/>
          <w:sz w:val="18"/>
          <w:szCs w:val="18"/>
          <w:color w:val="auto"/>
        </w:rPr>
        <w:t>. There are no legal or governmental proceedings pending or, to the knowledge of the Company, threatened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a party or to which any of the properties of the Company is subject other than proceedings described in each of the Time of Sale Information and the Prospectus and proceedings that would not be reasonably expected to have a Material Adverse Effect or a material adverse effect on the power or ability of the Company to perform its obligations under this Agreement, the Indenture or the Securities or to consummate the transactions contemplated by the Prospectus.</w:t>
      </w:r>
    </w:p>
    <w:p>
      <w:pPr>
        <w:spacing w:after="0" w:line="80" w:lineRule="exact"/>
        <w:rPr>
          <w:rFonts w:ascii="Arial" w:cs="Arial" w:eastAsia="Arial" w:hAnsi="Arial"/>
          <w:sz w:val="18"/>
          <w:szCs w:val="18"/>
          <w:color w:val="auto"/>
        </w:rPr>
      </w:pPr>
    </w:p>
    <w:p>
      <w:pPr>
        <w:ind w:left="-80" w:right="60" w:firstLine="464"/>
        <w:spacing w:after="0" w:line="264" w:lineRule="auto"/>
        <w:tabs>
          <w:tab w:leader="none" w:pos="631"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is and, after giving effect to the offering and sale of the Securities and the application of the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as described in each of the Time of Sale Information and the Prospectus, will be exempt from regulation as an “investment company” as such term is defined in the Investment Company Act of 1940, as amended.</w:t>
      </w:r>
    </w:p>
    <w:p>
      <w:pPr>
        <w:spacing w:after="0" w:line="73" w:lineRule="exact"/>
        <w:rPr>
          <w:rFonts w:ascii="Arial" w:cs="Arial" w:eastAsia="Arial" w:hAnsi="Arial"/>
          <w:sz w:val="18"/>
          <w:szCs w:val="18"/>
          <w:color w:val="auto"/>
        </w:rPr>
      </w:pPr>
    </w:p>
    <w:p>
      <w:pPr>
        <w:ind w:left="-80" w:right="80" w:firstLine="464"/>
        <w:spacing w:after="0" w:line="277" w:lineRule="auto"/>
        <w:tabs>
          <w:tab w:leader="none" w:pos="631"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No Stabilization</w:t>
      </w:r>
      <w:r>
        <w:rPr>
          <w:rFonts w:ascii="Arial" w:cs="Arial" w:eastAsia="Arial" w:hAnsi="Arial"/>
          <w:sz w:val="18"/>
          <w:szCs w:val="18"/>
          <w:color w:val="auto"/>
        </w:rPr>
        <w:t>. The Company has not taken, directly or indirectly, any action designed to or that would reasonably be expected to cause or result</w:t>
      </w:r>
      <w:r>
        <w:rPr>
          <w:rFonts w:ascii="Arial" w:cs="Arial" w:eastAsia="Arial" w:hAnsi="Arial"/>
          <w:sz w:val="18"/>
          <w:szCs w:val="18"/>
          <w:i w:val="1"/>
          <w:iCs w:val="1"/>
          <w:color w:val="auto"/>
        </w:rPr>
        <w:t xml:space="preserve"> </w:t>
      </w:r>
      <w:r>
        <w:rPr>
          <w:rFonts w:ascii="Arial" w:cs="Arial" w:eastAsia="Arial" w:hAnsi="Arial"/>
          <w:sz w:val="18"/>
          <w:szCs w:val="18"/>
          <w:color w:val="auto"/>
        </w:rPr>
        <w:t>in any stabilization or manipulation of the price of the Securities.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3B. </w:t>
      </w:r>
      <w:r>
        <w:rPr>
          <w:rFonts w:ascii="Arial" w:cs="Arial" w:eastAsia="Arial" w:hAnsi="Arial"/>
          <w:sz w:val="18"/>
          <w:szCs w:val="18"/>
          <w:u w:val="single" w:color="auto"/>
          <w:color w:val="auto"/>
        </w:rPr>
        <w:t>Representations and Warranties of the Guarantor</w:t>
      </w:r>
      <w:r>
        <w:rPr>
          <w:rFonts w:ascii="Arial" w:cs="Arial" w:eastAsia="Arial" w:hAnsi="Arial"/>
          <w:sz w:val="18"/>
          <w:szCs w:val="18"/>
          <w:color w:val="auto"/>
        </w:rPr>
        <w:t>. The Guarantor represents and warrants to each Underwriter that:</w:t>
      </w:r>
    </w:p>
    <w:p>
      <w:pPr>
        <w:spacing w:after="0" w:line="117" w:lineRule="exact"/>
        <w:rPr>
          <w:sz w:val="20"/>
          <w:szCs w:val="20"/>
          <w:color w:val="auto"/>
        </w:rPr>
      </w:pPr>
    </w:p>
    <w:p>
      <w:pPr>
        <w:ind w:left="-80" w:firstLine="464"/>
        <w:spacing w:after="0" w:line="255" w:lineRule="auto"/>
        <w:tabs>
          <w:tab w:leader="none" w:pos="621"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Preliminary Prospectus. </w:t>
      </w:r>
      <w:r>
        <w:rPr>
          <w:rFonts w:ascii="Arial" w:cs="Arial" w:eastAsia="Arial" w:hAnsi="Arial"/>
          <w:sz w:val="18"/>
          <w:szCs w:val="18"/>
          <w:color w:val="auto"/>
        </w:rPr>
        <w:t>No order preventing or suspending the use of any Preliminary Prospectus has been issued by the Commission,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and the Guarantor make no representation or warranty with respect to any statements or omissions in the Preliminary Prospectus based upon information relating to any Underwriter furnished to the Company in writing through the Representatives expressly for use therein.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320" w:top="274" w:right="319" w:bottom="1440" w:gutter="0" w:footer="0" w:header="0"/>
        </w:sectPr>
      </w:pPr>
    </w:p>
    <w:bookmarkStart w:id="10" w:name="page11"/>
    <w:bookmarkEnd w:id="10"/>
    <w:p>
      <w:pPr>
        <w:ind w:right="120" w:firstLine="464"/>
        <w:spacing w:after="0" w:line="293" w:lineRule="auto"/>
        <w:tabs>
          <w:tab w:leader="none" w:pos="711"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of Sale Information</w:t>
      </w:r>
      <w:r>
        <w:rPr>
          <w:rFonts w:ascii="Arial" w:cs="Arial" w:eastAsia="Arial" w:hAnsi="Arial"/>
          <w:sz w:val="16"/>
          <w:szCs w:val="16"/>
          <w:color w:val="auto"/>
        </w:rPr>
        <w:t>. The Time of Sale Information, at the Time of Sale did not, and at the Closing Date will not, contain any untrue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and the Guarantor make no representation or warranty with respect to any statements or omissions in the Time of Sale Information based upon information relating to any Underwriter furnished to the Company in writing through the Representatives expressly for use therein.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56" w:lineRule="exact"/>
        <w:rPr>
          <w:rFonts w:ascii="Arial" w:cs="Arial" w:eastAsia="Arial" w:hAnsi="Arial"/>
          <w:sz w:val="16"/>
          <w:szCs w:val="16"/>
          <w:color w:val="auto"/>
        </w:rPr>
      </w:pPr>
    </w:p>
    <w:p>
      <w:pPr>
        <w:ind w:firstLine="464"/>
        <w:spacing w:after="0" w:line="269" w:lineRule="auto"/>
        <w:tabs>
          <w:tab w:leader="none" w:pos="701"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Issuer Free Writing Prospectus. </w:t>
      </w:r>
      <w:r>
        <w:rPr>
          <w:rFonts w:ascii="Arial" w:cs="Arial" w:eastAsia="Arial" w:hAnsi="Arial"/>
          <w:sz w:val="17"/>
          <w:szCs w:val="17"/>
          <w:color w:val="auto"/>
        </w:rPr>
        <w:t>The Company and the Guarantor (including their agents and representatives, other than the Underwriters in their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capacity as such) have not prepared, made, used, authorized, approved or referred to and will not prepare, make, use, authorize, approve or refer to any Issuer Free Writing Prospectus other than (i) any document not constituting a prospectus pursuant to Section 2(a)(10)(a) of the Securities Act or Rule 134 under the Securities Act, (ii) the Preliminary Prospectus, (iii) the Prospectus, (iv) the documents listed on Annex A hereto as constituting part of the Time of Sale Information and (v) any electronic road show or other written communications, in each case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did not at the Time of Sale,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and the Guarantor make no representation or warranty with respect to any statements or omissions in the Issuer Free Writing Prospectus based upon information relating to any Underwriter furnished to the Company in writing through the Representatives expressly for use therein.</w:t>
      </w:r>
    </w:p>
    <w:p>
      <w:pPr>
        <w:spacing w:after="0" w:line="71" w:lineRule="exact"/>
        <w:rPr>
          <w:rFonts w:ascii="Arial" w:cs="Arial" w:eastAsia="Arial" w:hAnsi="Arial"/>
          <w:sz w:val="17"/>
          <w:szCs w:val="17"/>
          <w:color w:val="auto"/>
        </w:rPr>
      </w:pPr>
    </w:p>
    <w:p>
      <w:pPr>
        <w:ind w:right="160" w:firstLine="464"/>
        <w:spacing w:after="0" w:line="297" w:lineRule="auto"/>
        <w:tabs>
          <w:tab w:leader="none" w:pos="711"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The Registration Statement is an “automatic shelf registration statement” as defined under Rule 405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to the knowledge of the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 or the Guarantor, threatened by the Commission; as of the applicable effective date of the Registration Statement and any amendment thereto, the Registration Statement complied and will comply in all material respects with the Securities Act and the Trust Indenture Act, and did not and will not contain any untrue statement of a material fact or omit to state a material fact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and the Guarantor make no representation or warranty with respect to (i) that part of the Registration Statement that constitutes the Statement of Eligibility and Qualification (Form T-1) of the Trustee under the Trust Indenture Act or (ii) any statements or omissions in the Registration Statement and the Prospectus and any amendment or supplement thereto based upon information relating to any Underwriter furnished to the Company in writing through the Representatives expressly for use therein.</w:t>
      </w:r>
    </w:p>
    <w:p>
      <w:pPr>
        <w:spacing w:after="0" w:line="59" w:lineRule="exact"/>
        <w:rPr>
          <w:sz w:val="20"/>
          <w:szCs w:val="20"/>
          <w:color w:val="auto"/>
        </w:rPr>
      </w:pPr>
    </w:p>
    <w:p>
      <w:pPr>
        <w:ind w:firstLine="464"/>
        <w:spacing w:after="0" w:line="293" w:lineRule="auto"/>
        <w:tabs>
          <w:tab w:leader="none" w:pos="701"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Incorporated Documents. </w:t>
      </w:r>
      <w:r>
        <w:rPr>
          <w:rFonts w:ascii="Arial" w:cs="Arial" w:eastAsia="Arial" w:hAnsi="Arial"/>
          <w:sz w:val="16"/>
          <w:szCs w:val="16"/>
          <w:color w:val="auto"/>
        </w:rPr>
        <w:t>The documents incorporated by reference in each of the Registration Statement, the Prospectus and the Time of Sale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when filed with the Commission, conformed or will conform, as the case may be, will conform in all material respects to the requirements of the Securities Act or the Exchange Act, as applicable, and, when read together with the other in formation in such Registration Statement, Prospectus or Time of Sale Information, as the case may be, at the time the Registration Statement became effective, at the time the Prospectus was issued, at the Time of Sale and at the Closing Time, did not and will not contain any untrue statement of a material fact or omit to state a material fact required to be stated therein or necessary in order to make the statements therein, in the light of the circumstances under which they were made, not misleading.</w:t>
      </w:r>
    </w:p>
    <w:p>
      <w:pPr>
        <w:spacing w:after="0" w:line="56" w:lineRule="exact"/>
        <w:rPr>
          <w:rFonts w:ascii="Arial" w:cs="Arial" w:eastAsia="Arial" w:hAnsi="Arial"/>
          <w:sz w:val="16"/>
          <w:szCs w:val="16"/>
          <w:color w:val="auto"/>
        </w:rPr>
      </w:pPr>
    </w:p>
    <w:p>
      <w:pPr>
        <w:ind w:right="20" w:firstLine="464"/>
        <w:spacing w:after="0" w:line="269" w:lineRule="auto"/>
        <w:tabs>
          <w:tab w:leader="none" w:pos="681"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and the related notes thereto of the Guarantor and its consolidated subsidiaries included or</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by reference in each of the Registration Statement, the Time of Sale Information and the Prospectus comply as to form in all material respects with the applicable accounting requirements of the Securities Act and the Securities Exchange Act of 1934, as amended, and the rules and regulations of the Commission thereunder (collectively, the “</w:t>
      </w:r>
      <w:r>
        <w:rPr>
          <w:rFonts w:ascii="Arial" w:cs="Arial" w:eastAsia="Arial" w:hAnsi="Arial"/>
          <w:sz w:val="17"/>
          <w:szCs w:val="17"/>
          <w:u w:val="single" w:color="auto"/>
          <w:color w:val="auto"/>
        </w:rPr>
        <w:t>Exchange Act</w:t>
      </w:r>
      <w:r>
        <w:rPr>
          <w:rFonts w:ascii="Arial" w:cs="Arial" w:eastAsia="Arial" w:hAnsi="Arial"/>
          <w:sz w:val="17"/>
          <w:szCs w:val="17"/>
          <w:color w:val="auto"/>
        </w:rPr>
        <w:t>”), as applicable, and present fairly in all material respects the financial position of the Guarantor and its consolidated subsidiaries as of the dates indicated and the results of their operations and the changes in their cash flows for the periods specified; such financial statements have been prepared in conformity with generally accepted accounting principles applied on a consistent basis throughout the periods covered thereby, except as disclosed therein; and the other Guarantor financial information included or incorporated by reference in each of the Registration Statement, the Time of Sale Information and the Prospectus has been derived from the accounting records of the Company and its subsidiaries and presents fairly the information shown thereby. The interactive data in eXtensible Business Reporting Language incorporated by reference in each of the Registration Statement, the Prospectus and the Time of Sale Information fairly presents the information called for in all material respects and has been prepared in accordance with the Commission's rules and guidelines applicable thereto.</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ind w:left="-40" w:right="20" w:firstLine="464"/>
        <w:spacing w:after="0" w:line="312" w:lineRule="auto"/>
        <w:tabs>
          <w:tab w:leader="none" w:pos="671"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Material Adverse Change. </w:t>
      </w:r>
      <w:r>
        <w:rPr>
          <w:rFonts w:ascii="Arial" w:cs="Arial" w:eastAsia="Arial" w:hAnsi="Arial"/>
          <w:sz w:val="16"/>
          <w:szCs w:val="16"/>
          <w:color w:val="auto"/>
        </w:rPr>
        <w:t>There has not occurred any material adverse change, in the financial condition, or in the earnings, business or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of the Guarantor and its consolidated subsidiaries, taken as a whole, from that set forth in the most recent financial statements of the Guarantor and its consolidated subsidiaries contained or incorporated by reference in each of the Registration Statement, the Time of Sale Information and the Prospectus.</w:t>
      </w:r>
    </w:p>
    <w:p>
      <w:pPr>
        <w:spacing w:after="0" w:line="38" w:lineRule="exact"/>
        <w:rPr>
          <w:rFonts w:ascii="Arial" w:cs="Arial" w:eastAsia="Arial" w:hAnsi="Arial"/>
          <w:sz w:val="16"/>
          <w:szCs w:val="16"/>
          <w:color w:val="auto"/>
        </w:rPr>
      </w:pPr>
    </w:p>
    <w:p>
      <w:pPr>
        <w:ind w:left="-40" w:right="40" w:firstLine="464"/>
        <w:spacing w:after="0" w:line="297" w:lineRule="auto"/>
        <w:tabs>
          <w:tab w:leader="none" w:pos="671"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and Good Standing of the Company and the Guarantor. </w:t>
      </w:r>
      <w:r>
        <w:rPr>
          <w:rFonts w:ascii="Arial" w:cs="Arial" w:eastAsia="Arial" w:hAnsi="Arial"/>
          <w:sz w:val="16"/>
          <w:szCs w:val="16"/>
          <w:color w:val="auto"/>
        </w:rPr>
        <w:t>Each of the Company and the Guarantor has been duly incorporated, is</w:t>
      </w:r>
      <w:r>
        <w:rPr>
          <w:rFonts w:ascii="Arial" w:cs="Arial" w:eastAsia="Arial" w:hAnsi="Arial"/>
          <w:sz w:val="16"/>
          <w:szCs w:val="16"/>
          <w:i w:val="1"/>
          <w:iCs w:val="1"/>
          <w:color w:val="auto"/>
        </w:rPr>
        <w:t xml:space="preserve"> </w:t>
      </w:r>
      <w:r>
        <w:rPr>
          <w:rFonts w:ascii="Arial" w:cs="Arial" w:eastAsia="Arial" w:hAnsi="Arial"/>
          <w:sz w:val="16"/>
          <w:szCs w:val="16"/>
          <w:color w:val="auto"/>
        </w:rPr>
        <w:t>validly existing as a corporation in good standing, to the extent applicable, under the laws of the jurisdiction of its incorporation, has the corporate power and authority to own its respective property and to conduct its business and is duly qualified to transact business and is in good standing, to the extent applicable, in each jurisdiction in which the conduct of its business or its ownership or leasing of property requires such qualification, except to the extent that the failure to be so qualified or be in good standing, to the extent applicable, would not be reasonably expected to have a Material Adverse Effect.</w:t>
      </w:r>
    </w:p>
    <w:p>
      <w:pPr>
        <w:spacing w:after="0" w:line="50" w:lineRule="exact"/>
        <w:rPr>
          <w:rFonts w:ascii="Arial" w:cs="Arial" w:eastAsia="Arial" w:hAnsi="Arial"/>
          <w:sz w:val="16"/>
          <w:szCs w:val="16"/>
          <w:color w:val="auto"/>
        </w:rPr>
      </w:pPr>
    </w:p>
    <w:p>
      <w:pPr>
        <w:ind w:left="-40" w:firstLine="464"/>
        <w:spacing w:after="0" w:line="288" w:lineRule="auto"/>
        <w:tabs>
          <w:tab w:leader="none" w:pos="631"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and Good Standing of the Guarantor’s Significant Subsidiaries; Capitalization. </w:t>
      </w:r>
      <w:r>
        <w:rPr>
          <w:rFonts w:ascii="Arial" w:cs="Arial" w:eastAsia="Arial" w:hAnsi="Arial"/>
          <w:sz w:val="16"/>
          <w:szCs w:val="16"/>
          <w:color w:val="auto"/>
        </w:rPr>
        <w:t>Each significant subsidiary of the Guarantor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duly incorporated or organized, is validly existing as a corporation or other legal entity in good standing (to the extent applicable to the significant subsidiary) under the laws of the jurisdiction of its incorporation or formation, has the corporate, partnership or other entity power and authority to own its property and to conduct its business and is duly qualified to transact business and is in good standing (to the extent applicable to such significant subsidiary) in each jurisdiction in which the conduct of its business or its ownership or leasing of property requires such qualification, except to the extent that the failure to be so qualified or be in good standing would not be reasonably expected to have a Material Adverse Effect; except as set forth in each of the Registration Statement, the Time of Sale Information and the Prospectus, all of the issued shares of capital stock of each significant subsidiary have been duly and validly authorized and issued, are fully paid and non-assessable and are owned directly or indirectly by the Guarantor, free and clear of all liens, encumbrances, equities or claims (except for such liens, encumbrances, equities or claims as are not, individually or in the aggregate, material to the ownership, use or value thereof or as disclosed in the Registration Statement, the Time of Sale Information and the Prospectus).</w:t>
      </w:r>
    </w:p>
    <w:p>
      <w:pPr>
        <w:spacing w:after="0" w:line="61" w:lineRule="exact"/>
        <w:rPr>
          <w:rFonts w:ascii="Arial" w:cs="Arial" w:eastAsia="Arial" w:hAnsi="Arial"/>
          <w:sz w:val="16"/>
          <w:szCs w:val="16"/>
          <w:color w:val="auto"/>
        </w:rPr>
      </w:pPr>
    </w:p>
    <w:p>
      <w:pPr>
        <w:ind w:left="-40" w:right="180" w:firstLine="464"/>
        <w:spacing w:after="0" w:line="302" w:lineRule="auto"/>
        <w:tabs>
          <w:tab w:leader="none" w:pos="631"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Due Authorization. </w:t>
      </w:r>
      <w:r>
        <w:rPr>
          <w:rFonts w:ascii="Arial" w:cs="Arial" w:eastAsia="Arial" w:hAnsi="Arial"/>
          <w:sz w:val="16"/>
          <w:szCs w:val="16"/>
          <w:color w:val="auto"/>
        </w:rPr>
        <w:t>The Company has all requisite right, power and authority to execute and deliver its respective Securities and the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Guarantor have all requisite right, power and authority to execute and deliver the Transaction Documents and to perform their respective obligations hereunder and thereunder; and all corporate action required to be taken by them for the due and proper authorization, execution and delivery of each of the Transaction Documents and the consummation of the transactions contemplated thereby has been duly and validly taken.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80" w:top="274" w:right="259" w:bottom="1440" w:gutter="0" w:footer="0" w:header="0"/>
        </w:sectPr>
      </w:pPr>
    </w:p>
    <w:bookmarkStart w:id="13" w:name="page14"/>
    <w:bookmarkEnd w:id="13"/>
    <w:p>
      <w:pPr>
        <w:ind w:left="-20" w:right="200" w:firstLine="464"/>
        <w:spacing w:after="0" w:line="264" w:lineRule="auto"/>
        <w:tabs>
          <w:tab w:leader="none" w:pos="691"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Indenture. </w:t>
      </w:r>
      <w:r>
        <w:rPr>
          <w:rFonts w:ascii="Arial" w:cs="Arial" w:eastAsia="Arial" w:hAnsi="Arial"/>
          <w:sz w:val="18"/>
          <w:szCs w:val="18"/>
          <w:color w:val="auto"/>
        </w:rPr>
        <w:t>The Indenture has been duly authorized, executed and delivered by, and is a valid and binding agreement of, the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(assuming the due authorization, execution and delivery of the other parties thereto), enforceable in accordance with its terms, subject to the Enforceability Exceptions.</w:t>
      </w:r>
    </w:p>
    <w:p>
      <w:pPr>
        <w:spacing w:after="0" w:line="73" w:lineRule="exact"/>
        <w:rPr>
          <w:rFonts w:ascii="Arial" w:cs="Arial" w:eastAsia="Arial" w:hAnsi="Arial"/>
          <w:sz w:val="18"/>
          <w:szCs w:val="18"/>
          <w:color w:val="auto"/>
        </w:rPr>
      </w:pPr>
    </w:p>
    <w:p>
      <w:pPr>
        <w:ind w:left="-20" w:firstLine="464"/>
        <w:spacing w:after="0" w:line="255" w:lineRule="auto"/>
        <w:tabs>
          <w:tab w:leader="none" w:pos="651"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The Securities and the Guarantee</w:t>
      </w:r>
      <w:r>
        <w:rPr>
          <w:rFonts w:ascii="Arial" w:cs="Arial" w:eastAsia="Arial" w:hAnsi="Arial"/>
          <w:sz w:val="18"/>
          <w:szCs w:val="18"/>
          <w:color w:val="auto"/>
        </w:rPr>
        <w:t>. The Securities have been duly authorized by the Company and, when executed and authenticated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provisions of the Indenture and delivered to and paid for by the Underwriters in accordance with the terms of this Agreement, will be valid and binding obligations of the Company, enforceable in accordance with their terms, subject to the Enforceability Exceptions, and will be entitled to the benefits of the Indenture; and the Guarantee has been duly authorized by the Guarantor and, when the Securities have been duly executed and authenticated in accordance with the provisions of the Indenture and delivered to and paid for by the Underwriters in accordance with the terms of this Agreement, will be a valid and legally binding obligation of the Guarantor, enforceable against the Guarantor in accordance with its terms, subject to the Enforceability Exceptions, and will be entitled to the benefits of the Indenture.</w:t>
      </w:r>
    </w:p>
    <w:p>
      <w:pPr>
        <w:spacing w:after="0" w:line="81" w:lineRule="exact"/>
        <w:rPr>
          <w:rFonts w:ascii="Arial" w:cs="Arial" w:eastAsia="Arial" w:hAnsi="Arial"/>
          <w:sz w:val="18"/>
          <w:szCs w:val="18"/>
          <w:color w:val="auto"/>
        </w:rPr>
      </w:pPr>
    </w:p>
    <w:p>
      <w:pPr>
        <w:ind w:left="740" w:hanging="29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Underwriting Agreement</w:t>
      </w:r>
      <w:r>
        <w:rPr>
          <w:rFonts w:ascii="Arial" w:cs="Arial" w:eastAsia="Arial" w:hAnsi="Arial"/>
          <w:sz w:val="18"/>
          <w:szCs w:val="18"/>
          <w:color w:val="auto"/>
        </w:rPr>
        <w:t>. This Agreement has been duly authorized, executed and delivered by the Company and the Guarantor.</w:t>
      </w:r>
    </w:p>
    <w:p>
      <w:pPr>
        <w:spacing w:after="0" w:line="117" w:lineRule="exact"/>
        <w:rPr>
          <w:rFonts w:ascii="Arial" w:cs="Arial" w:eastAsia="Arial" w:hAnsi="Arial"/>
          <w:sz w:val="18"/>
          <w:szCs w:val="18"/>
          <w:color w:val="auto"/>
        </w:rPr>
      </w:pPr>
    </w:p>
    <w:p>
      <w:pPr>
        <w:ind w:left="-20" w:right="240" w:firstLine="464"/>
        <w:spacing w:after="0" w:line="277" w:lineRule="auto"/>
        <w:tabs>
          <w:tab w:leader="none" w:pos="691"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Descriptions of the Transaction Documents</w:t>
      </w:r>
      <w:r>
        <w:rPr>
          <w:rFonts w:ascii="Arial" w:cs="Arial" w:eastAsia="Arial" w:hAnsi="Arial"/>
          <w:sz w:val="18"/>
          <w:szCs w:val="18"/>
          <w:color w:val="auto"/>
        </w:rPr>
        <w:t>. Each Transaction Document conforms in all material respects to the description thereof contained in</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Registration Statement, the Time of Sale Information and the Prospectus.</w:t>
      </w:r>
    </w:p>
    <w:p>
      <w:pPr>
        <w:spacing w:after="0" w:line="62" w:lineRule="exact"/>
        <w:rPr>
          <w:rFonts w:ascii="Arial" w:cs="Arial" w:eastAsia="Arial" w:hAnsi="Arial"/>
          <w:sz w:val="18"/>
          <w:szCs w:val="18"/>
          <w:color w:val="auto"/>
        </w:rPr>
      </w:pPr>
    </w:p>
    <w:p>
      <w:pPr>
        <w:ind w:left="-20" w:right="40" w:firstLine="464"/>
        <w:spacing w:after="0" w:line="271" w:lineRule="auto"/>
        <w:tabs>
          <w:tab w:leader="none" w:pos="691"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No Violation or Default. </w:t>
      </w:r>
      <w:r>
        <w:rPr>
          <w:rFonts w:ascii="Arial" w:cs="Arial" w:eastAsia="Arial" w:hAnsi="Arial"/>
          <w:sz w:val="17"/>
          <w:szCs w:val="17"/>
          <w:color w:val="auto"/>
        </w:rPr>
        <w:t>Neither the Company, the Guarantor, nor any of the Guarantor’s significant subsidiaries is (i) in violation of its charter or</w:t>
      </w:r>
      <w:r>
        <w:rPr>
          <w:rFonts w:ascii="Arial" w:cs="Arial" w:eastAsia="Arial" w:hAnsi="Arial"/>
          <w:sz w:val="17"/>
          <w:szCs w:val="17"/>
          <w:i w:val="1"/>
          <w:iCs w:val="1"/>
          <w:color w:val="auto"/>
        </w:rPr>
        <w:t xml:space="preserve"> </w:t>
      </w:r>
      <w:r>
        <w:rPr>
          <w:rFonts w:ascii="Arial" w:cs="Arial" w:eastAsia="Arial" w:hAnsi="Arial"/>
          <w:sz w:val="17"/>
          <w:szCs w:val="17"/>
          <w:color w:val="auto"/>
        </w:rPr>
        <w:t>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the Guarantor or any of the Guarantor’s significant subsidiaries is a party or by which the Company, the Guarantor or any of the Guarantor’s significant subsidiaries is bound or to which any of the property or assets of the Company, the Guarantor or any of the Guarantor’s significant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be reasonably expected to have a Material Adverse Effect.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4" w:right="259" w:bottom="1440" w:gutter="0" w:footer="0" w:header="0"/>
        </w:sectPr>
      </w:pPr>
    </w:p>
    <w:bookmarkStart w:id="14" w:name="page15"/>
    <w:bookmarkEnd w:id="14"/>
    <w:p>
      <w:pPr>
        <w:ind w:firstLine="464"/>
        <w:spacing w:after="0" w:line="270" w:lineRule="auto"/>
        <w:tabs>
          <w:tab w:leader="none" w:pos="711"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Conflicts; No Consents Required. </w:t>
      </w:r>
      <w:r>
        <w:rPr>
          <w:rFonts w:ascii="Arial" w:cs="Arial" w:eastAsia="Arial" w:hAnsi="Arial"/>
          <w:sz w:val="17"/>
          <w:szCs w:val="17"/>
          <w:color w:val="auto"/>
        </w:rPr>
        <w:t>The execution and delivery by the Company and by the Guarantor of, and the performance by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by the Guarantor of their obligations under, this Agreement, the Indenture (including the Guarantee set forth therein) and the Securities will not contravene (i) any provision of applicable law; (ii) the articles of incorporation or by-laws of the Company and of the Guarantor; (iii) any agreement or other instrument binding upon the Company, the Guarantor or any of the Guarantor’s significant subsidiaries; or (iv) any judgment, order or decree of any governmental body, agency or court having jurisdiction over the Company, the Guarantor or any of the Guarantor’s significant subsidiaries, except, in the case of clauses (i), (iii) and (iv) above, for any such contravention that would not reasonably be expected to, individually or in the aggregate, have a Material Adverse Effect, and no consent, approval, authorization or order of, or qualification with, any governmental body or agency is required for the performance by the Company and by the Guarantor of their obligations under this Agreement, the Indenture (including the Guarantee set forth therein) or the Securities, except such as may be required by the securities or Blue Sky laws of the various states of the United States of America or comparable laws of other jurisdictions in connection with the offer and sale of the Securities.</w:t>
      </w:r>
    </w:p>
    <w:p>
      <w:pPr>
        <w:spacing w:after="0" w:line="69" w:lineRule="exact"/>
        <w:rPr>
          <w:rFonts w:ascii="Arial" w:cs="Arial" w:eastAsia="Arial" w:hAnsi="Arial"/>
          <w:sz w:val="17"/>
          <w:szCs w:val="17"/>
          <w:color w:val="auto"/>
        </w:rPr>
      </w:pPr>
    </w:p>
    <w:p>
      <w:pPr>
        <w:ind w:right="80" w:firstLine="464"/>
        <w:spacing w:after="0" w:line="273" w:lineRule="auto"/>
        <w:tabs>
          <w:tab w:leader="none" w:pos="711"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There are no legal or governmental proceedings pending or, to the knowledge of the Company or the Guarantor, threatened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Company, the Guarantor or any of the Guarantor’s significant subsidiaries is a party or to which any of the properties of the Company, the Guarantor or any of the Guarantor’s significant subsidiaries is subject other than proceedings described in each of the Registration Statement, the Time of Sale Information and the Prospectus and proceedings that would not be reasonably expected to have a Material Adverse Effect or a material adverse effect on the power or ability of the Company and the Guarantor to perform their obligations under this Agreement, the Indenture (including the Guarantee set forth therein) or the Securities or to consummate the transactions contemplated by the Prospectus.</w:t>
      </w:r>
    </w:p>
    <w:p>
      <w:pPr>
        <w:spacing w:after="0" w:line="70" w:lineRule="exact"/>
        <w:rPr>
          <w:rFonts w:ascii="Arial" w:cs="Arial" w:eastAsia="Arial" w:hAnsi="Arial"/>
          <w:sz w:val="17"/>
          <w:szCs w:val="17"/>
          <w:color w:val="auto"/>
        </w:rPr>
      </w:pPr>
    </w:p>
    <w:p>
      <w:pPr>
        <w:ind w:right="380" w:firstLine="464"/>
        <w:spacing w:after="0" w:line="312" w:lineRule="auto"/>
        <w:tabs>
          <w:tab w:leader="none" w:pos="681"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Independent Accountants. </w:t>
      </w:r>
      <w:r>
        <w:rPr>
          <w:rFonts w:ascii="Arial" w:cs="Arial" w:eastAsia="Arial" w:hAnsi="Arial"/>
          <w:sz w:val="16"/>
          <w:szCs w:val="16"/>
          <w:color w:val="auto"/>
        </w:rPr>
        <w:t>PricewaterhouseCoopers LLP, who have certified certain financial statements of the Guarantor and its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are independent public accountants with respect to the Guarantor and its consolidated subsidiaries within the applicable rules and regulations adopted by the Commission and the Public Company Accounting Oversight Board (United States) and as required by the Securities Act.</w:t>
      </w:r>
    </w:p>
    <w:p>
      <w:pPr>
        <w:spacing w:after="0" w:line="38" w:lineRule="exact"/>
        <w:rPr>
          <w:rFonts w:ascii="Arial" w:cs="Arial" w:eastAsia="Arial" w:hAnsi="Arial"/>
          <w:sz w:val="16"/>
          <w:szCs w:val="16"/>
          <w:color w:val="auto"/>
        </w:rPr>
      </w:pPr>
    </w:p>
    <w:p>
      <w:pPr>
        <w:jc w:val="both"/>
        <w:ind w:right="220" w:firstLine="464"/>
        <w:spacing w:after="0" w:line="312" w:lineRule="auto"/>
        <w:tabs>
          <w:tab w:leader="none" w:pos="691"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No Undisclosed Relationships. </w:t>
      </w:r>
      <w:r>
        <w:rPr>
          <w:rFonts w:ascii="Arial" w:cs="Arial" w:eastAsia="Arial" w:hAnsi="Arial"/>
          <w:sz w:val="16"/>
          <w:szCs w:val="16"/>
          <w:color w:val="auto"/>
        </w:rPr>
        <w:t>No relationship, direct or indirect, exists between the Guarantor or any of its subsidiaries, on the one hand,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stockholders or other affiliates of the Guarantor or any of its subsidiaries, on the other, that would be required by the Securities Act to be described in each of the Registration Statement and the Prospectus and that is not so described in such documents and in the Time of Sale Information.</w:t>
      </w:r>
    </w:p>
    <w:p>
      <w:pPr>
        <w:spacing w:after="0" w:line="38" w:lineRule="exact"/>
        <w:rPr>
          <w:rFonts w:ascii="Arial" w:cs="Arial" w:eastAsia="Arial" w:hAnsi="Arial"/>
          <w:sz w:val="16"/>
          <w:szCs w:val="16"/>
          <w:color w:val="auto"/>
        </w:rPr>
      </w:pPr>
    </w:p>
    <w:p>
      <w:pPr>
        <w:ind w:right="40" w:firstLine="464"/>
        <w:spacing w:after="0" w:line="264" w:lineRule="auto"/>
        <w:tabs>
          <w:tab w:leader="none" w:pos="671"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Investment Company Act. </w:t>
      </w:r>
      <w:r>
        <w:rPr>
          <w:rFonts w:ascii="Arial" w:cs="Arial" w:eastAsia="Arial" w:hAnsi="Arial"/>
          <w:sz w:val="18"/>
          <w:szCs w:val="18"/>
          <w:color w:val="auto"/>
        </w:rPr>
        <w:t>The Guarantor is and, after giving effect to the offering and sale of the Securities and the application of the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as described in each of the Registration Statement, the Time of Sale Information and the Prospectus, will be exempt from regulation as an “investment company” as such term is defined in the Investment Company Act of 1940, as amended.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p>
      <w:pPr>
        <w:ind w:left="-8" w:right="20" w:firstLine="464"/>
        <w:spacing w:after="0" w:line="272" w:lineRule="auto"/>
        <w:tabs>
          <w:tab w:leader="none" w:pos="703" w:val="left"/>
        </w:tabs>
        <w:numPr>
          <w:ilvl w:val="1"/>
          <w:numId w:val="1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Compliance With Environmental Laws. </w:t>
      </w:r>
      <w:r>
        <w:rPr>
          <w:rFonts w:ascii="Arial" w:cs="Arial" w:eastAsia="Arial" w:hAnsi="Arial"/>
          <w:sz w:val="17"/>
          <w:szCs w:val="17"/>
          <w:color w:val="auto"/>
        </w:rPr>
        <w:t>The Guarantor and its significant subsidiaries (i) are in compliance with any and all applicable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state and local laws and regulations relating to the protection of human health and safety, the environment or hazardous or toxic substances or wastes, pollutants or contaminants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except as described in each of the Time of Sale Information and the Prospectus and except where such noncompliance with Environmental Laws, failure to receive required permits, licenses or other approvals or failure to comply with the terms and conditions of such permits, licenses or approvals would not, singly or in the aggregate, be reasonably expected to have a Material Adverse Effect.</w:t>
      </w:r>
    </w:p>
    <w:p>
      <w:pPr>
        <w:spacing w:after="0" w:line="69" w:lineRule="exact"/>
        <w:rPr>
          <w:rFonts w:ascii="Arial" w:cs="Arial" w:eastAsia="Arial" w:hAnsi="Arial"/>
          <w:sz w:val="17"/>
          <w:szCs w:val="17"/>
          <w:color w:val="auto"/>
        </w:rPr>
      </w:pPr>
    </w:p>
    <w:p>
      <w:pPr>
        <w:ind w:left="-8" w:firstLine="464"/>
        <w:spacing w:after="0" w:line="279" w:lineRule="auto"/>
        <w:tabs>
          <w:tab w:leader="none" w:pos="703" w:val="left"/>
        </w:tabs>
        <w:numPr>
          <w:ilvl w:val="1"/>
          <w:numId w:val="16"/>
        </w:numPr>
        <w:rPr>
          <w:rFonts w:ascii="Arial" w:cs="Arial" w:eastAsia="Arial" w:hAnsi="Arial"/>
          <w:sz w:val="17"/>
          <w:szCs w:val="17"/>
          <w:color w:val="auto"/>
        </w:rPr>
      </w:pPr>
      <w:r>
        <w:rPr>
          <w:rFonts w:ascii="Arial" w:cs="Arial" w:eastAsia="Arial" w:hAnsi="Arial"/>
          <w:sz w:val="17"/>
          <w:szCs w:val="17"/>
          <w:i w:val="1"/>
          <w:iCs w:val="1"/>
          <w:color w:val="auto"/>
        </w:rPr>
        <w:t>No Liabilities Associated with Environmental Laws</w:t>
      </w:r>
      <w:r>
        <w:rPr>
          <w:rFonts w:ascii="Arial" w:cs="Arial" w:eastAsia="Arial" w:hAnsi="Arial"/>
          <w:sz w:val="17"/>
          <w:szCs w:val="17"/>
          <w:color w:val="auto"/>
        </w:rPr>
        <w:t>. There are no costs or liabilities associated with Environmental Laws (including,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limitation, any capital or operating expenditures required for clean-up, closure of properties or compliance with Environmental Laws or any permit, license or approval, any related constraints on operating activities and any potential liabilities to third parties) except as described in each of the Time of Sale Information and the Prospectus or which would not, singly or in the aggregate, be reasonably expected to have a Material Adverse Effect.</w:t>
      </w:r>
    </w:p>
    <w:p>
      <w:pPr>
        <w:spacing w:after="0" w:line="63" w:lineRule="exact"/>
        <w:rPr>
          <w:rFonts w:ascii="Arial" w:cs="Arial" w:eastAsia="Arial" w:hAnsi="Arial"/>
          <w:sz w:val="17"/>
          <w:szCs w:val="17"/>
          <w:color w:val="auto"/>
        </w:rPr>
      </w:pPr>
    </w:p>
    <w:p>
      <w:pPr>
        <w:ind w:left="-8" w:right="80" w:firstLine="464"/>
        <w:spacing w:after="0" w:line="255" w:lineRule="auto"/>
        <w:tabs>
          <w:tab w:leader="none" w:pos="743"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Guarantor maintains an effective system of “disclosure controls and procedures” (as defined in Rule 13a-15(e)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that is designed to ensure that information required to be disclosed by the Guarantor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Guarantor’s management as appropriate to allow timely decisions regarding required disclosure. The Guarantor has carried out evaluations of the effectiveness of its disclosure controls and procedures as required by Rule 13a-15 of the Exchange Act.</w:t>
      </w:r>
    </w:p>
    <w:p>
      <w:pPr>
        <w:spacing w:after="0" w:line="85" w:lineRule="exact"/>
        <w:rPr>
          <w:rFonts w:ascii="Arial" w:cs="Arial" w:eastAsia="Arial" w:hAnsi="Arial"/>
          <w:sz w:val="18"/>
          <w:szCs w:val="18"/>
          <w:color w:val="auto"/>
        </w:rPr>
      </w:pPr>
    </w:p>
    <w:p>
      <w:pPr>
        <w:ind w:left="-8" w:right="60" w:firstLine="464"/>
        <w:spacing w:after="0" w:line="285" w:lineRule="auto"/>
        <w:tabs>
          <w:tab w:leader="none" w:pos="703"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Guarantor maintains systems of “internal control over financial reporting” (as defined in Rule 13a-15(f) of the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Act) that comply with the requirements of the Exchange Act and have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The Guarantor maintains internal accounting controls sufficient to provide reasonable assurance that (i) transactions are executed in accordance with management’s general or specific authorizations;</w:t>
      </w:r>
    </w:p>
    <w:p>
      <w:pPr>
        <w:spacing w:after="0" w:line="2" w:lineRule="exact"/>
        <w:rPr>
          <w:rFonts w:ascii="Arial" w:cs="Arial" w:eastAsia="Arial" w:hAnsi="Arial"/>
          <w:sz w:val="16"/>
          <w:szCs w:val="16"/>
          <w:color w:val="auto"/>
        </w:rPr>
      </w:pPr>
    </w:p>
    <w:p>
      <w:pPr>
        <w:ind w:left="-8" w:right="40" w:firstLine="8"/>
        <w:spacing w:after="0" w:line="253" w:lineRule="auto"/>
        <w:tabs>
          <w:tab w:leader="none" w:pos="2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or incorporated by reference in each of the Registration Statement, the Time of Sale Information and the Prospectus, there are no material weaknesses or significant deficiencies in the Guarantor’s internal controls.</w:t>
      </w:r>
    </w:p>
    <w:p>
      <w:pPr>
        <w:spacing w:after="0" w:line="12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72"/>
          </w:cols>
          <w:pgMar w:left="248" w:top="274" w:right="279" w:bottom="1440" w:gutter="0" w:footer="0" w:header="0"/>
        </w:sectPr>
      </w:pPr>
    </w:p>
    <w:bookmarkStart w:id="16" w:name="page17"/>
    <w:bookmarkEnd w:id="16"/>
    <w:p>
      <w:pPr>
        <w:ind w:left="-20" w:right="300" w:firstLine="464"/>
        <w:spacing w:after="0" w:line="286" w:lineRule="auto"/>
        <w:tabs>
          <w:tab w:leader="none" w:pos="691"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Compliance with OFAC. </w:t>
      </w:r>
      <w:r>
        <w:rPr>
          <w:rFonts w:ascii="Arial" w:cs="Arial" w:eastAsia="Arial" w:hAnsi="Arial"/>
          <w:sz w:val="17"/>
          <w:szCs w:val="17"/>
          <w:color w:val="auto"/>
        </w:rPr>
        <w:t>The Guarantor will not directly or indirectly use the proceeds of the offering, or lend, contribute or otherwise make</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such proceeds to any subsidiary, joint venture partner or other person or entity, for the purpose of financing the activities of any person currently subject to any U.S. sanctions administered by the Office of Foreign Assets Control of the U.S. Treasury Department.</w:t>
      </w:r>
    </w:p>
    <w:p>
      <w:pPr>
        <w:spacing w:after="0" w:line="57" w:lineRule="exact"/>
        <w:rPr>
          <w:rFonts w:ascii="Arial" w:cs="Arial" w:eastAsia="Arial" w:hAnsi="Arial"/>
          <w:sz w:val="17"/>
          <w:szCs w:val="17"/>
          <w:color w:val="auto"/>
        </w:rPr>
      </w:pPr>
    </w:p>
    <w:p>
      <w:pPr>
        <w:jc w:val="both"/>
        <w:ind w:left="-20" w:right="300" w:firstLine="464"/>
        <w:spacing w:after="0" w:line="264" w:lineRule="auto"/>
        <w:tabs>
          <w:tab w:leader="none" w:pos="681"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Guarantor nor any of its subsidiaries is a party to any contract, agreement or understanding with any person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this Agreement) that would give rise to a valid claim against any Underwriter for a brokerage commission, finder’s fee or like payment in connection with the offering and sale of the Securities.</w:t>
      </w:r>
    </w:p>
    <w:p>
      <w:pPr>
        <w:spacing w:after="0" w:line="73" w:lineRule="exact"/>
        <w:rPr>
          <w:sz w:val="20"/>
          <w:szCs w:val="20"/>
          <w:color w:val="auto"/>
        </w:rPr>
      </w:pPr>
    </w:p>
    <w:p>
      <w:pPr>
        <w:ind w:left="-20" w:right="460" w:firstLine="464"/>
        <w:spacing w:after="0" w:line="308" w:lineRule="auto"/>
        <w:tabs>
          <w:tab w:leader="none" w:pos="761"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Neither the Company nor the Guarantor has taken, directly or indirectly, any action designed to or that would reasonably be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cause or result in any stabilization or manipulation of the price of the Securities.</w:t>
      </w:r>
    </w:p>
    <w:p>
      <w:pPr>
        <w:spacing w:after="0" w:line="38" w:lineRule="exact"/>
        <w:rPr>
          <w:rFonts w:ascii="Arial" w:cs="Arial" w:eastAsia="Arial" w:hAnsi="Arial"/>
          <w:sz w:val="17"/>
          <w:szCs w:val="17"/>
          <w:color w:val="auto"/>
        </w:rPr>
      </w:pPr>
    </w:p>
    <w:p>
      <w:pPr>
        <w:ind w:left="-20" w:right="60" w:firstLine="464"/>
        <w:spacing w:after="0" w:line="277" w:lineRule="auto"/>
        <w:tabs>
          <w:tab w:leader="none" w:pos="781"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Guarantor is in compliance in all material respects with the applicable provisions of the Sarbanes-Oxley Act of 2002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rules and regulations promulgated in connection therewith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w:t>
      </w:r>
    </w:p>
    <w:p>
      <w:pPr>
        <w:spacing w:after="0" w:line="170" w:lineRule="exact"/>
        <w:rPr>
          <w:sz w:val="20"/>
          <w:szCs w:val="20"/>
          <w:color w:val="auto"/>
        </w:rPr>
      </w:pPr>
    </w:p>
    <w:p>
      <w:pPr>
        <w:ind w:left="-20" w:right="620" w:firstLine="464"/>
        <w:spacing w:after="0" w:line="277" w:lineRule="auto"/>
        <w:tabs>
          <w:tab w:leader="none" w:pos="61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 and the Guarantor</w:t>
      </w:r>
      <w:r>
        <w:rPr>
          <w:rFonts w:ascii="Arial" w:cs="Arial" w:eastAsia="Arial" w:hAnsi="Arial"/>
          <w:sz w:val="18"/>
          <w:szCs w:val="18"/>
          <w:color w:val="auto"/>
        </w:rPr>
        <w:t>. The Company and the Guarantor jointly and severally covenant and agree with each Underwriter that:</w:t>
      </w:r>
    </w:p>
    <w:p>
      <w:pPr>
        <w:spacing w:after="0" w:line="62" w:lineRule="exact"/>
        <w:rPr>
          <w:sz w:val="20"/>
          <w:szCs w:val="20"/>
          <w:color w:val="auto"/>
        </w:rPr>
      </w:pPr>
    </w:p>
    <w:p>
      <w:pPr>
        <w:ind w:left="-20" w:firstLine="464"/>
        <w:spacing w:after="0" w:line="289" w:lineRule="auto"/>
        <w:tabs>
          <w:tab w:leader="none" w:pos="681"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Required Filings. </w:t>
      </w:r>
      <w:r>
        <w:rPr>
          <w:rFonts w:ascii="Arial" w:cs="Arial" w:eastAsia="Arial" w:hAnsi="Arial"/>
          <w:sz w:val="16"/>
          <w:szCs w:val="16"/>
          <w:color w:val="auto"/>
        </w:rPr>
        <w:t>The Company and the Guarantor will file the final Prospectus with the Commission within the time periods specified by Rule</w:t>
      </w:r>
      <w:r>
        <w:rPr>
          <w:rFonts w:ascii="Arial" w:cs="Arial" w:eastAsia="Arial" w:hAnsi="Arial"/>
          <w:sz w:val="16"/>
          <w:szCs w:val="16"/>
          <w:i w:val="1"/>
          <w:iCs w:val="1"/>
          <w:color w:val="auto"/>
        </w:rPr>
        <w:t xml:space="preserve"> </w:t>
      </w:r>
      <w:r>
        <w:rPr>
          <w:rFonts w:ascii="Arial" w:cs="Arial" w:eastAsia="Arial" w:hAnsi="Arial"/>
          <w:sz w:val="16"/>
          <w:szCs w:val="16"/>
          <w:color w:val="auto"/>
        </w:rPr>
        <w:t>424(b) and Rule 430B under the Securities Act, will file any Issuer Free Writing Prospectus (including the Pricing Term Sheet referred to in Annex A hereto) to the extent required by Rule 433 under the Securities Act; and the Company and the Guarantor will file promptly all reports and any definitive proxy or information statements required to be filed by the Company and the Guarantor with the Commission pursuant to Section 13(a), 13(c), 14 or 15(d) of the Exchange Act subsequent to the date of the Prospectus and for so long as the delivery of a prospectus is required in connection with the offering or sale of the Securities; and the Company and the Guarantor will furnish, or cause to be furnished,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74" w:right="259" w:bottom="1440" w:gutter="0" w:footer="0" w:header="0"/>
        </w:sectPr>
      </w:pPr>
    </w:p>
    <w:bookmarkStart w:id="17" w:name="page18"/>
    <w:bookmarkEnd w:id="17"/>
    <w:p>
      <w:pPr>
        <w:ind w:left="-20" w:right="180" w:firstLine="464"/>
        <w:spacing w:after="0" w:line="290" w:lineRule="auto"/>
        <w:tabs>
          <w:tab w:leader="none" w:pos="691"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Delivery of Copies. </w:t>
      </w:r>
      <w:r>
        <w:rPr>
          <w:rFonts w:ascii="Arial" w:cs="Arial" w:eastAsia="Arial" w:hAnsi="Arial"/>
          <w:sz w:val="16"/>
          <w:szCs w:val="16"/>
          <w:color w:val="auto"/>
        </w:rPr>
        <w:t>The Company and the Guarantor will deliver, without charge, (i) to the Representatives, two signed copies of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in each case including all exhibits and consents filed therewith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w:t>
      </w:r>
      <w:r>
        <w:rPr>
          <w:rFonts w:ascii="Arial" w:cs="Arial" w:eastAsia="Arial" w:hAnsi="Arial"/>
          <w:sz w:val="16"/>
          <w:szCs w:val="16"/>
          <w:u w:val="single" w:color="auto"/>
          <w:color w:val="auto"/>
        </w:rPr>
        <w:t>Prospectus Delivery Period</w:t>
      </w:r>
      <w:r>
        <w:rPr>
          <w:rFonts w:ascii="Arial" w:cs="Arial" w:eastAsia="Arial" w:hAnsi="Arial"/>
          <w:sz w:val="16"/>
          <w:szCs w:val="16"/>
          <w:color w:val="auto"/>
        </w:rPr>
        <w:t>”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pacing w:after="0" w:line="58" w:lineRule="exact"/>
        <w:rPr>
          <w:rFonts w:ascii="Arial" w:cs="Arial" w:eastAsia="Arial" w:hAnsi="Arial"/>
          <w:sz w:val="16"/>
          <w:szCs w:val="16"/>
          <w:color w:val="auto"/>
        </w:rPr>
      </w:pPr>
    </w:p>
    <w:p>
      <w:pPr>
        <w:ind w:left="-20" w:firstLine="464"/>
        <w:spacing w:after="0" w:line="297" w:lineRule="auto"/>
        <w:tabs>
          <w:tab w:leader="none" w:pos="681"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Amendments or Supplements; Issuer Free Writing Prospectuses. </w:t>
      </w:r>
      <w:r>
        <w:rPr>
          <w:rFonts w:ascii="Arial" w:cs="Arial" w:eastAsia="Arial" w:hAnsi="Arial"/>
          <w:sz w:val="16"/>
          <w:szCs w:val="16"/>
          <w:color w:val="auto"/>
        </w:rPr>
        <w:t>Before using, authorizing, approving, referring to or filing any Issuer Free Writing</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and before filing any amendment or supplement to the Registration Statement or the Prospectus, whether before or after the time that the Registration Statement becomes effective, the Company and the Guarantor will furnish, or cause to be furnished, to the Representatives and counsel for the Underwriters a copy of the proposed Issuer Free Writing Prospectus, amendment or supplement for review and will not use, authorize, approve, refer to or file any such Issuer Free Writing Prospectus or file any such proposed amendment or supplement to which the Representatives reasonably object.</w:t>
      </w:r>
    </w:p>
    <w:p>
      <w:pPr>
        <w:spacing w:after="0" w:line="50" w:lineRule="exact"/>
        <w:rPr>
          <w:rFonts w:ascii="Arial" w:cs="Arial" w:eastAsia="Arial" w:hAnsi="Arial"/>
          <w:sz w:val="16"/>
          <w:szCs w:val="16"/>
          <w:color w:val="auto"/>
        </w:rPr>
      </w:pPr>
    </w:p>
    <w:p>
      <w:pPr>
        <w:ind w:left="-20" w:firstLine="464"/>
        <w:spacing w:after="0" w:line="286" w:lineRule="auto"/>
        <w:tabs>
          <w:tab w:leader="none" w:pos="691"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Notice to the Representatives. </w:t>
      </w:r>
      <w:r>
        <w:rPr>
          <w:rFonts w:ascii="Arial" w:cs="Arial" w:eastAsia="Arial" w:hAnsi="Arial"/>
          <w:sz w:val="16"/>
          <w:szCs w:val="16"/>
          <w:color w:val="auto"/>
        </w:rPr>
        <w:t>From the date hereof until the end of the Prospectus Delivery Period, the Company and the Guarantor will advise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promptly, and confirm such advice in writing (which advice may be delivered via e-mail),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or the Prospectus or the initiation or threatening in writing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under which they were made, not misleading; (vi) of the receipt by the Company and the Guarantor of any notice of objection of the Commission to the use of the Registration Statement or any post-effective amendment thereto pursuant to Rule 401(g)(2) under the Securities Act; and (vii) of the receipt by the Company and the Guarantor of any notice with respect to any suspension of the qualification of the Securities for offer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60" w:top="274" w:right="259" w:bottom="1440" w:gutter="0" w:footer="0" w:header="0"/>
        </w:sectPr>
      </w:pPr>
    </w:p>
    <w:bookmarkStart w:id="18" w:name="page19"/>
    <w:bookmarkEnd w:id="18"/>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 in any jurisdiction or the initiation or threatening of any proceeding for such purpose; and the Company and the Guarantor will use their reasonable best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their reasonable best efforts to obtain as soon as possible the withdrawal thereof.</w:t>
      </w:r>
    </w:p>
    <w:p>
      <w:pPr>
        <w:spacing w:after="0" w:line="79" w:lineRule="exact"/>
        <w:rPr>
          <w:sz w:val="20"/>
          <w:szCs w:val="20"/>
          <w:color w:val="auto"/>
        </w:rPr>
      </w:pPr>
    </w:p>
    <w:p>
      <w:pPr>
        <w:ind w:right="80" w:firstLine="464"/>
        <w:spacing w:after="0" w:line="270" w:lineRule="auto"/>
        <w:tabs>
          <w:tab w:leader="none" w:pos="701"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Time of Sale Information. </w:t>
      </w:r>
      <w:r>
        <w:rPr>
          <w:rFonts w:ascii="Arial" w:cs="Arial" w:eastAsia="Arial" w:hAnsi="Arial"/>
          <w:sz w:val="17"/>
          <w:szCs w:val="17"/>
          <w:color w:val="auto"/>
        </w:rPr>
        <w:t>If at any time prior to the Closing Date (i) any event shall occur or condition shall exist as a result of which any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in the opinion of counsel to the Guarantor or counsel to the Underwriters, to amend or supplement any of the Time of Sale Information to comply with law, the Company and the Guarantor will immediately notify the Underwriters thereof and forthwith prepare and, subject to paragraph (c) above, file with the Commission (to the extent required) and furnish to the Underwriters, such amendments or supplements to any of the Time of Sale Information (or any document to be filed with the Commission and incorporated by reference therein) as may be necessary so that the statements in any of the Time of Sale Information as so amended or supplemented will not include any untrue statement of a material fact or omit to state any material fact required to be stated therein or necessary in order to make the statements therein, in light of the circumstances under which they were made, not misleading or so that any of the Time of Sale Information will comply with law.</w:t>
      </w:r>
    </w:p>
    <w:p>
      <w:pPr>
        <w:spacing w:after="0" w:line="69" w:lineRule="exact"/>
        <w:rPr>
          <w:rFonts w:ascii="Arial" w:cs="Arial" w:eastAsia="Arial" w:hAnsi="Arial"/>
          <w:sz w:val="17"/>
          <w:szCs w:val="17"/>
          <w:color w:val="auto"/>
        </w:rPr>
      </w:pPr>
    </w:p>
    <w:p>
      <w:pPr>
        <w:ind w:firstLine="464"/>
        <w:spacing w:after="0" w:line="290" w:lineRule="auto"/>
        <w:tabs>
          <w:tab w:leader="none" w:pos="681"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Ongoing Compliance</w:t>
      </w:r>
      <w:r>
        <w:rPr>
          <w:rFonts w:ascii="Arial" w:cs="Arial" w:eastAsia="Arial" w:hAnsi="Arial"/>
          <w:sz w:val="16"/>
          <w:szCs w:val="16"/>
          <w:color w:val="auto"/>
        </w:rPr>
        <w:t>. If during the Prospectus Delivery Period (i) any event shall occur or condition shall exist as a result of which the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as then amended or supplemented would include any untrue statement of a material fact or omit to state any material fact required to be stated therein or necessary in order to make the statements therein, in the light of the circumstances under which they were made, not misleading or (ii) it is necessary, in the opinion of counsel to the Guarantor or counsel to the Underwriters, to amend or supplement the Prospectus to comply with law, the Company the Guarantor will immediately notify the Underwriters thereof and forthwith prepare and, subject to paragraph (c) above, file with the Commission and furnish to the Underwriters,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the light of the circumstances under which they were made, be misleading or so that the Prospectus will comply with law</w:t>
      </w:r>
      <w:r>
        <w:rPr>
          <w:rFonts w:ascii="Arial" w:cs="Arial" w:eastAsia="Arial" w:hAnsi="Arial"/>
          <w:sz w:val="16"/>
          <w:szCs w:val="16"/>
          <w:i w:val="1"/>
          <w:iCs w:val="1"/>
          <w:color w:val="auto"/>
        </w:rPr>
        <w:t>.</w:t>
      </w:r>
    </w:p>
    <w:p>
      <w:pPr>
        <w:spacing w:after="0" w:line="58" w:lineRule="exact"/>
        <w:rPr>
          <w:rFonts w:ascii="Arial" w:cs="Arial" w:eastAsia="Arial" w:hAnsi="Arial"/>
          <w:sz w:val="16"/>
          <w:szCs w:val="16"/>
          <w:color w:val="auto"/>
        </w:rPr>
      </w:pPr>
    </w:p>
    <w:p>
      <w:pPr>
        <w:ind w:right="260" w:firstLine="464"/>
        <w:spacing w:after="0" w:line="286" w:lineRule="auto"/>
        <w:tabs>
          <w:tab w:leader="none" w:pos="711"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Blue Sky Compliance. </w:t>
      </w:r>
      <w:r>
        <w:rPr>
          <w:rFonts w:ascii="Arial" w:cs="Arial" w:eastAsia="Arial" w:hAnsi="Arial"/>
          <w:sz w:val="17"/>
          <w:szCs w:val="17"/>
          <w:color w:val="auto"/>
        </w:rPr>
        <w:t>The Company and the Guarantor will cooperate with the Underwriters to qualify the Securities for offer and sale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securities or Blue Sky laws of such jurisdictions as the Representatives shall reasonably request and will continue such qualifications in effect so long as required for distribution of the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Company nor the Guarantor shall be required to (i)</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qualify as a foreign corporation or other entity or as a dealer in securities in any such jurisdiction where it would not otherwise be required to so qualify,</w:t>
      </w:r>
    </w:p>
    <w:p>
      <w:pPr>
        <w:spacing w:after="0" w:line="35" w:lineRule="exact"/>
        <w:rPr>
          <w:sz w:val="20"/>
          <w:szCs w:val="20"/>
          <w:color w:val="auto"/>
        </w:rPr>
      </w:pPr>
    </w:p>
    <w:p>
      <w:pPr>
        <w:ind w:right="460" w:firstLine="8"/>
        <w:spacing w:after="0" w:line="261" w:lineRule="auto"/>
        <w:tabs>
          <w:tab w:leader="none" w:pos="2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 any general consent to service of process in any such jurisdiction or (iii) subject itself to taxation in any such jurisdiction if it is not otherwise so subject.</w:t>
      </w:r>
    </w:p>
    <w:p>
      <w:pPr>
        <w:spacing w:after="0" w:line="75" w:lineRule="exact"/>
        <w:rPr>
          <w:rFonts w:ascii="Arial" w:cs="Arial" w:eastAsia="Arial" w:hAnsi="Arial"/>
          <w:sz w:val="18"/>
          <w:szCs w:val="18"/>
          <w:color w:val="auto"/>
        </w:rPr>
      </w:pPr>
    </w:p>
    <w:p>
      <w:pPr>
        <w:ind w:right="140" w:firstLine="464"/>
        <w:spacing w:after="0" w:line="259" w:lineRule="auto"/>
        <w:tabs>
          <w:tab w:leader="none" w:pos="711"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Earning Statement. </w:t>
      </w:r>
      <w:r>
        <w:rPr>
          <w:rFonts w:ascii="Arial" w:cs="Arial" w:eastAsia="Arial" w:hAnsi="Arial"/>
          <w:sz w:val="18"/>
          <w:szCs w:val="18"/>
          <w:color w:val="auto"/>
        </w:rPr>
        <w:t>The Guarantor will make generally available to its security holders and the Representatives as soon as practicable, but in any</w:t>
      </w:r>
      <w:r>
        <w:rPr>
          <w:rFonts w:ascii="Arial" w:cs="Arial" w:eastAsia="Arial" w:hAnsi="Arial"/>
          <w:sz w:val="18"/>
          <w:szCs w:val="18"/>
          <w:i w:val="1"/>
          <w:iCs w:val="1"/>
          <w:color w:val="auto"/>
        </w:rPr>
        <w:t xml:space="preserve"> </w:t>
      </w:r>
      <w:r>
        <w:rPr>
          <w:rFonts w:ascii="Arial" w:cs="Arial" w:eastAsia="Arial" w:hAnsi="Arial"/>
          <w:sz w:val="18"/>
          <w:szCs w:val="18"/>
          <w:color w:val="auto"/>
        </w:rPr>
        <w:t>event not later than 16 months after the effective date (as defined in Rule 158(c) under the Securities Act), an earning statement (which need not be audited) that satisfies the provisions of Section 11(a) of the Securities Act and the rules and regulations of the Commission thereunder (including, at the option of the Guarantor, Rule 158).</w:t>
      </w:r>
    </w:p>
    <w:p>
      <w:pPr>
        <w:spacing w:after="0" w:line="78" w:lineRule="exact"/>
        <w:rPr>
          <w:rFonts w:ascii="Arial" w:cs="Arial" w:eastAsia="Arial" w:hAnsi="Arial"/>
          <w:sz w:val="18"/>
          <w:szCs w:val="18"/>
          <w:color w:val="auto"/>
        </w:rPr>
      </w:pPr>
    </w:p>
    <w:p>
      <w:pPr>
        <w:ind w:firstLine="464"/>
        <w:spacing w:after="0" w:line="264" w:lineRule="auto"/>
        <w:tabs>
          <w:tab w:leader="none" w:pos="671"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Clear Market. </w:t>
      </w:r>
      <w:r>
        <w:rPr>
          <w:rFonts w:ascii="Arial" w:cs="Arial" w:eastAsia="Arial" w:hAnsi="Arial"/>
          <w:sz w:val="18"/>
          <w:szCs w:val="18"/>
          <w:color w:val="auto"/>
        </w:rPr>
        <w:t>During the period from the date hereof through and including the Closing Date, the Company and the Guarantor will not,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written consent of the Representatives, offer, sell, contract to sell or otherwise dispose of any debt securities issued or guaranteed by the Company or the Guarantor and having a tenor of more than one year.</w:t>
      </w:r>
    </w:p>
    <w:p>
      <w:pPr>
        <w:spacing w:after="0" w:line="73" w:lineRule="exact"/>
        <w:rPr>
          <w:rFonts w:ascii="Arial" w:cs="Arial" w:eastAsia="Arial" w:hAnsi="Arial"/>
          <w:sz w:val="18"/>
          <w:szCs w:val="18"/>
          <w:color w:val="auto"/>
        </w:rPr>
      </w:pPr>
    </w:p>
    <w:p>
      <w:pPr>
        <w:ind w:right="300" w:firstLine="464"/>
        <w:spacing w:after="0" w:line="277" w:lineRule="auto"/>
        <w:tabs>
          <w:tab w:leader="none" w:pos="671"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will apply the net proceeds from the sale of the Securities as described in each of the Registration Statement,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Sale Information and the Prospectus under the heading “Use of Proceeds”.</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1"/>
          <w:numId w:val="24"/>
        </w:numPr>
        <w:rPr>
          <w:rFonts w:ascii="Arial" w:cs="Arial" w:eastAsia="Arial" w:hAnsi="Arial"/>
          <w:sz w:val="17"/>
          <w:szCs w:val="17"/>
          <w:color w:val="auto"/>
        </w:rPr>
      </w:pPr>
      <w:r>
        <w:rPr>
          <w:rFonts w:ascii="Arial" w:cs="Arial" w:eastAsia="Arial" w:hAnsi="Arial"/>
          <w:sz w:val="17"/>
          <w:szCs w:val="17"/>
          <w:i w:val="1"/>
          <w:iCs w:val="1"/>
          <w:color w:val="auto"/>
        </w:rPr>
        <w:t>DTC</w:t>
      </w:r>
      <w:r>
        <w:rPr>
          <w:rFonts w:ascii="Arial" w:cs="Arial" w:eastAsia="Arial" w:hAnsi="Arial"/>
          <w:sz w:val="17"/>
          <w:szCs w:val="17"/>
          <w:color w:val="auto"/>
        </w:rPr>
        <w:t>. The Company will assist the Underwriters in arranging for the Securities to be eligible for clearance and settlement through DTC.</w:t>
      </w:r>
    </w:p>
    <w:p>
      <w:pPr>
        <w:spacing w:after="0" w:line="128" w:lineRule="exact"/>
        <w:rPr>
          <w:rFonts w:ascii="Arial" w:cs="Arial" w:eastAsia="Arial" w:hAnsi="Arial"/>
          <w:sz w:val="17"/>
          <w:szCs w:val="17"/>
          <w:color w:val="auto"/>
        </w:rPr>
      </w:pPr>
    </w:p>
    <w:p>
      <w:pPr>
        <w:ind w:right="620" w:firstLine="464"/>
        <w:spacing w:after="0" w:line="277" w:lineRule="auto"/>
        <w:tabs>
          <w:tab w:leader="none" w:pos="671"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Neither the Company nor the Guarantor will take, directly or indirectly, any action designed to or that would reasonably be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cause or result in any stabilization or manipulation of the price of the Securities.</w:t>
      </w:r>
    </w:p>
    <w:p>
      <w:pPr>
        <w:spacing w:after="0" w:line="62" w:lineRule="exact"/>
        <w:rPr>
          <w:rFonts w:ascii="Arial" w:cs="Arial" w:eastAsia="Arial" w:hAnsi="Arial"/>
          <w:sz w:val="18"/>
          <w:szCs w:val="18"/>
          <w:color w:val="auto"/>
        </w:rPr>
      </w:pPr>
    </w:p>
    <w:p>
      <w:pPr>
        <w:ind w:right="640" w:firstLine="464"/>
        <w:spacing w:after="0" w:line="277" w:lineRule="auto"/>
        <w:tabs>
          <w:tab w:leader="none" w:pos="761"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Record Retention</w:t>
      </w:r>
      <w:r>
        <w:rPr>
          <w:rFonts w:ascii="Arial" w:cs="Arial" w:eastAsia="Arial" w:hAnsi="Arial"/>
          <w:sz w:val="18"/>
          <w:szCs w:val="18"/>
          <w:color w:val="auto"/>
        </w:rPr>
        <w:t>. The Company will, pursuant to reasonable procedures developed in good faith, retain copies of each Issuer Free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that is not filed with the Commission in accordance with Rule 433 under the Securities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to the Company and the Guarantor and agrees that:</w:t>
      </w:r>
    </w:p>
    <w:p>
      <w:pPr>
        <w:spacing w:after="0" w:line="117" w:lineRule="exact"/>
        <w:rPr>
          <w:sz w:val="20"/>
          <w:szCs w:val="20"/>
          <w:color w:val="auto"/>
        </w:rPr>
      </w:pPr>
    </w:p>
    <w:p>
      <w:pPr>
        <w:ind w:right="120" w:firstLine="464"/>
        <w:spacing w:after="0" w:line="271" w:lineRule="auto"/>
        <w:tabs>
          <w:tab w:leader="none" w:pos="701" w:val="left"/>
        </w:tabs>
        <w:numPr>
          <w:ilvl w:val="0"/>
          <w:numId w:val="25"/>
        </w:numPr>
        <w:rPr>
          <w:rFonts w:ascii="Arial" w:cs="Arial" w:eastAsia="Arial" w:hAnsi="Arial"/>
          <w:sz w:val="17"/>
          <w:szCs w:val="17"/>
          <w:color w:val="auto"/>
        </w:rPr>
      </w:pPr>
      <w:r>
        <w:rPr>
          <w:rFonts w:ascii="Arial" w:cs="Arial" w:eastAsia="Arial" w:hAnsi="Arial"/>
          <w:sz w:val="17"/>
          <w:szCs w:val="17"/>
          <w:color w:val="auto"/>
        </w:rPr>
        <w:t>It has not and will not use, authorize use of, refer to, or participate in the planning for use of, any “</w:t>
      </w:r>
      <w:r>
        <w:rPr>
          <w:rFonts w:ascii="Arial" w:cs="Arial" w:eastAsia="Arial" w:hAnsi="Arial"/>
          <w:sz w:val="17"/>
          <w:szCs w:val="17"/>
          <w:u w:val="single" w:color="auto"/>
          <w:color w:val="auto"/>
        </w:rPr>
        <w:t>free writing prospectus</w:t>
      </w:r>
      <w:r>
        <w:rPr>
          <w:rFonts w:ascii="Arial" w:cs="Arial" w:eastAsia="Arial" w:hAnsi="Arial"/>
          <w:sz w:val="17"/>
          <w:szCs w:val="17"/>
          <w:color w:val="auto"/>
        </w:rPr>
        <w:t>”, as defined in Rule 405 under the Securities Act (which term includes use of any written information furnished to the Commission by the Company and the Guarantor and not incorporated by reference into the Registration Statement and any press release issued by the Company and the Guarantor)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3A(c) or 3B(c) or Section 4(c) above (including any electronic road show), or (iii) any free writing prospectus prepared by such Underwriter and approved by the Guarantor in advance in writing (each such free writing prospectus referred to in clauses (i) or (iii), an “</w:t>
      </w:r>
      <w:r>
        <w:rPr>
          <w:rFonts w:ascii="Arial" w:cs="Arial" w:eastAsia="Arial" w:hAnsi="Arial"/>
          <w:sz w:val="17"/>
          <w:szCs w:val="17"/>
          <w:u w:val="single" w:color="auto"/>
          <w:color w:val="auto"/>
        </w:rPr>
        <w:t>Underwriter Free Writing Prospectus</w:t>
      </w:r>
      <w:r>
        <w:rPr>
          <w:rFonts w:ascii="Arial" w:cs="Arial" w:eastAsia="Arial" w:hAnsi="Arial"/>
          <w:sz w:val="17"/>
          <w:szCs w:val="17"/>
          <w:color w:val="auto"/>
        </w:rPr>
        <w:t>”). Notwithstanding the foregoing, the Underwriters may use the Pricing Term Sheet referred to in Annex A hereto without the consent of the Guarantor.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0" w:name="page21"/>
    <w:bookmarkEnd w:id="20"/>
    <w:p>
      <w:pPr>
        <w:ind w:left="-20" w:right="680" w:firstLine="464"/>
        <w:spacing w:after="0" w:line="277" w:lineRule="auto"/>
        <w:tabs>
          <w:tab w:leader="none" w:pos="691"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not subject to any pending proceeding under Section 8A of the Securities Act with respect to the offering (and will promptly notify the Company and the Guarantor if any such proceeding against it is initiated during the Prospectus Delivery Period).</w:t>
      </w:r>
    </w:p>
    <w:p>
      <w:pPr>
        <w:spacing w:after="0" w:line="62" w:lineRule="exact"/>
        <w:rPr>
          <w:sz w:val="20"/>
          <w:szCs w:val="20"/>
          <w:color w:val="auto"/>
        </w:rPr>
      </w:pPr>
    </w:p>
    <w:p>
      <w:pPr>
        <w:ind w:left="-20" w:right="20" w:firstLine="464"/>
        <w:spacing w:after="0" w:line="264" w:lineRule="auto"/>
        <w:tabs>
          <w:tab w:leader="none" w:pos="61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xml:space="preserve"> The obligation of each Underwriter to purchase Securities on the Closing Date as provided herein is subject to the performance by the Company and the Guarantor of their respective covenants and other obligations hereunder and to the following additional conditions:</w:t>
      </w:r>
    </w:p>
    <w:p>
      <w:pPr>
        <w:spacing w:after="0" w:line="73" w:lineRule="exact"/>
        <w:rPr>
          <w:sz w:val="20"/>
          <w:szCs w:val="20"/>
          <w:color w:val="auto"/>
        </w:rPr>
      </w:pPr>
    </w:p>
    <w:p>
      <w:pPr>
        <w:ind w:left="-20" w:right="120" w:firstLine="464"/>
        <w:spacing w:after="0" w:line="297" w:lineRule="auto"/>
        <w:tabs>
          <w:tab w:leader="none" w:pos="681"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Compliance; No Stop Order. </w:t>
      </w:r>
      <w:r>
        <w:rPr>
          <w:rFonts w:ascii="Arial" w:cs="Arial" w:eastAsia="Arial" w:hAnsi="Arial"/>
          <w:sz w:val="16"/>
          <w:szCs w:val="16"/>
          <w:color w:val="auto"/>
        </w:rPr>
        <w:t>No order suspending the effectiveness of the Registration Statement shall be in effect, and no proceeding</w:t>
      </w:r>
      <w:r>
        <w:rPr>
          <w:rFonts w:ascii="Arial" w:cs="Arial" w:eastAsia="Arial" w:hAnsi="Arial"/>
          <w:sz w:val="16"/>
          <w:szCs w:val="16"/>
          <w:i w:val="1"/>
          <w:iCs w:val="1"/>
          <w:color w:val="auto"/>
        </w:rPr>
        <w:t xml:space="preserve"> </w:t>
      </w:r>
      <w:r>
        <w:rPr>
          <w:rFonts w:ascii="Arial" w:cs="Arial" w:eastAsia="Arial" w:hAnsi="Arial"/>
          <w:sz w:val="16"/>
          <w:szCs w:val="16"/>
          <w:color w:val="auto"/>
        </w:rPr>
        <w:t>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50" w:lineRule="exact"/>
        <w:rPr>
          <w:rFonts w:ascii="Arial" w:cs="Arial" w:eastAsia="Arial" w:hAnsi="Arial"/>
          <w:sz w:val="16"/>
          <w:szCs w:val="16"/>
          <w:color w:val="auto"/>
        </w:rPr>
      </w:pPr>
    </w:p>
    <w:p>
      <w:pPr>
        <w:ind w:left="-20" w:firstLine="464"/>
        <w:spacing w:after="0" w:line="264" w:lineRule="auto"/>
        <w:tabs>
          <w:tab w:leader="none" w:pos="69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and the Guarantor contained herein shall be true and correct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hereof and on and as of the Closing Date; and the statements of the Company, the Guarantor and their respective officers made in any certificates delivered pursuant to this Agreement shall be true and correct on and as of the Closing Date.</w:t>
      </w:r>
    </w:p>
    <w:p>
      <w:pPr>
        <w:spacing w:after="0" w:line="73" w:lineRule="exact"/>
        <w:rPr>
          <w:rFonts w:ascii="Arial" w:cs="Arial" w:eastAsia="Arial" w:hAnsi="Arial"/>
          <w:sz w:val="18"/>
          <w:szCs w:val="18"/>
          <w:color w:val="auto"/>
        </w:rPr>
      </w:pPr>
    </w:p>
    <w:p>
      <w:pPr>
        <w:ind w:left="-20" w:right="240" w:firstLine="464"/>
        <w:spacing w:after="0" w:line="255" w:lineRule="auto"/>
        <w:tabs>
          <w:tab w:leader="none" w:pos="68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No Downgrade. </w:t>
      </w:r>
      <w:r>
        <w:rPr>
          <w:rFonts w:ascii="Arial" w:cs="Arial" w:eastAsia="Arial" w:hAnsi="Arial"/>
          <w:sz w:val="18"/>
          <w:szCs w:val="18"/>
          <w:color w:val="auto"/>
        </w:rPr>
        <w:t>Subsequent to the earlier of (A) the Time of Sale and (B) the execution and delivery of this Agreement, (i) no downgrading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occurred in the rating accorded the Securities or any other debt securities or preferred stock issued or guaranteed by the Guarantor by any “nationally recognized statistical rating organization”, as such term is defined in Section 3(a)(62) of the Exchange Act and (ii) no such organization shall have publicly announced that it has under surveillance or review, or has changed its outlook with respect to, its rating of the Securities or of any other debt securities or preferred stock issued or guaranteed by the Guarantor or any of its significant subsidiaries (other than an announcement with positive implications of a possible upgrading).</w:t>
      </w:r>
    </w:p>
    <w:p>
      <w:pPr>
        <w:spacing w:after="0" w:line="85" w:lineRule="exact"/>
        <w:rPr>
          <w:rFonts w:ascii="Arial" w:cs="Arial" w:eastAsia="Arial" w:hAnsi="Arial"/>
          <w:sz w:val="18"/>
          <w:szCs w:val="18"/>
          <w:color w:val="auto"/>
        </w:rPr>
      </w:pPr>
    </w:p>
    <w:p>
      <w:pPr>
        <w:ind w:left="-20" w:firstLine="464"/>
        <w:spacing w:after="0" w:line="257" w:lineRule="auto"/>
        <w:tabs>
          <w:tab w:leader="none" w:pos="69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No event or condition of a type described in Section 3B(g) hereof shall have occurred or shall exist, which event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is not described in each of the Time of Sale Information (excluding any amendment or supplement thereto after the Time of Sale) and the Prospectus (excluding any amendment or supplement thereto) the effect of which in the judgment of the Representatives makes it impracticable or inadvisable to proceed with the offering, sale or delivery of the Securities on the terms and in the manner contemplated by this Agreement, the Time of Sale Information and the Prospectus.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74" w:right="239" w:bottom="1440" w:gutter="0" w:footer="0" w:header="0"/>
        </w:sectPr>
      </w:pPr>
    </w:p>
    <w:bookmarkStart w:id="21" w:name="page22"/>
    <w:bookmarkEnd w:id="21"/>
    <w:p>
      <w:pPr>
        <w:jc w:val="both"/>
        <w:ind w:left="-8" w:right="40" w:firstLine="464"/>
        <w:spacing w:after="0" w:line="286" w:lineRule="auto"/>
        <w:tabs>
          <w:tab w:leader="none" w:pos="693"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Officer's Certificate. </w:t>
      </w:r>
      <w:r>
        <w:rPr>
          <w:rFonts w:ascii="Arial" w:cs="Arial" w:eastAsia="Arial" w:hAnsi="Arial"/>
          <w:sz w:val="16"/>
          <w:szCs w:val="16"/>
          <w:color w:val="auto"/>
        </w:rPr>
        <w:t>The Representatives shall have received on and as of the Closing Date a certificate of an executive officer of the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of the Guarantor reasonably satisfactory to the Representatives (i) confirming that such officer has carefully reviewed the Registration Statement, the Time of Sale Information and the Prospectus and, to the best knowledge of such officer, the representations made by the Company or the Guarantor, as applicable, set forth in Sections 3A(b) and 3A(d) with respect to the Company and Sections 3B(b) and 3B(d) with respect to the Guarantor hereof are true and correct,</w:t>
      </w:r>
    </w:p>
    <w:p>
      <w:pPr>
        <w:spacing w:after="0" w:line="1" w:lineRule="exact"/>
        <w:rPr>
          <w:rFonts w:ascii="Arial" w:cs="Arial" w:eastAsia="Arial" w:hAnsi="Arial"/>
          <w:sz w:val="16"/>
          <w:szCs w:val="16"/>
          <w:color w:val="auto"/>
        </w:rPr>
      </w:pPr>
    </w:p>
    <w:p>
      <w:pPr>
        <w:ind w:left="-8" w:right="60" w:firstLine="8"/>
        <w:spacing w:after="0" w:line="295" w:lineRule="auto"/>
        <w:tabs>
          <w:tab w:leader="none" w:pos="257"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confirming that, to the best knowledge of such officer, the other representations and warranties made by the Company or the Guarantor, as applicable, in this Agreement are true and correct and that the Company or the Guarantor, as applicable, has complied with all agreements and satisfied all conditions on its part to be performed or satisfied hereunder at or prior to the Closing Date and (iii) to the effect set forth in paragraph (b) above with respect to the Company or the Guarantor, as applicable, and to the effect that no event or condition of a type described in Section 3B(g) hereof shall have occurred or shall exist.</w:t>
      </w:r>
    </w:p>
    <w:p>
      <w:pPr>
        <w:spacing w:after="0" w:line="53" w:lineRule="exact"/>
        <w:rPr>
          <w:rFonts w:ascii="Arial" w:cs="Arial" w:eastAsia="Arial" w:hAnsi="Arial"/>
          <w:sz w:val="16"/>
          <w:szCs w:val="16"/>
          <w:color w:val="auto"/>
        </w:rPr>
      </w:pPr>
    </w:p>
    <w:p>
      <w:pPr>
        <w:ind w:left="-8" w:firstLine="464"/>
        <w:spacing w:after="0" w:line="255" w:lineRule="auto"/>
        <w:tabs>
          <w:tab w:leader="none" w:pos="673"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Comfort Letters. </w:t>
      </w:r>
      <w:r>
        <w:rPr>
          <w:rFonts w:ascii="Arial" w:cs="Arial" w:eastAsia="Arial" w:hAnsi="Arial"/>
          <w:sz w:val="18"/>
          <w:szCs w:val="18"/>
          <w:color w:val="auto"/>
        </w:rPr>
        <w:t>On the date of this Agreement and on the Closing Date, PricewaterhouseCoopers LLP shall have furnished to the Representatives,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request of the Company and the Guarantor,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Time of Sale Information and the Offering Memorandum; provided that the letter delivered on the Closing Date shall use a “cut-off” date no more than three business days prior to the Closing Date.</w:t>
      </w:r>
    </w:p>
    <w:p>
      <w:pPr>
        <w:spacing w:after="0" w:line="85" w:lineRule="exact"/>
        <w:rPr>
          <w:rFonts w:ascii="Arial" w:cs="Arial" w:eastAsia="Arial" w:hAnsi="Arial"/>
          <w:sz w:val="18"/>
          <w:szCs w:val="18"/>
          <w:color w:val="auto"/>
        </w:rPr>
      </w:pPr>
    </w:p>
    <w:p>
      <w:pPr>
        <w:ind w:left="-8" w:right="40" w:firstLine="464"/>
        <w:spacing w:after="0" w:line="288" w:lineRule="auto"/>
        <w:tabs>
          <w:tab w:leader="none" w:pos="703"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Company. </w:t>
      </w:r>
      <w:r>
        <w:rPr>
          <w:rFonts w:ascii="Arial" w:cs="Arial" w:eastAsia="Arial" w:hAnsi="Arial"/>
          <w:sz w:val="16"/>
          <w:szCs w:val="16"/>
          <w:color w:val="auto"/>
        </w:rPr>
        <w:t>(i) Baker Botts L.L.P., U.S. counsel for the Company and the Guarantor,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furnished to the Representatives, at the request of the Company and the Guarantor, their written opinion and 10b-5 statement, dated the Closing Date and addressed to the Underwriters, in form and substance reasonably satisfactory to the Representatives, to the effect set forth in Annex C hereto; (ii) Loyens &amp; Loeff Luxembourg S.a.r.l., Luxembourg counsel for the Company shall have furnished to the Representatives as well as to Bank of New York Mellon, at the request of the Company, their written opinion, dated the Closing Date and addressed to the Underwriters, in form and substance reasonably satisfactory to the Representatives, to the effect set forth in Annex D hereto; (iii) STvB Advocaten, Curacao counsel for the Guarantor, shall have furnished to the Representatives, at the request of the Guarantor, their written opinion, dated the Closing Date and addressed to the Underwriters, in form and substance reasonably satisfactory to the Representatives, to the effect set forth in Annex E hereto; and (iv) Alexander C. Juden, Secretary and General Counsel of the Guarantor, shall have furnished to the Representatives, at the request of the Guarantor, his written opinion, dated the Closing Date and addressed to the Underwriters, in form and substance reasonably satisfactory to the Representatives, to the effect set forth in Annex F hereto.</w:t>
      </w:r>
    </w:p>
    <w:p>
      <w:pPr>
        <w:spacing w:after="0" w:line="1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92"/>
          </w:cols>
          <w:pgMar w:left="248" w:top="274" w:right="259" w:bottom="1440" w:gutter="0" w:footer="0" w:header="0"/>
        </w:sectPr>
      </w:pPr>
    </w:p>
    <w:bookmarkStart w:id="22" w:name="page23"/>
    <w:bookmarkEnd w:id="22"/>
    <w:p>
      <w:pPr>
        <w:ind w:right="240" w:firstLine="464"/>
        <w:spacing w:after="0" w:line="312" w:lineRule="auto"/>
        <w:tabs>
          <w:tab w:leader="none" w:pos="711"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Opinion and 10b-5 Statement of Counsel for the Underwriters. </w:t>
      </w:r>
      <w:r>
        <w:rPr>
          <w:rFonts w:ascii="Arial" w:cs="Arial" w:eastAsia="Arial" w:hAnsi="Arial"/>
          <w:sz w:val="16"/>
          <w:szCs w:val="16"/>
          <w:color w:val="auto"/>
        </w:rPr>
        <w:t>The Representatives shall have received on and as of the Closing Date an opinion</w:t>
      </w:r>
      <w:r>
        <w:rPr>
          <w:rFonts w:ascii="Arial" w:cs="Arial" w:eastAsia="Arial" w:hAnsi="Arial"/>
          <w:sz w:val="16"/>
          <w:szCs w:val="16"/>
          <w:i w:val="1"/>
          <w:iCs w:val="1"/>
          <w:color w:val="auto"/>
        </w:rPr>
        <w:t xml:space="preserve"> </w:t>
      </w:r>
      <w:r>
        <w:rPr>
          <w:rFonts w:ascii="Arial" w:cs="Arial" w:eastAsia="Arial" w:hAnsi="Arial"/>
          <w:sz w:val="16"/>
          <w:szCs w:val="16"/>
          <w:color w:val="auto"/>
        </w:rPr>
        <w:t>and 10b-5 statement of Davis Polk &amp; Wardwell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38" w:lineRule="exact"/>
        <w:rPr>
          <w:rFonts w:ascii="Arial" w:cs="Arial" w:eastAsia="Arial" w:hAnsi="Arial"/>
          <w:sz w:val="16"/>
          <w:szCs w:val="16"/>
          <w:color w:val="auto"/>
        </w:rPr>
      </w:pPr>
    </w:p>
    <w:p>
      <w:pPr>
        <w:ind w:firstLine="464"/>
        <w:spacing w:after="0" w:line="259" w:lineRule="auto"/>
        <w:tabs>
          <w:tab w:leader="none" w:pos="671"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No Legal Impediment to Issuance. </w:t>
      </w:r>
      <w:r>
        <w:rPr>
          <w:rFonts w:ascii="Arial" w:cs="Arial" w:eastAsia="Arial" w:hAnsi="Arial"/>
          <w:sz w:val="18"/>
          <w:szCs w:val="18"/>
          <w:color w:val="auto"/>
        </w:rPr>
        <w:t>No action shall have been taken and no statute, rule, regulation or order shall have been enacted, adopted or</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any federal, state or foreign governmental or regulatory authority that would, as of the Closing Date, prevent the issuance or sale of the Securities or the issuance of the Guarantee; and no injunction or order of any federal, state or foreign court shall have been issued that would, as of the Closing Date, prevent the issuance or sale of the Securities or the issuance of the Guarantee.</w:t>
      </w:r>
    </w:p>
    <w:p>
      <w:pPr>
        <w:spacing w:after="0" w:line="78" w:lineRule="exact"/>
        <w:rPr>
          <w:rFonts w:ascii="Arial" w:cs="Arial" w:eastAsia="Arial" w:hAnsi="Arial"/>
          <w:sz w:val="18"/>
          <w:szCs w:val="18"/>
          <w:color w:val="auto"/>
        </w:rPr>
      </w:pPr>
    </w:p>
    <w:p>
      <w:pPr>
        <w:ind w:right="160" w:firstLine="464"/>
        <w:spacing w:after="0" w:line="312" w:lineRule="auto"/>
        <w:tabs>
          <w:tab w:leader="none" w:pos="671"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Good Standing</w:t>
      </w:r>
      <w:r>
        <w:rPr>
          <w:rFonts w:ascii="Arial" w:cs="Arial" w:eastAsia="Arial" w:hAnsi="Arial"/>
          <w:sz w:val="16"/>
          <w:szCs w:val="16"/>
          <w:color w:val="auto"/>
        </w:rPr>
        <w:t>. The Representatives shall have received on and as of the Closing Date satisfactory evidence of the good standing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the Guarantor and each significant subsidiary in their respective jurisdictions of organization (as of the closest practical date prior to the Closing Date as possible), in each case in writing or any standard form of telecommunication, from the appropriate governmental authorities of such jurisdictions.</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DTC</w:t>
      </w:r>
      <w:r>
        <w:rPr>
          <w:rFonts w:ascii="Arial" w:cs="Arial" w:eastAsia="Arial" w:hAnsi="Arial"/>
          <w:sz w:val="18"/>
          <w:szCs w:val="18"/>
          <w:color w:val="auto"/>
        </w:rPr>
        <w:t>. The Securities shall be eligible for clearance and settlement through DTC.</w:t>
      </w:r>
    </w:p>
    <w:p>
      <w:pPr>
        <w:spacing w:after="0" w:line="117" w:lineRule="exact"/>
        <w:rPr>
          <w:rFonts w:ascii="Arial" w:cs="Arial" w:eastAsia="Arial" w:hAnsi="Arial"/>
          <w:sz w:val="18"/>
          <w:szCs w:val="18"/>
          <w:color w:val="auto"/>
        </w:rPr>
      </w:pPr>
    </w:p>
    <w:p>
      <w:pPr>
        <w:ind w:right="320" w:firstLine="464"/>
        <w:spacing w:after="0" w:line="277" w:lineRule="auto"/>
        <w:tabs>
          <w:tab w:leader="none" w:pos="671"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the Company and the Guarantor shall have furnished to the Representatives such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and documents as the Representatives may reasonably request.</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40" w:hanging="17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76" w:lineRule="auto"/>
        <w:tabs>
          <w:tab w:leader="none" w:pos="701"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Underwriters. </w:t>
      </w:r>
      <w:r>
        <w:rPr>
          <w:rFonts w:ascii="Arial" w:cs="Arial" w:eastAsia="Arial" w:hAnsi="Arial"/>
          <w:sz w:val="17"/>
          <w:szCs w:val="17"/>
          <w:color w:val="auto"/>
        </w:rPr>
        <w:t>The Company and the Guarantor jointly and severally agree to indemnify and hold harmless each Underwriter,</w:t>
      </w:r>
      <w:r>
        <w:rPr>
          <w:rFonts w:ascii="Arial" w:cs="Arial" w:eastAsia="Arial" w:hAnsi="Arial"/>
          <w:sz w:val="17"/>
          <w:szCs w:val="17"/>
          <w:i w:val="1"/>
          <w:iCs w:val="1"/>
          <w:color w:val="auto"/>
        </w:rPr>
        <w:t xml:space="preserve"> </w:t>
      </w:r>
      <w:r>
        <w:rPr>
          <w:rFonts w:ascii="Arial" w:cs="Arial" w:eastAsia="Arial" w:hAnsi="Arial"/>
          <w:sz w:val="17"/>
          <w:szCs w:val="17"/>
          <w:color w:val="auto"/>
        </w:rPr>
        <w:t>its affiliates, agents,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reasonably incurred in connection with any suit, action or proceeding or any claim asserted, as such fees and expenses are incurred), joint or several, that arise out of, or are based upon, (i) any untrue statement or alleged untrue statement of a material fact contained in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3" w:name="page24"/>
    <w:bookmarkEnd w:id="2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or caused by any omission or alleged omission to state therein a material fact required to be stated therein or necessary in order to make the statements therein not misleading, (ii) or any untrue statement or alleged untrue statement of a material fact contained in the Prospectus (or any amendment or supplement thereto), any Issuer Free Writing Prospectus or the Time of Sale Information, or caused by any omission or alleged omission to state therein a material fact necessary in order to make the statements therein, in the light of the circumstances under which they were made, not misleading, in each case except (x) insofar as such losses, claims, damages or liabilities arise out of, or are based upon, any untrue statement or omission or alleged untrue statement or omission made in reliance upon and in conformity with any information relating to any Underwriter furnished to the Company and the Guarantor in writing through the Representatives expressly for use therein and (y) insofar as such losses, claims, damages or liabilities arise out of, or are based upon, any untrue statement or omission or alleged untrue statement or omission which pertains exclusively to the Company, only the Company and the Guarantor shall be obligated to indemnify and hold harmless as set forth in this Section 7(a).</w:t>
      </w:r>
    </w:p>
    <w:p>
      <w:pPr>
        <w:spacing w:after="0" w:line="74" w:lineRule="exact"/>
        <w:rPr>
          <w:sz w:val="20"/>
          <w:szCs w:val="20"/>
          <w:color w:val="auto"/>
        </w:rPr>
      </w:pPr>
    </w:p>
    <w:p>
      <w:pPr>
        <w:ind w:right="100" w:firstLine="464"/>
        <w:spacing w:after="0" w:line="289" w:lineRule="auto"/>
        <w:tabs>
          <w:tab w:leader="none" w:pos="711"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Company and the Guarantor. </w:t>
      </w:r>
      <w:r>
        <w:rPr>
          <w:rFonts w:ascii="Arial" w:cs="Arial" w:eastAsia="Arial" w:hAnsi="Arial"/>
          <w:sz w:val="16"/>
          <w:szCs w:val="16"/>
          <w:color w:val="auto"/>
        </w:rPr>
        <w:t>Each Underwriter agrees, severally and not jointly, to indemnify and hold harmless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the Guarantor, each of their respective affiliates, agents, directors and officers who signed the Registration Statement and each person, if any, who controls the Company or the Guarantor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and the Guarantor in writing through the Representatives expressly for use in the Registration Statement, the Prospectus (or any amendment or supplement thereto), any Issuer Free Writing Prospectus or the Time of Sale Information, it being understood and agreed that the only such information consists of the following information set forth in the Preliminary Prospectus and the Prospectus under the caption “Underwriting”: the names of the Underwriters provided in paragraph 1 and the table immediately following paragraph 1, paragraph 3, sentences 3 and 4 in paragraph 7 and paragraph 8.</w:t>
      </w:r>
    </w:p>
    <w:p>
      <w:pPr>
        <w:spacing w:after="0" w:line="58" w:lineRule="exact"/>
        <w:rPr>
          <w:rFonts w:ascii="Arial" w:cs="Arial" w:eastAsia="Arial" w:hAnsi="Arial"/>
          <w:sz w:val="16"/>
          <w:szCs w:val="16"/>
          <w:color w:val="auto"/>
        </w:rPr>
      </w:pPr>
    </w:p>
    <w:p>
      <w:pPr>
        <w:ind w:right="20" w:firstLine="464"/>
        <w:spacing w:after="0" w:line="272" w:lineRule="auto"/>
        <w:tabs>
          <w:tab w:leader="none" w:pos="701"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Notice and Procedures. </w:t>
      </w:r>
      <w:r>
        <w:rPr>
          <w:rFonts w:ascii="Arial" w:cs="Arial" w:eastAsia="Arial" w:hAnsi="Arial"/>
          <w:sz w:val="17"/>
          <w:szCs w:val="17"/>
          <w:color w:val="auto"/>
        </w:rPr>
        <w:t>If any suit, action, proceeding (including any governmental or regulatory investigation), claim or demand shall be brought</w:t>
      </w:r>
      <w:r>
        <w:rPr>
          <w:rFonts w:ascii="Arial" w:cs="Arial" w:eastAsia="Arial" w:hAnsi="Arial"/>
          <w:sz w:val="17"/>
          <w:szCs w:val="17"/>
          <w:i w:val="1"/>
          <w:iCs w:val="1"/>
          <w:color w:val="auto"/>
        </w:rPr>
        <w:t xml:space="preserve"> </w:t>
      </w:r>
      <w:r>
        <w:rPr>
          <w:rFonts w:ascii="Arial" w:cs="Arial" w:eastAsia="Arial" w:hAnsi="Arial"/>
          <w:sz w:val="17"/>
          <w:szCs w:val="17"/>
          <w:color w:val="auto"/>
        </w:rPr>
        <w:t>or asserted against any person in respect of which indemnification may be sought pursuant to either paragraph (a) or (b) above, such person (the “</w:t>
      </w:r>
      <w:r>
        <w:rPr>
          <w:rFonts w:ascii="Arial" w:cs="Arial" w:eastAsia="Arial" w:hAnsi="Arial"/>
          <w:sz w:val="17"/>
          <w:szCs w:val="17"/>
          <w:u w:val="single" w:color="auto"/>
          <w:color w:val="auto"/>
        </w:rPr>
        <w:t>Indemnified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Person</w:t>
      </w:r>
      <w:r>
        <w:rPr>
          <w:rFonts w:ascii="Arial" w:cs="Arial" w:eastAsia="Arial" w:hAnsi="Arial"/>
          <w:sz w:val="17"/>
          <w:szCs w:val="17"/>
          <w:color w:val="auto"/>
        </w:rPr>
        <w:t>”) shall promptly notify the person against whom such indemnification may be sought (the “</w:t>
      </w:r>
      <w:r>
        <w:rPr>
          <w:rFonts w:ascii="Arial" w:cs="Arial" w:eastAsia="Arial" w:hAnsi="Arial"/>
          <w:sz w:val="17"/>
          <w:szCs w:val="17"/>
          <w:u w:val="single" w:color="auto"/>
          <w:color w:val="auto"/>
        </w:rPr>
        <w:t>Indemnifying Person</w:t>
      </w:r>
      <w:r>
        <w:rPr>
          <w:rFonts w:ascii="Arial" w:cs="Arial" w:eastAsia="Arial" w:hAnsi="Arial"/>
          <w:sz w:val="17"/>
          <w:szCs w:val="17"/>
          <w:color w:val="auto"/>
        </w:rPr>
        <w:t xml:space="preserve">”)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notify the Indemnifying Person shall not relieve it from any liability that it may have under this Section 7 except to the extent that it has been materially prejudiced (through the forfeiture of substantive rights or defenses) by such failure;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failure to notify the Indemnifying Person shall not relieve it from any liability that it may have to an Indemnified Person otherwise than under this Section 7. If any such proceeding shall be brought or asserted against an Indemnified Person and it shall have notified the Indemnifying Person thereof,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4" w:name="page25"/>
    <w:bookmarkEnd w:id="2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reasonably incurred of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reasonably incurred shall be reimbursed as they are incurred. Any such separate firm for any Underwriter, its affiliates, directors and officers and any control persons of such Underwriter shall be designated in writing by J.P. Morgan Securities LLC and any such separate firm for the Company, the Guarantor, their respective directors and officers who signed the Registration Statement and any control persons of the Company and the Guarantor shall be designated in writing by the Company. The Indemnifying Person shall not be liable for any settlement of any proceeding effected without its written consent, but if settled with such consent or if there be a final non-appealable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reasonably incurred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5" w:name="page26"/>
    <w:bookmarkEnd w:id="25"/>
    <w:p>
      <w:pPr>
        <w:ind w:left="-60" w:firstLine="464"/>
        <w:spacing w:after="0" w:line="268" w:lineRule="auto"/>
        <w:tabs>
          <w:tab w:leader="none" w:pos="651"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Contribution. </w:t>
      </w:r>
      <w:r>
        <w:rPr>
          <w:rFonts w:ascii="Arial" w:cs="Arial" w:eastAsia="Arial" w:hAnsi="Arial"/>
          <w:sz w:val="17"/>
          <w:szCs w:val="17"/>
          <w:color w:val="auto"/>
        </w:rPr>
        <w:t>If the indemnification provided for in paragraphs (a) and (b) above is unavailable to an Indemnified Person or insufficient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Guarantor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and the Guarantor on the one hand and the Underwriters on the other in connection with the statements or omissions that resulted in such losses, claims, damages or liabilities, as well as any other relevant equitable considerations. The relative benefits received by the Company and the Guarantor on the one hand and the Underwriters on the other shall be deemed to be in the same respective proportions as the net proceeds (after deducting discounts and commissions to the Underwriters but before deducting expenses) received by the Company and the Guarantor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and the Guarantor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the Guarantor or by the Underwriters and the parties' relative intent, knowledge, access to information and opportunity to correct or prevent such statement or omission.</w:t>
      </w:r>
    </w:p>
    <w:p>
      <w:pPr>
        <w:spacing w:after="0" w:line="75" w:lineRule="exact"/>
        <w:rPr>
          <w:rFonts w:ascii="Arial" w:cs="Arial" w:eastAsia="Arial" w:hAnsi="Arial"/>
          <w:sz w:val="17"/>
          <w:szCs w:val="17"/>
          <w:color w:val="auto"/>
        </w:rPr>
      </w:pPr>
    </w:p>
    <w:p>
      <w:pPr>
        <w:ind w:left="-60" w:firstLine="464"/>
        <w:spacing w:after="0" w:line="269" w:lineRule="auto"/>
        <w:tabs>
          <w:tab w:leader="none" w:pos="641"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Liability. </w:t>
      </w:r>
      <w:r>
        <w:rPr>
          <w:rFonts w:ascii="Arial" w:cs="Arial" w:eastAsia="Arial" w:hAnsi="Arial"/>
          <w:sz w:val="17"/>
          <w:szCs w:val="17"/>
          <w:color w:val="auto"/>
        </w:rPr>
        <w:t>The Company, the Guarantor and the Underwriters agree that it would not be just and equitable if contribution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Section 7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reasonably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300" w:top="274" w:right="299" w:bottom="1440" w:gutter="0" w:footer="0" w:header="0"/>
        </w:sectPr>
      </w:pPr>
    </w:p>
    <w:bookmarkStart w:id="26" w:name="page27"/>
    <w:bookmarkEnd w:id="26"/>
    <w:p>
      <w:pPr>
        <w:ind w:left="-60" w:firstLine="464"/>
        <w:spacing w:after="0" w:line="277" w:lineRule="auto"/>
        <w:tabs>
          <w:tab w:leader="none" w:pos="621"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Non-Exclusive Remedies. </w:t>
      </w:r>
      <w:r>
        <w:rPr>
          <w:rFonts w:ascii="Arial" w:cs="Arial" w:eastAsia="Arial" w:hAnsi="Arial"/>
          <w:sz w:val="18"/>
          <w:szCs w:val="18"/>
          <w:color w:val="auto"/>
        </w:rPr>
        <w:t>The remedies provided for in this Section 7 are not exclusive and shall not limit any rights or remedies that may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be available to any Indemnified Person at law or in equity.</w:t>
      </w:r>
    </w:p>
    <w:p>
      <w:pPr>
        <w:spacing w:after="0" w:line="170" w:lineRule="exact"/>
        <w:rPr>
          <w:sz w:val="20"/>
          <w:szCs w:val="20"/>
          <w:color w:val="auto"/>
        </w:rPr>
      </w:pPr>
    </w:p>
    <w:p>
      <w:pPr>
        <w:ind w:left="-60" w:firstLine="464"/>
        <w:spacing w:after="0" w:line="254" w:lineRule="auto"/>
        <w:tabs>
          <w:tab w:leader="none" w:pos="57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in the absolute discretion of the Representatives (except as provided in clause (iv) below), by prior notice to the Guarantor, if after the execution and delivery of this Agreement and on or prior to the Closing Date (i) trading generally shall have been suspended or materially limited on the New York Stock Exchange; (ii) trading of any securities issued or guaranteed by the Company or the Guarantor shall have been suspended on any exchange;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w:t>
      </w:r>
    </w:p>
    <w:p>
      <w:pPr>
        <w:spacing w:after="0" w:line="192" w:lineRule="exact"/>
        <w:rPr>
          <w:rFonts w:ascii="Arial" w:cs="Arial" w:eastAsia="Arial" w:hAnsi="Arial"/>
          <w:sz w:val="18"/>
          <w:szCs w:val="18"/>
          <w:color w:val="auto"/>
        </w:rPr>
      </w:pPr>
    </w:p>
    <w:p>
      <w:pPr>
        <w:ind w:left="580" w:hanging="176"/>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117" w:lineRule="exact"/>
        <w:rPr>
          <w:sz w:val="20"/>
          <w:szCs w:val="20"/>
          <w:color w:val="auto"/>
        </w:rPr>
      </w:pPr>
    </w:p>
    <w:p>
      <w:pPr>
        <w:ind w:left="-60" w:right="100" w:firstLine="464"/>
        <w:spacing w:after="0" w:line="287" w:lineRule="auto"/>
        <w:tabs>
          <w:tab w:leader="none" w:pos="641"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on the Closing Date, any one or more Underwriters defaults on its obligation to purchase the Securities that it has agreed to purchase hereunder and the default exceeds one-eleventh of the aggregate amount of the Securities to be purchased hereunder, the non-defaulting Underwriters may in their discretion arrange for the purchase of such Securities by other persons reasonably satisfactory to the Guarantor on the terms contained in this Agreement. If, within 36 hours after any such default by any one or more Underwriters, the non-defaulting Underwriters do not arrange for the purchase of such Securities, then the Guarantor shall be entitled to a further period of 36 hours within which to procure other persons reasonably satisfactory to the non-defaulting Underwriters to purchase such Securities on such terms. If other persons become obligated or agree to purchase the Securities of any one or more defaulting Underwriters, either the non-defaulting Underwriters or the Guarantor may postpone the Closing Date for up to five full business days in order to effect any changes that in the opinion of U.S. counsel for the Company and the Guarantor or counsel for the Underwriters may be necessary in the Registration Statement, the Time of Sale Information and the Prospectus or in any other document or arrangement, and the Guarantor agrees to promptly prepare any amendment or supplement to the Registration Statement, the Time of Sale Information and the Prospectus that effects any such changes. As used in this Agreement, the term “</w:t>
      </w:r>
      <w:r>
        <w:rPr>
          <w:rFonts w:ascii="Arial" w:cs="Arial" w:eastAsia="Arial" w:hAnsi="Arial"/>
          <w:sz w:val="16"/>
          <w:szCs w:val="16"/>
          <w:u w:val="single" w:color="auto"/>
          <w:color w:val="auto"/>
        </w:rPr>
        <w:t>Underwriter</w:t>
      </w:r>
      <w:r>
        <w:rPr>
          <w:rFonts w:ascii="Arial" w:cs="Arial" w:eastAsia="Arial" w:hAnsi="Arial"/>
          <w:sz w:val="16"/>
          <w:szCs w:val="16"/>
          <w:color w:val="auto"/>
        </w:rPr>
        <w:t>” includes, for all purposes of this Agreement unless the context otherwise requires, any person not listed in Schedule 1 hereto that, pursuant to this Section 9, purchases Securities that one or more defaulting Underwriter agreed but failed to purchase.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300" w:top="274" w:right="299" w:bottom="1440" w:gutter="0" w:footer="0" w:header="0"/>
        </w:sectPr>
      </w:pPr>
    </w:p>
    <w:bookmarkStart w:id="27" w:name="page28"/>
    <w:bookmarkEnd w:id="27"/>
    <w:p>
      <w:pPr>
        <w:ind w:left="-20" w:firstLine="464"/>
        <w:spacing w:after="0" w:line="302" w:lineRule="auto"/>
        <w:tabs>
          <w:tab w:leader="none" w:pos="691"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aggregate principal amount of such Securities that remains unpurchased does not exceed one-eleventh of the aggregate principal amount of all the Securities, then the Guarantor shall have the right to require each non-defaulting Underwriter to purchase the principal amount of Securities that such Underwriter agreed to purchase hereunder plus such Underwriter's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(based on the principal amount of Securities that such Underwriter agreed to purchase hereunder) of the Securities of such defaulting Underwriter or Underwriters for which such arrangements have not been made.</w:t>
      </w:r>
    </w:p>
    <w:p>
      <w:pPr>
        <w:spacing w:after="0" w:line="46" w:lineRule="exact"/>
        <w:rPr>
          <w:rFonts w:ascii="Arial" w:cs="Arial" w:eastAsia="Arial" w:hAnsi="Arial"/>
          <w:sz w:val="16"/>
          <w:szCs w:val="16"/>
          <w:color w:val="auto"/>
        </w:rPr>
      </w:pPr>
    </w:p>
    <w:p>
      <w:pPr>
        <w:ind w:left="-20" w:right="20" w:firstLine="464"/>
        <w:spacing w:after="0" w:line="293" w:lineRule="auto"/>
        <w:tabs>
          <w:tab w:leader="none" w:pos="681"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Securities of a defaulting Underwriter or Underwriters by the non-defaulting Underwriters and the Guarantor as provided in paragraph (a) above, the aggregate principal amount of such Securities that remains unpurchased exceeds one-eleventh of the aggregate principal amount of all the Securities, or if the Guarantor shall not exercise the right described in paragraph (b) above, then this Agreement shall terminate without liability on the part of the non-defaulting Underwriters. Any termination of this Agreement pursuant to this Section 9 shall be without liability on the part of the Company or the Guarantor, except that the Company and the Guarantor will continue to be liable for the payment of expenses as set forth in Section 10 hereof and except that the provisions of Section 7 hereof shall not terminate and shall remain in effect.</w:t>
      </w:r>
    </w:p>
    <w:p>
      <w:pPr>
        <w:spacing w:after="0" w:line="56" w:lineRule="exact"/>
        <w:rPr>
          <w:rFonts w:ascii="Arial" w:cs="Arial" w:eastAsia="Arial" w:hAnsi="Arial"/>
          <w:sz w:val="16"/>
          <w:szCs w:val="16"/>
          <w:color w:val="auto"/>
        </w:rPr>
      </w:pPr>
    </w:p>
    <w:p>
      <w:pPr>
        <w:ind w:left="-20" w:right="240" w:firstLine="464"/>
        <w:spacing w:after="0" w:line="277" w:lineRule="auto"/>
        <w:tabs>
          <w:tab w:leader="none" w:pos="691"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the Guarantor or any non-defaulting Underwriter for damages caused by its default.</w:t>
      </w:r>
    </w:p>
    <w:p>
      <w:pPr>
        <w:spacing w:after="0" w:line="170" w:lineRule="exact"/>
        <w:rPr>
          <w:sz w:val="20"/>
          <w:szCs w:val="20"/>
          <w:color w:val="auto"/>
        </w:rPr>
      </w:pPr>
    </w:p>
    <w:p>
      <w:pPr>
        <w:ind w:left="700" w:hanging="2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p>
    <w:p>
      <w:pPr>
        <w:spacing w:after="0" w:line="117" w:lineRule="exact"/>
        <w:rPr>
          <w:sz w:val="20"/>
          <w:szCs w:val="20"/>
          <w:color w:val="auto"/>
        </w:rPr>
      </w:pPr>
    </w:p>
    <w:p>
      <w:pPr>
        <w:ind w:left="-20" w:firstLine="464"/>
        <w:spacing w:after="0" w:line="269" w:lineRule="auto"/>
        <w:tabs>
          <w:tab w:leader="none" w:pos="681"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Whether or not the transactions contemplated by this Agreement are consummated or this Agreement is terminated, the Company and the Guarantor jointly and severally agree to pay or cause to be paid all out-of-pocket costs and expenses incident to the performance of its their respective obligations hereunder, including without limitation, (i) the out-of-pocket costs incident to the authorization, issuance, initial sale, preparation and delivery of the Securities and any taxes payable in that connection; (ii) the out-of-pocket costs incident to the preparation, printing and filing under the Securities Act of the Registration Statement, the Preliminary Prospectus, any Issuer Free Writing Prospectus, the Time of Sale Information and the Prospectus (including all exhibits, amendments and supplements thereto) and the distribution thereof; (iii) the out-of-pocket costs of reproducing and distributing each of the Transaction Documents; (iv) the fees and out-of-pocket expenses of the Company's and the Guarantor’s counsel and independent accountants; (v) the fees and out-of-pocket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(vi) any fees charged by rating agencies for rating the Securities; (vii) the fees and out-of-pocket expenses of the Trustee and any paying agent (including related reasonable fees and expenses of any counsel to such parties); (viii) all out-of-pocket expenses and application fees incurred in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60" w:top="274" w:right="259" w:bottom="1440" w:gutter="0" w:footer="0" w:header="0"/>
        </w:sectPr>
      </w:pPr>
    </w:p>
    <w:bookmarkStart w:id="28" w:name="page29"/>
    <w:bookmarkEnd w:id="28"/>
    <w:p>
      <w:pPr>
        <w:jc w:val="both"/>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connection with any filing with, and clearance of the offering by, the Financial Industry Regulatory Authority, and the approval of the Securities for book-entry transfer by DTC; and (ix) all out-of-pocket expenses incurred by the Company and the Guarantor in connection with any “road show” presentation to potential investors.</w:t>
      </w:r>
    </w:p>
    <w:p>
      <w:pPr>
        <w:spacing w:after="0" w:line="73" w:lineRule="exact"/>
        <w:rPr>
          <w:sz w:val="20"/>
          <w:szCs w:val="20"/>
          <w:color w:val="auto"/>
        </w:rPr>
      </w:pPr>
    </w:p>
    <w:p>
      <w:pPr>
        <w:ind w:firstLine="464"/>
        <w:spacing w:after="0" w:line="273" w:lineRule="auto"/>
        <w:tabs>
          <w:tab w:leader="none" w:pos="711"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(i) this Agreement is terminated pursuant to Section 9, (ii) the Company for any reason fails to tender the Securities for delivery to the Underwriters or (iii) the Underwriters decline to purchase the Securities for any reason permitted under this Agreement, the Company and the Guarantor jointly and severally agree to reimburse the Underwriters for all out-of-pocket costs and expenses (including the fees and expenses reasonably incurred of their counsel) reasonably incurred by the Underwriters in connection with this Agreement and the offering contemplated hereby; provided, however, that in the case of clauses (ii) and (iii) above, the Company and the Guarantor shall not be required to pay such costs and expenses where such failure to consummate the Agreement or termination is by reason of a default by any of the Underwriters.</w:t>
      </w:r>
    </w:p>
    <w:p>
      <w:pPr>
        <w:spacing w:after="0" w:line="178" w:lineRule="exact"/>
        <w:rPr>
          <w:sz w:val="20"/>
          <w:szCs w:val="20"/>
          <w:color w:val="auto"/>
        </w:rPr>
      </w:pPr>
    </w:p>
    <w:p>
      <w:pPr>
        <w:ind w:right="20" w:firstLine="464"/>
        <w:spacing w:after="0" w:line="257" w:lineRule="auto"/>
        <w:tabs>
          <w:tab w:leader="none" w:pos="72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any controlling persons referred to herein, and the affiliates, officers and directors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88" w:lineRule="exact"/>
        <w:rPr>
          <w:rFonts w:ascii="Arial" w:cs="Arial" w:eastAsia="Arial" w:hAnsi="Arial"/>
          <w:sz w:val="18"/>
          <w:szCs w:val="18"/>
          <w:color w:val="auto"/>
        </w:rPr>
      </w:pPr>
    </w:p>
    <w:p>
      <w:pPr>
        <w:jc w:val="both"/>
        <w:ind w:right="300" w:firstLine="464"/>
        <w:spacing w:after="0" w:line="302" w:lineRule="auto"/>
        <w:tabs>
          <w:tab w:leader="none" w:pos="726"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respective indemnities, rights of contribution, representations, warranties and agreements of the Company, the Guarantor and the Underwriters contained in this Agreement or made by or on behalf of the Company, the Guarantor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Guarantor or the Underwriters.</w:t>
      </w:r>
    </w:p>
    <w:p>
      <w:pPr>
        <w:spacing w:after="0" w:line="154" w:lineRule="exact"/>
        <w:rPr>
          <w:rFonts w:ascii="Arial" w:cs="Arial" w:eastAsia="Arial" w:hAnsi="Arial"/>
          <w:sz w:val="16"/>
          <w:szCs w:val="16"/>
          <w:color w:val="auto"/>
        </w:rPr>
      </w:pPr>
    </w:p>
    <w:p>
      <w:pPr>
        <w:ind w:right="80" w:firstLine="464"/>
        <w:spacing w:after="0" w:line="276" w:lineRule="auto"/>
        <w:tabs>
          <w:tab w:leader="none" w:pos="726"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xml:space="preserve">. For purposes of this Agreement, (a) except where otherwise expressly provided, the term </w:t>
      </w:r>
      <w:r>
        <w:rPr>
          <w:rFonts w:ascii="Arial" w:cs="Arial" w:eastAsia="Arial" w:hAnsi="Arial"/>
          <w:sz w:val="17"/>
          <w:szCs w:val="17"/>
          <w:u w:val="single" w:color="auto"/>
          <w:color w:val="auto"/>
        </w:rPr>
        <w:t>“affiliate</w:t>
      </w:r>
      <w:r>
        <w:rPr>
          <w:rFonts w:ascii="Arial" w:cs="Arial" w:eastAsia="Arial" w:hAnsi="Arial"/>
          <w:sz w:val="17"/>
          <w:szCs w:val="17"/>
          <w:color w:val="auto"/>
        </w:rPr>
        <w:t>” has the meaning set forth in Rule 405 under the Securities Act; (b) the term “</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any day other than a day on which banks are permitted or required to be closed in New York City; (c) the term </w:t>
      </w: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has the meaning set forth in Rule 405 under the Securities Act; and (d) the term </w:t>
      </w:r>
      <w:r>
        <w:rPr>
          <w:rFonts w:ascii="Arial" w:cs="Arial" w:eastAsia="Arial" w:hAnsi="Arial"/>
          <w:sz w:val="17"/>
          <w:szCs w:val="17"/>
          <w:u w:val="single" w:color="auto"/>
          <w:color w:val="auto"/>
        </w:rPr>
        <w:t>“significant subsidiary</w:t>
      </w:r>
      <w:r>
        <w:rPr>
          <w:rFonts w:ascii="Arial" w:cs="Arial" w:eastAsia="Arial" w:hAnsi="Arial"/>
          <w:sz w:val="17"/>
          <w:szCs w:val="17"/>
          <w:color w:val="auto"/>
        </w:rPr>
        <w:t>” has the meaning set forth in Rule 1-02 of Regulation S-X under the Exchange Act and refers only to those significant subsidiaries listed on Exhibit 21 to the Guarantor’s Annual Report on Form 10-K for the year ended December 31, 2012 as filed with the Commission on January 31, 2013.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9" w:name="page30"/>
    <w:bookmarkEnd w:id="29"/>
    <w:p>
      <w:pPr>
        <w:ind w:left="720" w:hanging="27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117" w:lineRule="exact"/>
        <w:rPr>
          <w:sz w:val="20"/>
          <w:szCs w:val="20"/>
          <w:color w:val="auto"/>
        </w:rPr>
      </w:pPr>
    </w:p>
    <w:p>
      <w:pPr>
        <w:ind w:left="-20" w:right="60" w:firstLine="464"/>
        <w:spacing w:after="0" w:line="277" w:lineRule="auto"/>
        <w:tabs>
          <w:tab w:leader="none" w:pos="681"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Authority of the Representatives. </w:t>
      </w:r>
      <w:r>
        <w:rPr>
          <w:rFonts w:ascii="Arial" w:cs="Arial" w:eastAsia="Arial" w:hAnsi="Arial"/>
          <w:sz w:val="18"/>
          <w:szCs w:val="18"/>
          <w:color w:val="auto"/>
        </w:rPr>
        <w:t>Any action by the Underwriters hereunder may be taken by the Representatives on behalf of the Underwriters,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such action taken by the Representatives shall be binding upon the Underwriters.</w:t>
      </w:r>
    </w:p>
    <w:p>
      <w:pPr>
        <w:spacing w:after="0" w:line="62" w:lineRule="exact"/>
        <w:rPr>
          <w:rFonts w:ascii="Arial" w:cs="Arial" w:eastAsia="Arial" w:hAnsi="Arial"/>
          <w:sz w:val="18"/>
          <w:szCs w:val="18"/>
          <w:color w:val="auto"/>
        </w:rPr>
      </w:pPr>
    </w:p>
    <w:p>
      <w:pPr>
        <w:ind w:left="-20" w:firstLine="464"/>
        <w:spacing w:after="0" w:line="255" w:lineRule="auto"/>
        <w:tabs>
          <w:tab w:leader="none" w:pos="691"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All notices and other communications hereunder shall be in writing and shall be deemed to have been duly given if mailed or transmitted</w:t>
      </w:r>
      <w:r>
        <w:rPr>
          <w:rFonts w:ascii="Arial" w:cs="Arial" w:eastAsia="Arial" w:hAnsi="Arial"/>
          <w:sz w:val="18"/>
          <w:szCs w:val="18"/>
          <w:i w:val="1"/>
          <w:iCs w:val="1"/>
          <w:color w:val="auto"/>
        </w:rPr>
        <w:t xml:space="preserve"> </w:t>
      </w:r>
      <w:r>
        <w:rPr>
          <w:rFonts w:ascii="Arial" w:cs="Arial" w:eastAsia="Arial" w:hAnsi="Arial"/>
          <w:sz w:val="18"/>
          <w:szCs w:val="18"/>
          <w:color w:val="auto"/>
        </w:rPr>
        <w:t>and confirmed by any standard form of telecommunication. Notices to the Underwriters shall be given to the Representatives c/o Citigroup Global Markets Inc., 388 Greenwich Street, New York, New York 10013 (fax: 212-816-7912), Attention: General Counsel; c/o Deutsche Bank Securities Inc., 60 Wall Street, New York, New York 10005 (fax: 212-797-2202), Attention: Debt Capital Markets Syndicate and c/o J.P. Morgan Securities LLC, 383 Madison Avenue, New York, New York 10179 (fax: 212-270-1063), Attention: High Grade Syndicate Desk – 3</w:t>
      </w:r>
      <w:r>
        <w:rPr>
          <w:rFonts w:ascii="Arial" w:cs="Arial" w:eastAsia="Arial" w:hAnsi="Arial"/>
          <w:sz w:val="15"/>
          <w:szCs w:val="15"/>
          <w:color w:val="auto"/>
        </w:rPr>
        <w:t>rd</w:t>
      </w:r>
      <w:r>
        <w:rPr>
          <w:rFonts w:ascii="Arial" w:cs="Arial" w:eastAsia="Arial" w:hAnsi="Arial"/>
          <w:sz w:val="18"/>
          <w:szCs w:val="18"/>
          <w:color w:val="auto"/>
        </w:rPr>
        <w:t xml:space="preserve"> Floor. Notices to the Companies and the Guarantor shall be given to them at 42 rue Saint Dominique, 75007 Paris, France, Attention: Treasurer – Eastern Hemisphere and 5599 San Felipe, Houston, TX 77056, Fax: (713) 513-2006, Attention: Vice President &amp; Treasurer.</w:t>
      </w:r>
    </w:p>
    <w:p>
      <w:pPr>
        <w:spacing w:after="0" w:line="81" w:lineRule="exact"/>
        <w:rPr>
          <w:rFonts w:ascii="Arial" w:cs="Arial" w:eastAsia="Arial" w:hAnsi="Arial"/>
          <w:sz w:val="18"/>
          <w:szCs w:val="18"/>
          <w:color w:val="auto"/>
        </w:rPr>
      </w:pPr>
    </w:p>
    <w:p>
      <w:pPr>
        <w:ind w:left="680" w:hanging="236"/>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shall be governed by and construed in accordance with the laws of the State of New York.</w:t>
      </w:r>
    </w:p>
    <w:p>
      <w:pPr>
        <w:spacing w:after="0" w:line="117" w:lineRule="exact"/>
        <w:rPr>
          <w:rFonts w:ascii="Arial" w:cs="Arial" w:eastAsia="Arial" w:hAnsi="Arial"/>
          <w:sz w:val="18"/>
          <w:szCs w:val="18"/>
          <w:color w:val="auto"/>
        </w:rPr>
      </w:pPr>
    </w:p>
    <w:p>
      <w:pPr>
        <w:ind w:left="-20" w:right="1380" w:firstLine="464"/>
        <w:spacing w:after="0" w:line="308" w:lineRule="auto"/>
        <w:tabs>
          <w:tab w:leader="none" w:pos="691"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signed in counterparts (which may include counterparts delivered by any standard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 each of which shall be an original and all of which together shall constitute one and the same instrument.</w:t>
      </w:r>
    </w:p>
    <w:p>
      <w:pPr>
        <w:spacing w:after="0" w:line="38" w:lineRule="exact"/>
        <w:rPr>
          <w:rFonts w:ascii="Arial" w:cs="Arial" w:eastAsia="Arial" w:hAnsi="Arial"/>
          <w:sz w:val="17"/>
          <w:szCs w:val="17"/>
          <w:color w:val="auto"/>
        </w:rPr>
      </w:pPr>
    </w:p>
    <w:p>
      <w:pPr>
        <w:ind w:left="-20" w:right="360" w:firstLine="464"/>
        <w:spacing w:after="0" w:line="277" w:lineRule="auto"/>
        <w:tabs>
          <w:tab w:leader="none" w:pos="681"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 therefrom,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62" w:lineRule="exact"/>
        <w:rPr>
          <w:rFonts w:ascii="Arial" w:cs="Arial" w:eastAsia="Arial" w:hAnsi="Arial"/>
          <w:sz w:val="18"/>
          <w:szCs w:val="18"/>
          <w:color w:val="auto"/>
        </w:rPr>
      </w:pPr>
    </w:p>
    <w:p>
      <w:pPr>
        <w:ind w:left="-20" w:right="660" w:firstLine="464"/>
        <w:spacing w:after="0" w:line="277" w:lineRule="auto"/>
        <w:tabs>
          <w:tab w:leader="none" w:pos="661"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6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SCHLUMBERGER INVESTMENT SA</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Philippe Petre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Philippe Petre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-130810</wp:posOffset>
            </wp:positionV>
            <wp:extent cx="27527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  Director B</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Imran Kizilbash</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Imran Kizilbash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-130810</wp:posOffset>
            </wp:positionV>
            <wp:extent cx="2752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  Vice President Treasurer</w:t>
      </w:r>
    </w:p>
    <w:p>
      <w:pPr>
        <w:sectPr>
          <w:pgSz w:w="11900" w:h="16838" w:orient="portrait"/>
          <w:cols w:equalWidth="0" w:num="1">
            <w:col w:w="10740"/>
          </w:cols>
          <w:pgMar w:left="700" w:top="274"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November 25,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Brian D. Bednarski</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Brian D.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-130810</wp:posOffset>
            </wp:positionV>
            <wp:extent cx="27527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Christopher Gerry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Christopher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-130810</wp:posOffset>
            </wp:positionV>
            <wp:extent cx="2752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Ben-Zion Smilchensky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Ben-Zion Smilchensky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-130810</wp:posOffset>
            </wp:positionV>
            <wp:extent cx="27527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jc w:val="center"/>
        <w:ind w:right="7679"/>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Bottamedi</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-130810</wp:posOffset>
            </wp:positionV>
            <wp:extent cx="2752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for themselves and on behalf of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several Underwriters listedin Schedule 1 hereto.</w:t>
      </w:r>
    </w:p>
    <w:p>
      <w:pPr>
        <w:sectPr>
          <w:pgSz w:w="11900" w:h="16838" w:orient="portrait"/>
          <w:cols w:equalWidth="0" w:num="1">
            <w:col w:w="10219"/>
          </w:cols>
          <w:pgMar w:left="240" w:top="274"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6520" w:type="dxa"/>
            <w:vAlign w:val="bottom"/>
            <w:gridSpan w:val="2"/>
          </w:tcPr>
          <w:p>
            <w:pPr>
              <w:spacing w:after="0"/>
              <w:rPr>
                <w:sz w:val="20"/>
                <w:szCs w:val="20"/>
                <w:color w:val="auto"/>
              </w:rPr>
            </w:pPr>
            <w:r>
              <w:rPr>
                <w:rFonts w:ascii="Arial" w:cs="Arial" w:eastAsia="Arial" w:hAnsi="Arial"/>
                <w:sz w:val="14"/>
                <w:szCs w:val="14"/>
                <w:color w:val="auto"/>
              </w:rPr>
              <w:t>Underwriter</w:t>
            </w:r>
          </w:p>
        </w:tc>
        <w:tc>
          <w:tcPr>
            <w:tcW w:w="1240" w:type="dxa"/>
            <w:vAlign w:val="bottom"/>
            <w:gridSpan w:val="3"/>
          </w:tcPr>
          <w:p>
            <w:pPr>
              <w:ind w:left="60"/>
              <w:spacing w:after="0"/>
              <w:rPr>
                <w:sz w:val="20"/>
                <w:szCs w:val="20"/>
                <w:color w:val="auto"/>
              </w:rPr>
            </w:pPr>
            <w:r>
              <w:rPr>
                <w:rFonts w:ascii="Arial" w:cs="Arial" w:eastAsia="Arial" w:hAnsi="Arial"/>
                <w:sz w:val="14"/>
                <w:szCs w:val="14"/>
                <w:color w:val="auto"/>
              </w:rPr>
              <w:t>Principal Amount</w:t>
            </w: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6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Citigroup Global Markets Inc.</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300,000,000</w:t>
            </w:r>
          </w:p>
        </w:tc>
        <w:tc>
          <w:tcPr>
            <w:tcW w:w="100" w:type="dxa"/>
            <w:vAlign w:val="bottom"/>
            <w:shd w:val="clear" w:color="auto" w:fill="CCEEFF"/>
          </w:tcPr>
          <w:p>
            <w:pPr>
              <w:spacing w:after="0"/>
              <w:rPr>
                <w:sz w:val="17"/>
                <w:szCs w:val="17"/>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300,000,000</w:t>
            </w:r>
          </w:p>
        </w:tc>
        <w:tc>
          <w:tcPr>
            <w:tcW w:w="100" w:type="dxa"/>
            <w:vAlign w:val="bottom"/>
          </w:tcPr>
          <w:p>
            <w:pPr>
              <w:spacing w:after="0"/>
              <w:rPr>
                <w:sz w:val="18"/>
                <w:szCs w:val="18"/>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300,000,000</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Mitsubishi UFJ Securities (USA), Inc.</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112,500,000</w:t>
            </w:r>
          </w:p>
        </w:tc>
        <w:tc>
          <w:tcPr>
            <w:tcW w:w="100" w:type="dxa"/>
            <w:vAlign w:val="bottom"/>
          </w:tcPr>
          <w:p>
            <w:pPr>
              <w:spacing w:after="0"/>
              <w:rPr>
                <w:sz w:val="18"/>
                <w:szCs w:val="18"/>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112,500,000</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BBVA Securities Inc.</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tcPr>
          <w:p>
            <w:pPr>
              <w:spacing w:after="0"/>
              <w:rPr>
                <w:sz w:val="18"/>
                <w:szCs w:val="18"/>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DNB Markets, Inc.</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tcPr>
          <w:p>
            <w:pPr>
              <w:spacing w:after="0"/>
              <w:rPr>
                <w:sz w:val="18"/>
                <w:szCs w:val="18"/>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 Incorporated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tcPr>
          <w:p>
            <w:pPr>
              <w:spacing w:after="0"/>
              <w:rPr>
                <w:sz w:val="18"/>
                <w:szCs w:val="18"/>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SG Americas Securities, LLC</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tcPr>
          <w:p>
            <w:pPr>
              <w:spacing w:after="0"/>
              <w:rPr>
                <w:sz w:val="18"/>
                <w:szCs w:val="18"/>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Standard Chartered Bank</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shd w:val="clear" w:color="auto" w:fill="CCEEFF"/>
          </w:tcPr>
          <w:p>
            <w:pPr>
              <w:spacing w:after="0"/>
              <w:rPr>
                <w:sz w:val="18"/>
                <w:szCs w:val="18"/>
                <w:color w:val="auto"/>
              </w:rPr>
            </w:pPr>
          </w:p>
        </w:tc>
      </w:tr>
      <w:tr>
        <w:trPr>
          <w:trHeight w:val="224"/>
        </w:trPr>
        <w:tc>
          <w:tcPr>
            <w:tcW w:w="65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1,500,000,000</w:t>
            </w:r>
          </w:p>
        </w:tc>
        <w:tc>
          <w:tcPr>
            <w:tcW w:w="100" w:type="dxa"/>
            <w:vAlign w:val="bottom"/>
          </w:tcPr>
          <w:p>
            <w:pPr>
              <w:spacing w:after="0"/>
              <w:rPr>
                <w:sz w:val="19"/>
                <w:szCs w:val="19"/>
                <w:color w:val="auto"/>
              </w:rPr>
            </w:pPr>
          </w:p>
        </w:tc>
      </w:tr>
    </w:tbl>
    <w:p>
      <w:pPr>
        <w:sectPr>
          <w:pgSz w:w="11900" w:h="16838" w:orient="portrait"/>
          <w:cols w:equalWidth="0" w:num="1">
            <w:col w:w="10220"/>
          </w:cols>
          <w:pgMar w:left="1440" w:top="27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Sale Information</w:t>
      </w:r>
    </w:p>
    <w:p>
      <w:pPr>
        <w:spacing w:after="0" w:line="135"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Pricing Term Sheet, dated November 25, 2013, substantially in the form of Annex B.</w:t>
      </w:r>
    </w:p>
    <w:p>
      <w:pPr>
        <w:sectPr>
          <w:pgSz w:w="11900" w:h="16838" w:orient="portrait"/>
          <w:cols w:equalWidth="0" w:num="1">
            <w:col w:w="11420"/>
          </w:cols>
          <w:pgMar w:left="240" w:top="27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333-190822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Schlumberger Investment SA $1,500,000,000 3.650% Senior Notes due 2023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25, 2013</w:t>
      </w:r>
    </w:p>
    <w:p>
      <w:pPr>
        <w:sectPr>
          <w:pgSz w:w="11900" w:h="16838" w:orient="portrait"/>
          <w:cols w:equalWidth="0" w:num="1">
            <w:col w:w="11420"/>
          </w:cols>
          <w:pgMar w:left="240" w:top="274" w:right="239" w:bottom="1440" w:gutter="0" w:footer="0" w:header="0"/>
        </w:sect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Guarantor:</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Schlumberger Limited</w:t>
      </w:r>
    </w:p>
    <w:p>
      <w:pPr>
        <w:spacing w:after="0" w:line="14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Schlumberger Investment SA</w:t>
      </w:r>
    </w:p>
    <w:p>
      <w:pPr>
        <w:spacing w:after="0" w:line="14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3.650% Senior Notes due 2023</w:t>
      </w:r>
    </w:p>
    <w:p>
      <w:pPr>
        <w:spacing w:after="0" w:line="139"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Issue Format: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SEC registered</w:t>
      </w:r>
    </w:p>
    <w:p>
      <w:pPr>
        <w:spacing w:after="0" w:line="151"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7"/>
          <w:szCs w:val="17"/>
          <w:color w:val="auto"/>
        </w:rPr>
        <w:t>Principal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$1,500,000,000</w:t>
      </w:r>
    </w:p>
    <w:p>
      <w:pPr>
        <w:spacing w:after="0" w:line="14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Coupon: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3.650%</w:t>
      </w:r>
    </w:p>
    <w:p>
      <w:pPr>
        <w:spacing w:after="0" w:line="14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0"/>
          <w:szCs w:val="20"/>
          <w:color w:val="auto"/>
        </w:rPr>
      </w:pPr>
      <w:r>
        <w:rPr>
          <w:sz w:val="20"/>
          <w:szCs w:val="20"/>
          <w:color w:val="auto"/>
        </w:rPr>
        <w:br w:type="column"/>
      </w:r>
    </w:p>
    <w:p>
      <w:pPr>
        <w:jc w:val="center"/>
        <w:ind w:right="4720"/>
        <w:spacing w:after="0"/>
        <w:rPr>
          <w:sz w:val="20"/>
          <w:szCs w:val="20"/>
          <w:color w:val="auto"/>
        </w:rPr>
      </w:pPr>
      <w:r>
        <w:rPr>
          <w:rFonts w:ascii="Arial" w:cs="Arial" w:eastAsia="Arial" w:hAnsi="Arial"/>
          <w:sz w:val="16"/>
          <w:szCs w:val="16"/>
          <w:color w:val="auto"/>
        </w:rPr>
        <w:t>99.660%</w:t>
      </w:r>
    </w:p>
    <w:p>
      <w:pPr>
        <w:spacing w:after="0" w:line="14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June 1 and December 1, beginning June 1, 2014</w:t>
      </w:r>
    </w:p>
    <w:p>
      <w:pPr>
        <w:spacing w:after="0" w:line="151"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25, 2013</w:t>
      </w:r>
    </w:p>
    <w:p>
      <w:pPr>
        <w:spacing w:after="0" w:line="14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December 3, 2013</w:t>
      </w:r>
    </w:p>
    <w:p>
      <w:pPr>
        <w:spacing w:after="0" w:line="14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December 1, 2023</w:t>
      </w:r>
    </w:p>
    <w:p>
      <w:pPr>
        <w:spacing w:after="0" w:line="14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7"/>
          <w:szCs w:val="17"/>
          <w:color w:val="auto"/>
        </w:rPr>
        <w:t>Make-Whole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 + 15 basis points</w:t>
      </w:r>
    </w:p>
    <w:p>
      <w:pPr>
        <w:spacing w:after="0" w:line="14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Par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 any time on or after September 1, 2023</w:t>
      </w:r>
    </w:p>
    <w:p>
      <w:pPr>
        <w:spacing w:after="0" w:line="14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2.750% due November 15, 2023</w:t>
      </w:r>
    </w:p>
    <w:p>
      <w:pPr>
        <w:spacing w:after="0" w:line="14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Treasury Yield:</w:t>
      </w:r>
    </w:p>
    <w:p>
      <w:pPr>
        <w:spacing w:after="0" w:line="20" w:lineRule="exact"/>
        <w:rPr>
          <w:sz w:val="20"/>
          <w:szCs w:val="20"/>
          <w:color w:val="auto"/>
        </w:rPr>
      </w:pPr>
      <w:r>
        <w:rPr>
          <w:sz w:val="20"/>
          <w:szCs w:val="20"/>
          <w:color w:val="auto"/>
        </w:rPr>
        <w:br w:type="column"/>
      </w:r>
    </w:p>
    <w:p>
      <w:pPr>
        <w:jc w:val="center"/>
        <w:ind w:right="4800"/>
        <w:spacing w:after="0"/>
        <w:rPr>
          <w:sz w:val="20"/>
          <w:szCs w:val="20"/>
          <w:color w:val="auto"/>
        </w:rPr>
      </w:pPr>
      <w:r>
        <w:rPr>
          <w:rFonts w:ascii="Arial" w:cs="Arial" w:eastAsia="Arial" w:hAnsi="Arial"/>
          <w:sz w:val="16"/>
          <w:szCs w:val="16"/>
          <w:color w:val="auto"/>
        </w:rPr>
        <w:t>2.741%</w:t>
      </w:r>
    </w:p>
    <w:p>
      <w:pPr>
        <w:spacing w:after="0" w:line="14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+95 basis points</w:t>
      </w:r>
    </w:p>
    <w:p>
      <w:pPr>
        <w:spacing w:after="0" w:line="14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7"/>
          <w:szCs w:val="17"/>
          <w:color w:val="auto"/>
        </w:rPr>
        <w:t>Reoffer Yield:</w:t>
      </w:r>
    </w:p>
    <w:p>
      <w:pPr>
        <w:spacing w:after="0" w:line="20" w:lineRule="exact"/>
        <w:rPr>
          <w:sz w:val="20"/>
          <w:szCs w:val="20"/>
          <w:color w:val="auto"/>
        </w:rPr>
      </w:pPr>
      <w:r>
        <w:rPr>
          <w:sz w:val="20"/>
          <w:szCs w:val="20"/>
          <w:color w:val="auto"/>
        </w:rPr>
        <w:br w:type="column"/>
      </w:r>
    </w:p>
    <w:p>
      <w:pPr>
        <w:jc w:val="center"/>
        <w:ind w:right="4800"/>
        <w:spacing w:after="0"/>
        <w:rPr>
          <w:sz w:val="20"/>
          <w:szCs w:val="20"/>
          <w:color w:val="auto"/>
        </w:rPr>
      </w:pPr>
      <w:r>
        <w:rPr>
          <w:rFonts w:ascii="Arial" w:cs="Arial" w:eastAsia="Arial" w:hAnsi="Arial"/>
          <w:sz w:val="16"/>
          <w:szCs w:val="16"/>
          <w:color w:val="auto"/>
        </w:rPr>
        <w:t>3.691%</w:t>
      </w:r>
    </w:p>
    <w:p>
      <w:pPr>
        <w:spacing w:after="0" w:line="14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806854 AH8</w:t>
      </w:r>
    </w:p>
    <w:p>
      <w:pPr>
        <w:spacing w:after="0" w:line="14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7"/>
          <w:szCs w:val="17"/>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US806854AH81</w:t>
      </w:r>
    </w:p>
    <w:p>
      <w:pPr>
        <w:spacing w:after="0" w:line="14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Mitsubishi UFJ Securities (USA),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16"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BBVA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DNB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 Incorporated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Standard Chartered Bank</w:t>
      </w:r>
    </w:p>
    <w:p>
      <w:pPr>
        <w:spacing w:after="0" w:line="20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and Sale of the Notes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Issuer expects to deliver the Notes against payment for the Notes on or about December 3, 2013 which will be the fifth business day following November 25, 2013, the date of the pricing of the Notes. Since trades in the secondary market generally settle in three business days, purchasers who wish to trade Notes on the date of pricing or the next succeeding business day will be required, by virtue of the fact that the Notes initially will settle in T+5, to specify alternative settlement arrangements to prevent a failed settlement.</w:t>
      </w:r>
    </w:p>
    <w:p>
      <w:pPr>
        <w:sectPr>
          <w:pgSz w:w="11900" w:h="16838" w:orient="portrait"/>
          <w:cols w:equalWidth="0" w:num="1">
            <w:col w:w="11420"/>
          </w:cols>
          <w:pgMar w:left="240" w:top="274" w:right="239" w:bottom="1440" w:gutter="0" w:footer="0" w:header="0"/>
          <w:type w:val="continuous"/>
        </w:sectPr>
      </w:pPr>
    </w:p>
    <w:bookmarkStart w:id="35" w:name="page36"/>
    <w:bookmarkEnd w:id="35"/>
    <w:p>
      <w:pPr>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Citigroup Global Markets Inc. toll-free at 1-800-831-9146, Deutsche Bank Securities Inc. toll-free at 1-800-503-4611 and J.P. Morgan Securities LLC collect at 1-212-834-4533.</w:t>
      </w:r>
    </w:p>
    <w:p>
      <w:pPr>
        <w:sectPr>
          <w:pgSz w:w="11900" w:h="16838" w:orient="portrait"/>
          <w:cols w:equalWidth="0" w:num="1">
            <w:col w:w="11260"/>
          </w:cols>
          <w:pgMar w:left="240" w:top="270" w:right="3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and 10b-5 Statement of Baker Botts L.L.P.</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opinion and 10b-5 statement of U.S. counsel for the Company and the Guarantor, to be delivered pursuant to Section 6(g)(i)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shall be to the effect that:</w:t>
      </w:r>
    </w:p>
    <w:p>
      <w:pPr>
        <w:spacing w:after="0" w:line="103"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This opinion is being furnished to you pursuant to Section 6(g) of the Underwriting Agreement, dated as of November 25, 2013 (the “Underwriting Agreement”), among Schlumberger Investment SA, a company organized under the laws of the Grand Duchy of Luxembourg (the “Company”), Schlumberger Limited, a company organized under the laws of Curaçao (the “Guarantor”), and Citigroup Global Markets Inc., Deutsche Bank Securities Inc. and J.P. Morgan Securities LLC, as representatives of the underwriters named therein (the “Underwriters”), relating to the issuance and sale by the Company of $1,500,000,000 aggregate principal amount of its 3.650% Senior Notes due 2023 (the “Notes”). The Notes are to be guaranteed (the “Guarantee”) by the Guarantor. The Notes and the related Guarantee are to be issued under the Base Indenture, as supplemented by the first supplemental indenture, dated as of December 3, 2013, among the Company, the Guarantor and the Trustee (together with the Base Indenture, the “Indenture”).</w:t>
      </w:r>
    </w:p>
    <w:p>
      <w:pPr>
        <w:spacing w:after="0" w:line="167"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The Company and the Guarantor have filed with the Securities and Exchange Commission (the “Commission”) under the Securities Act of 1933, as amended (the “Act”), a registration statement on Form S-3 (Registration No. 333-190822), including a prospectus dated August 26, 2013 (the “Basic Prospectus”) relating to the registration of the offer and sale of an indeterminate amount of debt securities by the Company and the guarantee of the Guarantor related thereto. Such registration statement (including all documents filed as part thereof or incorporated by reference therein), as amended and supplemented as of the date of the Underwriting Agreement, is hereinafter referred to as the “Registration Statement.” The final prospectus supplement dated November 25, 2013 relating to the Notes and the Guarantee, together with the Basic Prospectus, as first filed with the Commission on November 26, 2013 pursuant to and in accordance with Rule 424(b), including all documents incorporated by reference therein, is hereinafter referred to as the “Prospectus.” The preliminary prospectus supplement subject to completion dated November 25, 2013 relating to the Notes and the Guarantee, together with the Basic Prospectus, as first filed with the Commission on November 25, 2013 pursuant to and in accordance with Rule 424(b), including all documents incorporated by reference therein, is hereinafter referred to as the “Preliminary Prospectus.” The final term sheet setting forth the terms of the Notes and the Guarantee as filed with the Commission pursuant to and in accordance with Rule 433(d) on November 25, 2013 and the Preliminary Prospectus are hereinafter collectively referred to as the “Time of Sale Information.”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37" w:name="page38"/>
    <w:bookmarkEnd w:id="37"/>
    <w:p>
      <w:pPr>
        <w:ind w:left="912"/>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examined the originals, or copies certified or otherwise identified, of (i) Registration Statement, (ii) the Time of Sale Information,</w:t>
      </w:r>
    </w:p>
    <w:p>
      <w:pPr>
        <w:spacing w:after="0" w:line="35" w:lineRule="exact"/>
        <w:rPr>
          <w:sz w:val="20"/>
          <w:szCs w:val="20"/>
          <w:color w:val="auto"/>
        </w:rPr>
      </w:pPr>
    </w:p>
    <w:p>
      <w:pPr>
        <w:ind w:left="-8" w:firstLine="8"/>
        <w:spacing w:after="0" w:line="287" w:lineRule="auto"/>
        <w:tabs>
          <w:tab w:leader="none" w:pos="307"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the Prospectus, (iii) the Underwriting Agreement, (iv) the Indenture (including the Guarantee), (v) the forms of the Notes, (vi) certificates of public officials and of representatives of the Company, the Guarantor and the Trustee, (vii) the agreements and instruments identified to us by an officer of the Guarantor as material to the Guarantor and listed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“Specified Agreements”) and (viii) statutes and other instruments and documents, as a basis for the opinions hereinafter expressed. In giving the opinions set forth below, we have relied without independent investigation or verification upon certificates and representations of officers or other representatives of the Companies and of public officials, the Guarantor and the Trustee, including without limitation, the representations and warranties of the Company and the Guarantor contained in the Underwriting Agreement, with respect to the accuracy of the factual matters contained therein. In making our examination, we have assumed that all signatures on documents examined by us are genuine, all documents submitted to us as originals are authentic and all documents submitted to us as certified or photostatic copies conformed with the originals of such documents.</w:t>
      </w:r>
    </w:p>
    <w:p>
      <w:pPr>
        <w:spacing w:after="0" w:line="17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On the basis of the foregoing, and subject to the limitations and qualifications set forth herein, we are of the opinion that:</w:t>
      </w:r>
    </w:p>
    <w:p>
      <w:pPr>
        <w:spacing w:after="0" w:line="131" w:lineRule="exact"/>
        <w:rPr>
          <w:sz w:val="20"/>
          <w:szCs w:val="20"/>
          <w:color w:val="auto"/>
        </w:rPr>
      </w:pPr>
    </w:p>
    <w:p>
      <w:pPr>
        <w:ind w:left="892" w:right="40" w:hanging="446"/>
        <w:spacing w:after="0" w:line="293" w:lineRule="auto"/>
        <w:tabs>
          <w:tab w:leader="none" w:pos="89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Indenture (including the Guarantee therein), assuming the due authorization, execution and delivery thereof by each of the parties thereto, constitutes a valid and legally binding agreement of each of the Company and the Guarantor, enforceable against each of the Company and the Guarantor in accordance with its terms, except as the enforceability thereof may be subject to the effect of any bankruptcy, insolvency, reorganization, fraudulent conveyance, moratorium and other laws of general applicability relating to or affecting creditors’ rights or remedies, to general principles of equity and public policy (regardless of whether enforcement is sought in a proceeding at law or in equity) and to the discretion of the court before which any proceeding may be brought (collectively, the “Enforceability Exceptions”).</w:t>
      </w:r>
    </w:p>
    <w:p>
      <w:pPr>
        <w:spacing w:after="0" w:line="70" w:lineRule="exact"/>
        <w:rPr>
          <w:rFonts w:ascii="Arial" w:cs="Arial" w:eastAsia="Arial" w:hAnsi="Arial"/>
          <w:sz w:val="16"/>
          <w:szCs w:val="16"/>
          <w:color w:val="auto"/>
        </w:rPr>
      </w:pPr>
    </w:p>
    <w:p>
      <w:pPr>
        <w:ind w:left="892" w:right="140" w:hanging="446"/>
        <w:spacing w:after="0" w:line="276" w:lineRule="auto"/>
        <w:tabs>
          <w:tab w:leader="none" w:pos="892"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Notes, when duly authenticated and delivered by the Trustee in accordance with the terms of the applicable Indenture and paid for by the Underwriters in accordance with the terms of the Underwriting Agreement, and assuming their due authorization, execution and delivery by the Company, and further assuming the due authorization, execution and delivery of the Indenture by the parties thereto, constitute valid and legally binding obligations of the Company, enforceable against the Company in accordance with their terms, in each case except as the enforceability thereof may be subject to the effect of any Enforceability Exceptions.</w:t>
      </w:r>
    </w:p>
    <w:p>
      <w:pPr>
        <w:spacing w:after="0" w:line="77" w:lineRule="exact"/>
        <w:rPr>
          <w:rFonts w:ascii="Arial" w:cs="Arial" w:eastAsia="Arial" w:hAnsi="Arial"/>
          <w:sz w:val="17"/>
          <w:szCs w:val="17"/>
          <w:color w:val="auto"/>
        </w:rPr>
      </w:pPr>
    </w:p>
    <w:p>
      <w:pPr>
        <w:ind w:left="892" w:right="80" w:hanging="446"/>
        <w:spacing w:after="0" w:line="264" w:lineRule="auto"/>
        <w:tabs>
          <w:tab w:leader="none" w:pos="89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Notes, the Guarantee and the Indenture conform in all material respects to the descriptions thereof in the Registration Statement, the Time of Sale Information and the Prospectus under the caption “Description of the Notes” insofar as such descriptions purport to summarize certain provisions of documents or legal matters.</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12"/>
          </w:cols>
          <w:pgMar w:left="248" w:top="274" w:right="239" w:bottom="1440" w:gutter="0" w:footer="0" w:header="0"/>
        </w:sectPr>
      </w:pPr>
    </w:p>
    <w:bookmarkStart w:id="38" w:name="page39"/>
    <w:bookmarkEnd w:id="38"/>
    <w:p>
      <w:pPr>
        <w:ind w:left="900" w:hanging="446"/>
        <w:spacing w:after="0" w:line="276"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execution and delivery of the Underwriting Agreement, the Indenture and the Notes by the Company and the Guarantor, and the issue and sale of the Notes by the Company and the Guarantee by the Guarantor to the Underwriters pursuant to the Underwriting Agreement, do not on the date hereof result in a breach or violation of any of the terms or provisions of, or constitute a default under, any Specified Agreement, nor will such actions result in any violation of any United Stated federal or New York State statute, rule or regulation applicable to the Company or the Guarantor (assuming compliance with all applicable federal and state antifraud laws and state securities laws).</w:t>
      </w:r>
    </w:p>
    <w:p>
      <w:pPr>
        <w:spacing w:after="0" w:line="77" w:lineRule="exact"/>
        <w:rPr>
          <w:rFonts w:ascii="Arial" w:cs="Arial" w:eastAsia="Arial" w:hAnsi="Arial"/>
          <w:sz w:val="17"/>
          <w:szCs w:val="17"/>
          <w:color w:val="auto"/>
        </w:rPr>
      </w:pPr>
    </w:p>
    <w:p>
      <w:pPr>
        <w:ind w:left="900" w:hanging="446"/>
        <w:spacing w:after="0" w:line="25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consent, approval, authorization, order, registration or qualification of or with any governmental authority is required under United States federal law or any New York State statute, rule or regulation applicable to the Company or the Guarantor for the issue and sale of the Notes by the Company and the Guarantee by the Guarantor to the Underwriters pursuant to the Underwriting Agreement and except such as may have been required under applicable state securities laws, as to which we have not been asked to, and we do not, express any opinion, and those which have been previously obtained.</w:t>
      </w:r>
    </w:p>
    <w:p>
      <w:pPr>
        <w:spacing w:after="0" w:line="93"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Neither of the Company or the Guarantor is and, after giving effect to the offering and sale of the Notes and the application of the proceeds thereof as described in the Prospectus under the caption “Use of Proceeds,” none will be, an “investment company,” as such term is defined in the Investment Company Act of 1940, as amended.</w:t>
      </w:r>
    </w:p>
    <w:p>
      <w:pPr>
        <w:spacing w:after="0" w:line="18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We have reviewed the Registration Statement, the Time of Sale Information and the Prospectus and have participated in conferences with officers and other representatives of the Company and the Guarantor, with representatives of the Guarantor’s independent registered public accounting firm and with your representatives and your counsel, at which the contents of the Registration Statement, the Time of Sale Information and the Prospectus and related matters were discussed. The purpose of our professional engagement was not to establish or confirm factual matters set forth in the Registration Statement, the Time of Sale Information and the Prospectus, and we have not undertaken to verify independently any of the factual matters in such documents. Moreover, many of the determinations required to be made in the preparation of the Registration Statement, the Time of Sale Information and the Prospectus involve matters of a non-legal nature. Accordingly, we are not passing upon, and do not assume any responsibility for, the accuracy, completeness or fairness of the statements included in the Registration Statement, the Time of Sale Information and the Prospectus (except to the extent stated in paragraph 3 above). Subject to the foregoing, and on the basis of the information we gained in the course of performing the services referred to above, we advise you that nothing came to our attention that caused us to believe that: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274" w:right="239" w:bottom="1440" w:gutter="0" w:footer="0" w:header="0"/>
        </w:sectPr>
      </w:pPr>
    </w:p>
    <w:bookmarkStart w:id="39" w:name="page40"/>
    <w:bookmarkEnd w:id="39"/>
    <w:p>
      <w:pPr>
        <w:ind w:left="1500" w:right="280" w:firstLine="389"/>
        <w:spacing w:after="0" w:line="277" w:lineRule="auto"/>
        <w:tabs>
          <w:tab w:leader="none" w:pos="2152"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Registration Statement, as of the latest Effective Date, contained an untrue statement of material fact or omitted to state a material fact required to be stated therein or necessary to make the states therein not misleading,</w:t>
      </w:r>
    </w:p>
    <w:p>
      <w:pPr>
        <w:spacing w:after="0" w:line="62" w:lineRule="exact"/>
        <w:rPr>
          <w:rFonts w:ascii="Arial" w:cs="Arial" w:eastAsia="Arial" w:hAnsi="Arial"/>
          <w:sz w:val="18"/>
          <w:szCs w:val="18"/>
          <w:color w:val="auto"/>
        </w:rPr>
      </w:pPr>
    </w:p>
    <w:p>
      <w:pPr>
        <w:jc w:val="both"/>
        <w:ind w:left="1500" w:right="580" w:firstLine="389"/>
        <w:spacing w:after="0" w:line="264" w:lineRule="auto"/>
        <w:tabs>
          <w:tab w:leader="none" w:pos="21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Time of Sale Information, as of the Time of Sale, included an untrue statement of a material fact or omitted to state a material fact necessary in order to make the statements therein, in the light of the circumstances under which they were made, not misleading, or</w:t>
      </w:r>
    </w:p>
    <w:p>
      <w:pPr>
        <w:spacing w:after="0" w:line="73" w:lineRule="exact"/>
        <w:rPr>
          <w:rFonts w:ascii="Arial" w:cs="Arial" w:eastAsia="Arial" w:hAnsi="Arial"/>
          <w:sz w:val="18"/>
          <w:szCs w:val="18"/>
          <w:color w:val="auto"/>
        </w:rPr>
      </w:pPr>
    </w:p>
    <w:p>
      <w:pPr>
        <w:jc w:val="both"/>
        <w:ind w:left="1500" w:right="200" w:firstLine="389"/>
        <w:spacing w:after="0" w:line="264" w:lineRule="auto"/>
        <w:tabs>
          <w:tab w:leader="none" w:pos="21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Prospectus, as of its date or as of the date hereof, included or includes an untrue statement of a material fact or omitted or omits to state a material fact necessary in order to make the statements therein, in the light of the circumstances under which they were made, not misleading;</w:t>
      </w:r>
    </w:p>
    <w:p>
      <w:pPr>
        <w:spacing w:after="0" w:line="18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it being understood that in each case we have not been asked to, and do not, express any belief with respect to (a) the financial statements and schedules or other financial or accounting information included or incorporated by reference therein or omitted therefrom, (b) representations and warranties and other statements of fact contained in the exhibits to documents incorporated by reference therein or (c) that part of the Registration Statement that constitutes the Form T-1.</w:t>
      </w:r>
    </w:p>
    <w:p>
      <w:pPr>
        <w:spacing w:after="0" w:line="18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Various issues pertaining to (i) Luxembourg law are addressed in the opinion of Loyens &amp; Loeff Luxembourg S.a.r.l. furnished to you pursuant to Section 6(g) of the Underwriting Agreement and (ii) Curaçao law are addressed in the opinion of STvB Advocaten furnished to you pursuant to Section 6(g) of the Underwriting Agreement. We express no opinion with respect to those matters herein, and to the extent elements of those opinions are necessary to the opinions or conclusions expressed herein, we have, with your consent, assumed such matters.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00"/>
          </w:cols>
          <w:pgMar w:left="240" w:top="274" w:right="259" w:bottom="1440" w:gutter="0" w:footer="0" w:header="0"/>
        </w:sectPr>
      </w:pPr>
    </w:p>
    <w:bookmarkStart w:id="40" w:name="page41"/>
    <w:bookmarkEnd w:id="40"/>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opinions set forth above are, subject to any further limitations specified herein, limited in all respects to the applicable laws of the State New York and applicable United States federal law, in each case as in effect on the date hereof. The Trustee is authorized to accept and rely on the opinions set forth in paragraphs 1 and 2 above in the same manner as if such opinions were addressed to the Trustee. Except as provided in the immediately preceding sentence, this letter is solely for your benefit as representatives of the Underwriters and may not be relied upon by any other person or for any other purpose. No other use or distribution of this letter may be made without our prior written consent. This letter speaks as of the date hereof, and we disclaim any obligation to update it.</w:t>
      </w:r>
    </w:p>
    <w:p>
      <w:pPr>
        <w:spacing w:after="0" w:line="193"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JDK/MBH/AJE/SEB</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360"/>
          </w:cols>
          <w:pgMar w:left="240" w:top="274" w:right="2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Specified Agreements</w:t>
      </w:r>
    </w:p>
    <w:p>
      <w:pPr>
        <w:spacing w:after="0" w:line="25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Indenture by and between Schlumberger Limited and Citibank N.A., dated June 9, 2003</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First Supplemental Indenture by and between Schlumberger Limited and Citibank N.A., dated June 9, 2003</w:t>
      </w:r>
    </w:p>
    <w:p>
      <w:pPr>
        <w:spacing w:after="0" w:line="130"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Indenture by and between Schlumberger SA, Schlumberger Norge AS, Schlumberger Oilfield UK Plc, Schlumberger Limited and The Bank of New York Mellon, dated January 10, 2011</w:t>
      </w:r>
    </w:p>
    <w:p>
      <w:pPr>
        <w:spacing w:after="0" w:line="75"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First Supplemental Indenture to the Indenture dated January 10, 2011 by and between Schlumberger SA, Schlumberger Limited and The Bank of New York Mellon, dated January 10, 2011</w:t>
      </w:r>
    </w:p>
    <w:p>
      <w:pPr>
        <w:spacing w:after="0" w:line="75"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Second Supplemental Indenture to the Indenture dated January 10, 2011 by and between Schlumberger Norge AS, Schlumberger Limited and The Bank of New York Mellon, dated January 10, 2011</w:t>
      </w:r>
    </w:p>
    <w:p>
      <w:pPr>
        <w:spacing w:after="0" w:line="75"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Third Supplemental Indenture to the Indenture dated January 10, 2011 by and between Schlumberger Oilfield UK Plc, Schlumberger Limited and The Bank of New York Mellon, dated January 10, 2011</w:t>
      </w:r>
    </w:p>
    <w:p>
      <w:pPr>
        <w:spacing w:after="0" w:line="75"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Indenture by and between Schlumberger Norge AS, Schlumberger Investment SA, Schlumberger Limited and The Bank of New York Mellon, dated September 14, 2011</w:t>
      </w:r>
    </w:p>
    <w:p>
      <w:pPr>
        <w:spacing w:after="0" w:line="7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First Supplemental Indenture to the Indenture dated September 14, 2011 by and between Schlumberger Norge AS, Schlumberger Limited and The Bank of New York Mellon, dated September 14, 2011</w:t>
      </w:r>
    </w:p>
    <w:p>
      <w:pPr>
        <w:spacing w:after="0" w:line="75"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Second Supplemental Indenture to the Indenture dated September 14, 2011 by and between Schlumberger Investment SA, Schlumberger Limited and The Bank of New York Mellon, dated September 14, 2011</w:t>
      </w:r>
    </w:p>
    <w:p>
      <w:pPr>
        <w:spacing w:after="0" w:line="75"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Indenture by and between Schlumberger Norge AS, Schlumberger Investment SA, Schlumberger Limited and The Bank of New York Mellon, dated July 31, 2012</w:t>
      </w:r>
    </w:p>
    <w:p>
      <w:pPr>
        <w:spacing w:after="0" w:line="75"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First Supplemental Indenture to the Indenture dated July 31, 2012 by and between Schlumberger Norge AS, Schlumberger Limited and The Bank of New York Mellon, dated July 31, 2012</w:t>
      </w:r>
    </w:p>
    <w:p>
      <w:pPr>
        <w:spacing w:after="0" w:line="75"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Second Supplemental Indenture to the Indenture dated July 31, 2012 by and between Schlumberger Investment SA, Schlumberger Limited and The Bank of New York Mellon, dated July 31, 2012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20"/>
          </w:cols>
          <w:pgMar w:left="240" w:top="27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Opinions of Loyens &amp; Loeff Luxembourg S.a.r.l.</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opinions of Loyens &amp; Loeff Luxembourg S.a.r.l., Luxembourg counsel to Schlumberger Investment SA, to be delivered pursuant to Section 6(g)(ii)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this Agreement, shall be to the effect that:</w:t>
      </w:r>
    </w:p>
    <w:p>
      <w:pPr>
        <w:spacing w:after="0" w:line="103" w:lineRule="exact"/>
        <w:rPr>
          <w:sz w:val="20"/>
          <w:szCs w:val="20"/>
          <w:color w:val="auto"/>
        </w:rPr>
      </w:pPr>
    </w:p>
    <w:p>
      <w:pPr>
        <w:ind w:right="20" w:firstLine="464"/>
        <w:spacing w:after="0" w:line="342" w:lineRule="auto"/>
        <w:tabs>
          <w:tab w:leader="none" w:pos="701"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has been duly incorporated, is validly existing and in good standing under the laws of the jurisdiction of its formation, organization or incorporation and has the corporate power and authority to own their property and to conduct their business as described in the Prospectus.</w:t>
      </w:r>
    </w:p>
    <w:p>
      <w:pPr>
        <w:spacing w:after="0" w:line="15" w:lineRule="exact"/>
        <w:rPr>
          <w:rFonts w:ascii="Arial" w:cs="Arial" w:eastAsia="Arial" w:hAnsi="Arial"/>
          <w:sz w:val="16"/>
          <w:szCs w:val="16"/>
          <w:color w:val="auto"/>
        </w:rPr>
      </w:pPr>
    </w:p>
    <w:p>
      <w:pPr>
        <w:ind w:left="720" w:hanging="256"/>
        <w:spacing w:after="0"/>
        <w:tabs>
          <w:tab w:leader="none" w:pos="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of the issued shares of capital stock of the Company have been duly and validly authorized and issued, are fully paid and non-assessable.</w:t>
      </w:r>
    </w:p>
    <w:p>
      <w:pPr>
        <w:spacing w:after="0" w:line="128" w:lineRule="exact"/>
        <w:rPr>
          <w:rFonts w:ascii="Arial" w:cs="Arial" w:eastAsia="Arial" w:hAnsi="Arial"/>
          <w:sz w:val="17"/>
          <w:szCs w:val="17"/>
          <w:color w:val="auto"/>
        </w:rPr>
      </w:pPr>
    </w:p>
    <w:p>
      <w:pPr>
        <w:ind w:right="60" w:firstLine="464"/>
        <w:spacing w:after="0" w:line="264" w:lineRule="auto"/>
        <w:tabs>
          <w:tab w:leader="none" w:pos="70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has the full right, power and authority to execute and deliver each of the Transaction Documents to which it is a party and to perform its obligations thereunder; and all action required to be taken for the due and proper authorization, execution and delivery of each of the Transaction Documents and the consummation of the transactions contemplated thereby has been duly and validly taken.</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Agreement, the Indenture and the Securities have been duly authorized, executed and delivered by the Company.</w:t>
      </w:r>
    </w:p>
    <w:p>
      <w:pPr>
        <w:spacing w:after="0" w:line="117" w:lineRule="exact"/>
        <w:rPr>
          <w:rFonts w:ascii="Arial" w:cs="Arial" w:eastAsia="Arial" w:hAnsi="Arial"/>
          <w:sz w:val="18"/>
          <w:szCs w:val="18"/>
          <w:color w:val="auto"/>
        </w:rPr>
      </w:pPr>
    </w:p>
    <w:p>
      <w:pPr>
        <w:ind w:firstLine="464"/>
        <w:spacing w:after="0" w:line="255" w:lineRule="auto"/>
        <w:tabs>
          <w:tab w:leader="none" w:pos="70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this Agreement, the Indenture and the Securities will not contravene any provision of applicable law or the articles of incorporation or by-laws of the Company or, to the best of such counsel’s knowledge, any agreement or other instrument binding upon the Company that is material to the Company, or, to the best of such counsel’s knowledge, any judgment, order or decree of any Luxembourg governmental body, agency or court having jurisdiction over the Company, and no consent, approval, authorization or order of, or qualification with, any Luxembourg governmental body or agency is required for the performance by the Company of its obligations under this Agreement, the Indenture or the Securities.</w:t>
      </w:r>
    </w:p>
    <w:p>
      <w:pPr>
        <w:spacing w:after="0" w:line="193"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Baker Botts L.L.P. is entitled to rely on this opinion in connection with the rendering of its opinion to be delivered pursuant to the Agreement or delivered in connection therewith.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4"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STvB Advocaten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opinion of Curacao counsel for the Guarantor, to be delivered pursuant to Section 6(g)(iii) of this Agreement, shall be to the effect that:</w:t>
      </w:r>
    </w:p>
    <w:p>
      <w:pPr>
        <w:spacing w:after="0" w:line="129" w:lineRule="exact"/>
        <w:rPr>
          <w:sz w:val="20"/>
          <w:szCs w:val="20"/>
          <w:color w:val="auto"/>
        </w:rPr>
      </w:pPr>
    </w:p>
    <w:p>
      <w:pPr>
        <w:ind w:right="440" w:firstLine="464"/>
        <w:spacing w:after="0" w:line="277" w:lineRule="auto"/>
        <w:tabs>
          <w:tab w:leader="none" w:pos="70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Guarantor has been duly incorporated, is validly existing and in good standing under the laws of Curacao and has the corporate power and authority to own their property and to conduct their business as described in the Prospectus.</w:t>
      </w:r>
    </w:p>
    <w:p>
      <w:pPr>
        <w:spacing w:after="0" w:line="62"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Guarantor has the full right, power and authority to execute and deliver each of the Transaction Documents to which it is a party and to perform its obligations thereunder; and all action required to be taken for the due and proper authorization, execution and delivery of each of the Transaction Documents and the consummation of the transactions contemplated thereby has been duly and validly taken.</w:t>
      </w:r>
    </w:p>
    <w:p>
      <w:pPr>
        <w:spacing w:after="0" w:line="73" w:lineRule="exact"/>
        <w:rPr>
          <w:rFonts w:ascii="Arial" w:cs="Arial" w:eastAsia="Arial" w:hAnsi="Arial"/>
          <w:sz w:val="18"/>
          <w:szCs w:val="18"/>
          <w:color w:val="auto"/>
        </w:rPr>
      </w:pPr>
    </w:p>
    <w:p>
      <w:pPr>
        <w:ind w:left="700" w:hanging="23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Agreement, the Indenture and the Guarantee has been duly authorized, executed and delivered by the Guarantor.</w:t>
      </w:r>
    </w:p>
    <w:p>
      <w:pPr>
        <w:spacing w:after="0" w:line="117" w:lineRule="exact"/>
        <w:rPr>
          <w:rFonts w:ascii="Arial" w:cs="Arial" w:eastAsia="Arial" w:hAnsi="Arial"/>
          <w:sz w:val="18"/>
          <w:szCs w:val="18"/>
          <w:color w:val="auto"/>
        </w:rPr>
      </w:pPr>
    </w:p>
    <w:p>
      <w:pPr>
        <w:ind w:right="80" w:firstLine="464"/>
        <w:spacing w:after="0" w:line="255" w:lineRule="auto"/>
        <w:tabs>
          <w:tab w:leader="none" w:pos="7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execution and delivery by the Guarantor of, and the performance by the Guarantor of its obligations under, this Agreement, the Indenture and the Guarantee will not contravene any provision of applicable law or the articles of incorporation or by-laws of the Guarantor or, to the best of such counsel’s knowledge, any agreement or other instrument binding upon the Guarantor that is material to the Guarantor, or, to the best of such counsel’s knowledge, any judgment, order or decree of any Netherland Antilles governmental body, agency or court having jurisdiction over the Guarantor, and no consent, approval, authorization or order of, or qualification with, any Netherland Antilles governmental body or agency is required for the performance by the Guarantor of its obligations under this Agreement, the Indenture or the Guarantee.</w:t>
      </w:r>
    </w:p>
    <w:p>
      <w:pPr>
        <w:spacing w:after="0" w:line="193"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Baker Botts L.L.P. is entitled to rely on this opinion in connection with the rendering of its opinion to be delivered pursuant to the Agreement or delivered in connection therewith.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27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Alexander C. Juden, Secretary and General Counsel of the Guarantor</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opinion of Alexander C. Juden, Secretary and General Counsel of the Guarantor, to be delivered pursuant to Section 6(g)(iv) of this Agreement shall be to the effect that:</w:t>
      </w:r>
    </w:p>
    <w:p>
      <w:pPr>
        <w:spacing w:after="0" w:line="62" w:lineRule="exact"/>
        <w:rPr>
          <w:sz w:val="20"/>
          <w:szCs w:val="20"/>
          <w:color w:val="auto"/>
        </w:rPr>
      </w:pPr>
    </w:p>
    <w:p>
      <w:pPr>
        <w:ind w:left="700" w:hanging="236"/>
        <w:spacing w:after="0"/>
        <w:tabs>
          <w:tab w:leader="none" w:pos="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After due inquiry, such counsel does not know of any legal or governmental proceedings pending or threatened to which the Company, the</w:t>
      </w:r>
    </w:p>
    <w:p>
      <w:pPr>
        <w:spacing w:after="0" w:line="34" w:lineRule="exact"/>
        <w:rPr>
          <w:rFonts w:ascii="Arial" w:cs="Arial" w:eastAsia="Arial" w:hAnsi="Arial"/>
          <w:sz w:val="17"/>
          <w:szCs w:val="17"/>
          <w:color w:val="auto"/>
        </w:rPr>
      </w:pPr>
    </w:p>
    <w:p>
      <w:pPr>
        <w:ind w:right="20"/>
        <w:spacing w:after="0" w:line="302" w:lineRule="auto"/>
        <w:rPr>
          <w:rFonts w:ascii="Arial" w:cs="Arial" w:eastAsia="Arial" w:hAnsi="Arial"/>
          <w:sz w:val="17"/>
          <w:szCs w:val="17"/>
          <w:color w:val="auto"/>
        </w:rPr>
      </w:pPr>
      <w:r>
        <w:rPr>
          <w:rFonts w:ascii="Arial" w:cs="Arial" w:eastAsia="Arial" w:hAnsi="Arial"/>
          <w:sz w:val="16"/>
          <w:szCs w:val="16"/>
          <w:color w:val="auto"/>
        </w:rPr>
        <w:t>Guarantor or any of the Guarantor’s subsidiaries is a party or to which any of the properties of the Company, the Guarantor or any of its subsidiaries is subject other than proceedings described in each of the Registration Statement, Time of Sale Information and the Prospectus and proceedings that such counsel believes would not reasonably be expected to have a material adverse effect on the Company, the Guarantor and its subsidiaries, taken as a whole.</w:t>
      </w:r>
    </w:p>
    <w:p>
      <w:pPr>
        <w:spacing w:after="0" w:line="15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Baker Botts L.L.P. is entitled to rely on this opinion in connection with the rendering of its opinion to be delivered pursuant to the Agreement or delivered in connection therewith.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7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197485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Schlumberger Investment SA</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240665</wp:posOffset>
            </wp:positionV>
            <wp:extent cx="15176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Dated as of December 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246380</wp:posOffset>
            </wp:positionV>
            <wp:extent cx="15176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 of New York Mellon</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as Trustee, Registrar, Paying Agent</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186055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880" w:type="dxa"/>
            <w:vAlign w:val="bottom"/>
            <w:gridSpan w:val="5"/>
          </w:tcPr>
          <w:p>
            <w:pPr>
              <w:jc w:val="center"/>
              <w:ind w:right="2520"/>
              <w:spacing w:after="0"/>
              <w:rPr>
                <w:sz w:val="20"/>
                <w:szCs w:val="20"/>
                <w:color w:val="auto"/>
              </w:rPr>
            </w:pPr>
            <w:r>
              <w:rPr>
                <w:rFonts w:ascii="Arial" w:cs="Arial" w:eastAsia="Arial" w:hAnsi="Arial"/>
                <w:sz w:val="18"/>
                <w:szCs w:val="18"/>
                <w:b w:val="1"/>
                <w:bCs w:val="1"/>
                <w:color w:val="auto"/>
              </w:rPr>
              <w:t>SCHLUMBERGER INVESTMENT SA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880" w:type="dxa"/>
            <w:vAlign w:val="bottom"/>
            <w:gridSpan w:val="5"/>
          </w:tcPr>
          <w:p>
            <w:pPr>
              <w:jc w:val="center"/>
              <w:ind w:right="2520"/>
              <w:spacing w:after="0"/>
              <w:rPr>
                <w:sz w:val="20"/>
                <w:szCs w:val="20"/>
                <w:color w:val="auto"/>
              </w:rPr>
            </w:pPr>
            <w:r>
              <w:rPr>
                <w:rFonts w:ascii="Arial" w:cs="Arial" w:eastAsia="Arial" w:hAnsi="Arial"/>
                <w:sz w:val="18"/>
                <w:szCs w:val="18"/>
                <w:b w:val="1"/>
                <w:bCs w:val="1"/>
                <w:color w:val="auto"/>
              </w:rPr>
              <w:t>SCHLUMBERGER LIMITED</w:t>
            </w:r>
          </w:p>
        </w:tc>
        <w:tc>
          <w:tcPr>
            <w:tcW w:w="0" w:type="dxa"/>
            <w:vAlign w:val="bottom"/>
          </w:tcPr>
          <w:p>
            <w:pPr>
              <w:spacing w:after="0"/>
              <w:rPr>
                <w:sz w:val="1"/>
                <w:szCs w:val="1"/>
                <w:color w:val="auto"/>
              </w:rPr>
            </w:pPr>
          </w:p>
        </w:tc>
      </w:tr>
      <w:tr>
        <w:trPr>
          <w:trHeight w:val="414"/>
        </w:trPr>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880" w:type="dxa"/>
            <w:vAlign w:val="bottom"/>
            <w:gridSpan w:val="5"/>
          </w:tcPr>
          <w:p>
            <w:pPr>
              <w:jc w:val="center"/>
              <w:ind w:right="2540"/>
              <w:spacing w:after="0"/>
              <w:rPr>
                <w:sz w:val="20"/>
                <w:szCs w:val="20"/>
                <w:color w:val="auto"/>
              </w:rPr>
            </w:pPr>
            <w:r>
              <w:rPr>
                <w:rFonts w:ascii="Arial" w:cs="Arial" w:eastAsia="Arial" w:hAnsi="Arial"/>
                <w:sz w:val="18"/>
                <w:szCs w:val="18"/>
                <w:b w:val="1"/>
                <w:bCs w:val="1"/>
                <w:color w:val="auto"/>
                <w:w w:val="90"/>
              </w:rPr>
              <w:t>Reconciliation and tie between Trust Indenture Act of 1939</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880" w:type="dxa"/>
            <w:vAlign w:val="bottom"/>
            <w:gridSpan w:val="5"/>
          </w:tcPr>
          <w:p>
            <w:pPr>
              <w:jc w:val="center"/>
              <w:ind w:right="2540"/>
              <w:spacing w:after="0"/>
              <w:rPr>
                <w:sz w:val="20"/>
                <w:szCs w:val="20"/>
                <w:color w:val="auto"/>
              </w:rPr>
            </w:pPr>
            <w:r>
              <w:rPr>
                <w:rFonts w:ascii="Arial" w:cs="Arial" w:eastAsia="Arial" w:hAnsi="Arial"/>
                <w:sz w:val="18"/>
                <w:szCs w:val="18"/>
                <w:b w:val="1"/>
                <w:bCs w:val="1"/>
                <w:color w:val="auto"/>
                <w:w w:val="89"/>
              </w:rPr>
              <w:t>and Indenture, dated as of December 3, 2013</w:t>
            </w:r>
          </w:p>
        </w:tc>
        <w:tc>
          <w:tcPr>
            <w:tcW w:w="0" w:type="dxa"/>
            <w:vAlign w:val="bottom"/>
          </w:tcPr>
          <w:p>
            <w:pPr>
              <w:spacing w:after="0"/>
              <w:rPr>
                <w:sz w:val="1"/>
                <w:szCs w:val="1"/>
                <w:color w:val="auto"/>
              </w:rPr>
            </w:pPr>
          </w:p>
        </w:tc>
      </w:tr>
      <w:tr>
        <w:trPr>
          <w:trHeight w:val="351"/>
        </w:trPr>
        <w:tc>
          <w:tcPr>
            <w:tcW w:w="2540" w:type="dxa"/>
            <w:vAlign w:val="bottom"/>
            <w:gridSpan w:val="2"/>
            <w:vMerge w:val="restart"/>
          </w:tcPr>
          <w:p>
            <w:pPr>
              <w:spacing w:after="0"/>
              <w:rPr>
                <w:sz w:val="20"/>
                <w:szCs w:val="20"/>
                <w:color w:val="auto"/>
              </w:rPr>
            </w:pPr>
            <w:r>
              <w:rPr>
                <w:rFonts w:ascii="Arial" w:cs="Arial" w:eastAsia="Arial" w:hAnsi="Arial"/>
                <w:sz w:val="14"/>
                <w:szCs w:val="14"/>
                <w:color w:val="auto"/>
              </w:rPr>
              <w:t>Section of</w:t>
            </w:r>
          </w:p>
        </w:tc>
        <w:tc>
          <w:tcPr>
            <w:tcW w:w="19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540" w:type="dxa"/>
            <w:vAlign w:val="bottom"/>
            <w:gridSpan w:val="2"/>
            <w:vMerge w:val="continue"/>
          </w:tcPr>
          <w:p>
            <w:pPr>
              <w:spacing w:after="0"/>
              <w:rPr>
                <w:sz w:val="24"/>
                <w:szCs w:val="24"/>
                <w:color w:val="auto"/>
              </w:rPr>
            </w:pPr>
          </w:p>
        </w:tc>
        <w:tc>
          <w:tcPr>
            <w:tcW w:w="1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Trust Indenture</w:t>
            </w:r>
          </w:p>
        </w:tc>
        <w:tc>
          <w:tcPr>
            <w:tcW w:w="19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Section(s) of</w:t>
            </w:r>
          </w:p>
        </w:tc>
        <w:tc>
          <w:tcPr>
            <w:tcW w:w="0" w:type="dxa"/>
            <w:vAlign w:val="bottom"/>
          </w:tcPr>
          <w:p>
            <w:pPr>
              <w:spacing w:after="0"/>
              <w:rPr>
                <w:sz w:val="1"/>
                <w:szCs w:val="1"/>
                <w:color w:val="auto"/>
              </w:rPr>
            </w:pPr>
          </w:p>
        </w:tc>
      </w:tr>
      <w:tr>
        <w:trPr>
          <w:trHeight w:val="167"/>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Act of 1939</w:t>
            </w:r>
          </w:p>
        </w:tc>
        <w:tc>
          <w:tcPr>
            <w:tcW w:w="1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Indenture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color w:val="auto"/>
              </w:rPr>
              <w:t>§310 (a)(1)</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7.10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(a)(2)</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7.10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(a)(3)</w:t>
            </w:r>
          </w:p>
        </w:tc>
        <w:tc>
          <w:tcPr>
            <w:tcW w:w="1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3"/>
              </w:rPr>
              <w:t>Not Applicable</w:t>
            </w: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(a)(4)</w:t>
            </w:r>
          </w:p>
        </w:tc>
        <w:tc>
          <w:tcPr>
            <w:tcW w:w="1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3"/>
              </w:rPr>
              <w:t>Not Applicable</w:t>
            </w: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(a)(5)</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7.10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(b)</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7.8, 7.10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§311 (a)</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7.11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(b)</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7.11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(c)</w:t>
            </w:r>
          </w:p>
        </w:tc>
        <w:tc>
          <w:tcPr>
            <w:tcW w:w="1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3"/>
              </w:rPr>
              <w:t>Not Applicable</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§312 (a)</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(b)</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§313 (a)</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(b)</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(c)</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(d)</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§314 (a)</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4.2, 4.7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(b)</w:t>
            </w:r>
          </w:p>
        </w:tc>
        <w:tc>
          <w:tcPr>
            <w:tcW w:w="1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3"/>
              </w:rPr>
              <w:t>Not Applicable</w:t>
            </w: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(c)(1)</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(c)(2)</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(c)(3)</w:t>
            </w:r>
          </w:p>
        </w:tc>
        <w:tc>
          <w:tcPr>
            <w:tcW w:w="1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3"/>
              </w:rPr>
              <w:t>Not Applicable</w:t>
            </w: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(d)</w:t>
            </w:r>
          </w:p>
        </w:tc>
        <w:tc>
          <w:tcPr>
            <w:tcW w:w="1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3"/>
              </w:rPr>
              <w:t>Not Applicable</w:t>
            </w: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(e)</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§315 (a)</w:t>
            </w:r>
          </w:p>
        </w:tc>
        <w:tc>
          <w:tcPr>
            <w:tcW w:w="1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7.1(b)</w:t>
            </w: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(b)</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(c)</w:t>
            </w:r>
          </w:p>
        </w:tc>
        <w:tc>
          <w:tcPr>
            <w:tcW w:w="1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7.1(a)</w:t>
            </w: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(d)</w:t>
            </w:r>
          </w:p>
        </w:tc>
        <w:tc>
          <w:tcPr>
            <w:tcW w:w="1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7.1(c)</w:t>
            </w: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(d)(1)</w:t>
            </w:r>
          </w:p>
        </w:tc>
        <w:tc>
          <w:tcPr>
            <w:tcW w:w="1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7.1(c)(1)</w:t>
            </w: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(d)(2)</w:t>
            </w:r>
          </w:p>
        </w:tc>
        <w:tc>
          <w:tcPr>
            <w:tcW w:w="1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7.1(c)(2)</w:t>
            </w: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(d)(3)</w:t>
            </w:r>
          </w:p>
        </w:tc>
        <w:tc>
          <w:tcPr>
            <w:tcW w:w="1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7.1(c)(3)</w:t>
            </w: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(e)</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6.14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§316 (a)(1)(A)</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6.12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(a)(1)(B)</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6.13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(a)(2)</w:t>
            </w:r>
          </w:p>
        </w:tc>
        <w:tc>
          <w:tcPr>
            <w:tcW w:w="1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3"/>
              </w:rPr>
              <w:t>Not Applicable</w:t>
            </w: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(a)(last sentence)</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2.10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(b)</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§317 (a)(1)</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(a)(2)</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420"/>
              <w:spacing w:after="0"/>
              <w:rPr>
                <w:sz w:val="20"/>
                <w:szCs w:val="20"/>
                <w:color w:val="auto"/>
              </w:rPr>
            </w:pPr>
            <w:r>
              <w:rPr>
                <w:rFonts w:ascii="Arial" w:cs="Arial" w:eastAsia="Arial" w:hAnsi="Arial"/>
                <w:sz w:val="18"/>
                <w:szCs w:val="18"/>
                <w:color w:val="auto"/>
              </w:rPr>
              <w:t>(b)</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§318 (a)</w:t>
            </w:r>
          </w:p>
        </w:tc>
        <w:tc>
          <w:tcPr>
            <w:tcW w:w="8520" w:type="dxa"/>
            <w:vAlign w:val="bottom"/>
            <w:gridSpan w:val="4"/>
          </w:tcPr>
          <w:p>
            <w:pPr>
              <w:ind w:left="7780"/>
              <w:spacing w:after="0"/>
              <w:rPr>
                <w:sz w:val="20"/>
                <w:szCs w:val="20"/>
                <w:color w:val="auto"/>
              </w:rPr>
            </w:pPr>
            <w:r>
              <w:rPr>
                <w:rFonts w:ascii="Arial" w:cs="Arial" w:eastAsia="Arial" w:hAnsi="Arial"/>
                <w:sz w:val="18"/>
                <w:szCs w:val="18"/>
                <w:color w:val="auto"/>
              </w:rPr>
              <w:t>10.19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ectPr>
          <w:pgSz w:w="11900" w:h="16838" w:orient="portrait"/>
          <w:cols w:equalWidth="0" w:num="1">
            <w:col w:w="11420"/>
          </w:cols>
          <w:pgMar w:left="240" w:top="270" w:right="239" w:bottom="1440" w:gutter="0" w:footer="0" w:header="0"/>
        </w:sectPr>
      </w:pPr>
    </w:p>
    <w:bookmarkStart w:id="47" w:name="page48"/>
    <w:bookmarkEnd w:id="4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4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1040" w:type="dxa"/>
            <w:vAlign w:val="bottom"/>
            <w:gridSpan w:val="2"/>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962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9620" w:type="dxa"/>
            <w:vAlign w:val="bottom"/>
          </w:tcPr>
          <w:p>
            <w:pPr>
              <w:ind w:left="100"/>
              <w:spacing w:after="0"/>
              <w:rPr>
                <w:sz w:val="20"/>
                <w:szCs w:val="20"/>
                <w:color w:val="auto"/>
              </w:rPr>
            </w:pPr>
            <w:r>
              <w:rPr>
                <w:rFonts w:ascii="Arial" w:cs="Arial" w:eastAsia="Arial" w:hAnsi="Arial"/>
                <w:sz w:val="18"/>
                <w:szCs w:val="18"/>
                <w:color w:val="auto"/>
              </w:rPr>
              <w:t>Other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9620" w:type="dxa"/>
            <w:vAlign w:val="bottom"/>
          </w:tcPr>
          <w:p>
            <w:pPr>
              <w:ind w:left="100"/>
              <w:spacing w:after="0"/>
              <w:rPr>
                <w:sz w:val="20"/>
                <w:szCs w:val="20"/>
                <w:color w:val="auto"/>
              </w:rPr>
            </w:pPr>
            <w:r>
              <w:rPr>
                <w:rFonts w:ascii="Arial" w:cs="Arial" w:eastAsia="Arial" w:hAnsi="Arial"/>
                <w:sz w:val="18"/>
                <w:szCs w:val="18"/>
                <w:color w:val="auto"/>
              </w:rPr>
              <w:t>Rules of Construction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4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620" w:type="dxa"/>
            <w:vAlign w:val="bottom"/>
          </w:tcPr>
          <w:p>
            <w:pPr>
              <w:ind w:left="100"/>
              <w:spacing w:after="0"/>
              <w:rPr>
                <w:sz w:val="20"/>
                <w:szCs w:val="20"/>
                <w:color w:val="auto"/>
              </w:rPr>
            </w:pPr>
            <w:r>
              <w:rPr>
                <w:rFonts w:ascii="Arial" w:cs="Arial" w:eastAsia="Arial" w:hAnsi="Arial"/>
                <w:sz w:val="18"/>
                <w:szCs w:val="18"/>
                <w:color w:val="auto"/>
              </w:rPr>
              <w:t>Issuable in Series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620" w:type="dxa"/>
            <w:vAlign w:val="bottom"/>
          </w:tcPr>
          <w:p>
            <w:pPr>
              <w:ind w:left="100"/>
              <w:spacing w:after="0"/>
              <w:rPr>
                <w:sz w:val="20"/>
                <w:szCs w:val="20"/>
                <w:color w:val="auto"/>
              </w:rPr>
            </w:pPr>
            <w:r>
              <w:rPr>
                <w:rFonts w:ascii="Arial" w:cs="Arial" w:eastAsia="Arial" w:hAnsi="Arial"/>
                <w:sz w:val="18"/>
                <w:szCs w:val="18"/>
                <w:color w:val="auto"/>
              </w:rPr>
              <w:t>Establishment of Terms of Series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620" w:type="dxa"/>
            <w:vAlign w:val="bottom"/>
          </w:tcPr>
          <w:p>
            <w:pPr>
              <w:ind w:left="100"/>
              <w:spacing w:after="0"/>
              <w:rPr>
                <w:sz w:val="20"/>
                <w:szCs w:val="20"/>
                <w:color w:val="auto"/>
              </w:rPr>
            </w:pPr>
            <w:r>
              <w:rPr>
                <w:rFonts w:ascii="Arial" w:cs="Arial" w:eastAsia="Arial" w:hAnsi="Arial"/>
                <w:sz w:val="18"/>
                <w:szCs w:val="18"/>
                <w:color w:val="auto"/>
              </w:rPr>
              <w:t>Execution and Authentication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9620" w:type="dxa"/>
            <w:vAlign w:val="bottom"/>
          </w:tcPr>
          <w:p>
            <w:pPr>
              <w:ind w:left="100"/>
              <w:spacing w:after="0"/>
              <w:rPr>
                <w:sz w:val="20"/>
                <w:szCs w:val="20"/>
                <w:color w:val="auto"/>
              </w:rPr>
            </w:pPr>
            <w:r>
              <w:rPr>
                <w:rFonts w:ascii="Arial" w:cs="Arial" w:eastAsia="Arial" w:hAnsi="Arial"/>
                <w:sz w:val="18"/>
                <w:szCs w:val="18"/>
                <w:color w:val="auto"/>
              </w:rPr>
              <w:t>Paying Agent, Registrar and Transfer Agent</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9620" w:type="dxa"/>
            <w:vAlign w:val="bottom"/>
          </w:tcPr>
          <w:p>
            <w:pPr>
              <w:ind w:left="100"/>
              <w:spacing w:after="0"/>
              <w:rPr>
                <w:sz w:val="20"/>
                <w:szCs w:val="20"/>
                <w:color w:val="auto"/>
              </w:rPr>
            </w:pPr>
            <w:r>
              <w:rPr>
                <w:rFonts w:ascii="Arial" w:cs="Arial" w:eastAsia="Arial" w:hAnsi="Arial"/>
                <w:sz w:val="18"/>
                <w:szCs w:val="18"/>
                <w:color w:val="auto"/>
              </w:rPr>
              <w:t>Paying Agent to Hold Money in Trust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9620" w:type="dxa"/>
            <w:vAlign w:val="bottom"/>
          </w:tcPr>
          <w:p>
            <w:pPr>
              <w:ind w:left="100"/>
              <w:spacing w:after="0"/>
              <w:rPr>
                <w:sz w:val="20"/>
                <w:szCs w:val="20"/>
                <w:color w:val="auto"/>
              </w:rPr>
            </w:pPr>
            <w:r>
              <w:rPr>
                <w:rFonts w:ascii="Arial" w:cs="Arial" w:eastAsia="Arial" w:hAnsi="Arial"/>
                <w:sz w:val="18"/>
                <w:szCs w:val="18"/>
                <w:color w:val="auto"/>
              </w:rPr>
              <w:t>Securityholder Lists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9620" w:type="dxa"/>
            <w:vAlign w:val="bottom"/>
          </w:tcPr>
          <w:p>
            <w:pPr>
              <w:ind w:left="100"/>
              <w:spacing w:after="0"/>
              <w:rPr>
                <w:sz w:val="20"/>
                <w:szCs w:val="20"/>
                <w:color w:val="auto"/>
              </w:rPr>
            </w:pPr>
            <w:r>
              <w:rPr>
                <w:rFonts w:ascii="Arial" w:cs="Arial" w:eastAsia="Arial" w:hAnsi="Arial"/>
                <w:sz w:val="18"/>
                <w:szCs w:val="18"/>
                <w:color w:val="auto"/>
              </w:rPr>
              <w:t>Transfer and Exchange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9620" w:type="dxa"/>
            <w:vAlign w:val="bottom"/>
          </w:tcPr>
          <w:p>
            <w:pPr>
              <w:ind w:left="100"/>
              <w:spacing w:after="0"/>
              <w:rPr>
                <w:sz w:val="20"/>
                <w:szCs w:val="20"/>
                <w:color w:val="auto"/>
              </w:rPr>
            </w:pPr>
            <w:r>
              <w:rPr>
                <w:rFonts w:ascii="Arial" w:cs="Arial" w:eastAsia="Arial" w:hAnsi="Arial"/>
                <w:sz w:val="18"/>
                <w:szCs w:val="18"/>
                <w:color w:val="auto"/>
              </w:rPr>
              <w:t>Mutilated, Destroyed, Lost and Stolen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9620" w:type="dxa"/>
            <w:vAlign w:val="bottom"/>
          </w:tcPr>
          <w:p>
            <w:pPr>
              <w:ind w:left="100"/>
              <w:spacing w:after="0"/>
              <w:rPr>
                <w:sz w:val="20"/>
                <w:szCs w:val="20"/>
                <w:color w:val="auto"/>
              </w:rPr>
            </w:pPr>
            <w:r>
              <w:rPr>
                <w:rFonts w:ascii="Arial" w:cs="Arial" w:eastAsia="Arial" w:hAnsi="Arial"/>
                <w:sz w:val="18"/>
                <w:szCs w:val="18"/>
                <w:color w:val="auto"/>
              </w:rPr>
              <w:t>Outstanding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2.10.</w:t>
            </w:r>
          </w:p>
        </w:tc>
        <w:tc>
          <w:tcPr>
            <w:tcW w:w="9620" w:type="dxa"/>
            <w:vAlign w:val="bottom"/>
          </w:tcPr>
          <w:p>
            <w:pPr>
              <w:ind w:left="100"/>
              <w:spacing w:after="0"/>
              <w:rPr>
                <w:sz w:val="20"/>
                <w:szCs w:val="20"/>
                <w:color w:val="auto"/>
              </w:rPr>
            </w:pPr>
            <w:r>
              <w:rPr>
                <w:rFonts w:ascii="Arial" w:cs="Arial" w:eastAsia="Arial" w:hAnsi="Arial"/>
                <w:sz w:val="18"/>
                <w:szCs w:val="18"/>
                <w:color w:val="auto"/>
              </w:rPr>
              <w:t>Treasury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2.11.</w:t>
            </w:r>
          </w:p>
        </w:tc>
        <w:tc>
          <w:tcPr>
            <w:tcW w:w="9620" w:type="dxa"/>
            <w:vAlign w:val="bottom"/>
          </w:tcPr>
          <w:p>
            <w:pPr>
              <w:ind w:left="100"/>
              <w:spacing w:after="0"/>
              <w:rPr>
                <w:sz w:val="20"/>
                <w:szCs w:val="20"/>
                <w:color w:val="auto"/>
              </w:rPr>
            </w:pPr>
            <w:r>
              <w:rPr>
                <w:rFonts w:ascii="Arial" w:cs="Arial" w:eastAsia="Arial" w:hAnsi="Arial"/>
                <w:sz w:val="18"/>
                <w:szCs w:val="18"/>
                <w:color w:val="auto"/>
              </w:rPr>
              <w:t>Temporary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2.12.</w:t>
            </w:r>
          </w:p>
        </w:tc>
        <w:tc>
          <w:tcPr>
            <w:tcW w:w="962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2.13.</w:t>
            </w:r>
          </w:p>
        </w:tc>
        <w:tc>
          <w:tcPr>
            <w:tcW w:w="9620" w:type="dxa"/>
            <w:vAlign w:val="bottom"/>
          </w:tcPr>
          <w:p>
            <w:pPr>
              <w:ind w:left="100"/>
              <w:spacing w:after="0"/>
              <w:rPr>
                <w:sz w:val="20"/>
                <w:szCs w:val="20"/>
                <w:color w:val="auto"/>
              </w:rPr>
            </w:pPr>
            <w:r>
              <w:rPr>
                <w:rFonts w:ascii="Arial" w:cs="Arial" w:eastAsia="Arial" w:hAnsi="Arial"/>
                <w:sz w:val="18"/>
                <w:szCs w:val="18"/>
                <w:color w:val="auto"/>
              </w:rPr>
              <w:t>Defaulted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2.14.</w:t>
            </w:r>
          </w:p>
        </w:tc>
        <w:tc>
          <w:tcPr>
            <w:tcW w:w="9620" w:type="dxa"/>
            <w:vAlign w:val="bottom"/>
          </w:tcPr>
          <w:p>
            <w:pPr>
              <w:ind w:left="100"/>
              <w:spacing w:after="0"/>
              <w:rPr>
                <w:sz w:val="20"/>
                <w:szCs w:val="20"/>
                <w:color w:val="auto"/>
              </w:rPr>
            </w:pPr>
            <w:r>
              <w:rPr>
                <w:rFonts w:ascii="Arial" w:cs="Arial" w:eastAsia="Arial" w:hAnsi="Arial"/>
                <w:sz w:val="18"/>
                <w:szCs w:val="18"/>
                <w:color w:val="auto"/>
              </w:rPr>
              <w:t>Global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2.15.</w:t>
            </w:r>
          </w:p>
        </w:tc>
        <w:tc>
          <w:tcPr>
            <w:tcW w:w="9620" w:type="dxa"/>
            <w:vAlign w:val="bottom"/>
          </w:tcPr>
          <w:p>
            <w:pPr>
              <w:ind w:left="100"/>
              <w:spacing w:after="0"/>
              <w:rPr>
                <w:sz w:val="20"/>
                <w:szCs w:val="20"/>
                <w:color w:val="auto"/>
              </w:rPr>
            </w:pPr>
            <w:r>
              <w:rPr>
                <w:rFonts w:ascii="Arial" w:cs="Arial" w:eastAsia="Arial" w:hAnsi="Arial"/>
                <w:sz w:val="18"/>
                <w:szCs w:val="18"/>
                <w:color w:val="auto"/>
              </w:rPr>
              <w:t>CUSIP Numbers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9620" w:type="dxa"/>
            <w:vAlign w:val="bottom"/>
          </w:tcPr>
          <w:p>
            <w:pPr>
              <w:ind w:left="100"/>
              <w:spacing w:after="0"/>
              <w:rPr>
                <w:sz w:val="20"/>
                <w:szCs w:val="20"/>
                <w:color w:val="auto"/>
              </w:rPr>
            </w:pPr>
            <w:r>
              <w:rPr>
                <w:rFonts w:ascii="Arial" w:cs="Arial" w:eastAsia="Arial" w:hAnsi="Arial"/>
                <w:sz w:val="18"/>
                <w:szCs w:val="18"/>
                <w:color w:val="auto"/>
              </w:rPr>
              <w:t>Notice to Trustee; No Liability for Calculations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9620" w:type="dxa"/>
            <w:vAlign w:val="bottom"/>
          </w:tcPr>
          <w:p>
            <w:pPr>
              <w:ind w:left="100"/>
              <w:spacing w:after="0"/>
              <w:rPr>
                <w:sz w:val="20"/>
                <w:szCs w:val="20"/>
                <w:color w:val="auto"/>
              </w:rPr>
            </w:pPr>
            <w:r>
              <w:rPr>
                <w:rFonts w:ascii="Arial" w:cs="Arial" w:eastAsia="Arial" w:hAnsi="Arial"/>
                <w:sz w:val="18"/>
                <w:szCs w:val="18"/>
                <w:color w:val="auto"/>
              </w:rPr>
              <w:t>Selection of Securities to be Redeemed</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9620" w:type="dxa"/>
            <w:vAlign w:val="bottom"/>
          </w:tcPr>
          <w:p>
            <w:pPr>
              <w:ind w:left="100"/>
              <w:spacing w:after="0"/>
              <w:rPr>
                <w:sz w:val="20"/>
                <w:szCs w:val="20"/>
                <w:color w:val="auto"/>
              </w:rPr>
            </w:pPr>
            <w:r>
              <w:rPr>
                <w:rFonts w:ascii="Arial" w:cs="Arial" w:eastAsia="Arial" w:hAnsi="Arial"/>
                <w:sz w:val="18"/>
                <w:szCs w:val="18"/>
                <w:color w:val="auto"/>
              </w:rPr>
              <w:t>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9620" w:type="dxa"/>
            <w:vAlign w:val="bottom"/>
          </w:tcPr>
          <w:p>
            <w:pPr>
              <w:ind w:left="100"/>
              <w:spacing w:after="0"/>
              <w:rPr>
                <w:sz w:val="20"/>
                <w:szCs w:val="20"/>
                <w:color w:val="auto"/>
              </w:rPr>
            </w:pPr>
            <w:r>
              <w:rPr>
                <w:rFonts w:ascii="Arial" w:cs="Arial" w:eastAsia="Arial" w:hAnsi="Arial"/>
                <w:sz w:val="18"/>
                <w:szCs w:val="18"/>
                <w:color w:val="auto"/>
              </w:rPr>
              <w:t>Effect of 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9620" w:type="dxa"/>
            <w:vAlign w:val="bottom"/>
          </w:tcPr>
          <w:p>
            <w:pPr>
              <w:ind w:left="100"/>
              <w:spacing w:after="0"/>
              <w:rPr>
                <w:sz w:val="20"/>
                <w:szCs w:val="20"/>
                <w:color w:val="auto"/>
              </w:rPr>
            </w:pPr>
            <w:r>
              <w:rPr>
                <w:rFonts w:ascii="Arial" w:cs="Arial" w:eastAsia="Arial" w:hAnsi="Arial"/>
                <w:sz w:val="18"/>
                <w:szCs w:val="18"/>
                <w:color w:val="auto"/>
              </w:rPr>
              <w:t>Deposit of Redemption Price</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9620" w:type="dxa"/>
            <w:vAlign w:val="bottom"/>
          </w:tcPr>
          <w:p>
            <w:pPr>
              <w:ind w:left="100"/>
              <w:spacing w:after="0"/>
              <w:rPr>
                <w:sz w:val="20"/>
                <w:szCs w:val="20"/>
                <w:color w:val="auto"/>
              </w:rPr>
            </w:pPr>
            <w:r>
              <w:rPr>
                <w:rFonts w:ascii="Arial" w:cs="Arial" w:eastAsia="Arial" w:hAnsi="Arial"/>
                <w:sz w:val="18"/>
                <w:szCs w:val="18"/>
                <w:color w:val="auto"/>
              </w:rPr>
              <w:t>Securities Redeemed in Part</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9620" w:type="dxa"/>
            <w:vAlign w:val="bottom"/>
          </w:tcPr>
          <w:p>
            <w:pPr>
              <w:ind w:left="100"/>
              <w:spacing w:after="0"/>
              <w:rPr>
                <w:sz w:val="20"/>
                <w:szCs w:val="20"/>
                <w:color w:val="auto"/>
              </w:rPr>
            </w:pPr>
            <w:r>
              <w:rPr>
                <w:rFonts w:ascii="Arial" w:cs="Arial" w:eastAsia="Arial" w:hAnsi="Arial"/>
                <w:sz w:val="18"/>
                <w:szCs w:val="18"/>
                <w:color w:val="auto"/>
              </w:rPr>
              <w:t>Sinking Fund</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9620" w:type="dxa"/>
            <w:vAlign w:val="bottom"/>
          </w:tcPr>
          <w:p>
            <w:pPr>
              <w:ind w:left="100"/>
              <w:spacing w:after="0"/>
              <w:rPr>
                <w:sz w:val="20"/>
                <w:szCs w:val="20"/>
                <w:color w:val="auto"/>
              </w:rPr>
            </w:pPr>
            <w:r>
              <w:rPr>
                <w:rFonts w:ascii="Arial" w:cs="Arial" w:eastAsia="Arial" w:hAnsi="Arial"/>
                <w:sz w:val="18"/>
                <w:szCs w:val="18"/>
                <w:color w:val="auto"/>
              </w:rPr>
              <w:t>Satisfaction of Sinking Fund Payments with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9620" w:type="dxa"/>
            <w:vAlign w:val="bottom"/>
          </w:tcPr>
          <w:p>
            <w:pPr>
              <w:ind w:left="100"/>
              <w:spacing w:after="0"/>
              <w:rPr>
                <w:sz w:val="20"/>
                <w:szCs w:val="20"/>
                <w:color w:val="auto"/>
              </w:rPr>
            </w:pPr>
            <w:r>
              <w:rPr>
                <w:rFonts w:ascii="Arial" w:cs="Arial" w:eastAsia="Arial" w:hAnsi="Arial"/>
                <w:sz w:val="18"/>
                <w:szCs w:val="18"/>
                <w:color w:val="auto"/>
              </w:rPr>
              <w:t>Redemption of Securities for Sinking Fund</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3.10.</w:t>
            </w:r>
          </w:p>
        </w:tc>
        <w:tc>
          <w:tcPr>
            <w:tcW w:w="9620" w:type="dxa"/>
            <w:vAlign w:val="bottom"/>
          </w:tcPr>
          <w:p>
            <w:pPr>
              <w:ind w:left="100"/>
              <w:spacing w:after="0"/>
              <w:rPr>
                <w:sz w:val="20"/>
                <w:szCs w:val="20"/>
                <w:color w:val="auto"/>
              </w:rPr>
            </w:pPr>
            <w:r>
              <w:rPr>
                <w:rFonts w:ascii="Arial" w:cs="Arial" w:eastAsia="Arial" w:hAnsi="Arial"/>
                <w:sz w:val="18"/>
                <w:szCs w:val="18"/>
                <w:color w:val="auto"/>
              </w:rPr>
              <w:t>Redemption Upon Changes in Tax Law</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9620" w:type="dxa"/>
            <w:vAlign w:val="bottom"/>
          </w:tcPr>
          <w:p>
            <w:pPr>
              <w:ind w:left="100"/>
              <w:spacing w:after="0"/>
              <w:rPr>
                <w:sz w:val="20"/>
                <w:szCs w:val="20"/>
                <w:color w:val="auto"/>
              </w:rPr>
            </w:pPr>
            <w:r>
              <w:rPr>
                <w:rFonts w:ascii="Arial" w:cs="Arial" w:eastAsia="Arial" w:hAnsi="Arial"/>
                <w:sz w:val="18"/>
                <w:szCs w:val="18"/>
                <w:color w:val="auto"/>
              </w:rPr>
              <w:t>Payment of Principal, Premium and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9620" w:type="dxa"/>
            <w:vAlign w:val="bottom"/>
          </w:tcPr>
          <w:p>
            <w:pPr>
              <w:ind w:left="100"/>
              <w:spacing w:after="0"/>
              <w:rPr>
                <w:sz w:val="20"/>
                <w:szCs w:val="20"/>
                <w:color w:val="auto"/>
              </w:rPr>
            </w:pPr>
            <w:r>
              <w:rPr>
                <w:rFonts w:ascii="Arial" w:cs="Arial" w:eastAsia="Arial" w:hAnsi="Arial"/>
                <w:sz w:val="18"/>
                <w:szCs w:val="18"/>
                <w:color w:val="auto"/>
              </w:rPr>
              <w:t>Compliance Certificate</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9620" w:type="dxa"/>
            <w:vAlign w:val="bottom"/>
          </w:tcPr>
          <w:p>
            <w:pPr>
              <w:ind w:left="100"/>
              <w:spacing w:after="0"/>
              <w:rPr>
                <w:sz w:val="20"/>
                <w:szCs w:val="20"/>
                <w:color w:val="auto"/>
              </w:rPr>
            </w:pPr>
            <w:r>
              <w:rPr>
                <w:rFonts w:ascii="Arial" w:cs="Arial" w:eastAsia="Arial" w:hAnsi="Arial"/>
                <w:sz w:val="18"/>
                <w:szCs w:val="18"/>
                <w:color w:val="auto"/>
              </w:rPr>
              <w:t>Stay, Extension and Usury Laws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9620" w:type="dxa"/>
            <w:vAlign w:val="bottom"/>
          </w:tcPr>
          <w:p>
            <w:pPr>
              <w:ind w:left="100"/>
              <w:spacing w:after="0"/>
              <w:rPr>
                <w:sz w:val="20"/>
                <w:szCs w:val="20"/>
                <w:color w:val="auto"/>
              </w:rPr>
            </w:pPr>
            <w:r>
              <w:rPr>
                <w:rFonts w:ascii="Arial" w:cs="Arial" w:eastAsia="Arial" w:hAnsi="Arial"/>
                <w:sz w:val="18"/>
                <w:szCs w:val="18"/>
                <w:color w:val="auto"/>
              </w:rPr>
              <w:t>Corporate Existence</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9620" w:type="dxa"/>
            <w:vAlign w:val="bottom"/>
          </w:tcPr>
          <w:p>
            <w:pPr>
              <w:ind w:left="100"/>
              <w:spacing w:after="0"/>
              <w:rPr>
                <w:sz w:val="20"/>
                <w:szCs w:val="20"/>
                <w:color w:val="auto"/>
              </w:rPr>
            </w:pPr>
            <w:r>
              <w:rPr>
                <w:rFonts w:ascii="Arial" w:cs="Arial" w:eastAsia="Arial" w:hAnsi="Arial"/>
                <w:sz w:val="18"/>
                <w:szCs w:val="18"/>
                <w:color w:val="auto"/>
              </w:rPr>
              <w:t>Limitation on Liens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9620" w:type="dxa"/>
            <w:vAlign w:val="bottom"/>
          </w:tcPr>
          <w:p>
            <w:pPr>
              <w:ind w:left="100"/>
              <w:spacing w:after="0"/>
              <w:rPr>
                <w:sz w:val="20"/>
                <w:szCs w:val="20"/>
                <w:color w:val="auto"/>
              </w:rPr>
            </w:pPr>
            <w:r>
              <w:rPr>
                <w:rFonts w:ascii="Arial" w:cs="Arial" w:eastAsia="Arial" w:hAnsi="Arial"/>
                <w:sz w:val="18"/>
                <w:szCs w:val="18"/>
                <w:color w:val="auto"/>
              </w:rPr>
              <w:t>Additional Amounts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9620" w:type="dxa"/>
            <w:vAlign w:val="bottom"/>
          </w:tcPr>
          <w:p>
            <w:pPr>
              <w:ind w:left="100"/>
              <w:spacing w:after="0"/>
              <w:rPr>
                <w:sz w:val="20"/>
                <w:szCs w:val="20"/>
                <w:color w:val="auto"/>
              </w:rPr>
            </w:pPr>
            <w:r>
              <w:rPr>
                <w:rFonts w:ascii="Arial" w:cs="Arial" w:eastAsia="Arial" w:hAnsi="Arial"/>
                <w:sz w:val="18"/>
                <w:szCs w:val="18"/>
                <w:color w:val="auto"/>
              </w:rPr>
              <w:t>Reports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2"/>
          </w:tcPr>
          <w:p>
            <w:pPr>
              <w:spacing w:after="0"/>
              <w:rPr>
                <w:sz w:val="20"/>
                <w:szCs w:val="20"/>
                <w:color w:val="auto"/>
              </w:rPr>
            </w:pPr>
            <w:r>
              <w:rPr>
                <w:rFonts w:ascii="Arial" w:cs="Arial" w:eastAsia="Arial" w:hAnsi="Arial"/>
                <w:sz w:val="18"/>
                <w:szCs w:val="18"/>
                <w:color w:val="auto"/>
              </w:rPr>
              <w:t>ARTICLE V. SUCCESSORS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9620" w:type="dxa"/>
            <w:vAlign w:val="bottom"/>
          </w:tcPr>
          <w:p>
            <w:pPr>
              <w:ind w:left="100"/>
              <w:spacing w:after="0"/>
              <w:rPr>
                <w:sz w:val="20"/>
                <w:szCs w:val="20"/>
                <w:color w:val="auto"/>
              </w:rPr>
            </w:pPr>
            <w:r>
              <w:rPr>
                <w:rFonts w:ascii="Arial" w:cs="Arial" w:eastAsia="Arial" w:hAnsi="Arial"/>
                <w:sz w:val="18"/>
                <w:szCs w:val="18"/>
                <w:color w:val="auto"/>
              </w:rPr>
              <w:t>Consolidation, Merger and Sale of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9620" w:type="dxa"/>
            <w:vAlign w:val="bottom"/>
          </w:tcPr>
          <w:p>
            <w:pPr>
              <w:ind w:left="100"/>
              <w:spacing w:after="0"/>
              <w:rPr>
                <w:sz w:val="20"/>
                <w:szCs w:val="20"/>
                <w:color w:val="auto"/>
              </w:rPr>
            </w:pPr>
            <w:r>
              <w:rPr>
                <w:rFonts w:ascii="Arial" w:cs="Arial" w:eastAsia="Arial" w:hAnsi="Arial"/>
                <w:sz w:val="18"/>
                <w:szCs w:val="18"/>
                <w:color w:val="auto"/>
              </w:rPr>
              <w:t>Assumption by a Subsidiary</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ARTICLE VI. DEFAULTS AND REMEDIES</w:t>
            </w:r>
          </w:p>
        </w:tc>
        <w:tc>
          <w:tcPr>
            <w:tcW w:w="2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726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2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7260" w:type="dxa"/>
            <w:vAlign w:val="bottom"/>
          </w:tcPr>
          <w:p>
            <w:pPr>
              <w:ind w:left="100"/>
              <w:spacing w:after="0"/>
              <w:rPr>
                <w:sz w:val="20"/>
                <w:szCs w:val="20"/>
                <w:color w:val="auto"/>
              </w:rPr>
            </w:pPr>
            <w:r>
              <w:rPr>
                <w:rFonts w:ascii="Arial" w:cs="Arial" w:eastAsia="Arial" w:hAnsi="Arial"/>
                <w:sz w:val="18"/>
                <w:szCs w:val="18"/>
                <w:color w:val="auto"/>
              </w:rPr>
              <w:t>Acceleration of Maturity; Rescission and Annulment</w:t>
            </w:r>
          </w:p>
        </w:tc>
        <w:tc>
          <w:tcPr>
            <w:tcW w:w="2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7260" w:type="dxa"/>
            <w:vAlign w:val="bottom"/>
          </w:tcPr>
          <w:p>
            <w:pPr>
              <w:ind w:left="100"/>
              <w:spacing w:after="0"/>
              <w:rPr>
                <w:sz w:val="20"/>
                <w:szCs w:val="20"/>
                <w:color w:val="auto"/>
              </w:rPr>
            </w:pPr>
            <w:r>
              <w:rPr>
                <w:rFonts w:ascii="Arial" w:cs="Arial" w:eastAsia="Arial" w:hAnsi="Arial"/>
                <w:sz w:val="18"/>
                <w:szCs w:val="18"/>
                <w:color w:val="auto"/>
              </w:rPr>
              <w:t>Collection of Indebtedness and Suits for Enforcement by Trustee</w:t>
            </w:r>
          </w:p>
        </w:tc>
        <w:tc>
          <w:tcPr>
            <w:tcW w:w="2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7260" w:type="dxa"/>
            <w:vAlign w:val="bottom"/>
          </w:tcPr>
          <w:p>
            <w:pPr>
              <w:ind w:left="100"/>
              <w:spacing w:after="0"/>
              <w:rPr>
                <w:sz w:val="20"/>
                <w:szCs w:val="20"/>
                <w:color w:val="auto"/>
              </w:rPr>
            </w:pPr>
            <w:r>
              <w:rPr>
                <w:rFonts w:ascii="Arial" w:cs="Arial" w:eastAsia="Arial" w:hAnsi="Arial"/>
                <w:sz w:val="18"/>
                <w:szCs w:val="18"/>
                <w:color w:val="auto"/>
              </w:rPr>
              <w:t>Trustee May File Proofs of Claim</w:t>
            </w:r>
          </w:p>
        </w:tc>
        <w:tc>
          <w:tcPr>
            <w:tcW w:w="2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7260" w:type="dxa"/>
            <w:vAlign w:val="bottom"/>
          </w:tcPr>
          <w:p>
            <w:pPr>
              <w:ind w:left="100"/>
              <w:spacing w:after="0"/>
              <w:rPr>
                <w:sz w:val="20"/>
                <w:szCs w:val="20"/>
                <w:color w:val="auto"/>
              </w:rPr>
            </w:pPr>
            <w:r>
              <w:rPr>
                <w:rFonts w:ascii="Arial" w:cs="Arial" w:eastAsia="Arial" w:hAnsi="Arial"/>
                <w:sz w:val="18"/>
                <w:szCs w:val="18"/>
                <w:color w:val="auto"/>
              </w:rPr>
              <w:t>Trustee May Enforce Claims Without Possession of Securities</w:t>
            </w:r>
          </w:p>
        </w:tc>
        <w:tc>
          <w:tcPr>
            <w:tcW w:w="2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7260" w:type="dxa"/>
            <w:vAlign w:val="bottom"/>
          </w:tcPr>
          <w:p>
            <w:pPr>
              <w:ind w:left="100"/>
              <w:spacing w:after="0"/>
              <w:rPr>
                <w:sz w:val="20"/>
                <w:szCs w:val="20"/>
                <w:color w:val="auto"/>
              </w:rPr>
            </w:pPr>
            <w:r>
              <w:rPr>
                <w:rFonts w:ascii="Arial" w:cs="Arial" w:eastAsia="Arial" w:hAnsi="Arial"/>
                <w:sz w:val="18"/>
                <w:szCs w:val="18"/>
                <w:color w:val="auto"/>
              </w:rPr>
              <w:t>Application of Money Collected</w:t>
            </w:r>
          </w:p>
        </w:tc>
        <w:tc>
          <w:tcPr>
            <w:tcW w:w="2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7260" w:type="dxa"/>
            <w:vAlign w:val="bottom"/>
          </w:tcPr>
          <w:p>
            <w:pPr>
              <w:ind w:left="100"/>
              <w:spacing w:after="0"/>
              <w:rPr>
                <w:sz w:val="20"/>
                <w:szCs w:val="20"/>
                <w:color w:val="auto"/>
              </w:rPr>
            </w:pPr>
            <w:r>
              <w:rPr>
                <w:rFonts w:ascii="Arial" w:cs="Arial" w:eastAsia="Arial" w:hAnsi="Arial"/>
                <w:sz w:val="18"/>
                <w:szCs w:val="18"/>
                <w:color w:val="auto"/>
              </w:rPr>
              <w:t>Limitation on Suits</w:t>
            </w:r>
          </w:p>
        </w:tc>
        <w:tc>
          <w:tcPr>
            <w:tcW w:w="2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7260" w:type="dxa"/>
            <w:vAlign w:val="bottom"/>
          </w:tcPr>
          <w:p>
            <w:pPr>
              <w:ind w:left="100"/>
              <w:spacing w:after="0"/>
              <w:rPr>
                <w:sz w:val="20"/>
                <w:szCs w:val="20"/>
                <w:color w:val="auto"/>
              </w:rPr>
            </w:pPr>
            <w:r>
              <w:rPr>
                <w:rFonts w:ascii="Arial" w:cs="Arial" w:eastAsia="Arial" w:hAnsi="Arial"/>
                <w:sz w:val="18"/>
                <w:szCs w:val="18"/>
                <w:color w:val="auto"/>
              </w:rPr>
              <w:t>Unconditional Right of Holders to Receive Principal and Interest</w:t>
            </w:r>
          </w:p>
        </w:tc>
        <w:tc>
          <w:tcPr>
            <w:tcW w:w="2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7260" w:type="dxa"/>
            <w:vAlign w:val="bottom"/>
          </w:tcPr>
          <w:p>
            <w:pPr>
              <w:ind w:left="100"/>
              <w:spacing w:after="0"/>
              <w:rPr>
                <w:sz w:val="20"/>
                <w:szCs w:val="20"/>
                <w:color w:val="auto"/>
              </w:rPr>
            </w:pPr>
            <w:r>
              <w:rPr>
                <w:rFonts w:ascii="Arial" w:cs="Arial" w:eastAsia="Arial" w:hAnsi="Arial"/>
                <w:sz w:val="18"/>
                <w:szCs w:val="18"/>
                <w:color w:val="auto"/>
              </w:rPr>
              <w:t>Restoration of Rights and Remedies</w:t>
            </w:r>
          </w:p>
        </w:tc>
        <w:tc>
          <w:tcPr>
            <w:tcW w:w="2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6.10.</w:t>
            </w:r>
          </w:p>
        </w:tc>
        <w:tc>
          <w:tcPr>
            <w:tcW w:w="7260" w:type="dxa"/>
            <w:vAlign w:val="bottom"/>
          </w:tcPr>
          <w:p>
            <w:pPr>
              <w:ind w:left="100"/>
              <w:spacing w:after="0"/>
              <w:rPr>
                <w:sz w:val="20"/>
                <w:szCs w:val="20"/>
                <w:color w:val="auto"/>
              </w:rPr>
            </w:pPr>
            <w:r>
              <w:rPr>
                <w:rFonts w:ascii="Arial" w:cs="Arial" w:eastAsia="Arial" w:hAnsi="Arial"/>
                <w:sz w:val="18"/>
                <w:szCs w:val="18"/>
                <w:color w:val="auto"/>
              </w:rPr>
              <w:t>Rights and Remedies Cumulative</w:t>
            </w:r>
          </w:p>
        </w:tc>
        <w:tc>
          <w:tcPr>
            <w:tcW w:w="2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6.11.</w:t>
            </w:r>
          </w:p>
        </w:tc>
        <w:tc>
          <w:tcPr>
            <w:tcW w:w="7260" w:type="dxa"/>
            <w:vAlign w:val="bottom"/>
          </w:tcPr>
          <w:p>
            <w:pPr>
              <w:ind w:left="100"/>
              <w:spacing w:after="0"/>
              <w:rPr>
                <w:sz w:val="20"/>
                <w:szCs w:val="20"/>
                <w:color w:val="auto"/>
              </w:rPr>
            </w:pPr>
            <w:r>
              <w:rPr>
                <w:rFonts w:ascii="Arial" w:cs="Arial" w:eastAsia="Arial" w:hAnsi="Arial"/>
                <w:sz w:val="18"/>
                <w:szCs w:val="18"/>
                <w:color w:val="auto"/>
              </w:rPr>
              <w:t>Delay or Omission Not Waiver</w:t>
            </w:r>
          </w:p>
        </w:tc>
        <w:tc>
          <w:tcPr>
            <w:tcW w:w="2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6.12.</w:t>
            </w:r>
          </w:p>
        </w:tc>
        <w:tc>
          <w:tcPr>
            <w:tcW w:w="7260" w:type="dxa"/>
            <w:vAlign w:val="bottom"/>
          </w:tcPr>
          <w:p>
            <w:pPr>
              <w:ind w:left="100"/>
              <w:spacing w:after="0"/>
              <w:rPr>
                <w:sz w:val="20"/>
                <w:szCs w:val="20"/>
                <w:color w:val="auto"/>
              </w:rPr>
            </w:pPr>
            <w:r>
              <w:rPr>
                <w:rFonts w:ascii="Arial" w:cs="Arial" w:eastAsia="Arial" w:hAnsi="Arial"/>
                <w:sz w:val="18"/>
                <w:szCs w:val="18"/>
                <w:color w:val="auto"/>
              </w:rPr>
              <w:t>Control by Holders</w:t>
            </w:r>
          </w:p>
        </w:tc>
        <w:tc>
          <w:tcPr>
            <w:tcW w:w="2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6.13.</w:t>
            </w:r>
          </w:p>
        </w:tc>
        <w:tc>
          <w:tcPr>
            <w:tcW w:w="7260" w:type="dxa"/>
            <w:vAlign w:val="bottom"/>
          </w:tcPr>
          <w:p>
            <w:pPr>
              <w:ind w:left="100"/>
              <w:spacing w:after="0"/>
              <w:rPr>
                <w:sz w:val="20"/>
                <w:szCs w:val="20"/>
                <w:color w:val="auto"/>
              </w:rPr>
            </w:pPr>
            <w:r>
              <w:rPr>
                <w:rFonts w:ascii="Arial" w:cs="Arial" w:eastAsia="Arial" w:hAnsi="Arial"/>
                <w:sz w:val="18"/>
                <w:szCs w:val="18"/>
                <w:color w:val="auto"/>
              </w:rPr>
              <w:t>Waiver of Past Defaults</w:t>
            </w:r>
          </w:p>
        </w:tc>
        <w:tc>
          <w:tcPr>
            <w:tcW w:w="2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6.14.</w:t>
            </w:r>
          </w:p>
        </w:tc>
        <w:tc>
          <w:tcPr>
            <w:tcW w:w="7260" w:type="dxa"/>
            <w:vAlign w:val="bottom"/>
          </w:tcPr>
          <w:p>
            <w:pPr>
              <w:ind w:left="100"/>
              <w:spacing w:after="0"/>
              <w:rPr>
                <w:sz w:val="20"/>
                <w:szCs w:val="20"/>
                <w:color w:val="auto"/>
              </w:rPr>
            </w:pPr>
            <w:r>
              <w:rPr>
                <w:rFonts w:ascii="Arial" w:cs="Arial" w:eastAsia="Arial" w:hAnsi="Arial"/>
                <w:sz w:val="18"/>
                <w:szCs w:val="18"/>
                <w:color w:val="auto"/>
              </w:rPr>
              <w:t>Undertaking for Costs</w:t>
            </w:r>
          </w:p>
        </w:tc>
        <w:tc>
          <w:tcPr>
            <w:tcW w:w="2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ARTICLE VII. TRUSTEE</w:t>
            </w:r>
          </w:p>
        </w:tc>
        <w:tc>
          <w:tcPr>
            <w:tcW w:w="2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7260" w:type="dxa"/>
            <w:vAlign w:val="bottom"/>
          </w:tcPr>
          <w:p>
            <w:pPr>
              <w:ind w:left="100"/>
              <w:spacing w:after="0"/>
              <w:rPr>
                <w:sz w:val="20"/>
                <w:szCs w:val="20"/>
                <w:color w:val="auto"/>
              </w:rPr>
            </w:pPr>
            <w:r>
              <w:rPr>
                <w:rFonts w:ascii="Arial" w:cs="Arial" w:eastAsia="Arial" w:hAnsi="Arial"/>
                <w:sz w:val="18"/>
                <w:szCs w:val="18"/>
                <w:color w:val="auto"/>
              </w:rPr>
              <w:t>Duties of Trustee</w:t>
            </w:r>
          </w:p>
        </w:tc>
        <w:tc>
          <w:tcPr>
            <w:tcW w:w="2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7260" w:type="dxa"/>
            <w:vAlign w:val="bottom"/>
          </w:tcPr>
          <w:p>
            <w:pPr>
              <w:ind w:left="100"/>
              <w:spacing w:after="0"/>
              <w:rPr>
                <w:sz w:val="20"/>
                <w:szCs w:val="20"/>
                <w:color w:val="auto"/>
              </w:rPr>
            </w:pPr>
            <w:r>
              <w:rPr>
                <w:rFonts w:ascii="Arial" w:cs="Arial" w:eastAsia="Arial" w:hAnsi="Arial"/>
                <w:sz w:val="18"/>
                <w:szCs w:val="18"/>
                <w:color w:val="auto"/>
              </w:rPr>
              <w:t>Rights of Trustee</w:t>
            </w:r>
          </w:p>
        </w:tc>
        <w:tc>
          <w:tcPr>
            <w:tcW w:w="2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7260" w:type="dxa"/>
            <w:vAlign w:val="bottom"/>
          </w:tcPr>
          <w:p>
            <w:pPr>
              <w:ind w:left="100"/>
              <w:spacing w:after="0"/>
              <w:rPr>
                <w:sz w:val="20"/>
                <w:szCs w:val="20"/>
                <w:color w:val="auto"/>
              </w:rPr>
            </w:pPr>
            <w:r>
              <w:rPr>
                <w:rFonts w:ascii="Arial" w:cs="Arial" w:eastAsia="Arial" w:hAnsi="Arial"/>
                <w:sz w:val="18"/>
                <w:szCs w:val="18"/>
                <w:color w:val="auto"/>
              </w:rPr>
              <w:t>May Hold Securities</w:t>
            </w:r>
          </w:p>
        </w:tc>
        <w:tc>
          <w:tcPr>
            <w:tcW w:w="2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7260" w:type="dxa"/>
            <w:vAlign w:val="bottom"/>
          </w:tcPr>
          <w:p>
            <w:pPr>
              <w:ind w:left="100"/>
              <w:spacing w:after="0"/>
              <w:rPr>
                <w:sz w:val="20"/>
                <w:szCs w:val="20"/>
                <w:color w:val="auto"/>
              </w:rPr>
            </w:pPr>
            <w:r>
              <w:rPr>
                <w:rFonts w:ascii="Arial" w:cs="Arial" w:eastAsia="Arial" w:hAnsi="Arial"/>
                <w:sz w:val="18"/>
                <w:szCs w:val="18"/>
                <w:color w:val="auto"/>
              </w:rPr>
              <w:t>Trustee’s Disclaimer</w:t>
            </w:r>
          </w:p>
        </w:tc>
        <w:tc>
          <w:tcPr>
            <w:tcW w:w="2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7260" w:type="dxa"/>
            <w:vAlign w:val="bottom"/>
          </w:tcPr>
          <w:p>
            <w:pPr>
              <w:ind w:left="100"/>
              <w:spacing w:after="0"/>
              <w:rPr>
                <w:sz w:val="20"/>
                <w:szCs w:val="20"/>
                <w:color w:val="auto"/>
              </w:rPr>
            </w:pPr>
            <w:r>
              <w:rPr>
                <w:rFonts w:ascii="Arial" w:cs="Arial" w:eastAsia="Arial" w:hAnsi="Arial"/>
                <w:sz w:val="18"/>
                <w:szCs w:val="18"/>
                <w:color w:val="auto"/>
              </w:rPr>
              <w:t>Notice of Defaults</w:t>
            </w:r>
          </w:p>
        </w:tc>
        <w:tc>
          <w:tcPr>
            <w:tcW w:w="2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7260" w:type="dxa"/>
            <w:vAlign w:val="bottom"/>
          </w:tcPr>
          <w:p>
            <w:pPr>
              <w:ind w:left="100"/>
              <w:spacing w:after="0"/>
              <w:rPr>
                <w:sz w:val="20"/>
                <w:szCs w:val="20"/>
                <w:color w:val="auto"/>
              </w:rPr>
            </w:pPr>
            <w:r>
              <w:rPr>
                <w:rFonts w:ascii="Arial" w:cs="Arial" w:eastAsia="Arial" w:hAnsi="Arial"/>
                <w:sz w:val="18"/>
                <w:szCs w:val="18"/>
                <w:color w:val="auto"/>
              </w:rPr>
              <w:t>Reports by Trustee to Holders</w:t>
            </w:r>
          </w:p>
        </w:tc>
        <w:tc>
          <w:tcPr>
            <w:tcW w:w="2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7260" w:type="dxa"/>
            <w:vAlign w:val="bottom"/>
          </w:tcPr>
          <w:p>
            <w:pPr>
              <w:ind w:left="100"/>
              <w:spacing w:after="0"/>
              <w:rPr>
                <w:sz w:val="20"/>
                <w:szCs w:val="20"/>
                <w:color w:val="auto"/>
              </w:rPr>
            </w:pPr>
            <w:r>
              <w:rPr>
                <w:rFonts w:ascii="Arial" w:cs="Arial" w:eastAsia="Arial" w:hAnsi="Arial"/>
                <w:sz w:val="18"/>
                <w:szCs w:val="18"/>
                <w:color w:val="auto"/>
              </w:rPr>
              <w:t>Compensation and Indemnity</w:t>
            </w:r>
          </w:p>
        </w:tc>
        <w:tc>
          <w:tcPr>
            <w:tcW w:w="2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7260" w:type="dxa"/>
            <w:vAlign w:val="bottom"/>
          </w:tcPr>
          <w:p>
            <w:pPr>
              <w:ind w:left="100"/>
              <w:spacing w:after="0"/>
              <w:rPr>
                <w:sz w:val="20"/>
                <w:szCs w:val="20"/>
                <w:color w:val="auto"/>
              </w:rPr>
            </w:pPr>
            <w:r>
              <w:rPr>
                <w:rFonts w:ascii="Arial" w:cs="Arial" w:eastAsia="Arial" w:hAnsi="Arial"/>
                <w:sz w:val="18"/>
                <w:szCs w:val="18"/>
                <w:color w:val="auto"/>
              </w:rPr>
              <w:t>Replacement of Trustee</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7260" w:type="dxa"/>
            <w:vAlign w:val="bottom"/>
          </w:tcPr>
          <w:p>
            <w:pPr>
              <w:ind w:left="100"/>
              <w:spacing w:after="0"/>
              <w:rPr>
                <w:sz w:val="20"/>
                <w:szCs w:val="20"/>
                <w:color w:val="auto"/>
              </w:rPr>
            </w:pPr>
            <w:r>
              <w:rPr>
                <w:rFonts w:ascii="Arial" w:cs="Arial" w:eastAsia="Arial" w:hAnsi="Arial"/>
                <w:sz w:val="18"/>
                <w:szCs w:val="18"/>
                <w:color w:val="auto"/>
              </w:rPr>
              <w:t>Successor Trustee by Merger, etc.</w:t>
            </w:r>
          </w:p>
        </w:tc>
        <w:tc>
          <w:tcPr>
            <w:tcW w:w="2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7.10.</w:t>
            </w:r>
          </w:p>
        </w:tc>
        <w:tc>
          <w:tcPr>
            <w:tcW w:w="7260" w:type="dxa"/>
            <w:vAlign w:val="bottom"/>
          </w:tcPr>
          <w:p>
            <w:pPr>
              <w:ind w:left="100"/>
              <w:spacing w:after="0"/>
              <w:rPr>
                <w:sz w:val="20"/>
                <w:szCs w:val="20"/>
                <w:color w:val="auto"/>
              </w:rPr>
            </w:pPr>
            <w:r>
              <w:rPr>
                <w:rFonts w:ascii="Arial" w:cs="Arial" w:eastAsia="Arial" w:hAnsi="Arial"/>
                <w:sz w:val="18"/>
                <w:szCs w:val="18"/>
                <w:color w:val="auto"/>
              </w:rPr>
              <w:t>Eligibility; Disqualification</w:t>
            </w:r>
          </w:p>
        </w:tc>
        <w:tc>
          <w:tcPr>
            <w:tcW w:w="2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7.11.</w:t>
            </w:r>
          </w:p>
        </w:tc>
        <w:tc>
          <w:tcPr>
            <w:tcW w:w="7260" w:type="dxa"/>
            <w:vAlign w:val="bottom"/>
          </w:tcPr>
          <w:p>
            <w:pPr>
              <w:ind w:left="100"/>
              <w:spacing w:after="0"/>
              <w:rPr>
                <w:sz w:val="20"/>
                <w:szCs w:val="20"/>
                <w:color w:val="auto"/>
              </w:rPr>
            </w:pPr>
            <w:r>
              <w:rPr>
                <w:rFonts w:ascii="Arial" w:cs="Arial" w:eastAsia="Arial" w:hAnsi="Arial"/>
                <w:sz w:val="18"/>
                <w:szCs w:val="18"/>
                <w:color w:val="auto"/>
              </w:rPr>
              <w:t>Preferential Collection of Claims Against Company</w:t>
            </w:r>
          </w:p>
        </w:tc>
        <w:tc>
          <w:tcPr>
            <w:tcW w:w="2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ARTICLE VIII. DISCHARGE OF INDENTURE</w:t>
            </w:r>
          </w:p>
        </w:tc>
        <w:tc>
          <w:tcPr>
            <w:tcW w:w="2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7260" w:type="dxa"/>
            <w:vAlign w:val="bottom"/>
          </w:tcPr>
          <w:p>
            <w:pPr>
              <w:ind w:left="100"/>
              <w:spacing w:after="0"/>
              <w:rPr>
                <w:sz w:val="20"/>
                <w:szCs w:val="20"/>
                <w:color w:val="auto"/>
              </w:rPr>
            </w:pPr>
            <w:r>
              <w:rPr>
                <w:rFonts w:ascii="Arial" w:cs="Arial" w:eastAsia="Arial" w:hAnsi="Arial"/>
                <w:sz w:val="18"/>
                <w:szCs w:val="18"/>
                <w:color w:val="auto"/>
              </w:rPr>
              <w:t>Termination of Company’s Obligations</w:t>
            </w:r>
          </w:p>
        </w:tc>
        <w:tc>
          <w:tcPr>
            <w:tcW w:w="2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7260" w:type="dxa"/>
            <w:vAlign w:val="bottom"/>
          </w:tcPr>
          <w:p>
            <w:pPr>
              <w:ind w:left="100"/>
              <w:spacing w:after="0"/>
              <w:rPr>
                <w:sz w:val="20"/>
                <w:szCs w:val="20"/>
                <w:color w:val="auto"/>
              </w:rPr>
            </w:pPr>
            <w:r>
              <w:rPr>
                <w:rFonts w:ascii="Arial" w:cs="Arial" w:eastAsia="Arial" w:hAnsi="Arial"/>
                <w:sz w:val="18"/>
                <w:szCs w:val="18"/>
                <w:color w:val="auto"/>
              </w:rPr>
              <w:t>Application of Trust Money</w:t>
            </w:r>
          </w:p>
        </w:tc>
        <w:tc>
          <w:tcPr>
            <w:tcW w:w="2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7260" w:type="dxa"/>
            <w:vAlign w:val="bottom"/>
          </w:tcPr>
          <w:p>
            <w:pPr>
              <w:ind w:left="100"/>
              <w:spacing w:after="0"/>
              <w:rPr>
                <w:sz w:val="20"/>
                <w:szCs w:val="20"/>
                <w:color w:val="auto"/>
              </w:rPr>
            </w:pPr>
            <w:r>
              <w:rPr>
                <w:rFonts w:ascii="Arial" w:cs="Arial" w:eastAsia="Arial" w:hAnsi="Arial"/>
                <w:sz w:val="18"/>
                <w:szCs w:val="18"/>
                <w:color w:val="auto"/>
              </w:rPr>
              <w:t>Repayment to Company</w:t>
            </w:r>
          </w:p>
        </w:tc>
        <w:tc>
          <w:tcPr>
            <w:tcW w:w="2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7260" w:type="dxa"/>
            <w:vAlign w:val="bottom"/>
          </w:tcPr>
          <w:p>
            <w:pPr>
              <w:ind w:left="100"/>
              <w:spacing w:after="0"/>
              <w:rPr>
                <w:sz w:val="20"/>
                <w:szCs w:val="20"/>
                <w:color w:val="auto"/>
              </w:rPr>
            </w:pPr>
            <w:r>
              <w:rPr>
                <w:rFonts w:ascii="Arial" w:cs="Arial" w:eastAsia="Arial" w:hAnsi="Arial"/>
                <w:sz w:val="18"/>
                <w:szCs w:val="18"/>
                <w:color w:val="auto"/>
              </w:rPr>
              <w:t>Reinstatement</w:t>
            </w:r>
          </w:p>
        </w:tc>
        <w:tc>
          <w:tcPr>
            <w:tcW w:w="2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ARTICLE IX. AMENDMENTS AND WAIVERS</w:t>
            </w:r>
          </w:p>
        </w:tc>
        <w:tc>
          <w:tcPr>
            <w:tcW w:w="2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7260" w:type="dxa"/>
            <w:vAlign w:val="bottom"/>
          </w:tcPr>
          <w:p>
            <w:pPr>
              <w:ind w:left="100"/>
              <w:spacing w:after="0"/>
              <w:rPr>
                <w:sz w:val="20"/>
                <w:szCs w:val="20"/>
                <w:color w:val="auto"/>
              </w:rPr>
            </w:pPr>
            <w:r>
              <w:rPr>
                <w:rFonts w:ascii="Arial" w:cs="Arial" w:eastAsia="Arial" w:hAnsi="Arial"/>
                <w:sz w:val="18"/>
                <w:szCs w:val="18"/>
                <w:color w:val="auto"/>
              </w:rPr>
              <w:t>Without Consent of Holders</w:t>
            </w:r>
          </w:p>
        </w:tc>
        <w:tc>
          <w:tcPr>
            <w:tcW w:w="2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7260" w:type="dxa"/>
            <w:vAlign w:val="bottom"/>
          </w:tcPr>
          <w:p>
            <w:pPr>
              <w:ind w:left="100"/>
              <w:spacing w:after="0"/>
              <w:rPr>
                <w:sz w:val="20"/>
                <w:szCs w:val="20"/>
                <w:color w:val="auto"/>
              </w:rPr>
            </w:pPr>
            <w:r>
              <w:rPr>
                <w:rFonts w:ascii="Arial" w:cs="Arial" w:eastAsia="Arial" w:hAnsi="Arial"/>
                <w:sz w:val="18"/>
                <w:szCs w:val="18"/>
                <w:color w:val="auto"/>
              </w:rPr>
              <w:t>With Consent of Holders</w:t>
            </w:r>
          </w:p>
        </w:tc>
        <w:tc>
          <w:tcPr>
            <w:tcW w:w="2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7260" w:type="dxa"/>
            <w:vAlign w:val="bottom"/>
          </w:tcPr>
          <w:p>
            <w:pPr>
              <w:ind w:left="100"/>
              <w:spacing w:after="0"/>
              <w:rPr>
                <w:sz w:val="20"/>
                <w:szCs w:val="20"/>
                <w:color w:val="auto"/>
              </w:rPr>
            </w:pPr>
            <w:r>
              <w:rPr>
                <w:rFonts w:ascii="Arial" w:cs="Arial" w:eastAsia="Arial" w:hAnsi="Arial"/>
                <w:sz w:val="18"/>
                <w:szCs w:val="18"/>
                <w:color w:val="auto"/>
              </w:rPr>
              <w:t>Limitations</w:t>
            </w:r>
          </w:p>
        </w:tc>
        <w:tc>
          <w:tcPr>
            <w:tcW w:w="2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7260" w:type="dxa"/>
            <w:vAlign w:val="bottom"/>
          </w:tcPr>
          <w:p>
            <w:pPr>
              <w:ind w:left="100"/>
              <w:spacing w:after="0"/>
              <w:rPr>
                <w:sz w:val="20"/>
                <w:szCs w:val="20"/>
                <w:color w:val="auto"/>
              </w:rPr>
            </w:pPr>
            <w:r>
              <w:rPr>
                <w:rFonts w:ascii="Arial" w:cs="Arial" w:eastAsia="Arial" w:hAnsi="Arial"/>
                <w:sz w:val="18"/>
                <w:szCs w:val="18"/>
                <w:color w:val="auto"/>
              </w:rPr>
              <w:t>Form of Amendments</w:t>
            </w:r>
          </w:p>
        </w:tc>
        <w:tc>
          <w:tcPr>
            <w:tcW w:w="2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7260" w:type="dxa"/>
            <w:vAlign w:val="bottom"/>
          </w:tcPr>
          <w:p>
            <w:pPr>
              <w:ind w:left="100"/>
              <w:spacing w:after="0"/>
              <w:rPr>
                <w:sz w:val="20"/>
                <w:szCs w:val="20"/>
                <w:color w:val="auto"/>
              </w:rPr>
            </w:pPr>
            <w:r>
              <w:rPr>
                <w:rFonts w:ascii="Arial" w:cs="Arial" w:eastAsia="Arial" w:hAnsi="Arial"/>
                <w:sz w:val="18"/>
                <w:szCs w:val="18"/>
                <w:color w:val="auto"/>
              </w:rPr>
              <w:t>Revocation and Effect of Consents</w:t>
            </w:r>
          </w:p>
        </w:tc>
        <w:tc>
          <w:tcPr>
            <w:tcW w:w="2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7260" w:type="dxa"/>
            <w:vAlign w:val="bottom"/>
          </w:tcPr>
          <w:p>
            <w:pPr>
              <w:ind w:left="100"/>
              <w:spacing w:after="0"/>
              <w:rPr>
                <w:sz w:val="20"/>
                <w:szCs w:val="20"/>
                <w:color w:val="auto"/>
              </w:rPr>
            </w:pPr>
            <w:r>
              <w:rPr>
                <w:rFonts w:ascii="Arial" w:cs="Arial" w:eastAsia="Arial" w:hAnsi="Arial"/>
                <w:sz w:val="18"/>
                <w:szCs w:val="18"/>
                <w:color w:val="auto"/>
              </w:rPr>
              <w:t>Notation on or Exchange of Securities</w:t>
            </w:r>
          </w:p>
        </w:tc>
        <w:tc>
          <w:tcPr>
            <w:tcW w:w="2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7260" w:type="dxa"/>
            <w:vAlign w:val="bottom"/>
          </w:tcPr>
          <w:p>
            <w:pPr>
              <w:ind w:left="100"/>
              <w:spacing w:after="0"/>
              <w:rPr>
                <w:sz w:val="20"/>
                <w:szCs w:val="20"/>
                <w:color w:val="auto"/>
              </w:rPr>
            </w:pPr>
            <w:r>
              <w:rPr>
                <w:rFonts w:ascii="Arial" w:cs="Arial" w:eastAsia="Arial" w:hAnsi="Arial"/>
                <w:sz w:val="18"/>
                <w:szCs w:val="18"/>
                <w:color w:val="auto"/>
              </w:rPr>
              <w:t>Trustee Protected</w:t>
            </w:r>
          </w:p>
        </w:tc>
        <w:tc>
          <w:tcPr>
            <w:tcW w:w="2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10.1.</w:t>
            </w:r>
          </w:p>
        </w:tc>
        <w:tc>
          <w:tcPr>
            <w:tcW w:w="7260" w:type="dxa"/>
            <w:vAlign w:val="bottom"/>
          </w:tcPr>
          <w:p>
            <w:pPr>
              <w:ind w:left="100"/>
              <w:spacing w:after="0"/>
              <w:rPr>
                <w:sz w:val="20"/>
                <w:szCs w:val="20"/>
                <w:color w:val="auto"/>
              </w:rPr>
            </w:pPr>
            <w:r>
              <w:rPr>
                <w:rFonts w:ascii="Arial" w:cs="Arial" w:eastAsia="Arial" w:hAnsi="Arial"/>
                <w:sz w:val="18"/>
                <w:szCs w:val="18"/>
                <w:color w:val="auto"/>
              </w:rPr>
              <w:t>Notices</w:t>
            </w:r>
          </w:p>
        </w:tc>
        <w:tc>
          <w:tcPr>
            <w:tcW w:w="2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10.2.</w:t>
            </w:r>
          </w:p>
        </w:tc>
        <w:tc>
          <w:tcPr>
            <w:tcW w:w="7260" w:type="dxa"/>
            <w:vAlign w:val="bottom"/>
          </w:tcPr>
          <w:p>
            <w:pPr>
              <w:ind w:left="100"/>
              <w:spacing w:after="0"/>
              <w:rPr>
                <w:sz w:val="20"/>
                <w:szCs w:val="20"/>
                <w:color w:val="auto"/>
              </w:rPr>
            </w:pPr>
            <w:r>
              <w:rPr>
                <w:rFonts w:ascii="Arial" w:cs="Arial" w:eastAsia="Arial" w:hAnsi="Arial"/>
                <w:sz w:val="18"/>
                <w:szCs w:val="18"/>
                <w:color w:val="auto"/>
              </w:rPr>
              <w:t>Communication by Holders with Other Holders</w:t>
            </w:r>
          </w:p>
        </w:tc>
        <w:tc>
          <w:tcPr>
            <w:tcW w:w="2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10.3.</w:t>
            </w:r>
          </w:p>
        </w:tc>
        <w:tc>
          <w:tcPr>
            <w:tcW w:w="7260" w:type="dxa"/>
            <w:vAlign w:val="bottom"/>
          </w:tcPr>
          <w:p>
            <w:pPr>
              <w:ind w:left="100"/>
              <w:spacing w:after="0"/>
              <w:rPr>
                <w:sz w:val="20"/>
                <w:szCs w:val="20"/>
                <w:color w:val="auto"/>
              </w:rPr>
            </w:pPr>
            <w:r>
              <w:rPr>
                <w:rFonts w:ascii="Arial" w:cs="Arial" w:eastAsia="Arial" w:hAnsi="Arial"/>
                <w:sz w:val="18"/>
                <w:szCs w:val="18"/>
                <w:color w:val="auto"/>
              </w:rPr>
              <w:t>Certificate and Opinion as to Conditions Precedent</w:t>
            </w:r>
          </w:p>
        </w:tc>
        <w:tc>
          <w:tcPr>
            <w:tcW w:w="2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10.4.</w:t>
            </w:r>
          </w:p>
        </w:tc>
        <w:tc>
          <w:tcPr>
            <w:tcW w:w="7260" w:type="dxa"/>
            <w:vAlign w:val="bottom"/>
          </w:tcPr>
          <w:p>
            <w:pPr>
              <w:ind w:left="100"/>
              <w:spacing w:after="0"/>
              <w:rPr>
                <w:sz w:val="20"/>
                <w:szCs w:val="20"/>
                <w:color w:val="auto"/>
              </w:rPr>
            </w:pPr>
            <w:r>
              <w:rPr>
                <w:rFonts w:ascii="Arial" w:cs="Arial" w:eastAsia="Arial" w:hAnsi="Arial"/>
                <w:sz w:val="18"/>
                <w:szCs w:val="18"/>
                <w:color w:val="auto"/>
              </w:rPr>
              <w:t>Statements Required in Certificate or Opinion</w:t>
            </w:r>
          </w:p>
        </w:tc>
        <w:tc>
          <w:tcPr>
            <w:tcW w:w="2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10.5.</w:t>
            </w:r>
          </w:p>
        </w:tc>
        <w:tc>
          <w:tcPr>
            <w:tcW w:w="7260" w:type="dxa"/>
            <w:vAlign w:val="bottom"/>
          </w:tcPr>
          <w:p>
            <w:pPr>
              <w:ind w:left="100"/>
              <w:spacing w:after="0"/>
              <w:rPr>
                <w:sz w:val="20"/>
                <w:szCs w:val="20"/>
                <w:color w:val="auto"/>
              </w:rPr>
            </w:pPr>
            <w:r>
              <w:rPr>
                <w:rFonts w:ascii="Arial" w:cs="Arial" w:eastAsia="Arial" w:hAnsi="Arial"/>
                <w:sz w:val="18"/>
                <w:szCs w:val="18"/>
                <w:color w:val="auto"/>
              </w:rPr>
              <w:t>Rules by Trustee and Agents</w:t>
            </w:r>
          </w:p>
        </w:tc>
        <w:tc>
          <w:tcPr>
            <w:tcW w:w="264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10.6.</w:t>
            </w:r>
          </w:p>
        </w:tc>
        <w:tc>
          <w:tcPr>
            <w:tcW w:w="7600" w:type="dxa"/>
            <w:vAlign w:val="bottom"/>
          </w:tcPr>
          <w:p>
            <w:pPr>
              <w:ind w:left="120"/>
              <w:spacing w:after="0"/>
              <w:rPr>
                <w:sz w:val="20"/>
                <w:szCs w:val="20"/>
                <w:color w:val="auto"/>
              </w:rPr>
            </w:pPr>
            <w:r>
              <w:rPr>
                <w:rFonts w:ascii="Arial" w:cs="Arial" w:eastAsia="Arial" w:hAnsi="Arial"/>
                <w:sz w:val="18"/>
                <w:szCs w:val="18"/>
                <w:color w:val="auto"/>
              </w:rPr>
              <w:t>Legal Holidays</w:t>
            </w:r>
          </w:p>
        </w:tc>
        <w:tc>
          <w:tcPr>
            <w:tcW w:w="2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10.7.</w:t>
            </w:r>
          </w:p>
        </w:tc>
        <w:tc>
          <w:tcPr>
            <w:tcW w:w="7600" w:type="dxa"/>
            <w:vAlign w:val="bottom"/>
          </w:tcPr>
          <w:p>
            <w:pPr>
              <w:ind w:left="120"/>
              <w:spacing w:after="0"/>
              <w:rPr>
                <w:sz w:val="20"/>
                <w:szCs w:val="20"/>
                <w:color w:val="auto"/>
              </w:rPr>
            </w:pPr>
            <w:r>
              <w:rPr>
                <w:rFonts w:ascii="Arial" w:cs="Arial" w:eastAsia="Arial" w:hAnsi="Arial"/>
                <w:sz w:val="18"/>
                <w:szCs w:val="18"/>
                <w:color w:val="auto"/>
              </w:rPr>
              <w:t>No Personal Liability of Directors, Officers, Employees and Certain Others</w:t>
            </w:r>
          </w:p>
        </w:tc>
        <w:tc>
          <w:tcPr>
            <w:tcW w:w="2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10.8.</w:t>
            </w:r>
          </w:p>
        </w:tc>
        <w:tc>
          <w:tcPr>
            <w:tcW w:w="7600" w:type="dxa"/>
            <w:vAlign w:val="bottom"/>
          </w:tcPr>
          <w:p>
            <w:pPr>
              <w:ind w:left="120"/>
              <w:spacing w:after="0"/>
              <w:rPr>
                <w:sz w:val="20"/>
                <w:szCs w:val="20"/>
                <w:color w:val="auto"/>
              </w:rPr>
            </w:pPr>
            <w:r>
              <w:rPr>
                <w:rFonts w:ascii="Arial" w:cs="Arial" w:eastAsia="Arial" w:hAnsi="Arial"/>
                <w:sz w:val="18"/>
                <w:szCs w:val="18"/>
                <w:color w:val="auto"/>
              </w:rPr>
              <w:t>FATCA</w:t>
            </w:r>
          </w:p>
        </w:tc>
        <w:tc>
          <w:tcPr>
            <w:tcW w:w="2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10.9.</w:t>
            </w:r>
          </w:p>
        </w:tc>
        <w:tc>
          <w:tcPr>
            <w:tcW w:w="760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2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10.10.</w:t>
            </w:r>
          </w:p>
        </w:tc>
        <w:tc>
          <w:tcPr>
            <w:tcW w:w="7600" w:type="dxa"/>
            <w:vAlign w:val="bottom"/>
          </w:tcPr>
          <w:p>
            <w:pPr>
              <w:ind w:left="120"/>
              <w:spacing w:after="0"/>
              <w:rPr>
                <w:sz w:val="20"/>
                <w:szCs w:val="20"/>
                <w:color w:val="auto"/>
              </w:rPr>
            </w:pPr>
            <w:r>
              <w:rPr>
                <w:rFonts w:ascii="Arial" w:cs="Arial" w:eastAsia="Arial" w:hAnsi="Arial"/>
                <w:sz w:val="18"/>
                <w:szCs w:val="18"/>
                <w:color w:val="auto"/>
              </w:rPr>
              <w:t>Governing Laws</w:t>
            </w:r>
          </w:p>
        </w:tc>
        <w:tc>
          <w:tcPr>
            <w:tcW w:w="2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10.11.</w:t>
            </w:r>
          </w:p>
        </w:tc>
        <w:tc>
          <w:tcPr>
            <w:tcW w:w="7600" w:type="dxa"/>
            <w:vAlign w:val="bottom"/>
          </w:tcPr>
          <w:p>
            <w:pPr>
              <w:ind w:left="120"/>
              <w:spacing w:after="0"/>
              <w:rPr>
                <w:sz w:val="20"/>
                <w:szCs w:val="20"/>
                <w:color w:val="auto"/>
              </w:rPr>
            </w:pPr>
            <w:r>
              <w:rPr>
                <w:rFonts w:ascii="Arial" w:cs="Arial" w:eastAsia="Arial" w:hAnsi="Arial"/>
                <w:sz w:val="18"/>
                <w:szCs w:val="18"/>
                <w:color w:val="auto"/>
              </w:rPr>
              <w:t>No Adverse Interpretation of Other Agreements</w:t>
            </w:r>
          </w:p>
        </w:tc>
        <w:tc>
          <w:tcPr>
            <w:tcW w:w="2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10.12.</w:t>
            </w:r>
          </w:p>
        </w:tc>
        <w:tc>
          <w:tcPr>
            <w:tcW w:w="7600" w:type="dxa"/>
            <w:vAlign w:val="bottom"/>
          </w:tcPr>
          <w:p>
            <w:pPr>
              <w:ind w:left="120"/>
              <w:spacing w:after="0"/>
              <w:rPr>
                <w:sz w:val="20"/>
                <w:szCs w:val="20"/>
                <w:color w:val="auto"/>
              </w:rPr>
            </w:pPr>
            <w:r>
              <w:rPr>
                <w:rFonts w:ascii="Arial" w:cs="Arial" w:eastAsia="Arial" w:hAnsi="Arial"/>
                <w:sz w:val="18"/>
                <w:szCs w:val="18"/>
                <w:color w:val="auto"/>
              </w:rPr>
              <w:t>Successors</w:t>
            </w:r>
          </w:p>
        </w:tc>
        <w:tc>
          <w:tcPr>
            <w:tcW w:w="2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10.13.</w:t>
            </w:r>
          </w:p>
        </w:tc>
        <w:tc>
          <w:tcPr>
            <w:tcW w:w="760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10.14.</w:t>
            </w:r>
          </w:p>
        </w:tc>
        <w:tc>
          <w:tcPr>
            <w:tcW w:w="7600" w:type="dxa"/>
            <w:vAlign w:val="bottom"/>
          </w:tcPr>
          <w:p>
            <w:pPr>
              <w:ind w:left="120"/>
              <w:spacing w:after="0"/>
              <w:rPr>
                <w:sz w:val="20"/>
                <w:szCs w:val="20"/>
                <w:color w:val="auto"/>
              </w:rPr>
            </w:pPr>
            <w:r>
              <w:rPr>
                <w:rFonts w:ascii="Arial" w:cs="Arial" w:eastAsia="Arial" w:hAnsi="Arial"/>
                <w:sz w:val="18"/>
                <w:szCs w:val="18"/>
                <w:color w:val="auto"/>
              </w:rPr>
              <w:t>Table of Contents, Headings, Etc.</w:t>
            </w:r>
          </w:p>
        </w:tc>
        <w:tc>
          <w:tcPr>
            <w:tcW w:w="2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10.15.</w:t>
            </w:r>
          </w:p>
        </w:tc>
        <w:tc>
          <w:tcPr>
            <w:tcW w:w="7600" w:type="dxa"/>
            <w:vAlign w:val="bottom"/>
          </w:tcPr>
          <w:p>
            <w:pPr>
              <w:ind w:left="120"/>
              <w:spacing w:after="0"/>
              <w:rPr>
                <w:sz w:val="20"/>
                <w:szCs w:val="20"/>
                <w:color w:val="auto"/>
              </w:rPr>
            </w:pPr>
            <w:r>
              <w:rPr>
                <w:rFonts w:ascii="Arial" w:cs="Arial" w:eastAsia="Arial" w:hAnsi="Arial"/>
                <w:sz w:val="18"/>
                <w:szCs w:val="18"/>
                <w:color w:val="auto"/>
              </w:rPr>
              <w:t>Judgment Currency</w:t>
            </w:r>
          </w:p>
        </w:tc>
        <w:tc>
          <w:tcPr>
            <w:tcW w:w="2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10.16.</w:t>
            </w:r>
          </w:p>
        </w:tc>
        <w:tc>
          <w:tcPr>
            <w:tcW w:w="7600" w:type="dxa"/>
            <w:vAlign w:val="bottom"/>
          </w:tcPr>
          <w:p>
            <w:pPr>
              <w:ind w:left="120"/>
              <w:spacing w:after="0"/>
              <w:rPr>
                <w:sz w:val="20"/>
                <w:szCs w:val="20"/>
                <w:color w:val="auto"/>
              </w:rPr>
            </w:pPr>
            <w:r>
              <w:rPr>
                <w:rFonts w:ascii="Arial" w:cs="Arial" w:eastAsia="Arial" w:hAnsi="Arial"/>
                <w:sz w:val="18"/>
                <w:szCs w:val="18"/>
                <w:color w:val="auto"/>
              </w:rPr>
              <w:t>English Language</w:t>
            </w:r>
          </w:p>
        </w:tc>
        <w:tc>
          <w:tcPr>
            <w:tcW w:w="2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10.17.</w:t>
            </w:r>
          </w:p>
        </w:tc>
        <w:tc>
          <w:tcPr>
            <w:tcW w:w="7600" w:type="dxa"/>
            <w:vAlign w:val="bottom"/>
          </w:tcPr>
          <w:p>
            <w:pPr>
              <w:ind w:left="120"/>
              <w:spacing w:after="0"/>
              <w:rPr>
                <w:sz w:val="20"/>
                <w:szCs w:val="20"/>
                <w:color w:val="auto"/>
              </w:rPr>
            </w:pPr>
            <w:r>
              <w:rPr>
                <w:rFonts w:ascii="Arial" w:cs="Arial" w:eastAsia="Arial" w:hAnsi="Arial"/>
                <w:sz w:val="18"/>
                <w:szCs w:val="18"/>
                <w:color w:val="auto"/>
              </w:rPr>
              <w:t>Submission to Jurisdiction; Appointment of Agent</w:t>
            </w:r>
          </w:p>
        </w:tc>
        <w:tc>
          <w:tcPr>
            <w:tcW w:w="2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10.18.</w:t>
            </w:r>
          </w:p>
        </w:tc>
        <w:tc>
          <w:tcPr>
            <w:tcW w:w="7600" w:type="dxa"/>
            <w:vAlign w:val="bottom"/>
          </w:tcPr>
          <w:p>
            <w:pPr>
              <w:ind w:left="120"/>
              <w:spacing w:after="0"/>
              <w:rPr>
                <w:sz w:val="20"/>
                <w:szCs w:val="20"/>
                <w:color w:val="auto"/>
              </w:rPr>
            </w:pPr>
            <w:r>
              <w:rPr>
                <w:rFonts w:ascii="Arial" w:cs="Arial" w:eastAsia="Arial" w:hAnsi="Arial"/>
                <w:sz w:val="18"/>
                <w:szCs w:val="18"/>
                <w:color w:val="auto"/>
              </w:rPr>
              <w:t>Waiver of Immunity</w:t>
            </w:r>
          </w:p>
        </w:tc>
        <w:tc>
          <w:tcPr>
            <w:tcW w:w="2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7"/>
              </w:rPr>
              <w:t>Section 10.19.</w:t>
            </w:r>
          </w:p>
        </w:tc>
        <w:tc>
          <w:tcPr>
            <w:tcW w:w="7600" w:type="dxa"/>
            <w:vAlign w:val="bottom"/>
          </w:tcPr>
          <w:p>
            <w:pPr>
              <w:ind w:left="120"/>
              <w:spacing w:after="0"/>
              <w:rPr>
                <w:sz w:val="20"/>
                <w:szCs w:val="20"/>
                <w:color w:val="auto"/>
              </w:rPr>
            </w:pPr>
            <w:r>
              <w:rPr>
                <w:rFonts w:ascii="Arial" w:cs="Arial" w:eastAsia="Arial" w:hAnsi="Arial"/>
                <w:sz w:val="18"/>
                <w:szCs w:val="18"/>
                <w:color w:val="auto"/>
              </w:rPr>
              <w:t>Waiver of Jury Trial</w:t>
            </w:r>
          </w:p>
        </w:tc>
        <w:tc>
          <w:tcPr>
            <w:tcW w:w="2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7"/>
              </w:rPr>
              <w:t>Section 10.20.</w:t>
            </w:r>
          </w:p>
        </w:tc>
        <w:tc>
          <w:tcPr>
            <w:tcW w:w="7600" w:type="dxa"/>
            <w:vAlign w:val="bottom"/>
          </w:tcPr>
          <w:p>
            <w:pPr>
              <w:ind w:left="120"/>
              <w:spacing w:after="0"/>
              <w:rPr>
                <w:sz w:val="20"/>
                <w:szCs w:val="20"/>
                <w:color w:val="auto"/>
              </w:rPr>
            </w:pPr>
            <w:r>
              <w:rPr>
                <w:rFonts w:ascii="Arial" w:cs="Arial" w:eastAsia="Arial" w:hAnsi="Arial"/>
                <w:sz w:val="18"/>
                <w:szCs w:val="18"/>
                <w:color w:val="auto"/>
              </w:rPr>
              <w:t>Trust Indenture Act Controls</w:t>
            </w:r>
          </w:p>
        </w:tc>
        <w:tc>
          <w:tcPr>
            <w:tcW w:w="222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26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600" w:top="274" w:right="339" w:bottom="1440" w:gutter="0" w:footer="0" w:header="0"/>
        </w:sectPr>
      </w:pPr>
    </w:p>
    <w:bookmarkStart w:id="50" w:name="page51"/>
    <w:bookmarkEnd w:id="50"/>
    <w:p>
      <w:pPr>
        <w:ind w:right="60" w:firstLine="913"/>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December 3, 2013 by and among Schlumberger Investment SA, a public limited liability company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under the laws of the Grand Duchy of Luxembourg having its registered address at 5 Avenue Gaston Diderich, L-1420 Luxembourg and registered with the Luxembourg Register of Commerce and Companies under number B 163.122 (the “</w:t>
      </w:r>
      <w:r>
        <w:rPr>
          <w:rFonts w:ascii="Arial" w:cs="Arial" w:eastAsia="Arial" w:hAnsi="Arial"/>
          <w:sz w:val="16"/>
          <w:szCs w:val="16"/>
          <w:i w:val="1"/>
          <w:iCs w:val="1"/>
          <w:color w:val="auto"/>
        </w:rPr>
        <w:t>Company</w:t>
      </w:r>
      <w:r>
        <w:rPr>
          <w:rFonts w:ascii="Arial" w:cs="Arial" w:eastAsia="Arial" w:hAnsi="Arial"/>
          <w:sz w:val="16"/>
          <w:szCs w:val="16"/>
          <w:color w:val="auto"/>
        </w:rPr>
        <w:t>”), Schlumberger Limited, a company organized under the laws of Curaçao (the “</w:t>
      </w:r>
      <w:r>
        <w:rPr>
          <w:rFonts w:ascii="Arial" w:cs="Arial" w:eastAsia="Arial" w:hAnsi="Arial"/>
          <w:sz w:val="16"/>
          <w:szCs w:val="16"/>
          <w:i w:val="1"/>
          <w:iCs w:val="1"/>
          <w:color w:val="auto"/>
        </w:rPr>
        <w:t>Guarantor</w:t>
      </w:r>
      <w:r>
        <w:rPr>
          <w:rFonts w:ascii="Arial" w:cs="Arial" w:eastAsia="Arial" w:hAnsi="Arial"/>
          <w:sz w:val="16"/>
          <w:szCs w:val="16"/>
          <w:color w:val="auto"/>
        </w:rPr>
        <w:t>”), and The Bank of New York Mellon, as trustee (the “</w:t>
      </w:r>
      <w:r>
        <w:rPr>
          <w:rFonts w:ascii="Arial" w:cs="Arial" w:eastAsia="Arial" w:hAnsi="Arial"/>
          <w:sz w:val="16"/>
          <w:szCs w:val="16"/>
          <w:i w:val="1"/>
          <w:iCs w:val="1"/>
          <w:color w:val="auto"/>
        </w:rPr>
        <w:t>Trustee</w:t>
      </w:r>
      <w:r>
        <w:rPr>
          <w:rFonts w:ascii="Arial" w:cs="Arial" w:eastAsia="Arial" w:hAnsi="Arial"/>
          <w:sz w:val="16"/>
          <w:szCs w:val="16"/>
          <w:color w:val="auto"/>
        </w:rPr>
        <w:t>”), registrar, paying agent and transfer agent.</w:t>
      </w:r>
    </w:p>
    <w:p>
      <w:pPr>
        <w:spacing w:after="0" w:line="154"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Each party agrees as follows for the benefit of the other parties and for the equal and ratable benefit of the Holders (as defined below) of the Securities (as defined below) issued under this Indenture.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Transfer Agent or any other agent appointed pursuant to this Indenture.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the Guarantor, or any duly authorized committee thereof.</w:t>
      </w:r>
    </w:p>
    <w:p>
      <w:pPr>
        <w:spacing w:after="0" w:line="22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or the Guarantor, as applicable, to have been adopted by its Board of Directors or pursuant to authorization by its Board of Directors and to be in full force and effect on the date of the certification and delivered to the Trustee.</w:t>
      </w:r>
    </w:p>
    <w:p>
      <w:pPr>
        <w:spacing w:after="0" w:line="18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unless otherwise provided by Board Resolution, Officer’s Certificate or supplemental indenture for a particular Series, any day except a Legal Holiday.</w:t>
      </w:r>
    </w:p>
    <w:p>
      <w:pPr>
        <w:spacing w:after="0" w:line="170" w:lineRule="exact"/>
        <w:rPr>
          <w:sz w:val="20"/>
          <w:szCs w:val="20"/>
          <w:color w:val="auto"/>
        </w:rPr>
      </w:pPr>
    </w:p>
    <w:p>
      <w:pPr>
        <w:ind w:right="30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Stock</w:t>
      </w:r>
      <w:r>
        <w:rPr>
          <w:rFonts w:ascii="Arial" w:cs="Arial" w:eastAsia="Arial" w:hAnsi="Arial"/>
          <w:sz w:val="17"/>
          <w:szCs w:val="17"/>
          <w:color w:val="auto"/>
        </w:rPr>
        <w:t>” means (1) in the case of a corporation, corporate stock; (2) in the case of an association or business entity, any and all shares, interests, participations, rights or other equivalents (however designated) of corporate stock; (3) in the case of a partnership or limited liability company, partnership interests (whether general or limited) or membership interests; and (4)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ectPr>
          <w:pgSz w:w="11900" w:h="16838" w:orient="portrait"/>
          <w:cols w:equalWidth="0" w:num="1">
            <w:col w:w="11380"/>
          </w:cols>
          <w:pgMar w:left="240" w:top="274" w:right="279" w:bottom="1440" w:gutter="0" w:footer="0" w:header="0"/>
        </w:sectPr>
      </w:pPr>
    </w:p>
    <w:bookmarkStart w:id="51" w:name="page52"/>
    <w:bookmarkEnd w:id="5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Certificated Securities</w:t>
      </w:r>
      <w:r>
        <w:rPr>
          <w:rFonts w:ascii="Arial" w:cs="Arial" w:eastAsia="Arial" w:hAnsi="Arial"/>
          <w:sz w:val="18"/>
          <w:szCs w:val="18"/>
          <w:color w:val="auto"/>
        </w:rPr>
        <w:t>” means definitive Securities in registered non-global certificated form.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Schlumberger Investment SA until a successor replaces it and thereafter means the successor.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Order</w:t>
      </w:r>
      <w:r>
        <w:rPr>
          <w:rFonts w:ascii="Arial" w:cs="Arial" w:eastAsia="Arial" w:hAnsi="Arial"/>
          <w:sz w:val="17"/>
          <w:szCs w:val="17"/>
          <w:color w:val="auto"/>
        </w:rPr>
        <w:t>” or “</w:t>
      </w:r>
      <w:r>
        <w:rPr>
          <w:rFonts w:ascii="Arial" w:cs="Arial" w:eastAsia="Arial" w:hAnsi="Arial"/>
          <w:sz w:val="17"/>
          <w:szCs w:val="17"/>
          <w:i w:val="1"/>
          <w:iCs w:val="1"/>
          <w:color w:val="auto"/>
        </w:rPr>
        <w:t>Company Request</w:t>
      </w:r>
      <w:r>
        <w:rPr>
          <w:rFonts w:ascii="Arial" w:cs="Arial" w:eastAsia="Arial" w:hAnsi="Arial"/>
          <w:sz w:val="17"/>
          <w:szCs w:val="17"/>
          <w:color w:val="auto"/>
        </w:rPr>
        <w:t>” means a written order signed in the name of the Company by one of the Company’s Officers.</w:t>
      </w:r>
    </w:p>
    <w:p>
      <w:pPr>
        <w:spacing w:after="0" w:line="23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the amount of total stockholders’ equity shown in the Guarantor’s most recent quarterly consolidated statement of financial position.</w:t>
      </w:r>
    </w:p>
    <w:p>
      <w:pPr>
        <w:spacing w:after="0" w:line="170" w:lineRule="exact"/>
        <w:rPr>
          <w:sz w:val="20"/>
          <w:szCs w:val="20"/>
          <w:color w:val="auto"/>
        </w:rPr>
      </w:pPr>
    </w:p>
    <w:p>
      <w:pPr>
        <w:ind w:right="7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as of the date hereof is the address set forth in Section 10.1.</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w:t>
      </w:r>
      <w:r>
        <w:rPr>
          <w:rFonts w:ascii="Arial" w:cs="Arial" w:eastAsia="Arial" w:hAnsi="Arial"/>
          <w:sz w:val="18"/>
          <w:szCs w:val="18"/>
          <w:i w:val="1"/>
          <w:iCs w:val="1"/>
          <w:color w:val="auto"/>
        </w:rPr>
        <w:t>Depositary</w:t>
      </w:r>
      <w:r>
        <w:rPr>
          <w:rFonts w:ascii="Arial" w:cs="Arial" w:eastAsia="Arial" w:hAnsi="Arial"/>
          <w:sz w:val="18"/>
          <w:szCs w:val="18"/>
          <w:color w:val="auto"/>
        </w:rPr>
        <w:t>” as used with respect to the Securities of any Series shall mean the Depositary with respect to the Securities of such Series.</w:t>
      </w:r>
    </w:p>
    <w:p>
      <w:pPr>
        <w:spacing w:after="0" w:line="18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accounting principles generally accepted in the United States of America set forth in the opinions and pronouncements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87" w:lineRule="exact"/>
        <w:rPr>
          <w:sz w:val="20"/>
          <w:szCs w:val="20"/>
          <w:color w:val="auto"/>
        </w:rPr>
      </w:pPr>
    </w:p>
    <w:p>
      <w:pPr>
        <w:jc w:val="both"/>
        <w:ind w:right="4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52" w:name="page53"/>
    <w:bookmarkEnd w:id="52"/>
    <w:p>
      <w:pPr>
        <w:ind w:right="14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Government Obligations</w:t>
      </w:r>
      <w:r>
        <w:rPr>
          <w:rFonts w:ascii="Arial" w:cs="Arial" w:eastAsia="Arial" w:hAnsi="Arial"/>
          <w:sz w:val="16"/>
          <w:szCs w:val="16"/>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w:t>
      </w:r>
    </w:p>
    <w:p>
      <w:pPr>
        <w:ind w:right="20" w:firstLine="8"/>
        <w:spacing w:after="0" w:line="253" w:lineRule="auto"/>
        <w:tabs>
          <w:tab w:leader="none" w:pos="2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and (ii)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Obligation evidenced by such depository receipt.</w:t>
      </w:r>
    </w:p>
    <w:p>
      <w:pPr>
        <w:spacing w:after="0" w:line="191"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means a guarantee by the Guarantor of the Company’s obligations under this Indenture and any Securities and as provided in the applicable Board Resolution, Officer’s Certificate or supplemental indenture establishing the terms of such Series of Securities.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Securityholder</w:t>
      </w:r>
      <w:r>
        <w:rPr>
          <w:rFonts w:ascii="Arial" w:cs="Arial" w:eastAsia="Arial" w:hAnsi="Arial"/>
          <w:sz w:val="18"/>
          <w:szCs w:val="18"/>
          <w:color w:val="auto"/>
        </w:rPr>
        <w:t>” means a Person in whose name a Security is registered in the register maintained by the Registrar.</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with respect to any Security, the date of original issuance of such Security.</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i w:val="1"/>
          <w:iCs w:val="1"/>
          <w:color w:val="auto"/>
        </w:rPr>
        <w:t>“Legal Holiday</w:t>
      </w:r>
      <w:r>
        <w:rPr>
          <w:rFonts w:ascii="Arial" w:cs="Arial" w:eastAsia="Arial" w:hAnsi="Arial"/>
          <w:sz w:val="18"/>
          <w:szCs w:val="18"/>
          <w:color w:val="auto"/>
        </w:rPr>
        <w:t>” means a Saturday, a Sunday or a day on which banking institutions in any of The City of New York, New York or a place of</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are authorized or obligated by law, regulation or executive order to remain closed.</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w:t>
      </w:r>
      <w:r>
        <w:rPr>
          <w:rFonts w:ascii="Arial" w:cs="Arial" w:eastAsia="Arial" w:hAnsi="Arial"/>
          <w:sz w:val="18"/>
          <w:szCs w:val="18"/>
          <w:color w:val="auto"/>
        </w:rPr>
        <w:t>” means and includes any mortgage, pledge, lien, security interest, conditional sale or other title retention agreement or other similar encumbrance.</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8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issuing the Securities and any successor to such obligor upon the Securities, and the Guarantor, and its successor.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4" w:right="339" w:bottom="1440" w:gutter="0" w:footer="0" w:header="0"/>
        </w:sectPr>
      </w:pPr>
    </w:p>
    <w:bookmarkStart w:id="53" w:name="page54"/>
    <w:bookmarkEnd w:id="53"/>
    <w:p>
      <w:pPr>
        <w:ind w:right="320"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Officer</w:t>
      </w:r>
      <w:r>
        <w:rPr>
          <w:rFonts w:ascii="Arial" w:cs="Arial" w:eastAsia="Arial" w:hAnsi="Arial"/>
          <w:sz w:val="16"/>
          <w:szCs w:val="16"/>
          <w:color w:val="auto"/>
        </w:rPr>
        <w:t>” means the Chief Executive Officer, Chief Operating Officer, Chief Financial Officer, President, any Vice-President, the Treasurer, a Director, the Chairman, the Secretary, any Assistant Treasurer or any Assistant Secretary of the Company or the Guarantor, as applicable.</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 Officer of the Company or the Guarantor, as applicable.</w:t>
      </w:r>
    </w:p>
    <w:p>
      <w:pPr>
        <w:spacing w:after="0" w:line="225"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acceptable to the Trustee. The counsel may be a direct or indirect employee of or counsel to the Company or the Guarantor.</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70"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responsible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1" w:lineRule="exact"/>
        <w:rPr>
          <w:sz w:val="20"/>
          <w:szCs w:val="20"/>
          <w:color w:val="auto"/>
        </w:rPr>
      </w:pPr>
    </w:p>
    <w:p>
      <w:pPr>
        <w:jc w:val="both"/>
        <w:ind w:right="8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Property</w:t>
      </w:r>
      <w:r>
        <w:rPr>
          <w:rFonts w:ascii="Arial" w:cs="Arial" w:eastAsia="Arial" w:hAnsi="Arial"/>
          <w:sz w:val="17"/>
          <w:szCs w:val="17"/>
          <w:color w:val="auto"/>
        </w:rPr>
        <w:t>”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of the Securities of any Series, unless, in the opinion of the Board of Directors of the Guarantor, such plant or facility or other asset is not of material importance to the total business conducted by the Guarantor and its Restricted Subsidiaries taken as a whole.</w:t>
      </w:r>
    </w:p>
    <w:p>
      <w:pPr>
        <w:spacing w:after="0" w:line="17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Security</w:t>
      </w:r>
      <w:r>
        <w:rPr>
          <w:rFonts w:ascii="Arial" w:cs="Arial" w:eastAsia="Arial" w:hAnsi="Arial"/>
          <w:sz w:val="18"/>
          <w:szCs w:val="18"/>
          <w:color w:val="auto"/>
        </w:rPr>
        <w:t>”, with respect to any Series of Securities, means a Security of such Series, unless or until it has been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the Guarantor which owns a Restricted Property.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Securities</w:t>
      </w:r>
      <w:r>
        <w:rPr>
          <w:rFonts w:ascii="Arial" w:cs="Arial" w:eastAsia="Arial" w:hAnsi="Arial"/>
          <w:sz w:val="17"/>
          <w:szCs w:val="17"/>
          <w:color w:val="auto"/>
        </w:rPr>
        <w:t>” means any debentures, notes or other debt instruments of the Company of any Series authenticated and delivered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4" w:name="page55"/>
    <w:bookmarkEnd w:id="5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Securities of the Company created pursuant to Sections 2.1 and 2.2 hereof.</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means the Trust Indenture Act of 1939, as amended, as in effect on the date hereof.</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w:t>
      </w:r>
      <w:r>
        <w:rPr>
          <w:rFonts w:ascii="Arial" w:cs="Arial" w:eastAsia="Arial" w:hAnsi="Arial"/>
          <w:sz w:val="18"/>
          <w:szCs w:val="18"/>
          <w:i w:val="1"/>
          <w:iCs w:val="1"/>
          <w:color w:val="auto"/>
        </w:rPr>
        <w:t>Trustee</w:t>
      </w:r>
      <w:r>
        <w:rPr>
          <w:rFonts w:ascii="Arial" w:cs="Arial" w:eastAsia="Arial" w:hAnsi="Arial"/>
          <w:sz w:val="18"/>
          <w:szCs w:val="18"/>
          <w:color w:val="auto"/>
        </w:rPr>
        <w:t>” in the first paragraph of this instrument until a successor Trustee shall have become such pursuant to the applicable provisions of this Indenture, and thereafter “</w:t>
      </w:r>
      <w:r>
        <w:rPr>
          <w:rFonts w:ascii="Arial" w:cs="Arial" w:eastAsia="Arial" w:hAnsi="Arial"/>
          <w:sz w:val="18"/>
          <w:szCs w:val="18"/>
          <w:i w:val="1"/>
          <w:iCs w:val="1"/>
          <w:color w:val="auto"/>
        </w:rPr>
        <w:t>Trustee</w:t>
      </w:r>
      <w:r>
        <w:rPr>
          <w:rFonts w:ascii="Arial" w:cs="Arial" w:eastAsia="Arial" w:hAnsi="Arial"/>
          <w:sz w:val="18"/>
          <w:szCs w:val="18"/>
          <w:color w:val="auto"/>
        </w:rPr>
        <w:t>” shall mean or include each Person who is then a Trustee hereunder, and if at any time there is more than one such Person, “</w:t>
      </w:r>
      <w:r>
        <w:rPr>
          <w:rFonts w:ascii="Arial" w:cs="Arial" w:eastAsia="Arial" w:hAnsi="Arial"/>
          <w:sz w:val="18"/>
          <w:szCs w:val="18"/>
          <w:i w:val="1"/>
          <w:iCs w:val="1"/>
          <w:color w:val="auto"/>
        </w:rPr>
        <w:t>Trustee</w:t>
      </w:r>
      <w:r>
        <w:rPr>
          <w:rFonts w:ascii="Arial" w:cs="Arial" w:eastAsia="Arial" w:hAnsi="Arial"/>
          <w:sz w:val="18"/>
          <w:szCs w:val="18"/>
          <w:color w:val="auto"/>
        </w:rPr>
        <w:t>” as used with respect to the Securities of any Series shall mean the Trustee with respect to Securities of that Series.</w:t>
      </w:r>
    </w:p>
    <w:p>
      <w:pPr>
        <w:spacing w:after="0" w:line="187"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Securities</w:t>
      </w:r>
      <w:r>
        <w:rPr>
          <w:rFonts w:ascii="Arial" w:cs="Arial" w:eastAsia="Arial" w:hAnsi="Arial"/>
          <w:sz w:val="18"/>
          <w:szCs w:val="18"/>
          <w:color w:val="auto"/>
        </w:rPr>
        <w:t>”, with respect to any Series of Securities, means a Security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0" w:type="dxa"/>
            <w:vAlign w:val="bottom"/>
            <w:vMerge w:val="restart"/>
          </w:tcPr>
          <w:p>
            <w:pPr>
              <w:spacing w:after="0"/>
              <w:rPr>
                <w:sz w:val="20"/>
                <w:szCs w:val="20"/>
                <w:color w:val="auto"/>
              </w:rPr>
            </w:pPr>
            <w:r>
              <w:rPr>
                <w:rFonts w:ascii="Arial" w:cs="Arial" w:eastAsia="Arial" w:hAnsi="Arial"/>
                <w:sz w:val="14"/>
                <w:szCs w:val="14"/>
                <w:color w:val="auto"/>
                <w:w w:val="95"/>
              </w:rPr>
              <w:t>TERM</w:t>
            </w:r>
          </w:p>
        </w:tc>
        <w:tc>
          <w:tcPr>
            <w:tcW w:w="2340" w:type="dxa"/>
            <w:vAlign w:val="bottom"/>
            <w:vMerge w:val="restart"/>
          </w:tcPr>
          <w:p>
            <w:pPr>
              <w:spacing w:after="0"/>
              <w:rPr>
                <w:sz w:val="14"/>
                <w:szCs w:val="14"/>
                <w:color w:val="auto"/>
              </w:rPr>
            </w:pPr>
          </w:p>
        </w:tc>
        <w:tc>
          <w:tcPr>
            <w:tcW w:w="5020" w:type="dxa"/>
            <w:vAlign w:val="bottom"/>
            <w:gridSpan w:val="2"/>
          </w:tcPr>
          <w:p>
            <w:pPr>
              <w:jc w:val="center"/>
              <w:ind w:left="4093"/>
              <w:spacing w:after="0"/>
              <w:rPr>
                <w:sz w:val="20"/>
                <w:szCs w:val="20"/>
                <w:color w:val="auto"/>
              </w:rPr>
            </w:pPr>
            <w:r>
              <w:rPr>
                <w:rFonts w:ascii="Arial" w:cs="Arial" w:eastAsia="Arial" w:hAnsi="Arial"/>
                <w:sz w:val="14"/>
                <w:szCs w:val="14"/>
                <w:color w:val="auto"/>
              </w:rPr>
              <w:t>DEFINED IN</w:t>
            </w:r>
          </w:p>
        </w:tc>
        <w:tc>
          <w:tcPr>
            <w:tcW w:w="0" w:type="dxa"/>
            <w:vAlign w:val="bottom"/>
          </w:tcPr>
          <w:p>
            <w:pPr>
              <w:spacing w:after="0"/>
              <w:rPr>
                <w:sz w:val="1"/>
                <w:szCs w:val="1"/>
                <w:color w:val="auto"/>
              </w:rPr>
            </w:pPr>
          </w:p>
        </w:tc>
      </w:tr>
      <w:tr>
        <w:trPr>
          <w:trHeight w:val="174"/>
        </w:trPr>
        <w:tc>
          <w:tcPr>
            <w:tcW w:w="400" w:type="dxa"/>
            <w:vAlign w:val="bottom"/>
            <w:tcBorders>
              <w:bottom w:val="single" w:sz="8" w:color="auto"/>
            </w:tcBorders>
            <w:vMerge w:val="continue"/>
          </w:tcPr>
          <w:p>
            <w:pPr>
              <w:spacing w:after="0"/>
              <w:rPr>
                <w:sz w:val="15"/>
                <w:szCs w:val="15"/>
                <w:color w:val="auto"/>
              </w:rPr>
            </w:pPr>
          </w:p>
        </w:tc>
        <w:tc>
          <w:tcPr>
            <w:tcW w:w="2340" w:type="dxa"/>
            <w:vAlign w:val="bottom"/>
            <w:vMerge w:val="continue"/>
          </w:tcPr>
          <w:p>
            <w:pPr>
              <w:spacing w:after="0"/>
              <w:rPr>
                <w:sz w:val="15"/>
                <w:szCs w:val="15"/>
                <w:color w:val="auto"/>
              </w:rPr>
            </w:pPr>
          </w:p>
        </w:tc>
        <w:tc>
          <w:tcPr>
            <w:tcW w:w="4200" w:type="dxa"/>
            <w:vAlign w:val="bottom"/>
          </w:tcPr>
          <w:p>
            <w:pPr>
              <w:spacing w:after="0"/>
              <w:rPr>
                <w:sz w:val="15"/>
                <w:szCs w:val="15"/>
                <w:color w:val="auto"/>
              </w:rPr>
            </w:pPr>
          </w:p>
        </w:tc>
        <w:tc>
          <w:tcPr>
            <w:tcW w:w="820" w:type="dxa"/>
            <w:vAlign w:val="bottom"/>
          </w:tcPr>
          <w:p>
            <w:pPr>
              <w:jc w:val="center"/>
              <w:spacing w:after="0" w:line="154" w:lineRule="exact"/>
              <w:rPr>
                <w:sz w:val="20"/>
                <w:szCs w:val="20"/>
                <w:color w:val="auto"/>
              </w:rPr>
            </w:pPr>
            <w:r>
              <w:rPr>
                <w:rFonts w:ascii="Arial" w:cs="Arial" w:eastAsia="Arial" w:hAnsi="Arial"/>
                <w:sz w:val="14"/>
                <w:szCs w:val="14"/>
                <w:color w:val="auto"/>
                <w:w w:val="96"/>
              </w:rPr>
              <w:t>SECTION</w:t>
            </w:r>
          </w:p>
        </w:tc>
        <w:tc>
          <w:tcPr>
            <w:tcW w:w="0" w:type="dxa"/>
            <w:vAlign w:val="bottom"/>
          </w:tcPr>
          <w:p>
            <w:pPr>
              <w:spacing w:after="0"/>
              <w:rPr>
                <w:sz w:val="1"/>
                <w:szCs w:val="1"/>
                <w:color w:val="auto"/>
              </w:rPr>
            </w:pPr>
          </w:p>
        </w:tc>
      </w:tr>
      <w:tr>
        <w:trPr>
          <w:trHeight w:val="203"/>
        </w:trPr>
        <w:tc>
          <w:tcPr>
            <w:tcW w:w="2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Amounts</w:t>
            </w:r>
            <w:r>
              <w:rPr>
                <w:rFonts w:ascii="Arial" w:cs="Arial" w:eastAsia="Arial" w:hAnsi="Arial"/>
                <w:sz w:val="18"/>
                <w:szCs w:val="18"/>
                <w:color w:val="auto"/>
              </w:rPr>
              <w:t>”</w:t>
            </w:r>
          </w:p>
        </w:tc>
        <w:tc>
          <w:tcPr>
            <w:tcW w:w="4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4.6(a)</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8"/>
                <w:szCs w:val="18"/>
                <w:i w:val="1"/>
                <w:iCs w:val="1"/>
                <w:color w:val="auto"/>
              </w:rPr>
              <w:t>ankruptcy Law</w:t>
            </w:r>
            <w:r>
              <w:rPr>
                <w:rFonts w:ascii="Arial" w:cs="Arial" w:eastAsia="Arial" w:hAnsi="Arial"/>
                <w:sz w:val="18"/>
                <w:szCs w:val="18"/>
                <w:color w:val="auto"/>
              </w:rPr>
              <w:t>”</w:t>
            </w:r>
          </w:p>
        </w:tc>
        <w:tc>
          <w:tcPr>
            <w:tcW w:w="5020" w:type="dxa"/>
            <w:vAlign w:val="bottom"/>
            <w:gridSpan w:val="2"/>
          </w:tcPr>
          <w:p>
            <w:pPr>
              <w:jc w:val="center"/>
              <w:ind w:left="4113"/>
              <w:spacing w:after="0"/>
              <w:rPr>
                <w:sz w:val="20"/>
                <w:szCs w:val="20"/>
                <w:color w:val="auto"/>
              </w:rPr>
            </w:pPr>
            <w:r>
              <w:rPr>
                <w:rFonts w:ascii="Arial" w:cs="Arial" w:eastAsia="Arial" w:hAnsi="Arial"/>
                <w:sz w:val="18"/>
                <w:szCs w:val="18"/>
                <w:color w:val="auto"/>
                <w:w w:val="87"/>
              </w:rPr>
              <w:t>6.1</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w:t>
            </w:r>
          </w:p>
        </w:tc>
        <w:tc>
          <w:tcPr>
            <w:tcW w:w="4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8.1(b)</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w:t>
            </w:r>
          </w:p>
        </w:tc>
        <w:tc>
          <w:tcPr>
            <w:tcW w:w="5020" w:type="dxa"/>
            <w:vAlign w:val="bottom"/>
            <w:gridSpan w:val="2"/>
          </w:tcPr>
          <w:p>
            <w:pPr>
              <w:jc w:val="center"/>
              <w:ind w:left="4113"/>
              <w:spacing w:after="0"/>
              <w:rPr>
                <w:sz w:val="20"/>
                <w:szCs w:val="20"/>
                <w:color w:val="auto"/>
              </w:rPr>
            </w:pPr>
            <w:r>
              <w:rPr>
                <w:rFonts w:ascii="Arial" w:cs="Arial" w:eastAsia="Arial" w:hAnsi="Arial"/>
                <w:sz w:val="18"/>
                <w:szCs w:val="18"/>
                <w:color w:val="auto"/>
                <w:w w:val="87"/>
              </w:rPr>
              <w:t>6.1</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tc>
        <w:tc>
          <w:tcPr>
            <w:tcW w:w="5020" w:type="dxa"/>
            <w:vAlign w:val="bottom"/>
            <w:gridSpan w:val="2"/>
            <w:shd w:val="clear" w:color="auto" w:fill="CCEEFF"/>
          </w:tcPr>
          <w:p>
            <w:pPr>
              <w:jc w:val="center"/>
              <w:ind w:left="4113"/>
              <w:spacing w:after="0"/>
              <w:rPr>
                <w:sz w:val="20"/>
                <w:szCs w:val="20"/>
                <w:color w:val="auto"/>
              </w:rPr>
            </w:pPr>
            <w:r>
              <w:rPr>
                <w:rFonts w:ascii="Arial" w:cs="Arial" w:eastAsia="Arial" w:hAnsi="Arial"/>
                <w:sz w:val="18"/>
                <w:szCs w:val="18"/>
                <w:color w:val="auto"/>
                <w:w w:val="87"/>
              </w:rPr>
              <w:t>6.1</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w:t>
            </w:r>
          </w:p>
        </w:tc>
        <w:tc>
          <w:tcPr>
            <w:tcW w:w="5020" w:type="dxa"/>
            <w:vAlign w:val="bottom"/>
            <w:gridSpan w:val="2"/>
          </w:tcPr>
          <w:p>
            <w:pPr>
              <w:jc w:val="center"/>
              <w:ind w:left="4093"/>
              <w:spacing w:after="0"/>
              <w:rPr>
                <w:sz w:val="20"/>
                <w:szCs w:val="20"/>
                <w:color w:val="auto"/>
              </w:rPr>
            </w:pPr>
            <w:r>
              <w:rPr>
                <w:rFonts w:ascii="Arial" w:cs="Arial" w:eastAsia="Arial" w:hAnsi="Arial"/>
                <w:sz w:val="18"/>
                <w:szCs w:val="18"/>
                <w:color w:val="auto"/>
                <w:w w:val="88"/>
              </w:rPr>
              <w:t>10.14</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w:t>
            </w:r>
          </w:p>
        </w:tc>
        <w:tc>
          <w:tcPr>
            <w:tcW w:w="4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8.1(c)</w:t>
            </w: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200" w:type="dxa"/>
            <w:vAlign w:val="bottom"/>
          </w:tcPr>
          <w:p>
            <w:pPr>
              <w:jc w:val="right"/>
              <w:ind w:right="2933"/>
              <w:spacing w:after="0"/>
              <w:rPr>
                <w:sz w:val="20"/>
                <w:szCs w:val="20"/>
                <w:color w:val="auto"/>
              </w:rPr>
            </w:pPr>
            <w:r>
              <w:rPr>
                <w:rFonts w:ascii="Arial" w:cs="Arial" w:eastAsia="Arial" w:hAnsi="Arial"/>
                <w:sz w:val="18"/>
                <w:szCs w:val="18"/>
                <w:color w:val="auto"/>
              </w:rPr>
              <w:t>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5" w:name="page56"/>
    <w:bookmarkEnd w:id="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84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Banking Day</w:t>
            </w:r>
            <w:r>
              <w:rPr>
                <w:rFonts w:ascii="Arial" w:cs="Arial" w:eastAsia="Arial" w:hAnsi="Arial"/>
                <w:sz w:val="18"/>
                <w:szCs w:val="18"/>
                <w:color w:val="auto"/>
              </w:rPr>
              <w:t>”</w:t>
            </w:r>
          </w:p>
        </w:tc>
        <w:tc>
          <w:tcPr>
            <w:tcW w:w="3100" w:type="dxa"/>
            <w:vAlign w:val="bottom"/>
            <w:shd w:val="clear" w:color="auto" w:fill="CCEEFF"/>
          </w:tcPr>
          <w:p>
            <w:pPr>
              <w:jc w:val="center"/>
              <w:ind w:left="2570"/>
              <w:spacing w:after="0"/>
              <w:rPr>
                <w:sz w:val="20"/>
                <w:szCs w:val="20"/>
                <w:color w:val="auto"/>
              </w:rPr>
            </w:pPr>
            <w:r>
              <w:rPr>
                <w:rFonts w:ascii="Arial" w:cs="Arial" w:eastAsia="Arial" w:hAnsi="Arial"/>
                <w:sz w:val="18"/>
                <w:szCs w:val="18"/>
                <w:color w:val="auto"/>
                <w:w w:val="88"/>
              </w:rPr>
              <w:t>10.14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3100" w:type="dxa"/>
            <w:vAlign w:val="bottom"/>
          </w:tcPr>
          <w:p>
            <w:pPr>
              <w:jc w:val="center"/>
              <w:ind w:left="2550"/>
              <w:spacing w:after="0"/>
              <w:rPr>
                <w:sz w:val="20"/>
                <w:szCs w:val="20"/>
                <w:color w:val="auto"/>
              </w:rPr>
            </w:pPr>
            <w:r>
              <w:rPr>
                <w:rFonts w:ascii="Arial" w:cs="Arial" w:eastAsia="Arial" w:hAnsi="Arial"/>
                <w:sz w:val="18"/>
                <w:szCs w:val="18"/>
                <w:color w:val="auto"/>
                <w:w w:val="87"/>
              </w:rPr>
              <w:t>2.4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Process Agent</w:t>
            </w:r>
            <w:r>
              <w:rPr>
                <w:rFonts w:ascii="Arial" w:cs="Arial" w:eastAsia="Arial" w:hAnsi="Arial"/>
                <w:sz w:val="18"/>
                <w:szCs w:val="18"/>
                <w:color w:val="auto"/>
              </w:rPr>
              <w:t>”</w:t>
            </w:r>
          </w:p>
        </w:tc>
        <w:tc>
          <w:tcPr>
            <w:tcW w:w="3100" w:type="dxa"/>
            <w:vAlign w:val="bottom"/>
            <w:shd w:val="clear" w:color="auto" w:fill="CCEEFF"/>
          </w:tcPr>
          <w:p>
            <w:pPr>
              <w:jc w:val="center"/>
              <w:ind w:left="2570"/>
              <w:spacing w:after="0"/>
              <w:rPr>
                <w:sz w:val="20"/>
                <w:szCs w:val="20"/>
                <w:color w:val="auto"/>
              </w:rPr>
            </w:pPr>
            <w:r>
              <w:rPr>
                <w:rFonts w:ascii="Arial" w:cs="Arial" w:eastAsia="Arial" w:hAnsi="Arial"/>
                <w:sz w:val="18"/>
                <w:szCs w:val="18"/>
                <w:color w:val="auto"/>
                <w:w w:val="88"/>
              </w:rPr>
              <w:t>10.16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3100" w:type="dxa"/>
            <w:vAlign w:val="bottom"/>
          </w:tcPr>
          <w:p>
            <w:pPr>
              <w:jc w:val="center"/>
              <w:ind w:left="2550"/>
              <w:spacing w:after="0"/>
              <w:rPr>
                <w:sz w:val="20"/>
                <w:szCs w:val="20"/>
                <w:color w:val="auto"/>
              </w:rPr>
            </w:pPr>
            <w:r>
              <w:rPr>
                <w:rFonts w:ascii="Arial" w:cs="Arial" w:eastAsia="Arial" w:hAnsi="Arial"/>
                <w:sz w:val="18"/>
                <w:szCs w:val="18"/>
                <w:color w:val="auto"/>
                <w:w w:val="87"/>
              </w:rPr>
              <w:t>2.4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Proceeding</w:t>
            </w:r>
            <w:r>
              <w:rPr>
                <w:rFonts w:ascii="Arial" w:cs="Arial" w:eastAsia="Arial" w:hAnsi="Arial"/>
                <w:sz w:val="18"/>
                <w:szCs w:val="18"/>
                <w:color w:val="auto"/>
              </w:rPr>
              <w:t>”</w:t>
            </w:r>
          </w:p>
        </w:tc>
        <w:tc>
          <w:tcPr>
            <w:tcW w:w="3100" w:type="dxa"/>
            <w:vAlign w:val="bottom"/>
            <w:shd w:val="clear" w:color="auto" w:fill="CCEEFF"/>
          </w:tcPr>
          <w:p>
            <w:pPr>
              <w:jc w:val="center"/>
              <w:ind w:left="2570"/>
              <w:spacing w:after="0"/>
              <w:rPr>
                <w:sz w:val="20"/>
                <w:szCs w:val="20"/>
                <w:color w:val="auto"/>
              </w:rPr>
            </w:pPr>
            <w:r>
              <w:rPr>
                <w:rFonts w:ascii="Arial" w:cs="Arial" w:eastAsia="Arial" w:hAnsi="Arial"/>
                <w:sz w:val="18"/>
                <w:szCs w:val="18"/>
                <w:color w:val="auto"/>
                <w:w w:val="88"/>
              </w:rPr>
              <w:t>10.16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Tax Jurisdiction</w:t>
            </w:r>
            <w:r>
              <w:rPr>
                <w:rFonts w:ascii="Arial" w:cs="Arial" w:eastAsia="Arial" w:hAnsi="Arial"/>
                <w:sz w:val="18"/>
                <w:szCs w:val="18"/>
                <w:color w:val="auto"/>
              </w:rPr>
              <w:t>”</w:t>
            </w:r>
          </w:p>
        </w:tc>
        <w:tc>
          <w:tcPr>
            <w:tcW w:w="3100" w:type="dxa"/>
            <w:vAlign w:val="bottom"/>
          </w:tcPr>
          <w:p>
            <w:pPr>
              <w:jc w:val="center"/>
              <w:ind w:left="2550"/>
              <w:spacing w:after="0"/>
              <w:rPr>
                <w:sz w:val="20"/>
                <w:szCs w:val="20"/>
                <w:color w:val="auto"/>
              </w:rPr>
            </w:pPr>
            <w:r>
              <w:rPr>
                <w:rFonts w:ascii="Arial" w:cs="Arial" w:eastAsia="Arial" w:hAnsi="Arial"/>
                <w:sz w:val="18"/>
                <w:szCs w:val="18"/>
                <w:color w:val="auto"/>
                <w:w w:val="89"/>
              </w:rPr>
              <w:t>4.6(a)</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w:t>
            </w:r>
          </w:p>
        </w:tc>
        <w:tc>
          <w:tcPr>
            <w:tcW w:w="3100" w:type="dxa"/>
            <w:vAlign w:val="bottom"/>
            <w:shd w:val="clear" w:color="auto" w:fill="CCEEFF"/>
          </w:tcPr>
          <w:p>
            <w:pPr>
              <w:jc w:val="center"/>
              <w:ind w:left="2570"/>
              <w:spacing w:after="0"/>
              <w:rPr>
                <w:sz w:val="20"/>
                <w:szCs w:val="20"/>
                <w:color w:val="auto"/>
              </w:rPr>
            </w:pPr>
            <w:r>
              <w:rPr>
                <w:rFonts w:ascii="Arial" w:cs="Arial" w:eastAsia="Arial" w:hAnsi="Arial"/>
                <w:sz w:val="18"/>
                <w:szCs w:val="18"/>
                <w:color w:val="auto"/>
                <w:w w:val="88"/>
              </w:rPr>
              <w:t>10.14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w:t>
            </w:r>
          </w:p>
        </w:tc>
        <w:tc>
          <w:tcPr>
            <w:tcW w:w="3100" w:type="dxa"/>
            <w:vAlign w:val="bottom"/>
          </w:tcPr>
          <w:p>
            <w:pPr>
              <w:jc w:val="center"/>
              <w:ind w:left="2550"/>
              <w:spacing w:after="0"/>
              <w:rPr>
                <w:sz w:val="20"/>
                <w:szCs w:val="20"/>
                <w:color w:val="auto"/>
              </w:rPr>
            </w:pPr>
            <w:r>
              <w:rPr>
                <w:rFonts w:ascii="Arial" w:cs="Arial" w:eastAsia="Arial" w:hAnsi="Arial"/>
                <w:sz w:val="18"/>
                <w:szCs w:val="18"/>
                <w:color w:val="auto"/>
                <w:w w:val="89"/>
              </w:rPr>
              <w:t>4.6(a)</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Redemption Date</w:t>
            </w:r>
            <w:r>
              <w:rPr>
                <w:rFonts w:ascii="Arial" w:cs="Arial" w:eastAsia="Arial" w:hAnsi="Arial"/>
                <w:sz w:val="18"/>
                <w:szCs w:val="18"/>
                <w:color w:val="auto"/>
              </w:rPr>
              <w:t>”</w:t>
            </w:r>
          </w:p>
        </w:tc>
        <w:tc>
          <w:tcPr>
            <w:tcW w:w="3100" w:type="dxa"/>
            <w:vAlign w:val="bottom"/>
            <w:shd w:val="clear" w:color="auto" w:fill="CCEEFF"/>
          </w:tcPr>
          <w:p>
            <w:pPr>
              <w:jc w:val="center"/>
              <w:ind w:left="2570"/>
              <w:spacing w:after="0"/>
              <w:rPr>
                <w:sz w:val="20"/>
                <w:szCs w:val="20"/>
                <w:color w:val="auto"/>
              </w:rPr>
            </w:pPr>
            <w:r>
              <w:rPr>
                <w:rFonts w:ascii="Arial" w:cs="Arial" w:eastAsia="Arial" w:hAnsi="Arial"/>
                <w:sz w:val="18"/>
                <w:szCs w:val="18"/>
                <w:color w:val="auto"/>
                <w:w w:val="91"/>
              </w:rPr>
              <w:t>3.10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Jurisdiction</w:t>
            </w:r>
            <w:r>
              <w:rPr>
                <w:rFonts w:ascii="Arial" w:cs="Arial" w:eastAsia="Arial" w:hAnsi="Arial"/>
                <w:sz w:val="18"/>
                <w:szCs w:val="18"/>
                <w:color w:val="auto"/>
              </w:rPr>
              <w:t>”</w:t>
            </w:r>
          </w:p>
        </w:tc>
        <w:tc>
          <w:tcPr>
            <w:tcW w:w="3100" w:type="dxa"/>
            <w:vAlign w:val="bottom"/>
          </w:tcPr>
          <w:p>
            <w:pPr>
              <w:jc w:val="center"/>
              <w:ind w:left="2550"/>
              <w:spacing w:after="0"/>
              <w:rPr>
                <w:sz w:val="20"/>
                <w:szCs w:val="20"/>
                <w:color w:val="auto"/>
              </w:rPr>
            </w:pPr>
            <w:r>
              <w:rPr>
                <w:rFonts w:ascii="Arial" w:cs="Arial" w:eastAsia="Arial" w:hAnsi="Arial"/>
                <w:sz w:val="18"/>
                <w:szCs w:val="18"/>
                <w:color w:val="auto"/>
                <w:w w:val="89"/>
              </w:rPr>
              <w:t>4.6(a)</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w:t>
            </w:r>
          </w:p>
        </w:tc>
        <w:tc>
          <w:tcPr>
            <w:tcW w:w="3100" w:type="dxa"/>
            <w:vAlign w:val="bottom"/>
            <w:shd w:val="clear" w:color="auto" w:fill="CCEEFF"/>
          </w:tcPr>
          <w:p>
            <w:pPr>
              <w:jc w:val="center"/>
              <w:ind w:left="2550"/>
              <w:spacing w:after="0"/>
              <w:rPr>
                <w:sz w:val="20"/>
                <w:szCs w:val="20"/>
                <w:color w:val="auto"/>
              </w:rPr>
            </w:pPr>
            <w:r>
              <w:rPr>
                <w:rFonts w:ascii="Arial" w:cs="Arial" w:eastAsia="Arial" w:hAnsi="Arial"/>
                <w:sz w:val="18"/>
                <w:szCs w:val="18"/>
                <w:color w:val="auto"/>
                <w:w w:val="87"/>
              </w:rPr>
              <w:t>2.4</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140" w:hanging="237"/>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is not exclusive;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Issuable in Series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aggregate principal amount of Securities that may be authenticated and delivered under this Indenture is unlimited. The Securities may be issued in one or more Series. All Securities of a Series shall be identical except as may be set forth in, or pursuant to a Board Resolution, Officer’s Certificate or supplemental indenture establishing the terms of such Series of Securities.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Establishment of Terms of Series of Securities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2.2.29) by or pursuant to a Board Resolution, Officer’s Certificate or supplemental indenture: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8" w:right="299" w:bottom="1440" w:gutter="0" w:footer="0" w:header="0"/>
        </w:sectPr>
      </w:pPr>
    </w:p>
    <w:bookmarkStart w:id="56" w:name="page57"/>
    <w:bookmarkEnd w:id="5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2.2.1. the title of the Series (which shall distinguish the Securities of that particular Series from the Securities of any other Series);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 the aggregate principal amount of the Securities of the Series to be issued;</w:t>
      </w:r>
    </w:p>
    <w:p>
      <w:pPr>
        <w:spacing w:after="0" w:line="117"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2.2.4. the date or dates on which the principal and premium, if any, of the Securities of the Series is payable;</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2.2.5. the rate or rates, which may be fixed or variable, at which the Securities of the Series shall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73"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with respect to the Securities of such Series and this Indenture may be served, and the method of such payment, if by wire transfer, mail or other means if other than as set forth in this Indenture;</w:t>
      </w:r>
    </w:p>
    <w:p>
      <w:pPr>
        <w:spacing w:after="0" w:line="79"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2.2.7. the date or dates from which such interest shall accrue, the dates on which such interest will be payable or the manner of determination of such dates, and the record date for the determination of Holders to whom interest is payable on any such dates;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2.2.8. the right, if any, to extend the interest payment periods or defer the payment of interest and the duration of such extension or deferral;</w:t>
      </w:r>
    </w:p>
    <w:p>
      <w:pPr>
        <w:spacing w:after="0" w:line="14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2.2.9. if applicable, the period or periods within which, the price or prices at which and the terms and conditions upon which the Securities of the Series may be redeemed, in whole or in part, at the option of the Company;</w:t>
      </w:r>
    </w:p>
    <w:p>
      <w:pPr>
        <w:spacing w:after="0" w:line="62"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2.2.10. the obligation, if any, of the Company to redeem or purchase, if other than as set forth herein, the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2.2.11. the terms of any repurchase or remarketing rights;</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2.2.12. if other than denominations of $2,000 or integral multiples of $1,000 in excess thereof, the denominations in which the Securities of the Series shall be issuable;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57" w:name="page58"/>
    <w:bookmarkEnd w:id="5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2.2.13. the forms of the Securities of the Series including the form of the Trustee’s certificate of authentication for such Series;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2.2.14. any trustees, authenticating agents or Agents with respect to the Securities of the Series, if different from those set forth in this Indenture;</w:t>
      </w:r>
    </w:p>
    <w:p>
      <w:pPr>
        <w:spacing w:after="0" w:line="140" w:lineRule="exact"/>
        <w:rPr>
          <w:sz w:val="20"/>
          <w:szCs w:val="20"/>
          <w:color w:val="auto"/>
        </w:rPr>
      </w:pPr>
    </w:p>
    <w:p>
      <w:pPr>
        <w:jc w:val="both"/>
        <w:ind w:firstLine="913"/>
        <w:spacing w:after="0" w:line="302" w:lineRule="auto"/>
        <w:rPr>
          <w:sz w:val="20"/>
          <w:szCs w:val="20"/>
          <w:color w:val="auto"/>
        </w:rPr>
      </w:pPr>
      <w:r>
        <w:rPr>
          <w:rFonts w:ascii="Arial" w:cs="Arial" w:eastAsia="Arial" w:hAnsi="Arial"/>
          <w:sz w:val="16"/>
          <w:szCs w:val="16"/>
          <w:color w:val="auto"/>
        </w:rPr>
        <w:t>2.2.15. if the Securities of the Series shall be issued in whole or in part in the form of a Global Security or Securities, the type of Global Security to be issued; the terms and conditions, if different from those contained in this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 referred to in Section 2.14.3;</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2.2.16. any provisions granting special rights to Holders when a specified event occurs;</w:t>
      </w:r>
    </w:p>
    <w:p>
      <w:pPr>
        <w:spacing w:after="0" w:line="117"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2.2.17. if the amount of principal or any premium or interest on Securities of any Series may be determined with reference to an index or pursuant to a formula, the manner in which such amounts will be determined;</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2.2.18. any special tax implications of the Securities, including provisions for original issue discount securities, if offered;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2.2.19. whether and upon what terms Securities of the Series may be defeased if different from the provisions set forth in this Indenture;</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2.2.20. with regard to the Securities of any Series that do not bear interest, the dates for certain required reports to the Trustee;</w:t>
      </w:r>
    </w:p>
    <w:p>
      <w:pPr>
        <w:spacing w:after="0" w:line="117"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2.2.21. whether the Securities of any Series will be issued as Unrestricted Securities or Restricted Securities, and, if issued as Restricted Securities, the rule or regulation promulgated under the Securities Act in reliance on which they will be sold;</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2.2.22. any guarantees on the Securities of the Series, if different from, or in addition to, the Guarantee provided pursuant to this Indenture;</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2.2.23. the currency or currencies in which payment of the principal of, premium, if any, and interest on, the Securities of the Series shall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payable;</w:t>
      </w:r>
    </w:p>
    <w:p>
      <w:pPr>
        <w:spacing w:after="0" w:line="103"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2.2.24. if other than the principal amount thereof, the portion of the principal amount of the Securities of the Series that shall be payable upon declaration of acceleration of the Maturity thereof pursuant to Section 6.2;</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2.2.25. the provisions, if any, relating to any security provided for the Securities of the Series;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58" w:name="page59"/>
    <w:bookmarkEnd w:id="58"/>
    <w:p>
      <w:pPr>
        <w:jc w:val="both"/>
        <w:ind w:right="160" w:firstLine="913"/>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2.2.26. any additional covenants or Events of Default that will apply to the Securities of the Series, or any changes to the covenants set forth in Article IV or the Events of Default set forth in Section 6.1 that will apply to the Securities of the Series, which may consist of establishing different terms or provisions from those set forth in Article IV or Section 6.1 or eliminating any such covenant or Event of Default with respect to the Securities of the Series;</w:t>
      </w:r>
    </w:p>
    <w:p>
      <w:pPr>
        <w:spacing w:after="0" w:line="39"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2.2.27. any Depositaries, interest rate calculation agents, exchange rate calculation agents or other agents with respect to Securities of such Series if other than those appointed herein;</w:t>
      </w:r>
    </w:p>
    <w:p>
      <w:pPr>
        <w:spacing w:after="0" w:line="62"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2.2.28. whether the Securities of the Series will be convertible into or exchangeable for other Securities, common shares or other securities of any kind of the Company or another obligor, and, if so, the terms and conditions upon which such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 and</w:t>
      </w:r>
    </w:p>
    <w:p>
      <w:pPr>
        <w:spacing w:after="0" w:line="80" w:lineRule="exact"/>
        <w:rPr>
          <w:sz w:val="20"/>
          <w:szCs w:val="20"/>
          <w:color w:val="auto"/>
        </w:rPr>
      </w:pPr>
    </w:p>
    <w:p>
      <w:pPr>
        <w:jc w:val="both"/>
        <w:ind w:right="580" w:firstLine="913"/>
        <w:spacing w:after="0" w:line="264" w:lineRule="auto"/>
        <w:rPr>
          <w:sz w:val="20"/>
          <w:szCs w:val="20"/>
          <w:color w:val="auto"/>
        </w:rPr>
      </w:pPr>
      <w:r>
        <w:rPr>
          <w:rFonts w:ascii="Arial" w:cs="Arial" w:eastAsia="Arial" w:hAnsi="Arial"/>
          <w:sz w:val="18"/>
          <w:szCs w:val="18"/>
          <w:color w:val="auto"/>
        </w:rPr>
        <w:t>2.2.29. any and all additional, eliminated or changed terms that shall apply to the Securities of the Series, including any terms that may be required by or advisable under United States laws or regulations, including the Securities Act and the rules and regulations promulgated thereunder, or advisable in connection with the marketing of Securities of that Series.</w:t>
      </w:r>
    </w:p>
    <w:p>
      <w:pPr>
        <w:spacing w:after="0" w:line="181" w:lineRule="exact"/>
        <w:rPr>
          <w:sz w:val="20"/>
          <w:szCs w:val="20"/>
          <w:color w:val="auto"/>
        </w:rPr>
      </w:pPr>
    </w:p>
    <w:p>
      <w:pPr>
        <w:jc w:val="both"/>
        <w:ind w:right="580" w:firstLine="913"/>
        <w:spacing w:after="0" w:line="308" w:lineRule="auto"/>
        <w:rPr>
          <w:sz w:val="20"/>
          <w:szCs w:val="20"/>
          <w:color w:val="auto"/>
        </w:rPr>
      </w:pPr>
      <w:r>
        <w:rPr>
          <w:rFonts w:ascii="Arial" w:cs="Arial" w:eastAsia="Arial" w:hAnsi="Arial"/>
          <w:sz w:val="17"/>
          <w:szCs w:val="17"/>
          <w:color w:val="auto"/>
        </w:rPr>
        <w:t>All Securities of any one Series need not be issued at the same time and may be issued from time to time, consistent with the terms of this Indenture, if so provided by or pursuant to the Board Resolution, Officer’s Certificate or supplemental indenture referred to above.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 Officer of the Company shall sign the Securities for the Company by manual or facsimile signature.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an Officer whose signature is on a Security no longer holds that office at the time the Security is authenticated, the Security shall nevertheless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 valid.</w:t>
      </w:r>
    </w:p>
    <w:p>
      <w:pPr>
        <w:spacing w:after="0" w:line="211"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jc w:val="both"/>
        <w:ind w:right="440" w:firstLine="913"/>
        <w:spacing w:after="0" w:line="286" w:lineRule="auto"/>
        <w:rPr>
          <w:sz w:val="20"/>
          <w:szCs w:val="20"/>
          <w:color w:val="auto"/>
        </w:rPr>
      </w:pPr>
      <w:r>
        <w:rPr>
          <w:rFonts w:ascii="Arial" w:cs="Arial" w:eastAsia="Arial" w:hAnsi="Arial"/>
          <w:sz w:val="17"/>
          <w:szCs w:val="17"/>
          <w:color w:val="auto"/>
        </w:rPr>
        <w:t>The Trustee shall at any time, and from time to time, authenticate Securities for original issue in the principal amount provided in the Board Resolution, Officer’s Certificate or supplemental indenture, upon receipt by the Trustee of a Company Order. Each Security shall be dated the date of its authentication unless otherwise provided by the relevant Board Resolution, Officer’s Certificate or supplemental indenture.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59" w:name="page60"/>
    <w:bookmarkEnd w:id="59"/>
    <w:p>
      <w:pPr>
        <w:ind w:right="500"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aggregate principal amount of Securities of any Series outstanding at any time may not exceed any limit upon the maximum principal amount for such Series set forth in the Board Resolution, Officer’s Certificate or supplemental indenture delivered pursuant to Section 2.2.</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 relying on:</w:t>
      </w:r>
    </w:p>
    <w:p>
      <w:pPr>
        <w:spacing w:after="0" w:line="46" w:lineRule="exact"/>
        <w:rPr>
          <w:sz w:val="20"/>
          <w:szCs w:val="20"/>
          <w:color w:val="auto"/>
        </w:rPr>
      </w:pPr>
    </w:p>
    <w:p>
      <w:pPr>
        <w:ind w:right="320" w:firstLine="8"/>
        <w:spacing w:after="0" w:line="255" w:lineRule="auto"/>
        <w:tabs>
          <w:tab w:leader="none" w:pos="2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Board Resolution, Officer’s Certificate or supplemental indenture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90"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committee of Responsible Officers shall determine that such action would expose the Trustee to personal liability.</w:t>
      </w:r>
    </w:p>
    <w:p>
      <w:pPr>
        <w:spacing w:after="0" w:line="166"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The Trustee may appoint an authenticating agent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Paying Agent, Registrar and Transfer Agent</w:t>
      </w:r>
      <w:r>
        <w:rPr>
          <w:rFonts w:ascii="Arial" w:cs="Arial" w:eastAsia="Arial" w:hAnsi="Arial"/>
          <w:sz w:val="18"/>
          <w:szCs w:val="18"/>
          <w:color w:val="auto"/>
        </w:rPr>
        <w:t>.</w:t>
      </w:r>
    </w:p>
    <w:p>
      <w:pPr>
        <w:spacing w:after="0" w:line="117" w:lineRule="exact"/>
        <w:rPr>
          <w:sz w:val="20"/>
          <w:szCs w:val="20"/>
          <w:color w:val="auto"/>
        </w:rPr>
      </w:pPr>
    </w:p>
    <w:p>
      <w:pPr>
        <w:ind w:right="240" w:firstLine="913"/>
        <w:spacing w:after="0" w:line="288" w:lineRule="auto"/>
        <w:rPr>
          <w:sz w:val="20"/>
          <w:szCs w:val="20"/>
          <w:color w:val="auto"/>
        </w:rPr>
      </w:pPr>
      <w:r>
        <w:rPr>
          <w:rFonts w:ascii="Arial" w:cs="Arial" w:eastAsia="Arial" w:hAnsi="Arial"/>
          <w:sz w:val="16"/>
          <w:szCs w:val="16"/>
          <w:color w:val="auto"/>
        </w:rPr>
        <w:t>The Company will maintain one or more paying agents (each, a “</w:t>
      </w:r>
      <w:r>
        <w:rPr>
          <w:rFonts w:ascii="Arial" w:cs="Arial" w:eastAsia="Arial" w:hAnsi="Arial"/>
          <w:sz w:val="16"/>
          <w:szCs w:val="16"/>
          <w:i w:val="1"/>
          <w:iCs w:val="1"/>
          <w:color w:val="auto"/>
        </w:rPr>
        <w:t>Paying Agent</w:t>
      </w:r>
      <w:r>
        <w:rPr>
          <w:rFonts w:ascii="Arial" w:cs="Arial" w:eastAsia="Arial" w:hAnsi="Arial"/>
          <w:sz w:val="16"/>
          <w:szCs w:val="16"/>
          <w:color w:val="auto"/>
        </w:rPr>
        <w:t>”) for the Securities in the Borough of Manhattan, City of New York. The Company will undertake to maintain a Paying Agent in a member state of the European Union that is not obligated to withhold or deduct Tax pursuant to the European Union Directive 2003/48/EC or any other directive implementing the conclusions of the ECOFIN Council meeting of 26 and</w:t>
      </w:r>
    </w:p>
    <w:p>
      <w:pPr>
        <w:spacing w:after="0"/>
        <w:rPr>
          <w:sz w:val="20"/>
          <w:szCs w:val="20"/>
          <w:color w:val="auto"/>
        </w:rPr>
      </w:pPr>
      <w:r>
        <w:rPr>
          <w:rFonts w:ascii="Arial" w:cs="Arial" w:eastAsia="Arial" w:hAnsi="Arial"/>
          <w:sz w:val="16"/>
          <w:szCs w:val="16"/>
          <w:color w:val="auto"/>
        </w:rPr>
        <w:t>27 November 2000 on the taxation of savings income, or any law implementing, or complying with or introduced in order to conform to, such directive. The</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initial Paying Agent will be The Bank of New York Mellon in [ ] and thereafter “</w:t>
      </w:r>
      <w:r>
        <w:rPr>
          <w:rFonts w:ascii="Arial" w:cs="Arial" w:eastAsia="Arial" w:hAnsi="Arial"/>
          <w:sz w:val="18"/>
          <w:szCs w:val="18"/>
          <w:i w:val="1"/>
          <w:iCs w:val="1"/>
          <w:color w:val="auto"/>
        </w:rPr>
        <w:t>Paying Agent</w:t>
      </w:r>
      <w:r>
        <w:rPr>
          <w:rFonts w:ascii="Arial" w:cs="Arial" w:eastAsia="Arial" w:hAnsi="Arial"/>
          <w:sz w:val="18"/>
          <w:szCs w:val="18"/>
          <w:color w:val="auto"/>
        </w:rPr>
        <w:t>” shall mean or include each Person who is then a Paying Agent hereunder, and if at any time there is more than one such Person, “</w:t>
      </w:r>
      <w:r>
        <w:rPr>
          <w:rFonts w:ascii="Arial" w:cs="Arial" w:eastAsia="Arial" w:hAnsi="Arial"/>
          <w:sz w:val="18"/>
          <w:szCs w:val="18"/>
          <w:i w:val="1"/>
          <w:iCs w:val="1"/>
          <w:color w:val="auto"/>
        </w:rPr>
        <w:t>Paying Agent</w:t>
      </w:r>
      <w:r>
        <w:rPr>
          <w:rFonts w:ascii="Arial" w:cs="Arial" w:eastAsia="Arial" w:hAnsi="Arial"/>
          <w:sz w:val="18"/>
          <w:szCs w:val="18"/>
          <w:color w:val="auto"/>
        </w:rPr>
        <w:t>” as used with respect to the Securities of any Series shall mean the Paying Agent with respect to Securities of that Series.</w:t>
      </w:r>
    </w:p>
    <w:p>
      <w:pPr>
        <w:spacing w:after="0" w:line="19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Company will also maintain one or more registrars (each, a “</w:t>
      </w:r>
      <w:r>
        <w:rPr>
          <w:rFonts w:ascii="Arial" w:cs="Arial" w:eastAsia="Arial" w:hAnsi="Arial"/>
          <w:sz w:val="16"/>
          <w:szCs w:val="16"/>
          <w:i w:val="1"/>
          <w:iCs w:val="1"/>
          <w:color w:val="auto"/>
        </w:rPr>
        <w:t>Registrar</w:t>
      </w:r>
      <w:r>
        <w:rPr>
          <w:rFonts w:ascii="Arial" w:cs="Arial" w:eastAsia="Arial" w:hAnsi="Arial"/>
          <w:sz w:val="16"/>
          <w:szCs w:val="16"/>
          <w:color w:val="auto"/>
        </w:rPr>
        <w:t>”) with an office in the Borough of Manhattan, City of New York. The Company will also maintain a transfer agent (each a “</w:t>
      </w:r>
      <w:r>
        <w:rPr>
          <w:rFonts w:ascii="Arial" w:cs="Arial" w:eastAsia="Arial" w:hAnsi="Arial"/>
          <w:sz w:val="16"/>
          <w:szCs w:val="16"/>
          <w:i w:val="1"/>
          <w:iCs w:val="1"/>
          <w:color w:val="auto"/>
        </w:rPr>
        <w:t>Transfer Agent</w:t>
      </w:r>
      <w:r>
        <w:rPr>
          <w:rFonts w:ascii="Arial" w:cs="Arial" w:eastAsia="Arial" w:hAnsi="Arial"/>
          <w:sz w:val="16"/>
          <w:szCs w:val="16"/>
          <w:color w:val="auto"/>
        </w:rPr>
        <w:t>”) in the Borough of Manhattan, City of New York. The initial Registrar will be The</w:t>
      </w:r>
    </w:p>
    <w:p>
      <w:pPr>
        <w:ind w:right="100"/>
        <w:spacing w:after="0" w:line="281" w:lineRule="auto"/>
        <w:rPr>
          <w:sz w:val="20"/>
          <w:szCs w:val="20"/>
          <w:color w:val="auto"/>
        </w:rPr>
      </w:pPr>
      <w:r>
        <w:rPr>
          <w:rFonts w:ascii="Arial" w:cs="Arial" w:eastAsia="Arial" w:hAnsi="Arial"/>
          <w:sz w:val="16"/>
          <w:szCs w:val="16"/>
          <w:color w:val="auto"/>
        </w:rPr>
        <w:t>Bank of New York Mellon in [ ] and thereafter “</w:t>
      </w:r>
      <w:r>
        <w:rPr>
          <w:rFonts w:ascii="Arial" w:cs="Arial" w:eastAsia="Arial" w:hAnsi="Arial"/>
          <w:sz w:val="16"/>
          <w:szCs w:val="16"/>
          <w:i w:val="1"/>
          <w:iCs w:val="1"/>
          <w:color w:val="auto"/>
        </w:rPr>
        <w:t>Registrar</w:t>
      </w:r>
      <w:r>
        <w:rPr>
          <w:rFonts w:ascii="Arial" w:cs="Arial" w:eastAsia="Arial" w:hAnsi="Arial"/>
          <w:sz w:val="16"/>
          <w:szCs w:val="16"/>
          <w:color w:val="auto"/>
        </w:rPr>
        <w:t>” shall mean or include each Person who is then a Registrar hereunder, and if at any time there is more than one such Person, “</w:t>
      </w:r>
      <w:r>
        <w:rPr>
          <w:rFonts w:ascii="Arial" w:cs="Arial" w:eastAsia="Arial" w:hAnsi="Arial"/>
          <w:sz w:val="16"/>
          <w:szCs w:val="16"/>
          <w:i w:val="1"/>
          <w:iCs w:val="1"/>
          <w:color w:val="auto"/>
        </w:rPr>
        <w:t>Registrar</w:t>
      </w:r>
      <w:r>
        <w:rPr>
          <w:rFonts w:ascii="Arial" w:cs="Arial" w:eastAsia="Arial" w:hAnsi="Arial"/>
          <w:sz w:val="16"/>
          <w:szCs w:val="16"/>
          <w:color w:val="auto"/>
        </w:rPr>
        <w:t>” as used with respect to the Securities of any Series shall mean the Registrar with respect to Securities of that</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Series. The initial Transfer Agent will be The Bank of New York Mellon in [ ] and thereafter “</w:t>
      </w:r>
      <w:r>
        <w:rPr>
          <w:rFonts w:ascii="Arial" w:cs="Arial" w:eastAsia="Arial" w:hAnsi="Arial"/>
          <w:sz w:val="18"/>
          <w:szCs w:val="18"/>
          <w:i w:val="1"/>
          <w:iCs w:val="1"/>
          <w:color w:val="auto"/>
        </w:rPr>
        <w:t>Transfer Agent</w:t>
      </w:r>
      <w:r>
        <w:rPr>
          <w:rFonts w:ascii="Arial" w:cs="Arial" w:eastAsia="Arial" w:hAnsi="Arial"/>
          <w:sz w:val="18"/>
          <w:szCs w:val="18"/>
          <w:color w:val="auto"/>
        </w:rPr>
        <w:t>” shall mean or include each Person who is then a Transfer Agent hereunder, and if at any time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60" w:name="page61"/>
    <w:bookmarkEnd w:id="6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is more than one such Person, “</w:t>
      </w:r>
      <w:r>
        <w:rPr>
          <w:rFonts w:ascii="Arial" w:cs="Arial" w:eastAsia="Arial" w:hAnsi="Arial"/>
          <w:sz w:val="18"/>
          <w:szCs w:val="18"/>
          <w:i w:val="1"/>
          <w:iCs w:val="1"/>
          <w:color w:val="auto"/>
        </w:rPr>
        <w:t>Transfer Agent</w:t>
      </w:r>
      <w:r>
        <w:rPr>
          <w:rFonts w:ascii="Arial" w:cs="Arial" w:eastAsia="Arial" w:hAnsi="Arial"/>
          <w:sz w:val="18"/>
          <w:szCs w:val="18"/>
          <w:color w:val="auto"/>
        </w:rPr>
        <w:t>” as used with respect to the Securities of any Series shall mean the Transfer Agent with respect to Securities of that Series. The Registrar will maintain a register reflecting ownership of Securities outstanding from time to time and the Paying Agent will make payments on, and the Transfer Agents will facilitate transfer of Securities, on the behalf of the Company. The Company shall maintain an up-to-date copy of such register of its Securities at its registered office, and the Registrar shall provide upon written request by the Company an up-to-date copy thereof. Each Transfer Agent shall perform the functions of a transfer agent.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may change any Paying Agent, Registrar or Transfer Agent for its Securities without prior notice to the Holders.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Paying Agent to Hold Money in Trust</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Company shall require each Paying Agent appointed by it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2.6. Securityholder Lists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 and the Company shall otherwise comply with TIA § 312(a).</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the requirements for such transactions set forth in this Indenture are met. To permit registrations of transfers and exchanges, the Trustee shall authenticate Securities at the Registrar’s request upon the Trustee’s receipt of a Company Order from the Company.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4" w:right="319" w:bottom="1440" w:gutter="0" w:footer="0" w:header="0"/>
        </w:sectPr>
      </w:pPr>
    </w:p>
    <w:bookmarkStart w:id="61" w:name="page62"/>
    <w:bookmarkEnd w:id="61"/>
    <w:p>
      <w:pPr>
        <w:ind w:right="120" w:firstLine="913"/>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the Registrar shall be required (a) to issue, register the transfer of, or exchange Securities of any Series for the period beginning at the opening of business fifteen days immediately preceding the delivery of a notice of redemption of Securities of that Series selected for redemption and ending at the close of business on the day of such delivery, or (b) to register the transfer of or exchange Securities of any Series selected, called or being called for redemption as a whole or the portion being redeemed of any such Securities selected, called or being called for redemption in part.</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117" w:lineRule="exact"/>
        <w:rPr>
          <w:sz w:val="20"/>
          <w:szCs w:val="20"/>
          <w:color w:val="auto"/>
        </w:rPr>
      </w:pPr>
    </w:p>
    <w:p>
      <w:pPr>
        <w:ind w:right="340" w:firstLine="913"/>
        <w:spacing w:after="0" w:line="342" w:lineRule="auto"/>
        <w:rPr>
          <w:sz w:val="20"/>
          <w:szCs w:val="20"/>
          <w:color w:val="auto"/>
        </w:rPr>
      </w:pPr>
      <w:r>
        <w:rPr>
          <w:rFonts w:ascii="Arial" w:cs="Arial" w:eastAsia="Arial" w:hAnsi="Arial"/>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there shall be delivered to the Company and the Trustee (i) evidence to their satisfaction of the destruction, loss or theft of any Security and</w:t>
      </w:r>
    </w:p>
    <w:p>
      <w:pPr>
        <w:spacing w:after="0" w:line="46" w:lineRule="exact"/>
        <w:rPr>
          <w:sz w:val="20"/>
          <w:szCs w:val="20"/>
          <w:color w:val="auto"/>
        </w:rPr>
      </w:pPr>
    </w:p>
    <w:p>
      <w:pPr>
        <w:jc w:val="both"/>
        <w:ind w:right="20" w:firstLine="8"/>
        <w:spacing w:after="0" w:line="273" w:lineRule="auto"/>
        <w:tabs>
          <w:tab w:leader="none" w:pos="265" w:val="left"/>
        </w:tabs>
        <w:numPr>
          <w:ilvl w:val="0"/>
          <w:numId w:val="58"/>
        </w:numPr>
        <w:rPr>
          <w:rFonts w:ascii="Arial" w:cs="Arial" w:eastAsia="Arial" w:hAnsi="Arial"/>
          <w:sz w:val="17"/>
          <w:szCs w:val="17"/>
          <w:color w:val="auto"/>
        </w:rPr>
      </w:pPr>
      <w:r>
        <w:rPr>
          <w:rFonts w:ascii="Arial" w:cs="Arial" w:eastAsia="Arial" w:hAnsi="Arial"/>
          <w:sz w:val="17"/>
          <w:szCs w:val="17"/>
          <w:color w:val="auto"/>
        </w:rPr>
        <w:t>such security or indemnity as may be required by them to save each of them and any agent of either of them harmless, then, in the absence of notice to the Company or the Trustee that such Security has been acquired by a protected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7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Upon the issuance of any new Security under this Section 2.8, the Company may require the payment of a sum sufficient to cover any tax or other governmental charge that may be imposed in relation thereto and any other expenses (including the fees and expenses of the Trustee) connected therewith.</w:t>
      </w:r>
    </w:p>
    <w:p>
      <w:pPr>
        <w:spacing w:after="0" w:line="181"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Every new Security of any Series issued pursuant to this Section 2.8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7"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The provisions of this Section 2.8 are exclusive and shall preclude (to the extent lawful) all other rights and remedies with respect to the replacement or payment of mutilated, destroyed, lost or stolen Securities.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62" w:name="page63"/>
    <w:bookmarkEnd w:id="6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2.9.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w:t>
      </w:r>
    </w:p>
    <w:p>
      <w:pPr>
        <w:spacing w:after="0" w:line="117"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Security, if applicable, effected by the Trustee in accordance with the provisions hereof and those described in this Section 2.9 as not outstanding.</w:t>
      </w:r>
    </w:p>
    <w:p>
      <w:pPr>
        <w:spacing w:after="0" w:line="181"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protected purchaser.</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1"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The Company may purchase or otherwise acquire the Securities, whether by open market purchases, negotiated transactions or otherwise. A Security does not cease to be outstanding because the Company or an Affiliate of the Company holds the Security.</w:t>
      </w:r>
    </w:p>
    <w:p>
      <w:pPr>
        <w:spacing w:after="0" w:line="17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Treasury Securities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63" w:name="page64"/>
    <w:bookmarkEnd w:id="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2.12.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117" w:lineRule="exact"/>
        <w:rPr>
          <w:sz w:val="20"/>
          <w:szCs w:val="20"/>
          <w:color w:val="auto"/>
        </w:rPr>
      </w:pPr>
    </w:p>
    <w:p>
      <w:pPr>
        <w:ind w:right="280" w:firstLine="913"/>
        <w:spacing w:after="0" w:line="276" w:lineRule="auto"/>
        <w:rPr>
          <w:sz w:val="20"/>
          <w:szCs w:val="20"/>
          <w:color w:val="auto"/>
        </w:rPr>
      </w:pPr>
      <w:r>
        <w:rPr>
          <w:rFonts w:ascii="Arial" w:cs="Arial" w:eastAsia="Arial" w:hAnsi="Arial"/>
          <w:sz w:val="17"/>
          <w:szCs w:val="17"/>
          <w:color w:val="auto"/>
        </w:rPr>
        <w:t>The Company at any time may deliver Securities to the Trustee for cancellation. The Agents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deliver a certificate of such destruction to the Company unless the Company otherwise directs the Trustee in writing. The Company may not issue new Securities to replace Securities that it has paid or delivered to the Trustee for cancellation.</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Defaulted Interest</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deliver to the Trustee and to each Securityholder of the Series a notice that states the record date, the payment date and the amount of interest to be paid. The Company may pay defaulted interest in any other lawful manner.</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 xml:space="preserve">2.14.1. </w:t>
      </w:r>
      <w:r>
        <w:rPr>
          <w:rFonts w:ascii="Arial" w:cs="Arial" w:eastAsia="Arial" w:hAnsi="Arial"/>
          <w:sz w:val="16"/>
          <w:szCs w:val="16"/>
          <w:u w:val="single" w:color="auto"/>
          <w:color w:val="auto"/>
        </w:rPr>
        <w:t>Terms of Securities</w:t>
      </w:r>
      <w:r>
        <w:rPr>
          <w:rFonts w:ascii="Arial" w:cs="Arial" w:eastAsia="Arial" w:hAnsi="Arial"/>
          <w:sz w:val="16"/>
          <w:szCs w:val="16"/>
          <w:color w:val="auto"/>
        </w:rPr>
        <w:t>. A Board Resolution, an Officer’s Certificate or, a supplemental indenture shall establish whether the Securities of a Series shall be issued in whole or in part in the form of one or more Global Securities and the Depositary for such Global Security or Securities.</w:t>
      </w:r>
    </w:p>
    <w:p>
      <w:pPr>
        <w:spacing w:after="0" w:line="16"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2.14.2. </w:t>
      </w:r>
      <w:r>
        <w:rPr>
          <w:rFonts w:ascii="Arial" w:cs="Arial" w:eastAsia="Arial" w:hAnsi="Arial"/>
          <w:sz w:val="16"/>
          <w:szCs w:val="16"/>
          <w:u w:val="single" w:color="auto"/>
          <w:color w:val="auto"/>
        </w:rPr>
        <w:t>Transfer and Exchange</w:t>
      </w:r>
      <w:r>
        <w:rPr>
          <w:rFonts w:ascii="Arial" w:cs="Arial" w:eastAsia="Arial" w:hAnsi="Arial"/>
          <w:sz w:val="16"/>
          <w:szCs w:val="16"/>
          <w:color w:val="auto"/>
        </w:rPr>
        <w:t>. Notwithstanding any provisions to the contrary contained in Section 2.7 of this Indenture and in addition thereto, any Global Security shall be exchangeable pursuant to Section 2.7 of this Indenture for Certificated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Certificated Securities registered in such names as the Depositary shall direct in writing in an aggregate principal amount equal to the principal amount of the Global Security with like tenor and terms.</w:t>
      </w:r>
    </w:p>
    <w:p>
      <w:pPr>
        <w:spacing w:after="0" w:line="166"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64" w:name="page65"/>
    <w:bookmarkEnd w:id="64"/>
    <w:p>
      <w:pPr>
        <w:ind w:right="12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Trustee nor any Agent shall have any obligation or duty to monitor, determine or inquire as to compliance with any tax or securities laws with respect to any restrictions on transfer imposed under this Indenture or under applicable law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2.14.3. </w:t>
      </w:r>
      <w:r>
        <w:rPr>
          <w:rFonts w:ascii="Arial" w:cs="Arial" w:eastAsia="Arial" w:hAnsi="Arial"/>
          <w:sz w:val="18"/>
          <w:szCs w:val="18"/>
          <w:u w:val="single" w:color="auto"/>
          <w:color w:val="auto"/>
        </w:rPr>
        <w:t>Legend</w:t>
      </w:r>
      <w:r>
        <w:rPr>
          <w:rFonts w:ascii="Arial" w:cs="Arial" w:eastAsia="Arial" w:hAnsi="Arial"/>
          <w:sz w:val="18"/>
          <w:szCs w:val="18"/>
          <w:color w:val="auto"/>
        </w:rPr>
        <w:t>. Any Global Security issued hereunder shall bear a legend in substantially the following form:</w:t>
      </w:r>
    </w:p>
    <w:p>
      <w:pPr>
        <w:spacing w:after="0" w:line="225"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81" w:lineRule="exact"/>
        <w:rPr>
          <w:sz w:val="20"/>
          <w:szCs w:val="20"/>
          <w:color w:val="auto"/>
        </w:rPr>
      </w:pPr>
    </w:p>
    <w:p>
      <w:pPr>
        <w:ind w:right="600" w:firstLine="913"/>
        <w:spacing w:after="0" w:line="308" w:lineRule="auto"/>
        <w:rPr>
          <w:sz w:val="20"/>
          <w:szCs w:val="20"/>
          <w:color w:val="auto"/>
        </w:rPr>
      </w:pPr>
      <w:r>
        <w:rPr>
          <w:rFonts w:ascii="Arial" w:cs="Arial" w:eastAsia="Arial" w:hAnsi="Arial"/>
          <w:sz w:val="17"/>
          <w:szCs w:val="17"/>
          <w:color w:val="auto"/>
        </w:rPr>
        <w:t xml:space="preserve">2.14.4. </w:t>
      </w:r>
      <w:r>
        <w:rPr>
          <w:rFonts w:ascii="Arial" w:cs="Arial" w:eastAsia="Arial" w:hAnsi="Arial"/>
          <w:sz w:val="17"/>
          <w:szCs w:val="17"/>
          <w:u w:val="single" w:color="auto"/>
          <w:color w:val="auto"/>
        </w:rPr>
        <w:t>Acts of Holders</w:t>
      </w:r>
      <w:r>
        <w:rPr>
          <w:rFonts w:ascii="Arial" w:cs="Arial" w:eastAsia="Arial" w:hAnsi="Arial"/>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this Indenture.</w:t>
      </w:r>
    </w:p>
    <w:p>
      <w:pPr>
        <w:spacing w:after="0" w:line="38"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 xml:space="preserve">2.14.5.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 which in the case of a Depositary therefor will be made in accordance with its applicable procedures.</w:t>
      </w:r>
    </w:p>
    <w:p>
      <w:pPr>
        <w:spacing w:after="0" w:line="73"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 xml:space="preserve">2.14.6. </w:t>
      </w:r>
      <w:r>
        <w:rPr>
          <w:rFonts w:ascii="Arial" w:cs="Arial" w:eastAsia="Arial" w:hAnsi="Arial"/>
          <w:sz w:val="18"/>
          <w:szCs w:val="18"/>
          <w:u w:val="single" w:color="auto"/>
          <w:color w:val="auto"/>
        </w:rPr>
        <w:t>Holders</w:t>
      </w:r>
      <w:r>
        <w:rPr>
          <w:rFonts w:ascii="Arial" w:cs="Arial" w:eastAsia="Arial" w:hAnsi="Arial"/>
          <w:sz w:val="18"/>
          <w:szCs w:val="18"/>
          <w:color w:val="auto"/>
        </w:rPr>
        <w:t>. The Company, the Trustee and each Agent shall treat the Person in whose name any Security is registered in the register maintained by the Registrar as the Holder for all purposes including for purposes of obtaining any consents, declarations, waivers or directions permitted or required to be given by the Holders pursuant to this Indenture.</w:t>
      </w:r>
    </w:p>
    <w:p>
      <w:pPr>
        <w:spacing w:after="0" w:line="73"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2.14.7. None of the Trustee or any Agent shall have any responsibility or obligation to any beneficial owner of an interest in a Global Security, a member of, or a participant in, the Depositary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the payment of any amount or delivery of any Securities (or other security or property) under or with respect to such Securities. All notices and communications to be given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65" w:name="page66"/>
    <w:bookmarkEnd w:id="65"/>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Holders and all payments to be made to Holders in respect of the Securities shall be given or made only to or upon the order of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and each Agent may rely and shall be fully protected in relying upon information furnished by the Depositary with respect to its members, participants and any beneficial owners.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The Company in issuing the Securities may use “CUSIP,” “ISIN” and or “Common Code” numbers (if then generally in use), and, if so, the Trustee shall use “CUSIP,” “ISIN” and or “Common Code” numbers in notices of redemption as a convenience to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 to Trustee; No Liability for Calculations</w:t>
      </w:r>
      <w:r>
        <w:rPr>
          <w:rFonts w:ascii="Arial" w:cs="Arial" w:eastAsia="Arial" w:hAnsi="Arial"/>
          <w:sz w:val="18"/>
          <w:szCs w:val="18"/>
          <w:color w:val="auto"/>
        </w:rPr>
        <w:t>.</w:t>
      </w:r>
    </w:p>
    <w:p>
      <w:pPr>
        <w:spacing w:after="0" w:line="117" w:lineRule="exact"/>
        <w:rPr>
          <w:sz w:val="20"/>
          <w:szCs w:val="20"/>
          <w:color w:val="auto"/>
        </w:rPr>
      </w:pPr>
    </w:p>
    <w:p>
      <w:pPr>
        <w:ind w:right="260" w:firstLine="913"/>
        <w:spacing w:after="0" w:line="291" w:lineRule="auto"/>
        <w:rPr>
          <w:sz w:val="20"/>
          <w:szCs w:val="20"/>
          <w:color w:val="auto"/>
        </w:rPr>
      </w:pPr>
      <w:r>
        <w:rPr>
          <w:rFonts w:ascii="Arial" w:cs="Arial" w:eastAsia="Arial" w:hAnsi="Arial"/>
          <w:sz w:val="16"/>
          <w:szCs w:val="16"/>
          <w:color w:val="auto"/>
        </w:rPr>
        <w:t>The Company may, with respect to any Series of Securities, reserve the right to redeem and pay such Series of Securities or may covenant to redeem and pay such Series of Securities or any part thereof prior to the Stated Maturity thereof at such time and on such terms as provided for in Sections</w:t>
      </w:r>
    </w:p>
    <w:p>
      <w:pPr>
        <w:ind w:right="120"/>
        <w:spacing w:after="0" w:line="271" w:lineRule="auto"/>
        <w:rPr>
          <w:sz w:val="20"/>
          <w:szCs w:val="20"/>
          <w:color w:val="auto"/>
        </w:rPr>
      </w:pPr>
      <w:r>
        <w:rPr>
          <w:rFonts w:ascii="Arial" w:cs="Arial" w:eastAsia="Arial" w:hAnsi="Arial"/>
          <w:sz w:val="17"/>
          <w:szCs w:val="17"/>
          <w:color w:val="auto"/>
        </w:rPr>
        <w:t>3.7, 3.8, 3.9 and 3.10 hereof and, as applicable, in the Board Resolution, Officer’s Certificate or supplemental indenture relating to such Series.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at least 40 days before a redemption date (or such shorter notice as may be acceptable to the Trustee). The Trustee shall have no liability with respect to or obligation to calculate the redemption price of any Securities to be redeemed pursuant to this Indenture.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Selection of Securities to be Redeemed</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Unless otherwise indicated for a particular Series by a Board Resolution, Officer’s Certificate or a supplemental indenture, if fewer than all of the Securities of a Series are to be redeemed at any time, the Trustee will select the Securities of such Series to be redeemed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(or, in the case of Securities issued in global form, based on a method that most nearly approximates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selection as the Trustee deems fair and appropriate) unless otherwise required by law or applicable stock exchange or Depositary requirements. The Trustee will not be liable for selections made by it as contemplated in this section.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66" w:name="page67"/>
    <w:bookmarkEnd w:id="6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Securities of a Series in principal amount of less than the minimum authorized denomination can be redeemed in part.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Notices of purchase or redemption will be given to each Holder pursuant to Section 3.3 and Section 10.1.</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Unless otherwise indicated for a particular Series by Board Resolution, Officer’s Certificate or supplemental indenture, at least 30 days but not more than 60 days before a redemption date, the Company will deliver a notice of redemption to each Holder whose Securities are to be redeemed in accordance with Section 10.1, except that redemption notices may be given more than 60 days prior to a redemption date if the notice is issued in connection with a defeasance of the Securities or a satisfaction and discharge of this Indenture pursuant to Article VIII 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notice shall identify the Securities to be redeemed and corresponding CUSIP, ISIN or Common Code numbers, as applicable, and will state:</w:t>
      </w:r>
    </w:p>
    <w:p>
      <w:pPr>
        <w:spacing w:after="0" w:line="140" w:lineRule="exact"/>
        <w:rPr>
          <w:sz w:val="20"/>
          <w:szCs w:val="20"/>
          <w:color w:val="auto"/>
        </w:rPr>
      </w:pPr>
    </w:p>
    <w:p>
      <w:pPr>
        <w:ind w:left="1140" w:hanging="237"/>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redemption price and the amount of accrued interest, if any, and Additional Amounts, if any, to be paid;</w:t>
      </w:r>
    </w:p>
    <w:p>
      <w:pPr>
        <w:spacing w:after="0" w:line="117" w:lineRule="exact"/>
        <w:rPr>
          <w:rFonts w:ascii="Arial" w:cs="Arial" w:eastAsia="Arial" w:hAnsi="Arial"/>
          <w:sz w:val="18"/>
          <w:szCs w:val="18"/>
          <w:color w:val="auto"/>
        </w:rPr>
      </w:pPr>
    </w:p>
    <w:p>
      <w:pPr>
        <w:ind w:left="460" w:firstLine="443"/>
        <w:spacing w:after="0" w:line="264" w:lineRule="auto"/>
        <w:tabs>
          <w:tab w:leader="none" w:pos="1143"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any Global Security is being redeemed in part, the portion of the principal amount of such Global Security to be redeemed and that, after the redemption date upon surrender of such Global Security, the principal amount thereof will be decreased by the portion thereof redeemed pursuant thereto;</w:t>
      </w:r>
    </w:p>
    <w:p>
      <w:pPr>
        <w:spacing w:after="0" w:line="73" w:lineRule="exact"/>
        <w:rPr>
          <w:rFonts w:ascii="Arial" w:cs="Arial" w:eastAsia="Arial" w:hAnsi="Arial"/>
          <w:sz w:val="18"/>
          <w:szCs w:val="18"/>
          <w:color w:val="auto"/>
        </w:rPr>
      </w:pPr>
    </w:p>
    <w:p>
      <w:pPr>
        <w:ind w:left="460" w:right="120" w:firstLine="443"/>
        <w:spacing w:after="0" w:line="286" w:lineRule="auto"/>
        <w:tabs>
          <w:tab w:leader="none" w:pos="1153"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any Certificated Security is being redeemed in part, the portion of the principal amount of such Security to be redeemed, and that, after the redemption date, upon surrender of such Security, a new Certificated Security or Certificated Securities in principal amount equal to the unredeemed portion thereof will be issued in the name of the Holder thereof upon cancellation of the original Certificated Security;</w:t>
      </w:r>
    </w:p>
    <w:p>
      <w:pPr>
        <w:spacing w:after="0" w:line="57" w:lineRule="exact"/>
        <w:rPr>
          <w:rFonts w:ascii="Arial" w:cs="Arial" w:eastAsia="Arial" w:hAnsi="Arial"/>
          <w:sz w:val="17"/>
          <w:szCs w:val="17"/>
          <w:color w:val="auto"/>
        </w:rPr>
      </w:pPr>
    </w:p>
    <w:p>
      <w:pPr>
        <w:ind w:left="1140" w:hanging="237"/>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 and address of the Paying Agent(s) to which the Securities are to be surrendered for redemption;</w:t>
      </w:r>
    </w:p>
    <w:p>
      <w:pPr>
        <w:spacing w:after="0" w:line="117" w:lineRule="exact"/>
        <w:rPr>
          <w:rFonts w:ascii="Arial" w:cs="Arial" w:eastAsia="Arial" w:hAnsi="Arial"/>
          <w:sz w:val="18"/>
          <w:szCs w:val="18"/>
          <w:color w:val="auto"/>
        </w:rPr>
      </w:pPr>
    </w:p>
    <w:p>
      <w:pPr>
        <w:ind w:left="460" w:right="500" w:firstLine="443"/>
        <w:spacing w:after="0" w:line="277" w:lineRule="auto"/>
        <w:tabs>
          <w:tab w:leader="none" w:pos="112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Securities called for redemption must be surrendered to the relevant Paying Agent to collect the redemption price, plus accrued and unpaid interest, if any, and Additional Amounts, if any;</w:t>
      </w:r>
    </w:p>
    <w:p>
      <w:pPr>
        <w:spacing w:after="0" w:line="62" w:lineRule="exact"/>
        <w:rPr>
          <w:rFonts w:ascii="Arial" w:cs="Arial" w:eastAsia="Arial" w:hAnsi="Arial"/>
          <w:sz w:val="18"/>
          <w:szCs w:val="18"/>
          <w:color w:val="auto"/>
        </w:rPr>
      </w:pPr>
    </w:p>
    <w:p>
      <w:pPr>
        <w:ind w:left="460" w:right="440" w:firstLine="443"/>
        <w:spacing w:after="0" w:line="277" w:lineRule="auto"/>
        <w:tabs>
          <w:tab w:leader="none" w:pos="11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and Additional Amounts, if any, on Securities called for redemption cease to accrue on and after the redemption date;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67" w:name="page68"/>
    <w:bookmarkEnd w:id="67"/>
    <w:p>
      <w:pPr>
        <w:ind w:left="1120" w:hanging="217"/>
        <w:spacing w:after="0"/>
        <w:tabs>
          <w:tab w:leader="none" w:pos="1120"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paragraph of the Securities and/or Section of this Indenture pursuant to which the Securities called for redemption are being redeemed; and</w:t>
      </w:r>
    </w:p>
    <w:p>
      <w:pPr>
        <w:spacing w:after="0" w:line="140" w:lineRule="exact"/>
        <w:rPr>
          <w:rFonts w:ascii="Arial" w:cs="Arial" w:eastAsia="Arial" w:hAnsi="Arial"/>
          <w:sz w:val="16"/>
          <w:szCs w:val="16"/>
          <w:color w:val="auto"/>
        </w:rPr>
      </w:pPr>
    </w:p>
    <w:p>
      <w:pPr>
        <w:ind w:left="460" w:right="120" w:firstLine="443"/>
        <w:spacing w:after="0" w:line="277" w:lineRule="auto"/>
        <w:tabs>
          <w:tab w:leader="none" w:pos="111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CUSIP, ISIN or Common Code numbers, if any, listed in such notice or printed on the Securities.</w:t>
      </w:r>
    </w:p>
    <w:p>
      <w:pPr>
        <w:spacing w:after="0" w:line="170"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 xml:space="preserve">At the Company’s written request, the Trustee shall give the notice of redemption in the Company’s name and at its expense;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has delivered to the Trustee, at least 40 days prior to the redemption date, an Officer’s Certificate requesting that the Trustee give such notice and setting forth the information to be stated in such notice as provided in the preceding paragraph.</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w:t>
      </w:r>
    </w:p>
    <w:p>
      <w:pPr>
        <w:spacing w:after="0" w:line="117"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Once notice of redemption is given as provided in Section 3.3, Securities of a Series called for redemption become due and payable on the redemption date and at the redemption price. Unless otherwise indicated for a particular Series by Board Resolution, Officer’s Certificate or supplemental indenture, a notice of redemption may not be conditional. Upon surrender to the Paying Agent, such Securities shall be paid at the redemption price plus accrued interest to the redemption date.</w:t>
      </w:r>
    </w:p>
    <w:p>
      <w:pPr>
        <w:spacing w:after="0" w:line="187"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On or after any purchase or redemption date, unless the Company or the Guarantor defaults in payment of the purchase or redemption price, interest shall cease to accrue on Securities or portions thereof tendered for purchase or called for redemption.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117" w:lineRule="exact"/>
        <w:rPr>
          <w:sz w:val="20"/>
          <w:szCs w:val="20"/>
          <w:color w:val="auto"/>
        </w:rPr>
      </w:pPr>
    </w:p>
    <w:p>
      <w:pPr>
        <w:ind w:right="140" w:firstLine="913"/>
        <w:spacing w:after="0" w:line="308" w:lineRule="auto"/>
        <w:rPr>
          <w:sz w:val="20"/>
          <w:szCs w:val="20"/>
          <w:color w:val="auto"/>
        </w:rPr>
      </w:pPr>
      <w:r>
        <w:rPr>
          <w:rFonts w:ascii="Arial" w:cs="Arial" w:eastAsia="Arial" w:hAnsi="Arial"/>
          <w:sz w:val="17"/>
          <w:szCs w:val="17"/>
          <w:color w:val="auto"/>
        </w:rPr>
        <w:t>On or before 10:00 a.m., New York City time, on the redemption date, the Company shall deposit with the Paying Agent money in immediately available funds sufficient to pay the redemption price of and accrued interest, if any, on all Securities to be redeemed on that date.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Upon surrender of a Certificated Security that is redeemed in part, the Trustee shall authenticate for the Holder a new Certificated Security of the same Series and the same Maturity equal in principal amount to the unredeemed portion of the Security surrendered.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Sinking Fund</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Unless otherwise indicated for a particular Series by Board Resolution, Officer’s Certificate or supplemental indenture, the provisions of Sections 3.8 and 3.9 shall be applicable to any sinking fund for the retirement of Securities of a Series.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3.8.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Not less than 40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payment of cash in the currency in which the Securities of such Series are denominated (except as provided pursuant to Section 2.2), the portion thereof, if any, that is to be satisfied by delivering and crediting Securities of that Series pursuant to Section 3.8 and the basis for such credit. Together with such Officer’s Certificate, the Company will deliver to the Trustee any Securities to be so delivered. Not less than 30 days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Redemption Upon Changes in Tax Law</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Company or the Guarantor, as applicable, may redeem its Securities (and the Guarantor may redeem any Securities which it has guaranteed), in whole but not in part, at its discretion at any time upon giving notice to the Holders of such Securities in accordance with Section 3.3 (which notice will be irrevocable), at a redemption price equal to 100% of the aggregate principal amount thereof, together with accrued and unpaid interest, if any, to the date fixed by the Company or the Guarantor, as applicable, for redemption (a “</w:t>
      </w:r>
      <w:r>
        <w:rPr>
          <w:rFonts w:ascii="Arial" w:cs="Arial" w:eastAsia="Arial" w:hAnsi="Arial"/>
          <w:sz w:val="16"/>
          <w:szCs w:val="16"/>
          <w:i w:val="1"/>
          <w:iCs w:val="1"/>
          <w:color w:val="auto"/>
        </w:rPr>
        <w:t>Tax Redemption Date</w:t>
      </w:r>
      <w:r>
        <w:rPr>
          <w:rFonts w:ascii="Arial" w:cs="Arial" w:eastAsia="Arial" w:hAnsi="Arial"/>
          <w:sz w:val="16"/>
          <w:szCs w:val="16"/>
          <w:color w:val="auto"/>
        </w:rPr>
        <w:t>”) and all Additional Amounts (if any) then due and which will become due on the Tax Redemption Date as a result of the redemption or otherwise (subject to the right of Holders of such Securities on the relevant record date to receive interest due on the relevant interest payment date and Additional Amounts (if any) in respect thereof), if on the next date on which any amount would be payable in respect of such Securities,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58" w:lineRule="exact"/>
        <w:rPr>
          <w:sz w:val="20"/>
          <w:szCs w:val="20"/>
          <w:color w:val="auto"/>
        </w:rPr>
      </w:pPr>
    </w:p>
    <w:p>
      <w:pPr>
        <w:jc w:val="both"/>
        <w:ind w:left="460" w:right="40" w:firstLine="443"/>
        <w:spacing w:after="0" w:line="264" w:lineRule="auto"/>
        <w:tabs>
          <w:tab w:leader="none" w:pos="1143"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amendment to, or change in, the laws (or any regulations or rulings promulgated thereunder) of a Relevant Tax Jurisdiction which change or amendment becomes effective on or after the Issue Date (or, if the applicable Relevant Tax Jurisdiction became a Relevant Tax Jurisdiction on a date after the Issue Date, such later date),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69" w:name="page70"/>
    <w:bookmarkEnd w:id="69"/>
    <w:p>
      <w:pPr>
        <w:ind w:left="460" w:right="60" w:firstLine="443"/>
        <w:spacing w:after="0" w:line="259" w:lineRule="auto"/>
        <w:tabs>
          <w:tab w:leader="none" w:pos="1153"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87"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applicable Securities was then due, and the obligation to pay Additional Amounts must be in effect at the time such notice is given. Prior to the giving of any notice of redemption of the Securities pursuant to the foregoing, the Company or the Guarantor, as applicable, will deliver to the Trustee an opinion of independent tax counsel to the effect that there has been such amendment or change which would entitle the Company or the Guarantor to redeem such Securities hereunder. In addition, before the Company or the Guarantor, as applicable, gives notice of redemption of such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92" w:lineRule="exact"/>
        <w:rPr>
          <w:sz w:val="20"/>
          <w:szCs w:val="20"/>
          <w:color w:val="auto"/>
        </w:rPr>
      </w:pPr>
    </w:p>
    <w:p>
      <w:pPr>
        <w:ind w:right="180" w:firstLine="913"/>
        <w:spacing w:after="0" w:line="342" w:lineRule="auto"/>
        <w:rPr>
          <w:sz w:val="20"/>
          <w:szCs w:val="20"/>
          <w:color w:val="auto"/>
        </w:rPr>
      </w:pPr>
      <w:r>
        <w:rPr>
          <w:rFonts w:ascii="Arial" w:cs="Arial" w:eastAsia="Arial" w:hAnsi="Arial"/>
          <w:sz w:val="16"/>
          <w:szCs w:val="16"/>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Securities.</w:t>
      </w:r>
    </w:p>
    <w:p>
      <w:pPr>
        <w:spacing w:after="0" w:line="124"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The foregoing will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jurisdiction in which any successor Person to the Company or the Guarantor is incorporated, organized or resident for tax purposes and any political subdivision thereof or therein.</w:t>
      </w: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Company covenants and agrees for the benefit of the Holders of each Series of Securities that it will duly and punctually pay the principal of, premium, if any, and interest on the Securities of that Series in accordance with the terms of such Securities and this Indenture. Unless otherwise provided by Board Resolution, Officer’s Certificate or supplemental indenture for a particular Series, on or before 10:00 a.m., New York City time, on the applicable payment date, the Company shall deposit with the Paying Agent money sufficient to pay the principal of, premium, if any, and interest, if any, on the Securities of each such Series in accordance with the terms of such Securities and this Indenture.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70" w:name="page71"/>
    <w:bookmarkEnd w:id="7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4.2.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The Company shall deliver to the Trustee, within 120 days after the end of its fiscal year (which as of the date of this Indenture is December 31, or if the fiscal year with respect to the Company is changed so that it ends on a date other than December 31, such other fiscal year end date as the Company shall notify to the Trustee in writing) of the Company, an Officer’s Certificate complying with TIA § 314(a)(4) and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 and what action the Company is taking or proposes to take with respect thereto).</w:t>
      </w:r>
    </w:p>
    <w:p>
      <w:pPr>
        <w:spacing w:after="0" w:line="19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Company will, so long as any of the Securities are outstanding, deliver to the Trustee, promptly upon becoming aware of any Default or Event of Default, an Officer’s Certificate specifying such Default or Event of Default and what action the Company is taking or proposes to take with respect thereto.</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Corporate Existence</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Subject to Article V, the Company will do or cause to be done all things necessary to preserve and keep in full force and effect its corporate existence and rights (charter and statutory);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preserve any such right if its Board of Directors shall determine that the preservation thereof is no longer desirable in the conduct of its business and its Subsidiaries taken as a whole and that the loss thereof is not adverse in any material respect to the Holders of the Securities.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Limitation on Liens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Guarantor will not, and will not permit any of its respective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71" w:name="page72"/>
    <w:bookmarkEnd w:id="71"/>
    <w:p>
      <w:pPr>
        <w:ind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effectively providing concurrently with the incurrence, issuance, assumption or guarantee of such secured indebtedness that the Securities (together with, if the Company or the Guarantor shall so determine, any of its other indebtedness or the indebtedness of any such Restricted Subsidiary then existing or thereafter created ranking on a parity with the Securities or Guarantees)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these provisions shall not apply to:</w:t>
      </w:r>
    </w:p>
    <w:p>
      <w:pPr>
        <w:spacing w:after="0" w:line="57" w:lineRule="exact"/>
        <w:rPr>
          <w:sz w:val="20"/>
          <w:szCs w:val="20"/>
          <w:color w:val="auto"/>
        </w:rPr>
      </w:pPr>
    </w:p>
    <w:p>
      <w:pPr>
        <w:ind w:left="1140" w:hanging="237"/>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the Securities;</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62" w:lineRule="exact"/>
        <w:rPr>
          <w:rFonts w:ascii="Arial" w:cs="Arial" w:eastAsia="Arial" w:hAnsi="Arial"/>
          <w:sz w:val="18"/>
          <w:szCs w:val="18"/>
          <w:color w:val="auto"/>
        </w:rPr>
      </w:pPr>
    </w:p>
    <w:p>
      <w:pPr>
        <w:ind w:left="460" w:firstLine="443"/>
        <w:spacing w:after="0" w:line="257" w:lineRule="auto"/>
        <w:tabs>
          <w:tab w:leader="none" w:pos="1143"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117" w:lineRule="exact"/>
        <w:rPr>
          <w:rFonts w:ascii="Arial" w:cs="Arial" w:eastAsia="Arial" w:hAnsi="Arial"/>
          <w:sz w:val="18"/>
          <w:szCs w:val="18"/>
          <w:color w:val="auto"/>
        </w:rPr>
      </w:pPr>
    </w:p>
    <w:p>
      <w:pPr>
        <w:ind w:left="460" w:right="80" w:firstLine="443"/>
        <w:spacing w:after="0" w:line="259" w:lineRule="auto"/>
        <w:tabs>
          <w:tab w:leader="none" w:pos="114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8" w:lineRule="exact"/>
        <w:rPr>
          <w:rFonts w:ascii="Arial" w:cs="Arial" w:eastAsia="Arial" w:hAnsi="Arial"/>
          <w:sz w:val="18"/>
          <w:szCs w:val="18"/>
          <w:color w:val="auto"/>
        </w:rPr>
      </w:pPr>
    </w:p>
    <w:p>
      <w:pPr>
        <w:ind w:left="1120" w:hanging="217"/>
        <w:spacing w:after="0"/>
        <w:tabs>
          <w:tab w:leader="none" w:pos="11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Mortgage of any property or assets to secure indebtedness of the pollution control, industrial revenue or other revenue bond type;</w:t>
      </w:r>
    </w:p>
    <w:p>
      <w:pPr>
        <w:spacing w:after="0" w:line="128" w:lineRule="exact"/>
        <w:rPr>
          <w:rFonts w:ascii="Arial" w:cs="Arial" w:eastAsia="Arial" w:hAnsi="Arial"/>
          <w:sz w:val="17"/>
          <w:szCs w:val="17"/>
          <w:color w:val="auto"/>
        </w:rPr>
      </w:pPr>
    </w:p>
    <w:p>
      <w:pPr>
        <w:jc w:val="both"/>
        <w:ind w:left="460" w:firstLine="443"/>
        <w:spacing w:after="0" w:line="259" w:lineRule="auto"/>
        <w:tabs>
          <w:tab w:leader="none" w:pos="11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72" w:name="page73"/>
    <w:bookmarkEnd w:id="72"/>
    <w:p>
      <w:pPr>
        <w:ind w:right="60" w:firstLine="443"/>
        <w:spacing w:after="0" w:line="277" w:lineRule="auto"/>
        <w:tabs>
          <w:tab w:leader="none" w:pos="693"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Mortgages arising by operation of law, including but not limited to Mortgages for taxes, assessments or similar charges that are not yet due or the validity of which is being contested in good faith by appropriate proceedings;</w:t>
      </w:r>
    </w:p>
    <w:p>
      <w:pPr>
        <w:spacing w:after="0" w:line="62" w:lineRule="exact"/>
        <w:rPr>
          <w:rFonts w:ascii="Arial" w:cs="Arial" w:eastAsia="Arial" w:hAnsi="Arial"/>
          <w:sz w:val="18"/>
          <w:szCs w:val="18"/>
          <w:color w:val="auto"/>
        </w:rPr>
      </w:pPr>
    </w:p>
    <w:p>
      <w:pPr>
        <w:ind w:left="660" w:hanging="217"/>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117" w:lineRule="exact"/>
        <w:rPr>
          <w:rFonts w:ascii="Arial" w:cs="Arial" w:eastAsia="Arial" w:hAnsi="Arial"/>
          <w:sz w:val="18"/>
          <w:szCs w:val="18"/>
          <w:color w:val="auto"/>
        </w:rPr>
      </w:pPr>
    </w:p>
    <w:p>
      <w:pPr>
        <w:jc w:val="both"/>
        <w:ind w:right="40" w:firstLine="443"/>
        <w:spacing w:after="0" w:line="286" w:lineRule="auto"/>
        <w:tabs>
          <w:tab w:leader="none" w:pos="653"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Additional Amounts</w:t>
      </w:r>
      <w:r>
        <w:rPr>
          <w:rFonts w:ascii="Arial" w:cs="Arial" w:eastAsia="Arial" w:hAnsi="Arial"/>
          <w:sz w:val="18"/>
          <w:szCs w:val="18"/>
          <w:color w:val="auto"/>
        </w:rPr>
        <w:t>.</w:t>
      </w:r>
    </w:p>
    <w:p>
      <w:pPr>
        <w:spacing w:after="0" w:line="117" w:lineRule="exact"/>
        <w:rPr>
          <w:sz w:val="20"/>
          <w:szCs w:val="20"/>
          <w:color w:val="auto"/>
        </w:rPr>
      </w:pPr>
    </w:p>
    <w:p>
      <w:pPr>
        <w:ind w:right="140" w:firstLine="443"/>
        <w:spacing w:after="0" w:line="286" w:lineRule="auto"/>
        <w:tabs>
          <w:tab w:leader="none" w:pos="683"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payments made by the Company under or with respect to the Securities, or by the Guarantor with respect to the Guarantee, will be made free and clear of and without withholding or deduction for, or on account of, any present or future tax, duty, levy, assessment or other governmental charge, including any related interest, penalties or additions to tax (“</w:t>
      </w:r>
      <w:r>
        <w:rPr>
          <w:rFonts w:ascii="Arial" w:cs="Arial" w:eastAsia="Arial" w:hAnsi="Arial"/>
          <w:sz w:val="16"/>
          <w:szCs w:val="16"/>
          <w:i w:val="1"/>
          <w:iCs w:val="1"/>
          <w:color w:val="auto"/>
        </w:rPr>
        <w:t>Taxes</w:t>
      </w:r>
      <w:r>
        <w:rPr>
          <w:rFonts w:ascii="Arial" w:cs="Arial" w:eastAsia="Arial" w:hAnsi="Arial"/>
          <w:sz w:val="16"/>
          <w:szCs w:val="16"/>
          <w:color w:val="auto"/>
        </w:rPr>
        <w:t>”) unless the withholding or deduction of such Taxes is then required by law or by interpretation or administration of law. If any deduction or withholding for, or on account of, any Taxes imposed or levied by or on behalf of</w:t>
      </w:r>
    </w:p>
    <w:p>
      <w:pPr>
        <w:spacing w:after="0" w:line="1" w:lineRule="exact"/>
        <w:rPr>
          <w:rFonts w:ascii="Arial" w:cs="Arial" w:eastAsia="Arial" w:hAnsi="Arial"/>
          <w:sz w:val="16"/>
          <w:szCs w:val="16"/>
          <w:color w:val="auto"/>
        </w:rPr>
      </w:pPr>
    </w:p>
    <w:p>
      <w:pPr>
        <w:ind w:right="40" w:firstLine="4"/>
        <w:spacing w:after="0" w:line="286" w:lineRule="auto"/>
        <w:tabs>
          <w:tab w:leader="none" w:pos="2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jurisdiction in which the Company (or a successor), or the Guarantor (or a successor), is then incorporated, organized or resident for tax purposes or any political subdivision thereof or therein (each, a “</w:t>
      </w:r>
      <w:r>
        <w:rPr>
          <w:rFonts w:ascii="Arial" w:cs="Arial" w:eastAsia="Arial" w:hAnsi="Arial"/>
          <w:sz w:val="16"/>
          <w:szCs w:val="16"/>
          <w:i w:val="1"/>
          <w:iCs w:val="1"/>
          <w:color w:val="auto"/>
        </w:rPr>
        <w:t>Relevant Tax Jurisdiction</w:t>
      </w:r>
      <w:r>
        <w:rPr>
          <w:rFonts w:ascii="Arial" w:cs="Arial" w:eastAsia="Arial" w:hAnsi="Arial"/>
          <w:sz w:val="16"/>
          <w:szCs w:val="16"/>
          <w:color w:val="auto"/>
        </w:rPr>
        <w:t>”) or (2) any jurisdiction from or through which payment is made by or on behalf of the Company, or the Guarantor (including the jurisdiction of any Paying Agent for the applicable Securities) or any political subdivision thereof or therein (each, together with each Relevant Tax Jurisdiction, a “</w:t>
      </w:r>
      <w:r>
        <w:rPr>
          <w:rFonts w:ascii="Arial" w:cs="Arial" w:eastAsia="Arial" w:hAnsi="Arial"/>
          <w:sz w:val="16"/>
          <w:szCs w:val="16"/>
          <w:i w:val="1"/>
          <w:iCs w:val="1"/>
          <w:color w:val="auto"/>
        </w:rPr>
        <w:t>Tax Jurisdiction</w:t>
      </w:r>
      <w:r>
        <w:rPr>
          <w:rFonts w:ascii="Arial" w:cs="Arial" w:eastAsia="Arial" w:hAnsi="Arial"/>
          <w:sz w:val="16"/>
          <w:szCs w:val="16"/>
          <w:color w:val="auto"/>
        </w:rPr>
        <w:t>”) will at any time be required to be made from any payments made or deemed made by or on behalf of the Company under or with respect to the Securities, or the Guarantor under or with respect to the applicable Guarantee, including payments of principal, redemption price, interest or premium, the Company or the Guarantor, as applicable, will pay such additional amounts (the “</w:t>
      </w:r>
      <w:r>
        <w:rPr>
          <w:rFonts w:ascii="Arial" w:cs="Arial" w:eastAsia="Arial" w:hAnsi="Arial"/>
          <w:sz w:val="16"/>
          <w:szCs w:val="16"/>
          <w:i w:val="1"/>
          <w:iCs w:val="1"/>
          <w:color w:val="auto"/>
        </w:rPr>
        <w:t>Additional Amounts</w:t>
      </w:r>
      <w:r>
        <w:rPr>
          <w:rFonts w:ascii="Arial" w:cs="Arial" w:eastAsia="Arial" w:hAnsi="Arial"/>
          <w:sz w:val="16"/>
          <w:szCs w:val="16"/>
          <w:color w:val="auto"/>
        </w:rPr>
        <w:t xml:space="preserve">”) as may be necessary in order that the net amounts received in respect of such payments by each beneficial owner of the applicable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Additional Amounts will be payable with respect to:</w:t>
      </w:r>
    </w:p>
    <w:p>
      <w:pPr>
        <w:spacing w:after="0" w:line="62" w:lineRule="exact"/>
        <w:rPr>
          <w:rFonts w:ascii="Arial" w:cs="Arial" w:eastAsia="Arial" w:hAnsi="Arial"/>
          <w:sz w:val="16"/>
          <w:szCs w:val="16"/>
          <w:color w:val="auto"/>
        </w:rPr>
      </w:pPr>
    </w:p>
    <w:p>
      <w:pPr>
        <w:ind w:left="460" w:firstLine="421"/>
        <w:spacing w:after="0" w:line="297" w:lineRule="auto"/>
        <w:tabs>
          <w:tab w:leader="none" w:pos="1135" w:val="left"/>
        </w:tabs>
        <w:numPr>
          <w:ilvl w:val="2"/>
          <w:numId w:val="66"/>
        </w:numPr>
        <w:rPr>
          <w:rFonts w:ascii="Arial" w:cs="Arial" w:eastAsia="Arial" w:hAnsi="Arial"/>
          <w:sz w:val="16"/>
          <w:szCs w:val="16"/>
          <w:color w:val="auto"/>
        </w:rPr>
      </w:pPr>
      <w:r>
        <w:rPr>
          <w:rFonts w:ascii="Arial" w:cs="Arial" w:eastAsia="Arial" w:hAnsi="Arial"/>
          <w:sz w:val="16"/>
          <w:szCs w:val="16"/>
          <w:color w:val="auto"/>
        </w:rPr>
        <w:t>any Taxes, to the extent such Taxes would not have been imposed but for the existence of any actual or deemed present or former connection between the Holder or the beneficial owner of such Securities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Security, the enforcement of rights under such Security or under the Guarantee or the receipt of any payments in respect of such Security or Guarantee;</w:t>
      </w:r>
    </w:p>
    <w:p>
      <w:pPr>
        <w:spacing w:after="0" w:line="9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700" w:top="274" w:right="239" w:bottom="1440" w:gutter="0" w:footer="0" w:header="0"/>
        </w:sectPr>
      </w:pPr>
    </w:p>
    <w:bookmarkStart w:id="73" w:name="page74"/>
    <w:bookmarkEnd w:id="73"/>
    <w:p>
      <w:pPr>
        <w:jc w:val="both"/>
        <w:ind w:left="-280" w:right="280" w:firstLine="421"/>
        <w:spacing w:after="0" w:line="312" w:lineRule="auto"/>
        <w:tabs>
          <w:tab w:leader="none" w:pos="395"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Taxes, to the extent such Taxes were imposed as a result of the presentation of such Security for payment (where presentation is required) more than 30 days after the relevant payment is first made available for payment to the Holder (except to the extent that the Holder would have been entitled to Additional Amounts had the applicable Security been presented on the last day of such 30 day period);</w:t>
      </w:r>
    </w:p>
    <w:p>
      <w:pPr>
        <w:spacing w:after="0" w:line="38" w:lineRule="exact"/>
        <w:rPr>
          <w:rFonts w:ascii="Arial" w:cs="Arial" w:eastAsia="Arial" w:hAnsi="Arial"/>
          <w:sz w:val="16"/>
          <w:szCs w:val="16"/>
          <w:color w:val="auto"/>
        </w:rPr>
      </w:pPr>
    </w:p>
    <w:p>
      <w:pPr>
        <w:ind w:left="400" w:hanging="259"/>
        <w:spacing w:after="0"/>
        <w:tabs>
          <w:tab w:leader="none" w:pos="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17" w:lineRule="exact"/>
        <w:rPr>
          <w:rFonts w:ascii="Arial" w:cs="Arial" w:eastAsia="Arial" w:hAnsi="Arial"/>
          <w:sz w:val="18"/>
          <w:szCs w:val="18"/>
          <w:color w:val="auto"/>
        </w:rPr>
      </w:pPr>
    </w:p>
    <w:p>
      <w:pPr>
        <w:ind w:left="-280" w:right="260" w:firstLine="421"/>
        <w:spacing w:after="0" w:line="286" w:lineRule="auto"/>
        <w:tabs>
          <w:tab w:leader="none" w:pos="395"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Security;</w:t>
      </w:r>
    </w:p>
    <w:p>
      <w:pPr>
        <w:spacing w:after="0" w:line="57" w:lineRule="exact"/>
        <w:rPr>
          <w:rFonts w:ascii="Arial" w:cs="Arial" w:eastAsia="Arial" w:hAnsi="Arial"/>
          <w:sz w:val="17"/>
          <w:szCs w:val="17"/>
          <w:color w:val="auto"/>
        </w:rPr>
      </w:pPr>
    </w:p>
    <w:p>
      <w:pPr>
        <w:ind w:left="-280" w:firstLine="421"/>
        <w:spacing w:after="0" w:line="286" w:lineRule="auto"/>
        <w:tabs>
          <w:tab w:leader="none" w:pos="395"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57" w:lineRule="exact"/>
        <w:rPr>
          <w:rFonts w:ascii="Arial" w:cs="Arial" w:eastAsia="Arial" w:hAnsi="Arial"/>
          <w:sz w:val="17"/>
          <w:szCs w:val="17"/>
          <w:color w:val="auto"/>
        </w:rPr>
      </w:pPr>
    </w:p>
    <w:p>
      <w:pPr>
        <w:ind w:left="-280" w:firstLine="421"/>
        <w:spacing w:after="0" w:line="277" w:lineRule="auto"/>
        <w:tabs>
          <w:tab w:leader="none" w:pos="3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Taxes imposed on or with respect to a payment made to a Holder of such Security who would have been able to avoid such withholding or deduction by presenting such Security (where presentation is required) to another Paying Agent;</w:t>
      </w:r>
    </w:p>
    <w:p>
      <w:pPr>
        <w:spacing w:after="0" w:line="62" w:lineRule="exact"/>
        <w:rPr>
          <w:rFonts w:ascii="Arial" w:cs="Arial" w:eastAsia="Arial" w:hAnsi="Arial"/>
          <w:sz w:val="18"/>
          <w:szCs w:val="18"/>
          <w:color w:val="auto"/>
        </w:rPr>
      </w:pPr>
    </w:p>
    <w:p>
      <w:pPr>
        <w:ind w:left="400" w:hanging="259"/>
        <w:spacing w:after="0"/>
        <w:tabs>
          <w:tab w:leader="none" w:pos="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Taxes payable other than by deduction or withholding from payments under, or with respect to, such Securities or the Guarantee;</w:t>
      </w:r>
    </w:p>
    <w:p>
      <w:pPr>
        <w:spacing w:after="0" w:line="140" w:lineRule="exact"/>
        <w:rPr>
          <w:rFonts w:ascii="Arial" w:cs="Arial" w:eastAsia="Arial" w:hAnsi="Arial"/>
          <w:sz w:val="16"/>
          <w:szCs w:val="16"/>
          <w:color w:val="auto"/>
        </w:rPr>
      </w:pPr>
    </w:p>
    <w:p>
      <w:pPr>
        <w:ind w:left="-280" w:right="40" w:firstLine="421"/>
        <w:spacing w:after="0" w:line="293" w:lineRule="auto"/>
        <w:tabs>
          <w:tab w:leader="none" w:pos="3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Taxes to the extent such Taxes are imposed or withheld by reason of the failure of the Holder or beneficial owner of such Security,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56" w:lineRule="exact"/>
        <w:rPr>
          <w:rFonts w:ascii="Arial" w:cs="Arial" w:eastAsia="Arial" w:hAnsi="Arial"/>
          <w:sz w:val="16"/>
          <w:szCs w:val="16"/>
          <w:color w:val="auto"/>
        </w:rPr>
      </w:pPr>
    </w:p>
    <w:p>
      <w:pPr>
        <w:ind w:left="400" w:hanging="259"/>
        <w:spacing w:after="0"/>
        <w:tabs>
          <w:tab w:leader="none" w:pos="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combination of items (1) through (8) of this Section 4.6(a).</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180"/>
          </w:cols>
          <w:pgMar w:left="1440" w:top="274" w:right="279" w:bottom="1440" w:gutter="0" w:footer="0" w:header="0"/>
        </w:sectPr>
      </w:pPr>
    </w:p>
    <w:bookmarkStart w:id="74" w:name="page75"/>
    <w:bookmarkEnd w:id="74"/>
    <w:p>
      <w:pPr>
        <w:ind w:left="460" w:right="20" w:firstLine="443"/>
        <w:spacing w:after="0" w:line="302" w:lineRule="auto"/>
        <w:tabs>
          <w:tab w:leader="none" w:pos="1153"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 foregoing, the Company and the Guarantor, as the case may be, will also pay and indemnify the beneficial owners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Securities, or this Indenture or the related supplement, Guarantee or any other document or instrument referred to therein.</w:t>
      </w:r>
    </w:p>
    <w:p>
      <w:pPr>
        <w:spacing w:after="0" w:line="46" w:lineRule="exact"/>
        <w:rPr>
          <w:rFonts w:ascii="Arial" w:cs="Arial" w:eastAsia="Arial" w:hAnsi="Arial"/>
          <w:sz w:val="16"/>
          <w:szCs w:val="16"/>
          <w:color w:val="auto"/>
        </w:rPr>
      </w:pPr>
    </w:p>
    <w:p>
      <w:pPr>
        <w:ind w:left="460" w:right="40" w:firstLine="443"/>
        <w:spacing w:after="0" w:line="254" w:lineRule="auto"/>
        <w:tabs>
          <w:tab w:leader="none" w:pos="1143"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the Company or the Guarantor, as the case may be, becomes aware that it will be obligated to pay Additional Amounts with respect to any payment under or with respect to its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shall notify the Trustee promptly thereafter but no later than the Business Day prior to the relevant payment date)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84" w:lineRule="exact"/>
        <w:rPr>
          <w:rFonts w:ascii="Arial" w:cs="Arial" w:eastAsia="Arial" w:hAnsi="Arial"/>
          <w:sz w:val="18"/>
          <w:szCs w:val="18"/>
          <w:color w:val="auto"/>
        </w:rPr>
      </w:pPr>
    </w:p>
    <w:p>
      <w:pPr>
        <w:ind w:left="460" w:firstLine="443"/>
        <w:spacing w:after="0" w:line="272" w:lineRule="auto"/>
        <w:tabs>
          <w:tab w:leader="none" w:pos="1153"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Company or the Guarantor, as the case may be, will make all withholdings and deductions required by law in respect of its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69" w:lineRule="exact"/>
        <w:rPr>
          <w:rFonts w:ascii="Arial" w:cs="Arial" w:eastAsia="Arial" w:hAnsi="Arial"/>
          <w:sz w:val="17"/>
          <w:szCs w:val="17"/>
          <w:color w:val="auto"/>
        </w:rPr>
      </w:pPr>
    </w:p>
    <w:p>
      <w:pPr>
        <w:ind w:left="460" w:firstLine="443"/>
        <w:spacing w:after="0" w:line="259" w:lineRule="auto"/>
        <w:tabs>
          <w:tab w:leader="none" w:pos="1143"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Whenever in this Indenture there is mentioned, in any context, the payment of amounts based upon the principal amount of the Securities or of principal, interest or of any other amount payable under, or with respect to, any of the Securities or any Guarantee, such mention shall be deemed to include mention of the payment of Additional Amounts to the extent that, in such context, Additional Amounts are, were or would be payable in respect thereof.</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obligations in this Section 4.6 will survive any termination, defeasance or discharge of this Indenture, any transfer by a Holder or beneficial owner of its Securities, and will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to any jurisdiction in which any successor Person to the Company or the Guarantor is incorporated, organized or resident for tax purposes or any jurisdiction from or through which payment is made by or on behalf of such Person on the applicable Securities (or any Guarantee) and any political subdivision thereof or therein.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75" w:name="page76"/>
    <w:bookmarkEnd w:id="75"/>
    <w:p>
      <w:pPr>
        <w:ind w:right="14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provision herein or in the Securities or the Guarantee to the contrary, none of the Trustee, the Registrar, any transfer agent or any Paying Agent shall be required to determine the identity of a beneficial owner or be liable for any determination thereof by the Company or the Guarantor.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117" w:lineRule="exact"/>
        <w:rPr>
          <w:sz w:val="20"/>
          <w:szCs w:val="20"/>
          <w:color w:val="auto"/>
        </w:rPr>
      </w:pPr>
    </w:p>
    <w:p>
      <w:pPr>
        <w:ind w:left="460" w:firstLine="443"/>
        <w:spacing w:after="0" w:line="255" w:lineRule="auto"/>
        <w:tabs>
          <w:tab w:leader="none" w:pos="11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So long as any Securities are outstanding, the Guarantor shall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shall be deemed to have complied with the previous sentence to the extent that such information, documents and reports are filed with the SEC via EDGAR (or any successor electronic delivery procedure). The Company shall also comply with the provisions of TIA § 314(a).</w:t>
      </w:r>
    </w:p>
    <w:p>
      <w:pPr>
        <w:spacing w:after="0" w:line="85" w:lineRule="exact"/>
        <w:rPr>
          <w:rFonts w:ascii="Arial" w:cs="Arial" w:eastAsia="Arial" w:hAnsi="Arial"/>
          <w:sz w:val="18"/>
          <w:szCs w:val="18"/>
          <w:color w:val="auto"/>
        </w:rPr>
      </w:pPr>
    </w:p>
    <w:p>
      <w:pPr>
        <w:ind w:left="460" w:right="60" w:firstLine="443"/>
        <w:spacing w:after="0" w:line="264" w:lineRule="auto"/>
        <w:tabs>
          <w:tab w:leader="none" w:pos="11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Trustee shall not have any obligation to determine if and when the Guarantor’s information is available on the SEC’s (EDGAR) website. The Guarantor shall either (i) provide the Trustee with prompt written notification of such time as the Guarantor becomes or ceases to be a reporting company or (ii) continue to provide the Trustee with the foregoing information.</w:t>
      </w:r>
    </w:p>
    <w:p>
      <w:pPr>
        <w:spacing w:after="0" w:line="73" w:lineRule="exact"/>
        <w:rPr>
          <w:rFonts w:ascii="Arial" w:cs="Arial" w:eastAsia="Arial" w:hAnsi="Arial"/>
          <w:sz w:val="18"/>
          <w:szCs w:val="18"/>
          <w:color w:val="auto"/>
        </w:rPr>
      </w:pPr>
    </w:p>
    <w:p>
      <w:pPr>
        <w:ind w:left="460" w:firstLine="443"/>
        <w:spacing w:after="0" w:line="259" w:lineRule="auto"/>
        <w:tabs>
          <w:tab w:leader="none" w:pos="11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or the Guarantor’s compliance with any of their respective covenants hereunder (as to which the Trustee is entitled to rely exclusively on Officer’s Certificates).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Consolidation, Merger and Sale of Assets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this Indenture and the Securities or its Guarantees, as applicable, by an indenture supplemental to this Indenture to which the Company or the Guarantor is a party, and immediately after which, no Default or Event of Default, shall have happened and be continuing. An Officer’s Certificate and an Opinion of Counsel will be delivered to the Trustee, which will serve as conclusive evidence of compliance with this Section 5.1.</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76" w:name="page77"/>
    <w:bookmarkEnd w:id="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5.2. </w:t>
      </w:r>
      <w:r>
        <w:rPr>
          <w:rFonts w:ascii="Arial" w:cs="Arial" w:eastAsia="Arial" w:hAnsi="Arial"/>
          <w:sz w:val="18"/>
          <w:szCs w:val="18"/>
          <w:u w:val="single" w:color="auto"/>
          <w:color w:val="auto"/>
        </w:rPr>
        <w:t>Assumption by a Subsidiary</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Subsidiary of the Guarantor may, at its option, assume the obligations of the Company under this Indenture and the Securities, provided that:</w:t>
      </w:r>
    </w:p>
    <w:p>
      <w:pPr>
        <w:spacing w:after="0" w:line="140" w:lineRule="exact"/>
        <w:rPr>
          <w:sz w:val="20"/>
          <w:szCs w:val="20"/>
          <w:color w:val="auto"/>
        </w:rPr>
      </w:pPr>
    </w:p>
    <w:p>
      <w:pPr>
        <w:ind w:left="460" w:right="180" w:firstLine="443"/>
        <w:spacing w:after="0" w:line="277" w:lineRule="auto"/>
        <w:tabs>
          <w:tab w:leader="none" w:pos="11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Subsidiary shall expressly assume such obligations in an assumption agreement or supplemental indenture duly executed and delivered to the Trustee,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Default or Event of Default, shall have occurred and be continuing.</w:t>
      </w:r>
    </w:p>
    <w:p>
      <w:pPr>
        <w:spacing w:after="0" w:line="225"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Upon any such assumption, the Person so assuming the Company’s obligations under this Indenture and the Securities shall succeed to, and be substituted for, and may exercise any right and power of, the Company under the securities and this Indenture with the same effect as if such Person had been the issuer thereof and party hereto, and the Company shall be released from its liability as obligor under the Securities. An Officer’s Certificate and an Opinion of Counsel will be delivered to the Trustee, which will serve as conclusive evidence of compliance with this Section 5.2. Upon any such assumption, the Trustee shall notify Holders of such assumption.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right="540" w:firstLine="913"/>
        <w:spacing w:after="0" w:line="308" w:lineRule="auto"/>
        <w:rPr>
          <w:sz w:val="20"/>
          <w:szCs w:val="20"/>
          <w:color w:val="auto"/>
        </w:rPr>
      </w:pPr>
      <w:r>
        <w:rPr>
          <w:rFonts w:ascii="Arial" w:cs="Arial" w:eastAsia="Arial" w:hAnsi="Arial"/>
          <w:sz w:val="17"/>
          <w:szCs w:val="17"/>
          <w:color w:val="auto"/>
        </w:rPr>
        <w:t>The following are “</w:t>
      </w:r>
      <w:r>
        <w:rPr>
          <w:rFonts w:ascii="Arial" w:cs="Arial" w:eastAsia="Arial" w:hAnsi="Arial"/>
          <w:sz w:val="17"/>
          <w:szCs w:val="17"/>
          <w:i w:val="1"/>
          <w:iCs w:val="1"/>
          <w:color w:val="auto"/>
        </w:rPr>
        <w:t>Events of Default</w:t>
      </w:r>
      <w:r>
        <w:rPr>
          <w:rFonts w:ascii="Arial" w:cs="Arial" w:eastAsia="Arial" w:hAnsi="Arial"/>
          <w:sz w:val="17"/>
          <w:szCs w:val="17"/>
          <w:color w:val="auto"/>
        </w:rPr>
        <w:t>” with respect to the Company’s Securities of any Series, unless in the establishing Board Resolution, Officer’s Certificate or supplemental indenture, it is provided that such Series shall not have the benefit of said Event of Default:</w:t>
      </w:r>
    </w:p>
    <w:p>
      <w:pPr>
        <w:spacing w:after="0" w:line="38" w:lineRule="exact"/>
        <w:rPr>
          <w:sz w:val="20"/>
          <w:szCs w:val="20"/>
          <w:color w:val="auto"/>
        </w:rPr>
      </w:pPr>
    </w:p>
    <w:p>
      <w:pPr>
        <w:ind w:left="1140" w:hanging="237"/>
        <w:spacing w:after="0"/>
        <w:tabs>
          <w:tab w:leader="none" w:pos="1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Company’s failure to pay any interest on the Securities within 30 days after such interest becomes due and payable;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Company’s failure to pay principal of the Securities at Maturity, or if applicable, the redemption price, when the same become due and</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payable;</w:t>
      </w:r>
    </w:p>
    <w:p>
      <w:pPr>
        <w:spacing w:after="0" w:line="102" w:lineRule="exact"/>
        <w:rPr>
          <w:rFonts w:ascii="Arial" w:cs="Arial" w:eastAsia="Arial" w:hAnsi="Arial"/>
          <w:sz w:val="16"/>
          <w:szCs w:val="16"/>
          <w:color w:val="auto"/>
        </w:rPr>
      </w:pPr>
    </w:p>
    <w:p>
      <w:pPr>
        <w:ind w:left="460" w:right="80" w:firstLine="443"/>
        <w:spacing w:after="0" w:line="277" w:lineRule="auto"/>
        <w:tabs>
          <w:tab w:leader="none" w:pos="114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Company’s failure to pay any sinking fund installment as and when the same shall become due and payable by the terms of the Securities, and continuance of such default for a period of 30 days;</w:t>
      </w:r>
    </w:p>
    <w:p>
      <w:pPr>
        <w:spacing w:after="0" w:line="62" w:lineRule="exact"/>
        <w:rPr>
          <w:rFonts w:ascii="Arial" w:cs="Arial" w:eastAsia="Arial" w:hAnsi="Arial"/>
          <w:sz w:val="18"/>
          <w:szCs w:val="18"/>
          <w:color w:val="auto"/>
        </w:rPr>
      </w:pPr>
    </w:p>
    <w:p>
      <w:pPr>
        <w:ind w:left="460" w:right="460" w:firstLine="443"/>
        <w:spacing w:after="0" w:line="259" w:lineRule="auto"/>
        <w:tabs>
          <w:tab w:leader="none" w:pos="11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Company’s failure to comply with any of the covenants or agreements in the Securities or this Indenture (other than an agreement or covenant that the Company has included in this Indenture solely for the benefit of another Series of Securities that does not constitute part of the Company’s Securities of such Series) for 90 days after written notice by the Trustee or by the Holders of at least 25% in principal amount of all outstanding Securities of such Series affected by that failure;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77" w:name="page78"/>
    <w:bookmarkEnd w:id="77"/>
    <w:p>
      <w:pPr>
        <w:jc w:val="both"/>
        <w:ind w:left="460" w:right="260" w:firstLine="443"/>
        <w:spacing w:after="0" w:line="264" w:lineRule="auto"/>
        <w:tabs>
          <w:tab w:leader="none" w:pos="1143"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permitted by this Indenture, the Guarantee of the Company’s Securities is held in any judicial proceeding to be unenforceable or invalid or ceases for any reason to be in full force and effect, or the Guarantor, or any authorized Person acting on behalf of the Guarantor, denies or disaffirms the Guarantor’s obligations under the Guarantee;</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or the Guarantor pursuant to or within the meaning of any Bankruptcy Law:</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is for relief against the Company or the Guarantor, as applicable, in an involuntary case,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appoints a Custodian of the Company or the Guarantor, as applicable, or for all or substantially all of its property, 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orders the liquidation of the Company or the Guarantor, as applicable,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60 days; and</w:t>
      </w:r>
    </w:p>
    <w:p>
      <w:pPr>
        <w:spacing w:after="0" w:line="117" w:lineRule="exact"/>
        <w:rPr>
          <w:sz w:val="20"/>
          <w:szCs w:val="20"/>
          <w:color w:val="auto"/>
        </w:rPr>
      </w:pPr>
    </w:p>
    <w:p>
      <w:pPr>
        <w:ind w:left="460" w:right="400" w:firstLine="443"/>
        <w:spacing w:after="0" w:line="277" w:lineRule="auto"/>
        <w:tabs>
          <w:tab w:leader="none" w:pos="11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other Event of Default provided in the Officer’s Certificate, supplemental indenture or Board Resolution under which such Series of Securities is issued.</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Federal or State law for the relief of debtors.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Default under one Series of Securities issued under this Indenture will not necessarily be a default under another Series of Securities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78" w:name="page79"/>
    <w:bookmarkEnd w:id="7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If an Event of Default for a Series of Securities occurs and is continuing (other than an Event of Default referred to in Section 6.1(f) or (g)), the Trustee or the Holders of at least 25% in principal amount of such Series of outstanding Securities may require the Company to pay immediately the principal amount plus accrued and unpaid interest on such Securities. If an Event of Default relating to certain events of bankruptcy, insolvency or reorganization referred to in Section 6.1(f) or (g) occurs with respect to the Company (or with respect to the Guarantor), the principal amount plus accrued and unpaid interest on the Company’s Securities of that Series (or in the case of the Guarantor, all Securities) will become immediately due and payable without any action on the part of the Trustee or any Holder.</w:t>
      </w:r>
    </w:p>
    <w:p>
      <w:pPr>
        <w:spacing w:after="0" w:line="193"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At any time after such a declaration of acceleration with respect to any Series has been made and before a judgment or decree for payment of the money due has been obtained by the Trustee as hereinafter in this Article VI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left="460" w:right="180" w:firstLine="443"/>
        <w:spacing w:after="0" w:line="277" w:lineRule="auto"/>
        <w:tabs>
          <w:tab w:leader="none" w:pos="1143"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when and as due by the terms of a Security,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then, </w:t>
      </w:r>
      <w:r>
        <w:rPr>
          <w:rFonts w:ascii="Arial" w:cs="Arial" w:eastAsia="Arial" w:hAnsi="Arial"/>
          <w:sz w:val="18"/>
          <w:szCs w:val="18"/>
          <w:color w:val="auto"/>
        </w:rPr>
        <w:t>the Company will, upon demand of the Trustee, pay to it, for the benefit of the Holders of such Securities, the whole amount then due and payable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Securities for principal, premium, if any,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79" w:name="page80"/>
    <w:bookmarkEnd w:id="79"/>
    <w:p>
      <w:pPr>
        <w:ind w:right="1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80" w:lineRule="exact"/>
        <w:rPr>
          <w:sz w:val="20"/>
          <w:szCs w:val="20"/>
          <w:color w:val="auto"/>
        </w:rPr>
      </w:pPr>
    </w:p>
    <w:p>
      <w:pPr>
        <w:ind w:left="460" w:right="80" w:firstLine="443"/>
        <w:spacing w:after="0" w:line="312" w:lineRule="auto"/>
        <w:tabs>
          <w:tab w:leader="none" w:pos="1143" w:val="left"/>
        </w:tabs>
        <w:numPr>
          <w:ilvl w:val="0"/>
          <w:numId w:val="75"/>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38" w:lineRule="exact"/>
        <w:rPr>
          <w:rFonts w:ascii="Arial" w:cs="Arial" w:eastAsia="Arial" w:hAnsi="Arial"/>
          <w:sz w:val="16"/>
          <w:szCs w:val="16"/>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7.7.</w:t>
      </w:r>
    </w:p>
    <w:p>
      <w:pPr>
        <w:spacing w:after="0" w:line="18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80" w:name="page81"/>
    <w:bookmarkEnd w:id="8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Any money collected by the Trustee pursuant to this Article VI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First: To the payment of all amounts due the Trustee under Section 7.7; and</w:t>
      </w:r>
    </w:p>
    <w:p>
      <w:pPr>
        <w:spacing w:after="0" w:line="117"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premium, if any,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Third: To the Company.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Holder of Securities of any Series may pursue any remedy under this Indenture applicable to such Securities only if:</w:t>
      </w:r>
    </w:p>
    <w:p>
      <w:pPr>
        <w:spacing w:after="0" w:line="117" w:lineRule="exact"/>
        <w:rPr>
          <w:sz w:val="20"/>
          <w:szCs w:val="20"/>
          <w:color w:val="auto"/>
        </w:rPr>
      </w:pPr>
    </w:p>
    <w:p>
      <w:pPr>
        <w:ind w:left="1140" w:hanging="237"/>
        <w:spacing w:after="0"/>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Series of Securities;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such outstanding Series of Securities make a written request to the Trustee to pursue the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remedy;</w:t>
      </w:r>
    </w:p>
    <w:p>
      <w:pPr>
        <w:spacing w:after="0" w:line="102" w:lineRule="exact"/>
        <w:rPr>
          <w:rFonts w:ascii="Arial" w:cs="Arial" w:eastAsia="Arial" w:hAnsi="Arial"/>
          <w:sz w:val="16"/>
          <w:szCs w:val="16"/>
          <w:color w:val="auto"/>
        </w:rPr>
      </w:pPr>
    </w:p>
    <w:p>
      <w:pPr>
        <w:ind w:left="460" w:right="100" w:firstLine="443"/>
        <w:spacing w:after="0" w:line="277" w:lineRule="auto"/>
        <w:tabs>
          <w:tab w:leader="none" w:pos="1143"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Holders furnish to the Trustee indemnity reasonably satisfactory to the Trustee against the costs, expenses and liabilities which might be incurred by it in compliance with such request;</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17" w:lineRule="exact"/>
        <w:rPr>
          <w:rFonts w:ascii="Arial" w:cs="Arial" w:eastAsia="Arial" w:hAnsi="Arial"/>
          <w:sz w:val="18"/>
          <w:szCs w:val="18"/>
          <w:color w:val="auto"/>
        </w:rPr>
      </w:pPr>
    </w:p>
    <w:p>
      <w:pPr>
        <w:ind w:left="460" w:firstLine="443"/>
        <w:spacing w:after="0" w:line="277" w:lineRule="auto"/>
        <w:tabs>
          <w:tab w:leader="none" w:pos="1143" w:val="left"/>
        </w:tabs>
        <w:numPr>
          <w:ilvl w:val="0"/>
          <w:numId w:val="76"/>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outstanding Securities of such Series do not give the Trustee a direction inconsistent with the request.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provision does not, however, affect the right of a Holder of Securities to sue for enforcement of any overdue payment with respect to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274" w:right="339"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6.8. </w:t>
      </w:r>
      <w:r>
        <w:rPr>
          <w:rFonts w:ascii="Arial" w:cs="Arial" w:eastAsia="Arial" w:hAnsi="Arial"/>
          <w:sz w:val="18"/>
          <w:szCs w:val="18"/>
          <w:u w:val="single" w:color="auto"/>
          <w:color w:val="auto"/>
        </w:rPr>
        <w:t>Unconditional Right of Holders to Receive Principal and Interest</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117"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73" w:lineRule="exact"/>
        <w:rPr>
          <w:sz w:val="20"/>
          <w:szCs w:val="20"/>
          <w:color w:val="auto"/>
        </w:rPr>
      </w:pPr>
    </w:p>
    <w:p>
      <w:pPr>
        <w:ind w:left="5620" w:right="4420" w:hanging="4717"/>
        <w:spacing w:after="0" w:line="449" w:lineRule="auto"/>
        <w:tabs>
          <w:tab w:leader="none" w:pos="1144"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 32</w:t>
      </w:r>
    </w:p>
    <w:p>
      <w:pPr>
        <w:sectPr>
          <w:pgSz w:w="11900" w:h="16838" w:orient="portrait"/>
          <w:cols w:equalWidth="0" w:num="1">
            <w:col w:w="11380"/>
          </w:cols>
          <w:pgMar w:left="240" w:top="274" w:right="279" w:bottom="1440" w:gutter="0" w:footer="0" w:header="0"/>
        </w:sectPr>
      </w:pPr>
    </w:p>
    <w:bookmarkStart w:id="82" w:name="page83"/>
    <w:bookmarkEnd w:id="82"/>
    <w:p>
      <w:pPr>
        <w:ind w:left="1160" w:hanging="257"/>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take any other action deemed proper by the Trustee which is not inconsistent with such direction, and</w:t>
      </w:r>
    </w:p>
    <w:p>
      <w:pPr>
        <w:spacing w:after="0" w:line="117" w:lineRule="exact"/>
        <w:rPr>
          <w:rFonts w:ascii="Arial" w:cs="Arial" w:eastAsia="Arial" w:hAnsi="Arial"/>
          <w:sz w:val="18"/>
          <w:szCs w:val="18"/>
          <w:color w:val="auto"/>
        </w:rPr>
      </w:pPr>
    </w:p>
    <w:p>
      <w:pPr>
        <w:ind w:left="460" w:right="160" w:firstLine="443"/>
        <w:spacing w:after="0" w:line="264" w:lineRule="auto"/>
        <w:tabs>
          <w:tab w:leader="none" w:pos="114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Trustee shall have the right to decline to follow any such direction if the Trustee in good faith shall, by a Responsible Officer of the Trustee, determine that the proceeding so directed would involve the Trustee in personal liability or that it will not be adequately indemnified against the costs, expenses and liabilities which might be incurred by it in complying with such direction.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117" w:lineRule="exact"/>
        <w:rPr>
          <w:sz w:val="20"/>
          <w:szCs w:val="20"/>
          <w:color w:val="auto"/>
        </w:rPr>
      </w:pPr>
    </w:p>
    <w:p>
      <w:pPr>
        <w:jc w:val="both"/>
        <w:ind w:left="460" w:right="180" w:firstLine="443"/>
        <w:spacing w:after="0" w:line="264" w:lineRule="auto"/>
        <w:tabs>
          <w:tab w:leader="none" w:pos="1143"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such exercise, as a prudent man would exercise or use under the circumstances in the conduct of his own affairs.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74" w:right="299" w:bottom="1440" w:gutter="0" w:footer="0" w:header="0"/>
        </w:sectPr>
      </w:pPr>
    </w:p>
    <w:bookmarkStart w:id="83" w:name="page84"/>
    <w:bookmarkEnd w:id="83"/>
    <w:p>
      <w:pPr>
        <w:ind w:left="700" w:hanging="257"/>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during the continuance of an Event of Default with respect to the Securities of any Series:</w:t>
      </w:r>
    </w:p>
    <w:p>
      <w:pPr>
        <w:spacing w:after="0" w:line="130" w:lineRule="exact"/>
        <w:rPr>
          <w:rFonts w:ascii="Arial" w:cs="Arial" w:eastAsia="Arial" w:hAnsi="Arial"/>
          <w:sz w:val="18"/>
          <w:szCs w:val="18"/>
          <w:color w:val="auto"/>
        </w:rPr>
      </w:pPr>
    </w:p>
    <w:p>
      <w:pPr>
        <w:ind w:left="1460" w:right="60" w:hanging="440"/>
        <w:spacing w:after="0" w:line="277" w:lineRule="auto"/>
        <w:tabs>
          <w:tab w:leader="none" w:pos="14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 and no implied covenants or obligations shall be read into this Indenture against the Trustee; and</w:t>
      </w:r>
    </w:p>
    <w:p>
      <w:pPr>
        <w:spacing w:after="0" w:line="75" w:lineRule="exact"/>
        <w:rPr>
          <w:rFonts w:ascii="Arial" w:cs="Arial" w:eastAsia="Arial" w:hAnsi="Arial"/>
          <w:sz w:val="18"/>
          <w:szCs w:val="18"/>
          <w:color w:val="auto"/>
        </w:rPr>
      </w:pPr>
    </w:p>
    <w:p>
      <w:pPr>
        <w:ind w:left="1460" w:hanging="440"/>
        <w:spacing w:after="0" w:line="259" w:lineRule="auto"/>
        <w:tabs>
          <w:tab w:leader="none" w:pos="14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such certificates and opinions to determine whether, on their face, they appear to conform to the requirements of this Indenture.</w:t>
      </w:r>
    </w:p>
    <w:p>
      <w:pPr>
        <w:spacing w:after="0" w:line="78" w:lineRule="exact"/>
        <w:rPr>
          <w:rFonts w:ascii="Arial" w:cs="Arial" w:eastAsia="Arial" w:hAnsi="Arial"/>
          <w:sz w:val="18"/>
          <w:szCs w:val="18"/>
          <w:color w:val="auto"/>
        </w:rPr>
      </w:pPr>
    </w:p>
    <w:p>
      <w:pPr>
        <w:ind w:right="220" w:firstLine="443"/>
        <w:spacing w:after="0" w:line="277" w:lineRule="auto"/>
        <w:tabs>
          <w:tab w:leader="none" w:pos="68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own negligent action, its own negligent failure to act or its own willful misconduct, except that:</w:t>
      </w:r>
    </w:p>
    <w:p>
      <w:pPr>
        <w:spacing w:after="0" w:line="75" w:lineRule="exact"/>
        <w:rPr>
          <w:rFonts w:ascii="Arial" w:cs="Arial" w:eastAsia="Arial" w:hAnsi="Arial"/>
          <w:sz w:val="18"/>
          <w:szCs w:val="18"/>
          <w:color w:val="auto"/>
        </w:rPr>
      </w:pPr>
    </w:p>
    <w:p>
      <w:pPr>
        <w:ind w:left="1460" w:hanging="440"/>
        <w:spacing w:after="0"/>
        <w:tabs>
          <w:tab w:leader="none" w:pos="14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7.1;</w:t>
      </w:r>
    </w:p>
    <w:p>
      <w:pPr>
        <w:spacing w:after="0" w:line="130" w:lineRule="exact"/>
        <w:rPr>
          <w:rFonts w:ascii="Arial" w:cs="Arial" w:eastAsia="Arial" w:hAnsi="Arial"/>
          <w:sz w:val="18"/>
          <w:szCs w:val="18"/>
          <w:color w:val="auto"/>
        </w:rPr>
      </w:pPr>
    </w:p>
    <w:p>
      <w:pPr>
        <w:ind w:left="1460" w:right="200" w:hanging="440"/>
        <w:spacing w:after="0" w:line="277" w:lineRule="auto"/>
        <w:tabs>
          <w:tab w:leader="none" w:pos="14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 and</w:t>
      </w:r>
    </w:p>
    <w:p>
      <w:pPr>
        <w:spacing w:after="0" w:line="75" w:lineRule="exact"/>
        <w:rPr>
          <w:rFonts w:ascii="Arial" w:cs="Arial" w:eastAsia="Arial" w:hAnsi="Arial"/>
          <w:sz w:val="18"/>
          <w:szCs w:val="18"/>
          <w:color w:val="auto"/>
        </w:rPr>
      </w:pPr>
    </w:p>
    <w:p>
      <w:pPr>
        <w:ind w:left="1460" w:right="480" w:hanging="440"/>
        <w:spacing w:after="0" w:line="277" w:lineRule="auto"/>
        <w:tabs>
          <w:tab w:leader="none" w:pos="14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6.12.</w:t>
      </w:r>
    </w:p>
    <w:p>
      <w:pPr>
        <w:spacing w:after="0" w:line="62" w:lineRule="exact"/>
        <w:rPr>
          <w:rFonts w:ascii="Arial" w:cs="Arial" w:eastAsia="Arial" w:hAnsi="Arial"/>
          <w:sz w:val="18"/>
          <w:szCs w:val="18"/>
          <w:color w:val="auto"/>
        </w:rPr>
      </w:pPr>
    </w:p>
    <w:p>
      <w:pPr>
        <w:ind w:right="600" w:firstLine="443"/>
        <w:spacing w:after="0" w:line="277" w:lineRule="auto"/>
        <w:tabs>
          <w:tab w:leader="none" w:pos="693"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the provisions of this Article VII.</w:t>
      </w:r>
    </w:p>
    <w:p>
      <w:pPr>
        <w:spacing w:after="0" w:line="62" w:lineRule="exact"/>
        <w:rPr>
          <w:rFonts w:ascii="Arial" w:cs="Arial" w:eastAsia="Arial" w:hAnsi="Arial"/>
          <w:sz w:val="18"/>
          <w:szCs w:val="18"/>
          <w:color w:val="auto"/>
        </w:rPr>
      </w:pPr>
    </w:p>
    <w:p>
      <w:pPr>
        <w:ind w:right="460" w:firstLine="443"/>
        <w:spacing w:after="0" w:line="342" w:lineRule="auto"/>
        <w:tabs>
          <w:tab w:leader="none" w:pos="683"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 provision of this Indenture shall require the Trustee to expend or risk its own funds or incur any liability. The Trustee may refuse to perform any duty or exercise any right or power unless it receives indemnity reasonably satisfactory to it against any loss, liability or expense.</w:t>
      </w:r>
    </w:p>
    <w:p>
      <w:pPr>
        <w:spacing w:after="0" w:line="15" w:lineRule="exact"/>
        <w:rPr>
          <w:rFonts w:ascii="Arial" w:cs="Arial" w:eastAsia="Arial" w:hAnsi="Arial"/>
          <w:sz w:val="16"/>
          <w:szCs w:val="16"/>
          <w:color w:val="auto"/>
        </w:rPr>
      </w:pPr>
    </w:p>
    <w:p>
      <w:pPr>
        <w:ind w:right="40" w:firstLine="443"/>
        <w:spacing w:after="0" w:line="259" w:lineRule="auto"/>
        <w:tabs>
          <w:tab w:leader="none" w:pos="66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shall not be liable for interest on or investment of any money received by it except as the Trustee may agree in writing with the Company. Money held in trust by the Trustee need not be segregated from other funds except to the extent required by law. All money received by the Trustee shall, until applied as herein provided, be held in trust for the payment of the principal of, premium (if any) and interest on and Additional Amounts with respect to the Securities.</w:t>
      </w:r>
    </w:p>
    <w:p>
      <w:pPr>
        <w:spacing w:after="0" w:line="11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60"/>
          </w:cols>
          <w:pgMar w:left="700" w:top="274"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117" w:lineRule="exact"/>
        <w:rPr>
          <w:sz w:val="20"/>
          <w:szCs w:val="20"/>
          <w:color w:val="auto"/>
        </w:rPr>
      </w:pPr>
    </w:p>
    <w:p>
      <w:pPr>
        <w:ind w:right="120" w:firstLine="443"/>
        <w:spacing w:after="0" w:line="302" w:lineRule="auto"/>
        <w:tabs>
          <w:tab w:leader="none" w:pos="683"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acting or refraining from acting, upon any resolution, certificate, statement, instrument, opinion, report, notice, request, direction, consent, order, note, debenture or other paper or document believed by it to be genuine and to have been signed or presented by the proper Person. The Trustee need not investigate any fact or matter stated in any resolution, certificate, statement, instrument, opinion, report, notice, request, direction, consent, order, bond, security or other paper or document.</w:t>
      </w:r>
    </w:p>
    <w:p>
      <w:pPr>
        <w:spacing w:after="0" w:line="46" w:lineRule="exact"/>
        <w:rPr>
          <w:rFonts w:ascii="Arial" w:cs="Arial" w:eastAsia="Arial" w:hAnsi="Arial"/>
          <w:sz w:val="16"/>
          <w:szCs w:val="16"/>
          <w:color w:val="auto"/>
        </w:rPr>
      </w:pPr>
    </w:p>
    <w:p>
      <w:pPr>
        <w:ind w:right="40" w:firstLine="443"/>
        <w:spacing w:after="0" w:line="279" w:lineRule="auto"/>
        <w:tabs>
          <w:tab w:leader="none" w:pos="693" w:val="left"/>
        </w:tabs>
        <w:numPr>
          <w:ilvl w:val="0"/>
          <w:numId w:val="81"/>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instruction, an Officer’s Certificate or an Opinion of Counsel or both to be provided. The Trustee shall not be liable for any action it takes or omits to take in good faith in reliance on such instruction, Officer’s Certificate or Opinion of Counsel. 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63" w:lineRule="exact"/>
        <w:rPr>
          <w:rFonts w:ascii="Arial" w:cs="Arial" w:eastAsia="Arial" w:hAnsi="Arial"/>
          <w:sz w:val="17"/>
          <w:szCs w:val="17"/>
          <w:color w:val="auto"/>
        </w:rPr>
      </w:pPr>
    </w:p>
    <w:p>
      <w:pPr>
        <w:ind w:right="200" w:firstLine="443"/>
        <w:spacing w:after="0" w:line="277" w:lineRule="auto"/>
        <w:tabs>
          <w:tab w:leader="none" w:pos="68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Trustee may act through agents, attorneys, custodians or nominees and shall not be responsible for the misconduct or negligence of any agent, attorney, custodian or nominee appointed with due care.</w:t>
      </w:r>
    </w:p>
    <w:p>
      <w:pPr>
        <w:spacing w:after="0" w:line="62" w:lineRule="exact"/>
        <w:rPr>
          <w:rFonts w:ascii="Arial" w:cs="Arial" w:eastAsia="Arial" w:hAnsi="Arial"/>
          <w:sz w:val="18"/>
          <w:szCs w:val="18"/>
          <w:color w:val="auto"/>
        </w:rPr>
      </w:pPr>
    </w:p>
    <w:p>
      <w:pPr>
        <w:ind w:firstLine="443"/>
        <w:spacing w:after="0" w:line="264" w:lineRule="auto"/>
        <w:tabs>
          <w:tab w:leader="none" w:pos="69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conferred upon it by this Indenture or with respect to any action it takes or omits to take in good faith in accordance with a direction received by it from the Holders of a majority in aggregate principal amount of the relevant Series of Securities outstanding.</w:t>
      </w:r>
    </w:p>
    <w:p>
      <w:pPr>
        <w:spacing w:after="0" w:line="73" w:lineRule="exact"/>
        <w:rPr>
          <w:rFonts w:ascii="Arial" w:cs="Arial" w:eastAsia="Arial" w:hAnsi="Arial"/>
          <w:sz w:val="18"/>
          <w:szCs w:val="18"/>
          <w:color w:val="auto"/>
        </w:rPr>
      </w:pPr>
    </w:p>
    <w:p>
      <w:pPr>
        <w:ind w:right="400" w:firstLine="443"/>
        <w:spacing w:after="0" w:line="277" w:lineRule="auto"/>
        <w:tabs>
          <w:tab w:leader="none" w:pos="683"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or the Guarantor, as applicable, shall be sufficient if signed by an Officer of the Company or the Guarantor, as applicable.</w:t>
      </w:r>
    </w:p>
    <w:p>
      <w:pPr>
        <w:spacing w:after="0" w:line="62" w:lineRule="exact"/>
        <w:rPr>
          <w:rFonts w:ascii="Arial" w:cs="Arial" w:eastAsia="Arial" w:hAnsi="Arial"/>
          <w:sz w:val="18"/>
          <w:szCs w:val="18"/>
          <w:color w:val="auto"/>
        </w:rPr>
      </w:pPr>
    </w:p>
    <w:p>
      <w:pPr>
        <w:ind w:right="40" w:firstLine="443"/>
        <w:spacing w:after="0" w:line="312" w:lineRule="auto"/>
        <w:tabs>
          <w:tab w:leader="none" w:pos="653"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Anything in this Indenture to the contrary notwithstanding, in no event shall the Trustee be liable under or in connection with this Indenture for indirect, special, incidental, punitive or consequential losses or damages of any kind whatsoever, including but not limited to lost profits, whether or not foreseeable, even if the Trustee has been advised of the possibility thereof and regardless of the form of action in which such damages are sought.</w:t>
      </w:r>
    </w:p>
    <w:p>
      <w:pPr>
        <w:spacing w:after="0" w:line="38" w:lineRule="exact"/>
        <w:rPr>
          <w:rFonts w:ascii="Arial" w:cs="Arial" w:eastAsia="Arial" w:hAnsi="Arial"/>
          <w:sz w:val="16"/>
          <w:szCs w:val="16"/>
          <w:color w:val="auto"/>
        </w:rPr>
      </w:pPr>
    </w:p>
    <w:p>
      <w:pPr>
        <w:ind w:right="120" w:firstLine="443"/>
        <w:spacing w:after="0" w:line="312" w:lineRule="auto"/>
        <w:tabs>
          <w:tab w:leader="none" w:pos="693"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trusts or powers vested in it by this Indenture at the request, order or direction of any of the Holders of Securities pursuant to the provisions of this Indenture, unless such Holders of Securities shall have offered to the Trustee, security or indemnity reasonably satisfactory to the Trustee against the costs, expenses and liabilities which might be incurred therein or thereby.</w:t>
      </w:r>
    </w:p>
    <w:p>
      <w:pPr>
        <w:spacing w:after="0" w:line="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700" w:top="274" w:right="239" w:bottom="1440" w:gutter="0" w:footer="0" w:header="0"/>
        </w:sectPr>
      </w:pPr>
    </w:p>
    <w:bookmarkStart w:id="85" w:name="page86"/>
    <w:bookmarkEnd w:id="85"/>
    <w:p>
      <w:pPr>
        <w:ind w:left="460" w:right="260" w:firstLine="443"/>
        <w:spacing w:after="0" w:line="264" w:lineRule="auto"/>
        <w:tabs>
          <w:tab w:leader="none" w:pos="1153"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not be deemed to have notice of any Event of Default with respect to the Securities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73" w:lineRule="exact"/>
        <w:rPr>
          <w:rFonts w:ascii="Arial" w:cs="Arial" w:eastAsia="Arial" w:hAnsi="Arial"/>
          <w:sz w:val="18"/>
          <w:szCs w:val="18"/>
          <w:color w:val="auto"/>
        </w:rPr>
      </w:pPr>
    </w:p>
    <w:p>
      <w:pPr>
        <w:ind w:left="460" w:firstLine="443"/>
        <w:spacing w:after="0" w:line="259" w:lineRule="auto"/>
        <w:tabs>
          <w:tab w:leader="none" w:pos="111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Trustee may at any time request, and the Company and the Guarantor shall each deliver an Officer’s Certificate setting forth the specimen signatures and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78" w:lineRule="exact"/>
        <w:rPr>
          <w:rFonts w:ascii="Arial" w:cs="Arial" w:eastAsia="Arial" w:hAnsi="Arial"/>
          <w:sz w:val="18"/>
          <w:szCs w:val="18"/>
          <w:color w:val="auto"/>
        </w:rPr>
      </w:pPr>
    </w:p>
    <w:p>
      <w:pPr>
        <w:ind w:left="460" w:firstLine="443"/>
        <w:spacing w:after="0" w:line="273" w:lineRule="auto"/>
        <w:tabs>
          <w:tab w:leader="none" w:pos="1113"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Notwithstanding any provision herein to the contrary, in no event shall the Trustee be liable for any failure or delay in the performance of its obligations under this Indenture because of circumstances beyond its control, including, but not limited to, acts of God, flood, war (whether declared or undeclared), terrorism, fire, riot, strikes or work stoppages for any reason, embargo, government action, including any laws, ordinances, regulations or the like which restrict or prohibit the providing of the services contemplated by this Indenture, inability to obtain material, equipment, or communications or computer facilities, or the failure of equipment or interruption of communications or computer facilities, and other causes beyond its control whether or not of the same class or kind as specifically named above.</w:t>
      </w:r>
    </w:p>
    <w:p>
      <w:pPr>
        <w:spacing w:after="0" w:line="70" w:lineRule="exact"/>
        <w:rPr>
          <w:rFonts w:ascii="Arial" w:cs="Arial" w:eastAsia="Arial" w:hAnsi="Arial"/>
          <w:sz w:val="17"/>
          <w:szCs w:val="17"/>
          <w:color w:val="auto"/>
        </w:rPr>
      </w:pPr>
    </w:p>
    <w:p>
      <w:pPr>
        <w:ind w:left="460" w:right="60" w:firstLine="443"/>
        <w:spacing w:after="0" w:line="264" w:lineRule="auto"/>
        <w:tabs>
          <w:tab w:leader="none" w:pos="11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each Agent, and each other agent, custodian and other Person employed to act hereunder.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117"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any of its Affiliates with the same rights it would have if it were not Trustee. Any Agent may do the same with like rights and duties. However, the Trustee is subject to Sections 7.10 and 7.11.</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Trustee makes no representation as to the validity, sufficiency or adequacy of any offering materials, this Indenture, the Securities or the Guarantees, it shall not be accountable for the Company’s use of the proceeds from the Securities or any money paid to the Company or upon the Company’s direction under any provision hereof, and it shall not be responsible for any statement or recital herein or any statement in any offering materials or the Securities other than its certificate of authentication.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74" w:right="299" w:bottom="1440" w:gutter="0" w:footer="0" w:header="0"/>
        </w:sectPr>
      </w:pPr>
    </w:p>
    <w:bookmarkStart w:id="86" w:name="page87"/>
    <w:bookmarkEnd w:id="8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7.5.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If a Default or Event of Default with respect to the Securities of any Series occurs and is continuing and it is actually known to the Trustee, the Trustee shall give to Holders of Securities of such Series a notice of the Default or Event of Default within 90 days after the Trustee has knowledge of such Default or Event of Default in accordance with Section 7.2(h). Except in the case of a Default or Event of Default in payment of principal of, premium (if any) and interest on and Additional Amounts or any sinking fund installment with respect to the Securities of such Series, the Trustee may withhold the notice if and so long as a Responsible Officer in good faith determines that withholding the notice is in the interests of Holders of Securities of such Series to do so.</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Reports by Trustee to Holders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Within 60 days after May 15 of each year after the execution of this Indenture, the Trustee shall give to Holders of each Series of Securities and the Company a brief report dated as of such reporting date that complies with TIA § 313(a);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no event described in TIA § 313(a) has occurred within the twelve months preceding the reporting date with respect to any Series of Securities, no report need be transmitted to Holders of such Series or the Company. The Trustee also shall comply with TIA § 313(b). The Trustee shall also transmit by mail all reports if and as required by TIA §§ 313(c) and 313(d).</w:t>
      </w:r>
    </w:p>
    <w:p>
      <w:pPr>
        <w:spacing w:after="0" w:line="188" w:lineRule="exact"/>
        <w:rPr>
          <w:sz w:val="20"/>
          <w:szCs w:val="20"/>
          <w:color w:val="auto"/>
        </w:rPr>
      </w:pPr>
    </w:p>
    <w:p>
      <w:pPr>
        <w:jc w:val="both"/>
        <w:ind w:right="340" w:firstLine="913"/>
        <w:spacing w:after="0" w:line="264" w:lineRule="auto"/>
        <w:rPr>
          <w:sz w:val="20"/>
          <w:szCs w:val="20"/>
          <w:color w:val="auto"/>
        </w:rPr>
      </w:pPr>
      <w:r>
        <w:rPr>
          <w:rFonts w:ascii="Arial" w:cs="Arial" w:eastAsia="Arial" w:hAnsi="Arial"/>
          <w:sz w:val="18"/>
          <w:szCs w:val="18"/>
          <w:color w:val="auto"/>
        </w:rPr>
        <w:t>A copy of each report at the time of its transmittal to Holders of a Series of Securities shall be filed by the Company with the SEC and each securities exchange, if any, on which the Securities of such Series are listed. The Company shall notify the Trustee if and when any Series of Securities is listed on or delisted from any securities exchange.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Company and the Guarantor, jointly and severally, agree to pay to the Trustee for its acceptance of this Indenture and services hereunder such compensation as the Company or the Guarantor and the Trustee shall from time to time agree in writing. The Trustee’s compensation shall not be limited by any law on compensation of a trustee of an express trust. The Company and the Guarantor agrees to reimburse the Trustee upon request for all reasonable disbursements, advances and expenses incurred by it. Such expenses shall include the reasonable compensation, disbursements and expenses of the Trustee’s agents and counsel.</w:t>
      </w:r>
    </w:p>
    <w:p>
      <w:pPr>
        <w:spacing w:after="0" w:line="188" w:lineRule="exact"/>
        <w:rPr>
          <w:sz w:val="20"/>
          <w:szCs w:val="20"/>
          <w:color w:val="auto"/>
        </w:rPr>
      </w:pPr>
    </w:p>
    <w:p>
      <w:pPr>
        <w:ind w:right="120" w:firstLine="913"/>
        <w:spacing w:after="0" w:line="289" w:lineRule="auto"/>
        <w:rPr>
          <w:sz w:val="20"/>
          <w:szCs w:val="20"/>
          <w:color w:val="auto"/>
        </w:rPr>
      </w:pPr>
      <w:r>
        <w:rPr>
          <w:rFonts w:ascii="Arial" w:cs="Arial" w:eastAsia="Arial" w:hAnsi="Arial"/>
          <w:sz w:val="16"/>
          <w:szCs w:val="16"/>
          <w:color w:val="auto"/>
        </w:rPr>
        <w:t>The Company and the Guarantor, jointly and severally, hereby indemnify the Trustee from, and agree to hold it harmless for, from and against any damage, cost, claim, loss, liability or expense (including, without limitation, the reasonable fees and expenses of the Trustee’s agents and counsel) incurred by it arising out of or in connection with its acceptance and administration of the trusts set forth under this Indenture, the performance of its obligations and/or the exercise of its rights hereunder, including, without limitation, the reasonable costs and expenses of defending itself against any claim, except as set forth in the next following paragraph. The Trustee shall notify the Company promptly of any claim for which it may seek indemnity. The Company and the Guarantor, as applicable, shall defend the claim, with counsel reasonably acceptable to the Trustee, and the Trustee shall cooperate in the defense, unless, the Trustee, in its reasonable discretion, determines that any actual or potential conflict of interest may exist, in which case the Trustee may have separate counsel, reasonably acceptable to the Company and the Guarantor, as applicable, and the Company and the Guarantor shall pay the reasonable fees and expenses of such counsel. The Company need not pay for any settlement made without its consent.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87" w:name="page88"/>
    <w:bookmarkEnd w:id="87"/>
    <w:p>
      <w:pPr>
        <w:ind w:right="4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not be obligated to reimburse any expense or indemnify against any loss or liability incurred by the Trustee through the Trustee’s own negligence or bad faith.</w:t>
      </w:r>
    </w:p>
    <w:p>
      <w:pPr>
        <w:spacing w:after="0" w:line="170"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To secure the payment obligations of the Company and the Guarantor in this Section 7.7, the Trustee shall have a lien prior to the Securities on all money or property held or collected by the Trustee, except that held in trust to pay principal of, premium (if any) and interest on and any Additional Amounts with respect to Securities of any Series. Such lien and the obligations of the Company and the Guarantor under this Section 7.7 shall survive the satisfaction and discharge of this Indenture, the payment of the Securities and/or the resignation or removal of the Trustee.</w:t>
      </w:r>
    </w:p>
    <w:p>
      <w:pPr>
        <w:spacing w:after="0" w:line="17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When the Trustee incurs expenses or renders services in connection with an Event of Default,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w:t>
      </w:r>
    </w:p>
    <w:p>
      <w:pPr>
        <w:spacing w:after="0" w:line="117"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 7.8.</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The Trustee may resign and be discharged at any time with respect to the Securities of one or more Series by so notifying the Company. The Holders of a majority in principal amount of the then outstanding Securities of any Series may remove the Trustee with respect to the Securities of such Series by so notifying the Trustee and the Company. The Company may remove the Trustee for any or all Series of the Securities if:</w:t>
      </w:r>
    </w:p>
    <w:p>
      <w:pPr>
        <w:spacing w:after="0" w:line="57" w:lineRule="exact"/>
        <w:rPr>
          <w:sz w:val="20"/>
          <w:szCs w:val="20"/>
          <w:color w:val="auto"/>
        </w:rPr>
      </w:pPr>
    </w:p>
    <w:p>
      <w:pPr>
        <w:ind w:left="1140" w:hanging="237"/>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140" w:lineRule="exact"/>
        <w:rPr>
          <w:rFonts w:ascii="Arial" w:cs="Arial" w:eastAsia="Arial" w:hAnsi="Arial"/>
          <w:sz w:val="16"/>
          <w:szCs w:val="16"/>
          <w:color w:val="auto"/>
        </w:rPr>
      </w:pPr>
    </w:p>
    <w:p>
      <w:pPr>
        <w:ind w:left="1140" w:hanging="237"/>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If the Trustee resigns or is removed or if a vacancy exists in the office of Trustee for any reason,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Within one year after the successor Trustee with respect to the Securities of any Series takes office, the Holders of a majority in principal amount of the Securities of such Series then outstanding may appoint a successor Trustee to replace the successor Trustee appointed by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88" w:name="page89"/>
    <w:bookmarkEnd w:id="88"/>
    <w:p>
      <w:pPr>
        <w:ind w:right="14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successor Trustee with respect to the Securities of any Series does not take office within 30 days after the retiring Trustee resigns or is removed, the retiring Trustee, the Company or the Holders of at least 10% in principal amount of the then outstanding Securities of such Series may petition any court of competent jurisdiction for the appointment of a successor Trustee with respect to the Securities of such Series.</w:t>
      </w:r>
    </w:p>
    <w:p>
      <w:pPr>
        <w:spacing w:after="0" w:line="166"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If the Trustee with respect to the Securities of a Series fails to comply with Section 7.10, any Holder of Securities of such Series may petition any court of competent jurisdiction for the removal of the Trustee and the appointment of a successor Trustee with respect to the Securities of such Series.</w:t>
      </w:r>
    </w:p>
    <w:p>
      <w:pPr>
        <w:spacing w:after="0" w:line="124"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In case of the appointment of a successor Trustee with respect to all Securities, each such successor Trustee shall deliver a written acceptance of its appointment to the retiring Trustee and to the Company. Thereupon the resignation or removal of the retiring Trustee shall become effective, and the successor Trustee shall have all the rights, powers and duties of the retiring Trustee under this Indenture. The successor Trustee shall give a notice of its succession to Holders in accordance with Section 10.1. The retiring Trustee shall promptly transfer all property held by it as Trustee to the successor Trustee, subject to the lien provided for in Section 7.7.</w:t>
      </w:r>
    </w:p>
    <w:p>
      <w:pPr>
        <w:spacing w:after="0" w:line="188"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In case of the appointment of a successor Trustee with respect to the Securities of one or more Series, the Company, the retiring Trustee and each successor Trustee with respect to the Securities of one or more Series shall execute and deliver an indenture supplemental hereto in which each successor Trustee shall accept such appointment and that (1) shall confer to each successor Trustee all the rights, powers and duties of the retiring Trustee with respect to the Securities of that or those Series to which the appointment of such successor Trustee relates, (2) if the retiring Trustee is not retiring with respect to all Securities, shall confirm that all the rights, powers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Nothing herein or in such supplemental indenture shall constitute such Trustees co-trustees of the same trust, and each such Trustee shall be trustee of a trust or trusts hereunder separate and apart from any trust or trusts hereunder administered by any other such Trustee. Upon the execution and delivery of such supplemental indenture, the resignation or removal of the retiring Trustee shall become effective to the extent provided therein and each such successor Trustee shall have all the rights, powers and duties of the retiring Trustee with respect to the Securities of that or those Series to which the appointment of such successor Trustee relates. On request of the Company, or any successor Trustee, such retiring Trustee shall transfer to such successor Trustee all property held by such retiring Trustee as Trustee with respect to the Securities of that or those Series to which the appointment of such successor Trustee relates. Such retiring Trustee shall, however, have the right to deduct its unpaid fees and expenses, including attorneys’ fees.</w:t>
      </w:r>
    </w:p>
    <w:p>
      <w:pPr>
        <w:spacing w:after="0" w:line="172"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Notwithstanding replacement of the Trustee or Trustees pursuant to this Section 7.8, the obligations of the Company or the Guarantor under Section 7.7 shall continue for the benefit of the retiring Trustee or Trustees.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89" w:name="page90"/>
    <w:bookmarkEnd w:id="8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7.9. </w:t>
      </w:r>
      <w:r>
        <w:rPr>
          <w:rFonts w:ascii="Arial" w:cs="Arial" w:eastAsia="Arial" w:hAnsi="Arial"/>
          <w:sz w:val="18"/>
          <w:szCs w:val="18"/>
          <w:u w:val="single" w:color="auto"/>
          <w:color w:val="auto"/>
        </w:rPr>
        <w:t>Successor Trustee by Merger, etc.</w:t>
      </w:r>
    </w:p>
    <w:p>
      <w:pPr>
        <w:spacing w:after="0" w:line="117" w:lineRule="exact"/>
        <w:rPr>
          <w:sz w:val="20"/>
          <w:szCs w:val="20"/>
          <w:color w:val="auto"/>
        </w:rPr>
      </w:pPr>
    </w:p>
    <w:p>
      <w:pPr>
        <w:ind w:right="360" w:firstLine="913"/>
        <w:spacing w:after="0" w:line="308" w:lineRule="auto"/>
        <w:rPr>
          <w:sz w:val="20"/>
          <w:szCs w:val="20"/>
          <w:color w:val="auto"/>
        </w:rPr>
      </w:pPr>
      <w:r>
        <w:rPr>
          <w:rFonts w:ascii="Arial" w:cs="Arial" w:eastAsia="Arial" w:hAnsi="Arial"/>
          <w:sz w:val="17"/>
          <w:szCs w:val="17"/>
          <w:color w:val="auto"/>
        </w:rPr>
        <w:t>Subject to Section 7.10, if the Trustee consolidates, merges or converts into, or transfers all or substantially all of its corporate trust business (including this transaction) to, another corporation, the successor corporation without any further act shall be the successor Trustee.</w:t>
      </w:r>
    </w:p>
    <w:p>
      <w:pPr>
        <w:spacing w:after="0" w:line="14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case any Securities shall have been authenticated, but not delivered, by the Trustee then in office, any successor by merger, conversion or consolidation to such authenticating Trustee may adopt such authentication and deliver the Securities so authenticated; and in case at that time any of the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There shall at all times be a Trustee hereunder which shall be a corporation or banking association organized and doing business under the laws of the United States, any State thereof or the District of Columbia and authorized under such laws to exercise corporate trust power, shall be subject to supervision or examination by Federal or State (or the District of Columbia) authority and shall have, or be a subsidiary of a bank or bank holding company having, a combined capital and surplus of at least $50 million as set forth in its most recent published annual report of condition.</w:t>
      </w:r>
    </w:p>
    <w:p>
      <w:pPr>
        <w:spacing w:after="0" w:line="171"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The Indenture shall always have a Trustee who satisfies the requirements of TIA §§ 310(a)(1), 310(a)(2) and 310(a)(5). The Trustee is subject to and shall comply with the provisions of TIA § 310(b) during the period of time required by this Indenture. Nothing in this Indenture shall prevent the Trustee from filing with the SEC the application referred to in the penultimate paragraph of TIA § 310(b).</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w:t>
      </w:r>
    </w:p>
    <w:p>
      <w:pPr>
        <w:spacing w:after="0" w:line="117"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The Trustee is subject to and shall comply with the provisions of TIA § 311(a), as if such section applied hereto, excluding any creditor relationship listed in TIA § 311(b). A Trustee who has resigned or been removed shall be subject to TIA § 311(a), as if such section applied hereto, to the extent indicated therein.</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DISCHARGE OF INDENTURE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Termination of Company’s Obligations</w:t>
      </w:r>
      <w:r>
        <w:rPr>
          <w:rFonts w:ascii="Arial" w:cs="Arial" w:eastAsia="Arial" w:hAnsi="Arial"/>
          <w:sz w:val="18"/>
          <w:szCs w:val="18"/>
          <w:color w:val="auto"/>
        </w:rPr>
        <w:t>.</w:t>
      </w:r>
    </w:p>
    <w:p>
      <w:pPr>
        <w:spacing w:after="0" w:line="117" w:lineRule="exact"/>
        <w:rPr>
          <w:sz w:val="20"/>
          <w:szCs w:val="20"/>
          <w:color w:val="auto"/>
        </w:rPr>
      </w:pPr>
    </w:p>
    <w:p>
      <w:pPr>
        <w:ind w:right="160" w:firstLine="464"/>
        <w:spacing w:after="0" w:line="259" w:lineRule="auto"/>
        <w:tabs>
          <w:tab w:leader="none" w:pos="70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Indenture shall cease to be of further effect with respect to the Securities of a Series (except that all obligations of the Company and the Guarantor under Section 7.7, the Trustee’s and Paying Agent’s obligations under Section 8.3 and the rights, powers, protections and privileges accorded the Trustee under Article VII shall survive), and the Trustee, on written demand of the Company shall execute instruments acknowledging the satisfaction and discharge of this Indenture with respect to the Securities of such Series, when:</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74" w:right="299" w:bottom="1440" w:gutter="0" w:footer="0" w:header="0"/>
        </w:sectPr>
      </w:pPr>
    </w:p>
    <w:bookmarkStart w:id="90" w:name="page91"/>
    <w:bookmarkEnd w:id="90"/>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 either</w:t>
      </w:r>
    </w:p>
    <w:p>
      <w:pPr>
        <w:spacing w:after="0" w:line="117" w:lineRule="exact"/>
        <w:rPr>
          <w:sz w:val="20"/>
          <w:szCs w:val="20"/>
          <w:color w:val="auto"/>
        </w:rPr>
      </w:pPr>
    </w:p>
    <w:p>
      <w:pPr>
        <w:ind w:left="1940" w:right="620" w:firstLine="4"/>
        <w:spacing w:after="0" w:line="308" w:lineRule="auto"/>
        <w:tabs>
          <w:tab w:leader="none" w:pos="2235" w:val="left"/>
        </w:tabs>
        <w:numPr>
          <w:ilvl w:val="0"/>
          <w:numId w:val="85"/>
        </w:numPr>
        <w:rPr>
          <w:rFonts w:ascii="Arial" w:cs="Arial" w:eastAsia="Arial" w:hAnsi="Arial"/>
          <w:sz w:val="17"/>
          <w:szCs w:val="17"/>
          <w:color w:val="auto"/>
        </w:rPr>
      </w:pPr>
      <w:r>
        <w:rPr>
          <w:rFonts w:ascii="Arial" w:cs="Arial" w:eastAsia="Arial" w:hAnsi="Arial"/>
          <w:sz w:val="17"/>
          <w:szCs w:val="17"/>
          <w:color w:val="auto"/>
        </w:rPr>
        <w:t>all outstanding Securities of such Series theretofore authenticated and issued (other than destroyed, lost or stolen Securities that have been replaced or paid) have been delivered to the Trustee for cancellation; or</w:t>
      </w:r>
    </w:p>
    <w:p>
      <w:pPr>
        <w:spacing w:after="0" w:line="38" w:lineRule="exact"/>
        <w:rPr>
          <w:rFonts w:ascii="Arial" w:cs="Arial" w:eastAsia="Arial" w:hAnsi="Arial"/>
          <w:sz w:val="17"/>
          <w:szCs w:val="17"/>
          <w:color w:val="auto"/>
        </w:rPr>
      </w:pPr>
    </w:p>
    <w:p>
      <w:pPr>
        <w:ind w:left="2220" w:hanging="276"/>
        <w:spacing w:after="0"/>
        <w:tabs>
          <w:tab w:leader="none" w:pos="2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outstanding Securities of such Series not theretofore delivered to the Trustee for cancellation:</w:t>
      </w:r>
    </w:p>
    <w:p>
      <w:pPr>
        <w:spacing w:after="0" w:line="117" w:lineRule="exact"/>
        <w:rPr>
          <w:rFonts w:ascii="Arial" w:cs="Arial" w:eastAsia="Arial" w:hAnsi="Arial"/>
          <w:sz w:val="18"/>
          <w:szCs w:val="18"/>
          <w:color w:val="auto"/>
        </w:rPr>
      </w:pPr>
    </w:p>
    <w:p>
      <w:pPr>
        <w:ind w:left="2720" w:hanging="205"/>
        <w:spacing w:after="0"/>
        <w:tabs>
          <w:tab w:leader="none" w:pos="27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2780" w:hanging="265"/>
        <w:spacing w:after="0"/>
        <w:tabs>
          <w:tab w:leader="none" w:pos="27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2520" w:right="160" w:hanging="5"/>
        <w:spacing w:after="0" w:line="277" w:lineRule="auto"/>
        <w:tabs>
          <w:tab w:leader="none" w:pos="2835" w:val="left"/>
        </w:tabs>
        <w:numPr>
          <w:ilvl w:val="1"/>
          <w:numId w:val="85"/>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in the case of clause (i), (ii) or (iii) above, the Company has irrevocably deposited or caused to be deposited with the Trustee as funds (immediately available to the Holders in the case of clause (i)) in trust for such purpose (x) cash in an amount, or (y) Government Obligations, maturing as to principal and interest at such times and in such amounts as will ensure the availability of cash in an amount or (z) a combination thereof which will be sufficient, in the opinion (in case of (y) or (z)) of a nationally recognized firm of independent public accountants expressed in a written certification thereof delivered to the Trustee, to pay and discharge the entire indebtedness on the Securities of such Series for principal and interest to the date of such deposit (in the case of Securities which have become due and payable) or for principal, premium, if any, and interest to the Stated Maturity or redemption date, as the case may be; or</w:t>
      </w:r>
    </w:p>
    <w:p>
      <w:pPr>
        <w:spacing w:after="0" w:line="81" w:lineRule="exact"/>
        <w:rPr>
          <w:sz w:val="20"/>
          <w:szCs w:val="20"/>
          <w:color w:val="auto"/>
        </w:rPr>
      </w:pPr>
    </w:p>
    <w:p>
      <w:pPr>
        <w:ind w:left="1940" w:right="80" w:firstLine="4"/>
        <w:spacing w:after="0" w:line="277" w:lineRule="auto"/>
        <w:tabs>
          <w:tab w:leader="none" w:pos="2225"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Company has properly fulfilled such other means of satisfaction and discharge, as contemplated by Section 2.2 to be applicable to the Securities of such Series,</w:t>
      </w:r>
    </w:p>
    <w:p>
      <w:pPr>
        <w:spacing w:after="0" w:line="62" w:lineRule="exact"/>
        <w:rPr>
          <w:rFonts w:ascii="Arial" w:cs="Arial" w:eastAsia="Arial" w:hAnsi="Arial"/>
          <w:sz w:val="18"/>
          <w:szCs w:val="18"/>
          <w:color w:val="auto"/>
        </w:rPr>
      </w:pPr>
    </w:p>
    <w:p>
      <w:pPr>
        <w:ind w:left="1140" w:hanging="259"/>
        <w:spacing w:after="0"/>
        <w:tabs>
          <w:tab w:leader="none" w:pos="11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Company has paid or caused to be paid all other sums payable by it hereunder with respect to the Securities of such Series; and</w:t>
      </w:r>
    </w:p>
    <w:p>
      <w:pPr>
        <w:spacing w:after="0" w:line="140" w:lineRule="exact"/>
        <w:rPr>
          <w:rFonts w:ascii="Arial" w:cs="Arial" w:eastAsia="Arial" w:hAnsi="Arial"/>
          <w:sz w:val="16"/>
          <w:szCs w:val="16"/>
          <w:color w:val="auto"/>
        </w:rPr>
      </w:pPr>
    </w:p>
    <w:p>
      <w:pPr>
        <w:ind w:left="460" w:right="240" w:firstLine="421"/>
        <w:spacing w:after="0" w:line="342" w:lineRule="auto"/>
        <w:tabs>
          <w:tab w:leader="none" w:pos="1135"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stating that all conditions precedent to satisfaction and discharge of this Indenture with respect to the Securities of such Series have been complied with, together with an Opinion of Counsel to the same effect.</w:t>
      </w:r>
    </w:p>
    <w:p>
      <w:pPr>
        <w:spacing w:after="0" w:line="5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700" w:top="274" w:right="239" w:bottom="1440" w:gutter="0" w:footer="0" w:header="0"/>
        </w:sectPr>
      </w:pPr>
    </w:p>
    <w:bookmarkStart w:id="91" w:name="page92"/>
    <w:bookmarkEnd w:id="91"/>
    <w:p>
      <w:pPr>
        <w:ind w:left="-100" w:right="520" w:firstLine="464"/>
        <w:spacing w:after="0" w:line="308" w:lineRule="auto"/>
        <w:tabs>
          <w:tab w:leader="none" w:pos="611" w:val="left"/>
        </w:tabs>
        <w:numPr>
          <w:ilvl w:val="0"/>
          <w:numId w:val="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this Section 8.1(b) is specified as not being applicable to Securities of a Series as contemplated by Section 2.2, the Company may be discharged from certain of its obligations under this Indenture (“</w:t>
      </w:r>
      <w:r>
        <w:rPr>
          <w:rFonts w:ascii="Arial" w:cs="Arial" w:eastAsia="Arial" w:hAnsi="Arial"/>
          <w:sz w:val="17"/>
          <w:szCs w:val="17"/>
          <w:i w:val="1"/>
          <w:iCs w:val="1"/>
          <w:color w:val="auto"/>
        </w:rPr>
        <w:t>covenant defeasance</w:t>
      </w:r>
      <w:r>
        <w:rPr>
          <w:rFonts w:ascii="Arial" w:cs="Arial" w:eastAsia="Arial" w:hAnsi="Arial"/>
          <w:sz w:val="17"/>
          <w:szCs w:val="17"/>
          <w:color w:val="auto"/>
        </w:rPr>
        <w:t>”) with respect to the Securities of a Series if:</w:t>
      </w:r>
    </w:p>
    <w:p>
      <w:pPr>
        <w:spacing w:after="0" w:line="38" w:lineRule="exact"/>
        <w:rPr>
          <w:rFonts w:ascii="Arial" w:cs="Arial" w:eastAsia="Arial" w:hAnsi="Arial"/>
          <w:sz w:val="17"/>
          <w:szCs w:val="17"/>
          <w:color w:val="auto"/>
        </w:rPr>
      </w:pPr>
    </w:p>
    <w:p>
      <w:pPr>
        <w:ind w:left="820" w:firstLine="421"/>
        <w:spacing w:after="0" w:line="286" w:lineRule="auto"/>
        <w:tabs>
          <w:tab w:leader="none" w:pos="1495" w:val="left"/>
        </w:tabs>
        <w:numPr>
          <w:ilvl w:val="2"/>
          <w:numId w:val="88"/>
        </w:numPr>
        <w:rPr>
          <w:rFonts w:ascii="Arial" w:cs="Arial" w:eastAsia="Arial" w:hAnsi="Arial"/>
          <w:sz w:val="16"/>
          <w:szCs w:val="16"/>
          <w:color w:val="auto"/>
        </w:rPr>
      </w:pPr>
      <w:r>
        <w:rPr>
          <w:rFonts w:ascii="Arial" w:cs="Arial" w:eastAsia="Arial" w:hAnsi="Arial"/>
          <w:sz w:val="16"/>
          <w:szCs w:val="16"/>
          <w:color w:val="auto"/>
        </w:rPr>
        <w:t>the Company has irrevocably deposited or caused to be irrevocably deposited with the Trustee as trust funds in trust for the purpose of making the following payments, specifically pledged as security for and dedicated solely to the benefit of the Holders of Securities of such Series, (i) money, or (ii) Government Obligations with respect to such Series, maturing as to principal and interest at such times and in such amounts as will ensure the availability of money in the currency in which payment of the Securities of such Series is to be made in an amount or</w:t>
      </w:r>
    </w:p>
    <w:p>
      <w:pPr>
        <w:spacing w:after="0" w:line="1" w:lineRule="exact"/>
        <w:rPr>
          <w:rFonts w:ascii="Arial" w:cs="Arial" w:eastAsia="Arial" w:hAnsi="Arial"/>
          <w:sz w:val="16"/>
          <w:szCs w:val="16"/>
          <w:color w:val="auto"/>
        </w:rPr>
      </w:pPr>
    </w:p>
    <w:p>
      <w:pPr>
        <w:ind w:left="820" w:right="120" w:firstLine="1"/>
        <w:spacing w:after="0" w:line="270" w:lineRule="auto"/>
        <w:tabs>
          <w:tab w:leader="none" w:pos="1135" w:val="left"/>
        </w:tabs>
        <w:numPr>
          <w:ilvl w:val="1"/>
          <w:numId w:val="88"/>
        </w:numPr>
        <w:rPr>
          <w:rFonts w:ascii="Arial" w:cs="Arial" w:eastAsia="Arial" w:hAnsi="Arial"/>
          <w:sz w:val="17"/>
          <w:szCs w:val="17"/>
          <w:color w:val="auto"/>
        </w:rPr>
      </w:pPr>
      <w:r>
        <w:rPr>
          <w:rFonts w:ascii="Arial" w:cs="Arial" w:eastAsia="Arial" w:hAnsi="Arial"/>
          <w:sz w:val="17"/>
          <w:szCs w:val="17"/>
          <w:color w:val="auto"/>
        </w:rPr>
        <w:t>a combination thereof, that is sufficient, in the opinion (in the case of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8.1(e))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spacing w:after="0" w:line="70" w:lineRule="exact"/>
        <w:rPr>
          <w:rFonts w:ascii="Arial" w:cs="Arial" w:eastAsia="Arial" w:hAnsi="Arial"/>
          <w:sz w:val="17"/>
          <w:szCs w:val="17"/>
          <w:color w:val="auto"/>
        </w:rPr>
      </w:pPr>
    </w:p>
    <w:p>
      <w:pPr>
        <w:ind w:left="820" w:right="340" w:firstLine="421"/>
        <w:spacing w:after="0" w:line="308" w:lineRule="auto"/>
        <w:tabs>
          <w:tab w:leader="none" w:pos="1495" w:val="left"/>
        </w:tabs>
        <w:numPr>
          <w:ilvl w:val="2"/>
          <w:numId w:val="89"/>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stating that all conditions precedent to covenant defeasance with respect to the Securities of such Series have been complied with, and an Opinion of Counsel to the same effect;</w:t>
      </w:r>
    </w:p>
    <w:p>
      <w:pPr>
        <w:spacing w:after="0" w:line="38" w:lineRule="exact"/>
        <w:rPr>
          <w:rFonts w:ascii="Arial" w:cs="Arial" w:eastAsia="Arial" w:hAnsi="Arial"/>
          <w:sz w:val="17"/>
          <w:szCs w:val="17"/>
          <w:color w:val="auto"/>
        </w:rPr>
      </w:pPr>
    </w:p>
    <w:p>
      <w:pPr>
        <w:ind w:left="1500" w:hanging="259"/>
        <w:spacing w:after="0"/>
        <w:tabs>
          <w:tab w:leader="none" w:pos="1500" w:val="left"/>
        </w:tabs>
        <w:numPr>
          <w:ilvl w:val="2"/>
          <w:numId w:val="89"/>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 such</w:t>
      </w:r>
    </w:p>
    <w:p>
      <w:pPr>
        <w:spacing w:after="0" w:line="46"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8"/>
          <w:szCs w:val="18"/>
          <w:color w:val="auto"/>
        </w:rPr>
        <w:t>deposit;</w:t>
      </w:r>
    </w:p>
    <w:p>
      <w:pPr>
        <w:spacing w:after="0" w:line="102" w:lineRule="exact"/>
        <w:rPr>
          <w:rFonts w:ascii="Arial" w:cs="Arial" w:eastAsia="Arial" w:hAnsi="Arial"/>
          <w:sz w:val="16"/>
          <w:szCs w:val="16"/>
          <w:color w:val="auto"/>
        </w:rPr>
      </w:pPr>
    </w:p>
    <w:p>
      <w:pPr>
        <w:jc w:val="both"/>
        <w:ind w:left="820" w:right="20" w:firstLine="421"/>
        <w:spacing w:after="0" w:line="302" w:lineRule="auto"/>
        <w:tabs>
          <w:tab w:leader="none" w:pos="1495" w:val="left"/>
        </w:tabs>
        <w:numPr>
          <w:ilvl w:val="2"/>
          <w:numId w:val="89"/>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Opinion of Counsel from a nationally recognized counsel acceptable to the Trustee or a tax ruling to the effect that the beneficial owners of the Securities of such Series will not recognize income, gain or loss for Federal income tax purposes as a result of the Company’s exercise of its option under this Section 8.1(b) and will be subject to Federal income tax on the same amount and in the same manner and at the same times as would have been the case if such option had not been exercised;</w:t>
      </w:r>
    </w:p>
    <w:p>
      <w:pPr>
        <w:spacing w:after="0" w:line="46" w:lineRule="exact"/>
        <w:rPr>
          <w:rFonts w:ascii="Arial" w:cs="Arial" w:eastAsia="Arial" w:hAnsi="Arial"/>
          <w:sz w:val="16"/>
          <w:szCs w:val="16"/>
          <w:color w:val="auto"/>
        </w:rPr>
      </w:pPr>
    </w:p>
    <w:p>
      <w:pPr>
        <w:ind w:left="820" w:right="40" w:firstLine="421"/>
        <w:spacing w:after="0" w:line="277" w:lineRule="auto"/>
        <w:tabs>
          <w:tab w:leader="none" w:pos="1495"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the Company has complied with any additional conditions specified pursuant to Section 2.2 to be applicable to covenant defeasance in respect of the Securities of such Series pursuant to this Section 8.1; and</w:t>
      </w:r>
    </w:p>
    <w:p>
      <w:pPr>
        <w:spacing w:after="0" w:line="62" w:lineRule="exact"/>
        <w:rPr>
          <w:rFonts w:ascii="Arial" w:cs="Arial" w:eastAsia="Arial" w:hAnsi="Arial"/>
          <w:sz w:val="18"/>
          <w:szCs w:val="18"/>
          <w:color w:val="auto"/>
        </w:rPr>
      </w:pPr>
    </w:p>
    <w:p>
      <w:pPr>
        <w:ind w:left="1500" w:hanging="259"/>
        <w:spacing w:after="0"/>
        <w:tabs>
          <w:tab w:leader="none" w:pos="1500" w:val="left"/>
        </w:tabs>
        <w:numPr>
          <w:ilvl w:val="2"/>
          <w:numId w:val="89"/>
        </w:numPr>
        <w:rPr>
          <w:rFonts w:ascii="Arial" w:cs="Arial" w:eastAsia="Arial" w:hAnsi="Arial"/>
          <w:sz w:val="17"/>
          <w:szCs w:val="17"/>
          <w:color w:val="auto"/>
        </w:rPr>
      </w:pPr>
      <w:r>
        <w:rPr>
          <w:rFonts w:ascii="Arial" w:cs="Arial" w:eastAsia="Arial" w:hAnsi="Arial"/>
          <w:sz w:val="17"/>
          <w:szCs w:val="17"/>
          <w:color w:val="auto"/>
        </w:rPr>
        <w:t>such deposit and covenant defeasance shall not cause the Trustee to have a conflicting interest as defined in TIA § 310(b).</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40" w:top="274" w:right="339" w:bottom="1440" w:gutter="0" w:footer="0" w:header="0"/>
        </w:sectPr>
      </w:pPr>
    </w:p>
    <w:bookmarkStart w:id="92" w:name="page93"/>
    <w:bookmarkEnd w:id="92"/>
    <w:p>
      <w:pPr>
        <w:ind w:right="80" w:firstLine="913"/>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such event, this Indenture shall cease to be of further effect except that the Company’s and the Guarantor’s obligations in Sections 2.4, 2.5, 2.6, 2.7, 2.8, 4.1, 4.6, 5.1, 7.7 and 7.8, the Trustee’s and Paying Agent’s obligations in Section 8.3 and the rights, powers, protections and privileges accorded the Trustee under Article VII shall survive until all Securities of such Series are no longer outstanding. Thereafter, only the obligations of the Company and the Guarantor in Section 7.7 and the Trustee’s and Paying Agent’s obligations in Section 8.3 shall survive with respect to Securities of such Series.</w:t>
      </w:r>
    </w:p>
    <w:p>
      <w:pPr>
        <w:spacing w:after="0" w:line="154"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In order to have money available on a payment date to pay principal of or premium (if any) or interest on the Securities, the Government Obligations shall be payable as to principal or interest on or before such payment date in such amounts as will provide the necessary money. Government Obligations shall not be callable at the issuer’s option.</w:t>
      </w:r>
    </w:p>
    <w:p>
      <w:pPr>
        <w:spacing w:after="0" w:line="73" w:lineRule="exact"/>
        <w:rPr>
          <w:sz w:val="20"/>
          <w:szCs w:val="20"/>
          <w:color w:val="auto"/>
        </w:rPr>
      </w:pPr>
    </w:p>
    <w:p>
      <w:pPr>
        <w:jc w:val="both"/>
        <w:ind w:right="140" w:firstLine="464"/>
        <w:spacing w:after="0" w:line="259" w:lineRule="auto"/>
        <w:tabs>
          <w:tab w:leader="none" w:pos="701"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Company has previously complied or is concurrently complying with Section 8.1(b) (other than any additional conditions specified pursuant to Section 2.2 that are expressly applicable only to covenant defeasance) with respect to Securities of a Series, then unless this Section 8.1(c) is specified as not being applicable to Securities of such Series as contemplated by Section 2.2, the Company may elect to be discharged (“</w:t>
      </w:r>
      <w:r>
        <w:rPr>
          <w:rFonts w:ascii="Arial" w:cs="Arial" w:eastAsia="Arial" w:hAnsi="Arial"/>
          <w:sz w:val="18"/>
          <w:szCs w:val="18"/>
          <w:i w:val="1"/>
          <w:iCs w:val="1"/>
          <w:color w:val="auto"/>
        </w:rPr>
        <w:t>legal defeasance</w:t>
      </w:r>
      <w:r>
        <w:rPr>
          <w:rFonts w:ascii="Arial" w:cs="Arial" w:eastAsia="Arial" w:hAnsi="Arial"/>
          <w:sz w:val="18"/>
          <w:szCs w:val="18"/>
          <w:color w:val="auto"/>
        </w:rPr>
        <w:t>”) from its obligations to make payments with respect to Securities of such Series, if:</w:t>
      </w:r>
    </w:p>
    <w:p>
      <w:pPr>
        <w:spacing w:after="0" w:line="78" w:lineRule="exact"/>
        <w:rPr>
          <w:rFonts w:ascii="Arial" w:cs="Arial" w:eastAsia="Arial" w:hAnsi="Arial"/>
          <w:sz w:val="18"/>
          <w:szCs w:val="18"/>
          <w:color w:val="auto"/>
        </w:rPr>
      </w:pPr>
    </w:p>
    <w:p>
      <w:pPr>
        <w:ind w:left="920" w:firstLine="421"/>
        <w:spacing w:after="0" w:line="264" w:lineRule="auto"/>
        <w:tabs>
          <w:tab w:leader="none" w:pos="1595" w:val="left"/>
        </w:tabs>
        <w:numPr>
          <w:ilvl w:val="1"/>
          <w:numId w:val="90"/>
        </w:numPr>
        <w:rPr>
          <w:rFonts w:ascii="Arial" w:cs="Arial" w:eastAsia="Arial" w:hAnsi="Arial"/>
          <w:sz w:val="18"/>
          <w:szCs w:val="18"/>
          <w:color w:val="auto"/>
        </w:rPr>
      </w:pPr>
      <w:r>
        <w:rPr>
          <w:rFonts w:ascii="Arial" w:cs="Arial" w:eastAsia="Arial" w:hAnsi="Arial"/>
          <w:sz w:val="18"/>
          <w:szCs w:val="18"/>
          <w:color w:val="auto"/>
        </w:rPr>
        <w:t>no Default or Event of Default under clauses (f) and (g) of Section 6.1 hereof shall have occurred at any time during the period ending on the 91st day after the date of deposit contemplated by Section 8.1(b) (it being understood that this condition shall not be deemed satisfied until the expiration of such period);</w:t>
      </w:r>
    </w:p>
    <w:p>
      <w:pPr>
        <w:spacing w:after="0" w:line="73" w:lineRule="exact"/>
        <w:rPr>
          <w:rFonts w:ascii="Arial" w:cs="Arial" w:eastAsia="Arial" w:hAnsi="Arial"/>
          <w:sz w:val="18"/>
          <w:szCs w:val="18"/>
          <w:color w:val="auto"/>
        </w:rPr>
      </w:pPr>
    </w:p>
    <w:p>
      <w:pPr>
        <w:ind w:left="920" w:right="120" w:firstLine="421"/>
        <w:spacing w:after="0" w:line="273" w:lineRule="auto"/>
        <w:tabs>
          <w:tab w:leader="none" w:pos="1595" w:val="left"/>
        </w:tabs>
        <w:numPr>
          <w:ilvl w:val="1"/>
          <w:numId w:val="90"/>
        </w:numPr>
        <w:rPr>
          <w:rFonts w:ascii="Arial" w:cs="Arial" w:eastAsia="Arial" w:hAnsi="Arial"/>
          <w:sz w:val="17"/>
          <w:szCs w:val="17"/>
          <w:color w:val="auto"/>
        </w:rPr>
      </w:pPr>
      <w:r>
        <w:rPr>
          <w:rFonts w:ascii="Arial" w:cs="Arial" w:eastAsia="Arial" w:hAnsi="Arial"/>
          <w:sz w:val="17"/>
          <w:szCs w:val="17"/>
          <w:color w:val="auto"/>
        </w:rPr>
        <w:t>unless otherwise specified with respect to Securities of such Series as contemplated by Section 2.2, the Company has delivered to the Trustee an Opinion of Counsel from a nationally recognized counsel acceptable to the Trustee to the effect referred to in Section 8.1(b)(4) with respect to such legal defeasance, which opinion is based on (i) a private ruling of the Internal Revenue Service addressed to the Company or the Trustee, (ii) a published ruling of the Internal Revenue Service or (iii) a change in the applicable Federal income tax law (including regulations) after the date of this Indenture; the Company has complied with any other conditions specified pursuant to Section 2.2 to be applicable to the legal defeasance of Securities of such Series pursuant to this Section 8.1(c); and</w:t>
      </w:r>
    </w:p>
    <w:p>
      <w:pPr>
        <w:spacing w:after="0" w:line="70" w:lineRule="exact"/>
        <w:rPr>
          <w:rFonts w:ascii="Arial" w:cs="Arial" w:eastAsia="Arial" w:hAnsi="Arial"/>
          <w:sz w:val="17"/>
          <w:szCs w:val="17"/>
          <w:color w:val="auto"/>
        </w:rPr>
      </w:pPr>
    </w:p>
    <w:p>
      <w:pPr>
        <w:ind w:left="920" w:right="120" w:firstLine="421"/>
        <w:spacing w:after="0" w:line="264" w:lineRule="auto"/>
        <w:tabs>
          <w:tab w:leader="none" w:pos="1595"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Company has delivered to the Trustee a Company Request requesting such legal defeasance of the Securities of such Series and an Officer’s Certificate stating that all conditions precedent with respect to such legal defeasance of the Securities of such Series have been complied with, together with an Opinion of Counsel to the same effect.</w:t>
      </w:r>
    </w:p>
    <w:p>
      <w:pPr>
        <w:spacing w:after="0" w:line="181"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In such event, the Company will be discharged from its obligations under this Indenture, except for the Company’s obligations to register the transfer or exchange of Securities, replace stolen, lost or mutilated Securities, pay Additional Amounts, maintain paying agencies and hold moneys for payment in trust and to compensate and indemnify the Trustee, and the entire indebtedness of the Company evidenced by such Securities shall be deemed paid and discharged.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93" w:name="page94"/>
    <w:bookmarkEnd w:id="93"/>
    <w:p>
      <w:pPr>
        <w:ind w:firstLine="464"/>
        <w:spacing w:after="0" w:line="259" w:lineRule="auto"/>
        <w:tabs>
          <w:tab w:leader="none" w:pos="711"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and to the extent additional or alternative means of satisfaction, discharge or defeasance of Securities of a Series are specified to be applicable to such Series as contemplated by Section 2.2, the Company may terminate any or all of its obligations under this Indenture with respect to its Securities of a Series and any or all of its obligations under the Securities of such Series if it fulfills such other means of satisfaction and discharge as may be so specified, as contemplated by Section 2.2, to be applicable to the Securities of such Series.</w:t>
      </w:r>
    </w:p>
    <w:p>
      <w:pPr>
        <w:spacing w:after="0" w:line="78" w:lineRule="exact"/>
        <w:rPr>
          <w:rFonts w:ascii="Arial" w:cs="Arial" w:eastAsia="Arial" w:hAnsi="Arial"/>
          <w:sz w:val="18"/>
          <w:szCs w:val="18"/>
          <w:color w:val="auto"/>
        </w:rPr>
      </w:pPr>
    </w:p>
    <w:p>
      <w:pPr>
        <w:jc w:val="both"/>
        <w:ind w:right="20" w:firstLine="464"/>
        <w:spacing w:after="0" w:line="259" w:lineRule="auto"/>
        <w:tabs>
          <w:tab w:leader="none" w:pos="701"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Securities of any Series subject to subsections (a), (b), (c) or (d) of this Section 8.1 are to be redeemed prior to their Stated Maturity, whether pursuant to any optional redemption provisions or in accordance with any mandatory or optional sinking fund provisions, the terms of the applicable trust arrangement shall provide for such redemption, and the Company shall make such arrangements as are reasonably satisfactory to the Trustee for the giving of notice of redemption in the name, and at the expense, of the Company.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Trustee or a trustee satisfactory to the Trustee and the Company shall hold in trust money or Government Obligations deposited with it pursuant to Section 8.1 hereof. It shall apply the deposited money and the money from Government Obligations through the Paying Agent and in accordance with this Indenture to the payment of principal of premium (if any) and interest on and any Additional Amounts with respect to the Securities of the Series with respect to which the deposit was made.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11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The Trustee and the Paying Agent shall promptly pay to the Company upon written request any excess money or Government Obligations (or proceeds therefrom) held by them at any time upon the written request of the Company.</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If the Trustee or the Paying Agent is unable to apply any money or Government Obligations deposited with respect to Securities of any Series in accordance with Section 8.1 by reason of any legal proceeding or by reason of any order or judgment of any court or governmental authority enjoining, restraining or otherwise prohibiting such application,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74" w:right="279" w:bottom="1440" w:gutter="0" w:footer="0" w:header="0"/>
        </w:sectPr>
      </w:pPr>
    </w:p>
    <w:bookmarkStart w:id="94" w:name="page95"/>
    <w:bookmarkEnd w:id="94"/>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or Government Obligations in accordance with Section 8.1;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Company has made any payment of principal of, premium (if any) or interest on or any Additional Amounts with respect to any Securities because of the reinstatement of its obligations, the Company shall be subrogated to the rights of the Holders of such Securities to receive such payment from the money or Government Obligations held by the Trustee or the Paying Agent.</w:t>
      </w: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AMENDMENTS AND WAIVERS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Without the consent of any Holder of Securities of a Series, the Company, the Guarantor and the Trustee may amend or supplement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 such Series of Securities or the Guarantee in the following circumstances:</w:t>
      </w:r>
    </w:p>
    <w:p>
      <w:pPr>
        <w:spacing w:after="0" w:line="103" w:lineRule="exact"/>
        <w:rPr>
          <w:sz w:val="20"/>
          <w:szCs w:val="20"/>
          <w:color w:val="auto"/>
        </w:rPr>
      </w:pPr>
    </w:p>
    <w:p>
      <w:pPr>
        <w:ind w:left="1600" w:hanging="259"/>
        <w:spacing w:after="0"/>
        <w:tabs>
          <w:tab w:leader="none" w:pos="1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17" w:lineRule="exact"/>
        <w:rPr>
          <w:rFonts w:ascii="Arial" w:cs="Arial" w:eastAsia="Arial" w:hAnsi="Arial"/>
          <w:sz w:val="18"/>
          <w:szCs w:val="18"/>
          <w:color w:val="auto"/>
        </w:rPr>
      </w:pPr>
    </w:p>
    <w:p>
      <w:pPr>
        <w:ind w:left="920" w:firstLine="421"/>
        <w:spacing w:after="0" w:line="286" w:lineRule="auto"/>
        <w:tabs>
          <w:tab w:leader="none" w:pos="1595" w:val="left"/>
        </w:tabs>
        <w:numPr>
          <w:ilvl w:val="0"/>
          <w:numId w:val="92"/>
        </w:numPr>
        <w:rPr>
          <w:rFonts w:ascii="Arial" w:cs="Arial" w:eastAsia="Arial" w:hAnsi="Arial"/>
          <w:sz w:val="17"/>
          <w:szCs w:val="17"/>
          <w:color w:val="auto"/>
        </w:rPr>
      </w:pPr>
      <w:r>
        <w:rPr>
          <w:rFonts w:ascii="Arial" w:cs="Arial" w:eastAsia="Arial" w:hAnsi="Arial"/>
          <w:sz w:val="17"/>
          <w:szCs w:val="17"/>
          <w:color w:val="auto"/>
        </w:rPr>
        <w:t>to provide for the assumption of the Company’s obligations under this Indenture or the Securities or the Guarantor’s obligations under the Guarantee by a successor upon any merger, consolidation or asset transfer in accordance with Section 5.1 or to provide for the assumption of the Company’s obligations under this Indenture by a subsidiary of the Guarantor in accordance with Section 5.2;</w:t>
      </w:r>
    </w:p>
    <w:p>
      <w:pPr>
        <w:spacing w:after="0" w:line="57" w:lineRule="exact"/>
        <w:rPr>
          <w:rFonts w:ascii="Arial" w:cs="Arial" w:eastAsia="Arial" w:hAnsi="Arial"/>
          <w:sz w:val="17"/>
          <w:szCs w:val="17"/>
          <w:color w:val="auto"/>
        </w:rPr>
      </w:pPr>
    </w:p>
    <w:p>
      <w:pPr>
        <w:ind w:left="1600" w:hanging="259"/>
        <w:spacing w:after="0"/>
        <w:tabs>
          <w:tab w:leader="none" w:pos="1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left="920" w:right="280" w:firstLine="421"/>
        <w:spacing w:after="0" w:line="277" w:lineRule="auto"/>
        <w:tabs>
          <w:tab w:leader="none" w:pos="15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provide any security for or guarantees of the Company’s Securities or for the addition of an additional obligor on the Company’s Securities;</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this Indenture under the TIA, if applicable;</w:t>
      </w:r>
    </w:p>
    <w:p>
      <w:pPr>
        <w:spacing w:after="0" w:line="117" w:lineRule="exact"/>
        <w:rPr>
          <w:rFonts w:ascii="Arial" w:cs="Arial" w:eastAsia="Arial" w:hAnsi="Arial"/>
          <w:sz w:val="18"/>
          <w:szCs w:val="18"/>
          <w:color w:val="auto"/>
        </w:rPr>
      </w:pPr>
    </w:p>
    <w:p>
      <w:pPr>
        <w:ind w:left="920" w:right="260" w:firstLine="421"/>
        <w:spacing w:after="0" w:line="277" w:lineRule="auto"/>
        <w:tabs>
          <w:tab w:leader="none" w:pos="15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the outstanding Securities or to surrender any rights the Company has under this Indenture;</w:t>
      </w:r>
    </w:p>
    <w:p>
      <w:pPr>
        <w:spacing w:after="0" w:line="62" w:lineRule="exact"/>
        <w:rPr>
          <w:rFonts w:ascii="Arial" w:cs="Arial" w:eastAsia="Arial" w:hAnsi="Arial"/>
          <w:sz w:val="18"/>
          <w:szCs w:val="18"/>
          <w:color w:val="auto"/>
        </w:rPr>
      </w:pPr>
    </w:p>
    <w:p>
      <w:pPr>
        <w:ind w:left="920" w:right="60" w:firstLine="421"/>
        <w:spacing w:after="0" w:line="264" w:lineRule="auto"/>
        <w:tabs>
          <w:tab w:leader="none" w:pos="15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change or elimination shall not become effective with respect to any outstanding Securities of any Series created prior to the execution of such supplemental indenture which is entitled to the benefit of such provision;</w:t>
      </w:r>
    </w:p>
    <w:p>
      <w:pPr>
        <w:spacing w:after="0" w:line="73" w:lineRule="exact"/>
        <w:rPr>
          <w:rFonts w:ascii="Arial" w:cs="Arial" w:eastAsia="Arial" w:hAnsi="Arial"/>
          <w:sz w:val="18"/>
          <w:szCs w:val="18"/>
          <w:color w:val="auto"/>
        </w:rPr>
      </w:pPr>
    </w:p>
    <w:p>
      <w:pPr>
        <w:ind w:left="1600" w:hanging="259"/>
        <w:spacing w:after="0"/>
        <w:tabs>
          <w:tab w:leader="none" w:pos="1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Securities;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20"/>
          </w:cols>
          <w:pgMar w:left="240" w:top="274" w:right="339" w:bottom="1440" w:gutter="0" w:footer="0" w:header="0"/>
        </w:sectPr>
      </w:pPr>
    </w:p>
    <w:bookmarkStart w:id="95" w:name="page96"/>
    <w:bookmarkEnd w:id="95"/>
    <w:p>
      <w:pPr>
        <w:ind w:left="920" w:right="80" w:firstLine="421"/>
        <w:spacing w:after="0" w:line="264" w:lineRule="auto"/>
        <w:tabs>
          <w:tab w:leader="none" w:pos="1595"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issue additional Securities of any Series, provided that such additional Securities have the same terms (other than the issue date, date from which interest accrues, first interest payment date and restrictions on transfer) as, and be deemed part of the same Series as, the applicable Series of Securities to the extent required under this Indenture;</w:t>
      </w:r>
    </w:p>
    <w:p>
      <w:pPr>
        <w:spacing w:after="0" w:line="73" w:lineRule="exact"/>
        <w:rPr>
          <w:rFonts w:ascii="Arial" w:cs="Arial" w:eastAsia="Arial" w:hAnsi="Arial"/>
          <w:sz w:val="18"/>
          <w:szCs w:val="18"/>
          <w:color w:val="auto"/>
        </w:rPr>
      </w:pPr>
    </w:p>
    <w:p>
      <w:pPr>
        <w:jc w:val="both"/>
        <w:ind w:left="920" w:right="160" w:firstLine="421"/>
        <w:spacing w:after="0" w:line="264" w:lineRule="auto"/>
        <w:tabs>
          <w:tab w:leader="none" w:pos="168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with respect to the Securities of one or more Series and to add to or change any of the provisions of this Indenture as shall be necessary to provide for or facilitate the administration of the trust by more than one trustee</w:t>
      </w:r>
    </w:p>
    <w:p>
      <w:pPr>
        <w:spacing w:after="0" w:line="73" w:lineRule="exact"/>
        <w:rPr>
          <w:rFonts w:ascii="Arial" w:cs="Arial" w:eastAsia="Arial" w:hAnsi="Arial"/>
          <w:sz w:val="18"/>
          <w:szCs w:val="18"/>
          <w:color w:val="auto"/>
        </w:rPr>
      </w:pPr>
    </w:p>
    <w:p>
      <w:pPr>
        <w:ind w:left="1680" w:hanging="339"/>
        <w:spacing w:after="0"/>
        <w:tabs>
          <w:tab w:leader="none" w:pos="1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the Company’s Securities; and</w:t>
      </w:r>
    </w:p>
    <w:p>
      <w:pPr>
        <w:spacing w:after="0" w:line="117" w:lineRule="exact"/>
        <w:rPr>
          <w:rFonts w:ascii="Arial" w:cs="Arial" w:eastAsia="Arial" w:hAnsi="Arial"/>
          <w:sz w:val="18"/>
          <w:szCs w:val="18"/>
          <w:color w:val="auto"/>
        </w:rPr>
      </w:pPr>
    </w:p>
    <w:p>
      <w:pPr>
        <w:ind w:left="1680" w:hanging="339"/>
        <w:spacing w:after="0"/>
        <w:tabs>
          <w:tab w:leader="none" w:pos="1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its outstanding Securities in any material respect.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This Indenture or the Securities of a Series or the Guarantee may be amended or supplemented, and waivers may be obtained, with the consent of the Holders of at least a majority in aggregate principal amount of the then outstanding Securities of such Series voting as a single class (including, without limitation, consents obtained in connection with a tender offer or exchange offer for, or purchase of, such Securities of a Series), and any existing Default or Event of Default (other than a Default or Event of Default in the payment of the principal of, premium on, if any, interest or Additional Amounts, if any, on, such Securities of a Series, except a payment Default resulting from an acceleration that has been rescinded) or compliance with any provision of this Indenture or the Securities of such Series or applicable Guarantee may be waived with the consent of the Holders of a majority in aggregate principal amount of the then outstanding Securities of such Series voting as a single class (including, without limitation, consents obtained in connection with a purchase of, or tender offer or exchange offer for, such Securities of a Series).</w:t>
      </w:r>
    </w:p>
    <w:p>
      <w:pPr>
        <w:spacing w:after="0" w:line="179"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Holders of a majority in principal amount of the outstanding Securities of a Series issued by the Company may waive any existing or past Default or Event of Default with respect to those Securities. Notwithstanding the foregoing, those Holders may not, however, waive any Default or Event of Default in any payment on any Security.</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For the avoidance of doubt, any amendment, supplement or waiver to any Series of Securities made with the consent of Holders of such Series of Securities, shall be made with respect to that Series of Securities only, and not any other Series of Securities.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96" w:name="page97"/>
    <w:bookmarkEnd w:id="9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9.3. </w:t>
      </w: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Without the consent of each Holder of outstanding Securities of a Series, an amendment, supplement or waiver may not (with respect to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 of such Series held by a non-consenting Holder):</w:t>
      </w:r>
    </w:p>
    <w:p>
      <w:pPr>
        <w:spacing w:after="0" w:line="103" w:lineRule="exact"/>
        <w:rPr>
          <w:sz w:val="20"/>
          <w:szCs w:val="20"/>
          <w:color w:val="auto"/>
        </w:rPr>
      </w:pPr>
    </w:p>
    <w:p>
      <w:pPr>
        <w:ind w:left="1600" w:hanging="259"/>
        <w:spacing w:after="0"/>
        <w:tabs>
          <w:tab w:leader="none" w:pos="1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the amount of the Securities of such Series whose Holders must consent to an amendment, supplement or waiver;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Securities of such Series;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the principal of the Securities of such Series or change the Stated Maturity of the Securities of such Series;</w:t>
      </w:r>
    </w:p>
    <w:p>
      <w:pPr>
        <w:spacing w:after="0" w:line="117" w:lineRule="exact"/>
        <w:rPr>
          <w:rFonts w:ascii="Arial" w:cs="Arial" w:eastAsia="Arial" w:hAnsi="Arial"/>
          <w:sz w:val="18"/>
          <w:szCs w:val="18"/>
          <w:color w:val="auto"/>
        </w:rPr>
      </w:pPr>
    </w:p>
    <w:p>
      <w:pPr>
        <w:ind w:left="920" w:firstLine="421"/>
        <w:spacing w:after="0" w:line="277" w:lineRule="auto"/>
        <w:tabs>
          <w:tab w:leader="none" w:pos="15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Securities of such Series or change the time at which the Securities of such Series may or must be redeemed;</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Securities of such Series;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make payments on the Securities of such Series payable in currency other than as originally stated in such Securities;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the Securities of such Series;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make any change in the percentage of principal amount of the Securities of such Series necessary to waive compliance with Sections</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6.8 and 6.13 of this Indenture or to make any change in this Section 9.3(8); or</w:t>
      </w:r>
    </w:p>
    <w:p>
      <w:pPr>
        <w:spacing w:after="0" w:line="10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(9) waive a continuing Default or Event of Default regarding any payment on Securities of such Series.</w:t>
      </w:r>
    </w:p>
    <w:p>
      <w:pPr>
        <w:spacing w:after="0" w:line="225" w:lineRule="exact"/>
        <w:rPr>
          <w:sz w:val="20"/>
          <w:szCs w:val="20"/>
          <w:color w:val="auto"/>
        </w:rPr>
      </w:pPr>
    </w:p>
    <w:p>
      <w:pPr>
        <w:ind w:right="400" w:firstLine="913"/>
        <w:spacing w:after="0" w:line="312" w:lineRule="auto"/>
        <w:rPr>
          <w:sz w:val="20"/>
          <w:szCs w:val="20"/>
          <w:color w:val="auto"/>
        </w:rPr>
      </w:pPr>
      <w:r>
        <w:rPr>
          <w:rFonts w:ascii="Arial" w:cs="Arial" w:eastAsia="Arial" w:hAnsi="Arial"/>
          <w:sz w:val="16"/>
          <w:szCs w:val="16"/>
          <w:color w:val="auto"/>
        </w:rPr>
        <w:t>In the event that consent is obtained from some of the Holders but not from all of the Holders with respect to any amendments or waivers pursuant to clauses (1) through (9) of this Section 9.3, new Securities of such Series with such amendments or waivers will be issued to those consenting Holders. Such new Securities shall have separate CUSIP numbers and ISINs from those Securities of such Series held by non-consenting Holders.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Form of Amendments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written notice of revocation before the date of the supplemental indenture or the date the waiver becomes effective.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97" w:name="page98"/>
    <w:bookmarkEnd w:id="97"/>
    <w:p>
      <w:pPr>
        <w:jc w:val="both"/>
        <w:ind w:right="40" w:firstLine="913"/>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amendment or waiver once effective shall bind every Securityholder of each Series affected by such amendment or waiver unless it is of the type described in any of clauses (1) through (9)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Notation on or Exchange of Securities</w:t>
      </w:r>
      <w:r>
        <w:rPr>
          <w:rFonts w:ascii="Arial" w:cs="Arial" w:eastAsia="Arial" w:hAnsi="Arial"/>
          <w:sz w:val="18"/>
          <w:szCs w:val="18"/>
          <w:color w:val="auto"/>
        </w:rPr>
        <w:t>.</w:t>
      </w:r>
    </w:p>
    <w:p>
      <w:pPr>
        <w:spacing w:after="0" w:line="117"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The Trustee may place an appropriate notation about an amendment or waiver on any Security of any Series thereafter authenticated. The Company in exchange for its Securities of that Series may issue and the Trustee shall authenticate upon request new Securities of that Series that reflect the amendment or waiver.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Trustee Protected</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amendment or waiver permitted by this Article or the modifications thereby of the trusts created by this Indenture, the Trustee shall be entitled to receive, and (subject to Section 7.1) shall be fully protected in relying upon, an Opinion of Counsel stating that the execution of such supplemental indenture is authorized or permitted by this Indenture. The Trustee may, but shall not be obligated to, enter into any supplemental indentures which affect the Trustee’s own rights, duties, immunities, or indemnities under this Indenture, the Securities or otherwise.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Any request, direction, instruction, demand, document, notice or communication by the Company, the Guarantor or the Trustee to the other, or by a Holder to the Company or the Trustee, shall be in English and in writing and delivered in person, mailed by first-class mail, delivered via facsimile or delivered by overnight courier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Schlumberger Investment SA</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5 Avenue Gaston Diderich,</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L-1420 Luxembourg</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Fax: +352 2744 8101</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Sinan Sar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also to:</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5599 San Felipe Street, 17th Floor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Fax: (713) 513-2006</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Vice President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Guarantor:</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5599 San Felipe Street, 17th Floor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Fax: (713) 513-2006</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Vice President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101 Barclay Street, Floor 7 East</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New York 10286</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Fax: (212) 815-5704</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Corporate Trust</w:t>
      </w:r>
    </w:p>
    <w:p>
      <w:pPr>
        <w:spacing w:after="0" w:line="21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Notices shall be effective upon the recipient’s actual receipt thereof. Any party by notice to the other parties may designate additional or different addresses for subsequent notices or communications.</w:t>
      </w:r>
    </w:p>
    <w:p>
      <w:pPr>
        <w:spacing w:after="0" w:line="170"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Any notice or communication to (i) a Securityholder of a Certificated Security shall be mailed by first-class mail to his address shown on the register kept by the Registrar and (ii) a Securityholder of a Global Security shall be delivered to the Depositary in accordance with its applicable procedures. Failure to give a notice or communication to a Securityholder of any Series or any defect in it shall not affect its sufficiency with respect to other Securityholders of that or any other Series.</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If a notice or communication to any Securityholder is given in the manner provided above, within the time prescribed, it is duly given, whether or not the Securityholder receives it.</w:t>
      </w:r>
    </w:p>
    <w:p>
      <w:pPr>
        <w:spacing w:after="0" w:line="170" w:lineRule="exact"/>
        <w:rPr>
          <w:sz w:val="20"/>
          <w:szCs w:val="20"/>
          <w:color w:val="auto"/>
        </w:rPr>
      </w:pPr>
    </w:p>
    <w:p>
      <w:pPr>
        <w:jc w:val="center"/>
        <w:ind w:left="480" w:right="680"/>
        <w:spacing w:after="0" w:line="449" w:lineRule="auto"/>
        <w:rPr>
          <w:sz w:val="20"/>
          <w:szCs w:val="20"/>
          <w:color w:val="auto"/>
        </w:rPr>
      </w:pPr>
      <w:r>
        <w:rPr>
          <w:rFonts w:ascii="Arial" w:cs="Arial" w:eastAsia="Arial" w:hAnsi="Arial"/>
          <w:sz w:val="18"/>
          <w:szCs w:val="18"/>
          <w:color w:val="auto"/>
        </w:rPr>
        <w:t>If the Company mails a notice or communication to Securityholders, it shall mail a copy to the Trustee and each Agent at the same time. 49</w:t>
      </w:r>
    </w:p>
    <w:p>
      <w:pPr>
        <w:sectPr>
          <w:pgSz w:w="11900" w:h="16838" w:orient="portrait"/>
          <w:cols w:equalWidth="0" w:num="1">
            <w:col w:w="11420"/>
          </w:cols>
          <w:pgMar w:left="240" w:top="274" w:right="239" w:bottom="1440" w:gutter="0" w:footer="0" w:header="0"/>
        </w:sectPr>
      </w:pPr>
    </w:p>
    <w:bookmarkStart w:id="99" w:name="page100"/>
    <w:bookmarkEnd w:id="99"/>
    <w:p>
      <w:pPr>
        <w:ind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respect of this Indenture, the Trustee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Trustee shall not have any liability for any losses, liabilities, costs or expenses incurred or sustained by any party as a result of such reliance upon or compliance with such instructions, directions, reports, notices or other communications or information. Each other party agrees to assume all risks arising out of the use of electronic methods to submit instructions, directions, reports, notices or other communications or information to the Trustee, including without limitation the risk of the Trustee acting on unauthorized instructions, notices, reports or other communications or information, and the risk of interception and misuse by third parties.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w:t>
      </w:r>
    </w:p>
    <w:p>
      <w:pPr>
        <w:spacing w:after="0" w:line="117"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Securityholders of a Series may communicate pursuant to TIA § 312(b), as if such section applied hereto, with other Securityholders of such Series with respect to their rights under this Indenture or the Securities. The Company, the Trustee, the Agents and anyone else shall have the protection of TIA § 312(c).</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Upon any request or application by the Company or the Guarantor to the Trustee to take any action under this Indenture, the Company 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Guarantor, as applicable, shall furnish to the Trustee:</w:t>
      </w:r>
    </w:p>
    <w:p>
      <w:pPr>
        <w:spacing w:after="0" w:line="116" w:lineRule="exact"/>
        <w:rPr>
          <w:sz w:val="20"/>
          <w:szCs w:val="20"/>
          <w:color w:val="auto"/>
        </w:rPr>
      </w:pPr>
    </w:p>
    <w:p>
      <w:pPr>
        <w:ind w:left="1920" w:right="240" w:hanging="440"/>
        <w:spacing w:after="0" w:line="342" w:lineRule="auto"/>
        <w:tabs>
          <w:tab w:leader="none" w:pos="19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 Officer’s Certificate (which shall include the statements set forth in Section 10.4) stating that, in the opinion of the signer, all conditions precedent, if any, provided for in this Indenture relating to the proposed action have been complied with; and</w:t>
      </w:r>
    </w:p>
    <w:p>
      <w:pPr>
        <w:spacing w:after="0" w:line="29" w:lineRule="exact"/>
        <w:rPr>
          <w:rFonts w:ascii="Arial" w:cs="Arial" w:eastAsia="Arial" w:hAnsi="Arial"/>
          <w:sz w:val="16"/>
          <w:szCs w:val="16"/>
          <w:color w:val="auto"/>
        </w:rPr>
      </w:pPr>
    </w:p>
    <w:p>
      <w:pPr>
        <w:ind w:left="1920" w:right="400" w:hanging="440"/>
        <w:spacing w:after="0" w:line="277" w:lineRule="auto"/>
        <w:tabs>
          <w:tab w:leader="none" w:pos="1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Opinion of Counsel (which shall include the statements set forth in Section 10.4 hereof) stating that, in the opinion of such counsel, all such conditions precedent have been complied with.</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w:t>
      </w:r>
    </w:p>
    <w:p>
      <w:pPr>
        <w:spacing w:after="0" w:line="117" w:lineRule="exact"/>
        <w:rPr>
          <w:sz w:val="20"/>
          <w:szCs w:val="20"/>
          <w:color w:val="auto"/>
        </w:rPr>
      </w:pPr>
    </w:p>
    <w:p>
      <w:pPr>
        <w:ind w:right="480" w:firstLine="913"/>
        <w:spacing w:after="0" w:line="342" w:lineRule="auto"/>
        <w:rPr>
          <w:sz w:val="20"/>
          <w:szCs w:val="20"/>
          <w:color w:val="auto"/>
        </w:rPr>
      </w:pPr>
      <w:r>
        <w:rPr>
          <w:rFonts w:ascii="Arial" w:cs="Arial" w:eastAsia="Arial" w:hAnsi="Arial"/>
          <w:sz w:val="16"/>
          <w:szCs w:val="16"/>
          <w:color w:val="auto"/>
        </w:rPr>
        <w:t>Each certificate or opinion with respect to compliance with a condition or covenant provided for in this Indenture (other than a certificate provided pursuant to Section 4.2 in accordance with TIA § 314(a)(4)) shall comply with the provisions of TIA § 314(e) and shall include substantially:</w:t>
      </w:r>
    </w:p>
    <w:p>
      <w:pPr>
        <w:spacing w:after="0" w:line="29" w:lineRule="exact"/>
        <w:rPr>
          <w:sz w:val="20"/>
          <w:szCs w:val="20"/>
          <w:color w:val="auto"/>
        </w:rPr>
      </w:pPr>
    </w:p>
    <w:p>
      <w:pPr>
        <w:ind w:left="1920" w:hanging="440"/>
        <w:spacing w:after="0"/>
        <w:tabs>
          <w:tab w:leader="none" w:pos="1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30" w:lineRule="exact"/>
        <w:rPr>
          <w:rFonts w:ascii="Arial" w:cs="Arial" w:eastAsia="Arial" w:hAnsi="Arial"/>
          <w:sz w:val="18"/>
          <w:szCs w:val="18"/>
          <w:color w:val="auto"/>
        </w:rPr>
      </w:pPr>
    </w:p>
    <w:p>
      <w:pPr>
        <w:ind w:left="1920" w:right="20" w:hanging="440"/>
        <w:spacing w:after="0" w:line="277" w:lineRule="auto"/>
        <w:tabs>
          <w:tab w:leader="none" w:pos="1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75" w:lineRule="exact"/>
        <w:rPr>
          <w:rFonts w:ascii="Arial" w:cs="Arial" w:eastAsia="Arial" w:hAnsi="Arial"/>
          <w:sz w:val="18"/>
          <w:szCs w:val="18"/>
          <w:color w:val="auto"/>
        </w:rPr>
      </w:pPr>
    </w:p>
    <w:p>
      <w:pPr>
        <w:ind w:left="1920" w:right="340" w:hanging="440"/>
        <w:spacing w:after="0" w:line="308" w:lineRule="auto"/>
        <w:tabs>
          <w:tab w:leader="none" w:pos="19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51" w:lineRule="exact"/>
        <w:rPr>
          <w:rFonts w:ascii="Arial" w:cs="Arial" w:eastAsia="Arial" w:hAnsi="Arial"/>
          <w:sz w:val="17"/>
          <w:szCs w:val="17"/>
          <w:color w:val="auto"/>
        </w:rPr>
      </w:pPr>
    </w:p>
    <w:p>
      <w:pPr>
        <w:ind w:left="1920" w:hanging="440"/>
        <w:spacing w:after="0"/>
        <w:tabs>
          <w:tab w:leader="none" w:pos="1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274" w:right="299" w:bottom="1440" w:gutter="0" w:footer="0" w:header="0"/>
        </w:sectPr>
      </w:pPr>
    </w:p>
    <w:bookmarkStart w:id="100" w:name="page101"/>
    <w:bookmarkEnd w:id="10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10.5.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w:t>
      </w:r>
    </w:p>
    <w:p>
      <w:pPr>
        <w:spacing w:after="0" w:line="11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11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If a payment date is a Legal Holiday at a place of payment, payment may be made at that place on the next succeeding day that is not a Legal Holiday, and no interest shall accrue for the intervening period.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No Personal Liability of Directors, Officers, Employees and Certain Others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No director, officer, employee, incorporator or similar founder, stockholder or member of the Company or the Guarantor, as such, will have any liability for or any obligations of the Company or the Guarantor under this Indenture or the Securities, or Guarantee or for any claim based on, in respect of or by reason of, such obligations or their creation. Each Holder of Securities by accepting a Security waives and releases all such liability. The waiver and release are part of the consideration for issuance of the Securities. The waiver may not be effective to waive liabilities under the federal securities laws.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FATCA</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Company agrees that if reasonably requested in writing by the Trustee, Paying Agent, Registrar or Transfer Agent (for purposes of this Section 10.8, the “</w:t>
      </w:r>
      <w:r>
        <w:rPr>
          <w:rFonts w:ascii="Arial" w:cs="Arial" w:eastAsia="Arial" w:hAnsi="Arial"/>
          <w:sz w:val="17"/>
          <w:szCs w:val="17"/>
          <w:i w:val="1"/>
          <w:iCs w:val="1"/>
          <w:color w:val="auto"/>
        </w:rPr>
        <w:t>Trustee</w:t>
      </w:r>
      <w:r>
        <w:rPr>
          <w:rFonts w:ascii="Arial" w:cs="Arial" w:eastAsia="Arial" w:hAnsi="Arial"/>
          <w:sz w:val="17"/>
          <w:szCs w:val="17"/>
          <w:color w:val="auto"/>
        </w:rPr>
        <w:t xml:space="preserve">”), the Company shall provide such information as is reasonably necessary for the Trustee to determine that the Trustee is in compliance with the requirements of Sections 1471 to 1474 of the Internal Revenue Code of 1986, as amended, and any current or future regulations or official interpretations thereof (collectively, “FATCA”), in relation to a payment made under the Indenture, the Securities or any Guarantee;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required to provide any information that it is prohibited from disclosing. The Trustee shall be entitled to make any</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or deduction from payments under the Indenture, the Securities or any Guarantee to the extent necessary to comply with FATCA. The Trustee shall have no liability for, and the Company shall indemnify and hold harmless the Trustee against any liability for, any withholding or deduction made by the Trustee, or any failure by the Trustee to make any withholding or deduction, in each case to the extent such action or failure to act was taken in reliance on the information provided by the Company pursuant to the first sentence of this Section 10.8.</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101" w:name="page102"/>
    <w:bookmarkEnd w:id="10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10.9.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ind w:right="620" w:firstLine="913"/>
        <w:spacing w:after="0" w:line="308" w:lineRule="auto"/>
        <w:rPr>
          <w:sz w:val="20"/>
          <w:szCs w:val="20"/>
          <w:color w:val="auto"/>
        </w:rPr>
      </w:pPr>
      <w:r>
        <w:rPr>
          <w:rFonts w:ascii="Arial" w:cs="Arial" w:eastAsia="Arial" w:hAnsi="Arial"/>
          <w:sz w:val="17"/>
          <w:szCs w:val="17"/>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Governing Laws</w:t>
      </w:r>
      <w:r>
        <w:rPr>
          <w:rFonts w:ascii="Arial" w:cs="Arial" w:eastAsia="Arial" w:hAnsi="Arial"/>
          <w:sz w:val="18"/>
          <w:szCs w:val="18"/>
          <w:color w:val="auto"/>
        </w:rPr>
        <w:t>.</w:t>
      </w:r>
    </w:p>
    <w:p>
      <w:pPr>
        <w:spacing w:after="0" w:line="113"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b w:val="1"/>
          <w:bCs w:val="1"/>
          <w:color w:val="auto"/>
        </w:rPr>
        <w:t>THIS INDENTURE, THE SECURITIES AND THE GUARANTEE, INCLUDING ANY CLAIM OR CONTROVERSY ARISING OUT OF OR RELATING TO THIS INDENTURE, THE SECURITIES OR THE GUARANTEE, SHALL BE GOVERNED BY THE LAWS OF THE STATE OF NEW YORK WITHOUT REGARD TO CONFLICT OF LAW PRINCIPLES THAT WOULD RESULT IN THE APPLICATION OF ANY LAW OTHER THAN THE LAW OF THE STATE OF NEW YORK.</w:t>
      </w:r>
    </w:p>
    <w:p>
      <w:pPr>
        <w:spacing w:after="0" w:line="180" w:lineRule="exact"/>
        <w:rPr>
          <w:sz w:val="20"/>
          <w:szCs w:val="20"/>
          <w:color w:val="auto"/>
        </w:rPr>
      </w:pPr>
    </w:p>
    <w:p>
      <w:pPr>
        <w:ind w:right="520" w:firstLine="913"/>
        <w:spacing w:after="0" w:line="313" w:lineRule="auto"/>
        <w:rPr>
          <w:sz w:val="20"/>
          <w:szCs w:val="20"/>
          <w:color w:val="auto"/>
        </w:rPr>
      </w:pPr>
      <w:r>
        <w:rPr>
          <w:rFonts w:ascii="Arial" w:cs="Arial" w:eastAsia="Arial" w:hAnsi="Arial"/>
          <w:sz w:val="17"/>
          <w:szCs w:val="17"/>
          <w:b w:val="1"/>
          <w:bCs w:val="1"/>
          <w:color w:val="auto"/>
        </w:rPr>
        <w:t>THE APPLICATION OF THE PROVISIONS OF THE ARTICLES 86 TO 94-8 AND THE ARTICLES 96 AND 97 OF THE LUXEMBOURG LAW OF 10 AUGUST 1915 ON COMMERCIAL COMPANIES, AS AMENDED, IS HEREBY EXPRESSLY EXCLUDED.</w:t>
      </w:r>
    </w:p>
    <w:p>
      <w:pPr>
        <w:spacing w:after="0" w:line="2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11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any Subsidiary of the Company. Any such indenture, loan or debt agreement may not be used to interpret this Indenture.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1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All agreements of the Company and the Guarantor in this Indenture and the Securities shall bind their respective successors. All agreements of the Trustee in this Indenture shall bind its successor.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74" w:right="279" w:bottom="1440" w:gutter="0" w:footer="0" w:header="0"/>
        </w:sectPr>
      </w:pPr>
    </w:p>
    <w:bookmarkStart w:id="102" w:name="page103"/>
    <w:bookmarkEnd w:id="10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10.15.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Each of the Company and the Guarantor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Arial" w:cs="Arial" w:eastAsia="Arial" w:hAnsi="Arial"/>
          <w:sz w:val="16"/>
          <w:szCs w:val="16"/>
          <w:i w:val="1"/>
          <w:iCs w:val="1"/>
          <w:color w:val="auto"/>
        </w:rPr>
        <w:t>Required Currency</w:t>
      </w:r>
      <w:r>
        <w:rPr>
          <w:rFonts w:ascii="Arial" w:cs="Arial" w:eastAsia="Arial" w:hAnsi="Arial"/>
          <w:sz w:val="16"/>
          <w:szCs w:val="16"/>
          <w:color w:val="auto"/>
        </w:rPr>
        <w:t>”) into a currency in which a judgment will be rendered (the “</w:t>
      </w:r>
      <w:r>
        <w:rPr>
          <w:rFonts w:ascii="Arial" w:cs="Arial" w:eastAsia="Arial" w:hAnsi="Arial"/>
          <w:sz w:val="16"/>
          <w:szCs w:val="16"/>
          <w:i w:val="1"/>
          <w:iCs w:val="1"/>
          <w:color w:val="auto"/>
        </w:rPr>
        <w:t>Judgment Currency</w:t>
      </w:r>
      <w:r>
        <w:rPr>
          <w:rFonts w:ascii="Arial" w:cs="Arial" w:eastAsia="Arial" w:hAnsi="Arial"/>
          <w:sz w:val="16"/>
          <w:szCs w:val="16"/>
          <w:color w:val="auto"/>
        </w:rPr>
        <w:t>”), the rate of exchange used shall be the rate at which in accordance with normal banking procedures the recipient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recipient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6"/>
          <w:szCs w:val="16"/>
          <w:i w:val="1"/>
          <w:iCs w:val="1"/>
          <w:color w:val="auto"/>
        </w:rPr>
        <w:t>New York Banking Day</w:t>
      </w:r>
      <w:r>
        <w:rPr>
          <w:rFonts w:ascii="Arial" w:cs="Arial" w:eastAsia="Arial" w:hAnsi="Arial"/>
          <w:sz w:val="16"/>
          <w:szCs w:val="16"/>
          <w:color w:val="auto"/>
        </w:rPr>
        <w:t>” means any day except a Legal Holiday in The City of New York on which banking institutions are authorized or required by law, regulation or executive order to close.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English Language</w:t>
      </w:r>
      <w:r>
        <w:rPr>
          <w:rFonts w:ascii="Arial" w:cs="Arial" w:eastAsia="Arial" w:hAnsi="Arial"/>
          <w:sz w:val="18"/>
          <w:szCs w:val="18"/>
          <w:color w:val="auto"/>
        </w:rPr>
        <w:t>.</w:t>
      </w:r>
    </w:p>
    <w:p>
      <w:pPr>
        <w:spacing w:after="0" w:line="117" w:lineRule="exact"/>
        <w:rPr>
          <w:sz w:val="20"/>
          <w:szCs w:val="20"/>
          <w:color w:val="auto"/>
        </w:rPr>
      </w:pPr>
    </w:p>
    <w:p>
      <w:pPr>
        <w:ind w:right="180" w:firstLine="913"/>
        <w:spacing w:after="0" w:line="302" w:lineRule="auto"/>
        <w:rPr>
          <w:sz w:val="20"/>
          <w:szCs w:val="20"/>
          <w:color w:val="auto"/>
        </w:rPr>
      </w:pPr>
      <w:r>
        <w:rPr>
          <w:rFonts w:ascii="Arial" w:cs="Arial" w:eastAsia="Arial" w:hAnsi="Arial"/>
          <w:sz w:val="16"/>
          <w:szCs w:val="16"/>
          <w:color w:val="auto"/>
        </w:rPr>
        <w:t>This Indenture has been negotiated and executed in the English language. All certificates, reports, notices and other documents and communications delivered or delivered pursuant to this Indenture (including any modifications or supplements hereto), shall be in the English language, or accompanied by a certified English translation thereof. In the case of any document originally issued in a language other than English, the English language version of any such document shall for purposes of this Indenture, and absent manifest error, control the meaning of the matters set out therein.</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Submission to Jurisdiction; Appointment of Agent</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Any suit, action or proceeding against the Company or the Guarantor or its respective properties, assets or revenues with respect to this Indenture, the Securities or the Guarantee (a “</w:t>
      </w:r>
      <w:r>
        <w:rPr>
          <w:rFonts w:ascii="Arial" w:cs="Arial" w:eastAsia="Arial" w:hAnsi="Arial"/>
          <w:sz w:val="18"/>
          <w:szCs w:val="18"/>
          <w:i w:val="1"/>
          <w:iCs w:val="1"/>
          <w:color w:val="auto"/>
        </w:rPr>
        <w:t>Related Proceeding</w:t>
      </w:r>
      <w:r>
        <w:rPr>
          <w:rFonts w:ascii="Arial" w:cs="Arial" w:eastAsia="Arial" w:hAnsi="Arial"/>
          <w:sz w:val="18"/>
          <w:szCs w:val="18"/>
          <w:color w:val="auto"/>
        </w:rPr>
        <w:t>”) may be brought in any state or Federal court in the Borough of Manhattan in The City of New York, New York, as the Person bringing such Related Proceeding may elect in its sole discretion. The Company and the Guarantor hereby consent to the non-exclusive jurisdiction of each such court for the purpose of any Related Proceeding and have irrevocably waived any objection to the laying of venue of any Related Proceeding brought in any such court and to the fullest extent they may effectively do so and the defense of an inconvenient forum to the maintenance of any Related Proceeding or any such suit, action 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103" w:name="page104"/>
    <w:bookmarkEnd w:id="10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 in any such court. The Company and the Guarantor hereby agree that service of all writs, claims, process and summonses in any Related Proceeding brought against them in the State of New York may be made upon Schlumberger Limited, 5599 San Felipe Street, 17</w:t>
      </w:r>
      <w:r>
        <w:rPr>
          <w:rFonts w:ascii="Arial" w:cs="Arial" w:eastAsia="Arial" w:hAnsi="Arial"/>
          <w:sz w:val="15"/>
          <w:szCs w:val="15"/>
          <w:color w:val="auto"/>
        </w:rPr>
        <w:t>th</w:t>
      </w:r>
      <w:r>
        <w:rPr>
          <w:rFonts w:ascii="Arial" w:cs="Arial" w:eastAsia="Arial" w:hAnsi="Arial"/>
          <w:sz w:val="18"/>
          <w:szCs w:val="18"/>
          <w:color w:val="auto"/>
        </w:rPr>
        <w:t xml:space="preserve"> Floor, Houston, Texas 77057 Attention: Vice President Treasurer (the “</w:t>
      </w:r>
      <w:r>
        <w:rPr>
          <w:rFonts w:ascii="Arial" w:cs="Arial" w:eastAsia="Arial" w:hAnsi="Arial"/>
          <w:sz w:val="18"/>
          <w:szCs w:val="18"/>
          <w:i w:val="1"/>
          <w:iCs w:val="1"/>
          <w:color w:val="auto"/>
        </w:rPr>
        <w:t>Process Agent</w:t>
      </w:r>
      <w:r>
        <w:rPr>
          <w:rFonts w:ascii="Arial" w:cs="Arial" w:eastAsia="Arial" w:hAnsi="Arial"/>
          <w:sz w:val="18"/>
          <w:szCs w:val="18"/>
          <w:color w:val="auto"/>
        </w:rPr>
        <w:t>”). The Company has irrevocably appointed the Process Agent as its agent and true and lawful attorney in fact in its name, place and stead to accept such service of any and all such writs, claims, process and summonses, and hereby agrees that the failure of the Process Agent to give any notice to it of any such service of process shall not impair or affect the validity of such service or of any judgment based thereon. The Company and the Guarantor hereby agree to have an office or to maintain at all times an agent with offices in the United States of America to act as Process Agent. Nothing in this Indenture shall in any way be deemed to limit the ability to serve any such writs, process or summonses in any other manner permitted by applicable law.</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Waiver of Immunity</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To the extent that the Company or the Guarantor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permitted by applicable law, such immunity in respect of its obligations under this Indenture, Securities and/or the Guarantees.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10.19.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117"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EACH OF THE PARTIES HERETO HEREBY IRREVOCABLY WAIVES ALL RIGHTS TO TRIAL BY JURY IN ANY ACTION, PROCEEDING OR COUNTERCLAIM (WHETHER BASED ON CONTRACT, TORT OR OTHERWISE) ARISING OUT OF OR RELATING TO THIS INDENTURE, THE SECURITIES, THE GUARANTEES OR THE TRANSACTIONS CONTEMPLATED HEREBY OR THEREBY.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10.20.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any provision of this Indenture limits, qualifies or conflicts with the duties imposed by operation of TIA § 318(c), the imposed duties shall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control.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Indenture to be duly executed as of the day and year first above written.</w:t>
      </w: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Schlumberger Investment SA</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Philippe Petre</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Philippe Petre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-130810</wp:posOffset>
            </wp:positionV>
            <wp:extent cx="2718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Director B</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Imran Kizilbash</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Imran Kizilbash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-130810</wp:posOffset>
            </wp:positionV>
            <wp:extent cx="27184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Vice President Treasurer</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Base Indenture</w:t>
      </w:r>
    </w:p>
    <w:p>
      <w:pPr>
        <w:sectPr>
          <w:pgSz w:w="11900" w:h="16838" w:orient="portrait"/>
          <w:cols w:equalWidth="0" w:num="1">
            <w:col w:w="9680"/>
          </w:cols>
          <w:pgMar w:left="1160" w:top="274" w:right="1059" w:bottom="1440" w:gutter="0" w:footer="0" w:header="0"/>
        </w:sectPr>
      </w:pPr>
    </w:p>
    <w:bookmarkStart w:id="105" w:name="page106"/>
    <w:bookmarkEnd w:id="10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as Trustee, Registrar, Paying Agent and</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Transfer Agent</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Laurence J. O’Brien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Base Indenture</w:t>
      </w:r>
    </w:p>
    <w:p>
      <w:pPr>
        <w:sectPr>
          <w:pgSz w:w="11900" w:h="16838" w:orient="portrait"/>
          <w:cols w:equalWidth="0" w:num="1">
            <w:col w:w="9019"/>
          </w:cols>
          <w:pgMar w:left="1440" w:top="274"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197485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Schlumberger Investment SA</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3.650% Senior Notes due 2023</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Irrevocably and Unconditionally Guaranteed by</w:t>
      </w:r>
    </w:p>
    <w:p>
      <w:pPr>
        <w:spacing w:after="0" w:line="24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240665</wp:posOffset>
            </wp:positionV>
            <wp:extent cx="15176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FIRST SUPPLEMENTAL INDENTURE</w:t>
      </w:r>
    </w:p>
    <w:p>
      <w:pPr>
        <w:spacing w:after="0" w:line="22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Dated as of December 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246380</wp:posOffset>
            </wp:positionV>
            <wp:extent cx="15176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 Registrar, Paying Agent</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186055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7" w:name="page108"/>
    <w:bookmarkEnd w:id="107"/>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Supplemental Indenture (this “</w:t>
      </w:r>
      <w:r>
        <w:rPr>
          <w:rFonts w:ascii="Arial" w:cs="Arial" w:eastAsia="Arial" w:hAnsi="Arial"/>
          <w:sz w:val="16"/>
          <w:szCs w:val="16"/>
          <w:i w:val="1"/>
          <w:iCs w:val="1"/>
          <w:color w:val="auto"/>
        </w:rPr>
        <w:t>First Supplemental Indenture</w:t>
      </w:r>
      <w:r>
        <w:rPr>
          <w:rFonts w:ascii="Arial" w:cs="Arial" w:eastAsia="Arial" w:hAnsi="Arial"/>
          <w:sz w:val="16"/>
          <w:szCs w:val="16"/>
          <w:color w:val="auto"/>
        </w:rPr>
        <w:t>”) dated as of December 3, 2013 by and among Schlumberger Investment SA,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public limited liability company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under the laws of the Grand Duchy of Luxembourg having its registered address at 5 Avenue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Gaston Diderich, L-1420 Luxembourg and registered with the Luxembourg Register of Commerce and Companies under number B 163.122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Schlumberger Limited (the “</w:t>
      </w:r>
      <w:r>
        <w:rPr>
          <w:rFonts w:ascii="Arial" w:cs="Arial" w:eastAsia="Arial" w:hAnsi="Arial"/>
          <w:sz w:val="16"/>
          <w:szCs w:val="16"/>
          <w:i w:val="1"/>
          <w:iCs w:val="1"/>
          <w:color w:val="auto"/>
        </w:rPr>
        <w:t>Guarantor</w:t>
      </w:r>
      <w:r>
        <w:rPr>
          <w:rFonts w:ascii="Arial" w:cs="Arial" w:eastAsia="Arial" w:hAnsi="Arial"/>
          <w:sz w:val="16"/>
          <w:szCs w:val="16"/>
          <w:color w:val="auto"/>
        </w:rPr>
        <w:t>”), and The Bank of New York Mellon, as trustee (the “</w:t>
      </w:r>
      <w:r>
        <w:rPr>
          <w:rFonts w:ascii="Arial" w:cs="Arial" w:eastAsia="Arial" w:hAnsi="Arial"/>
          <w:sz w:val="16"/>
          <w:szCs w:val="16"/>
          <w:i w:val="1"/>
          <w:iCs w:val="1"/>
          <w:color w:val="auto"/>
        </w:rPr>
        <w:t>Trustee</w:t>
      </w:r>
      <w:r>
        <w:rPr>
          <w:rFonts w:ascii="Arial" w:cs="Arial" w:eastAsia="Arial" w:hAnsi="Arial"/>
          <w:sz w:val="16"/>
          <w:szCs w:val="16"/>
          <w:color w:val="auto"/>
        </w:rPr>
        <w:t>”), registrar, paying agent, and transfer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A. The Company, the Guarantor, and the Trustee, executed and delivered an Indenture, dated as of December 3, 2013 (the “</w:t>
      </w:r>
      <w:r>
        <w:rPr>
          <w:rFonts w:ascii="Arial" w:cs="Arial" w:eastAsia="Arial" w:hAnsi="Arial"/>
          <w:sz w:val="17"/>
          <w:szCs w:val="17"/>
          <w:i w:val="1"/>
          <w:iCs w:val="1"/>
          <w:color w:val="auto"/>
        </w:rPr>
        <w:t>Base Indenture</w:t>
      </w:r>
      <w:r>
        <w:rPr>
          <w:rFonts w:ascii="Arial" w:cs="Arial" w:eastAsia="Arial" w:hAnsi="Arial"/>
          <w:sz w:val="17"/>
          <w:szCs w:val="17"/>
          <w:color w:val="auto"/>
        </w:rPr>
        <w:t>”), to provide for the issuance by the Company from time to time of debentures, notes or other debt instruments evidencing its indebtedness. The Base Indenture, as supplemented and amended by this First Supplemental Indenture, is herein referred to as the “</w:t>
      </w:r>
      <w:r>
        <w:rPr>
          <w:rFonts w:ascii="Arial" w:cs="Arial" w:eastAsia="Arial" w:hAnsi="Arial"/>
          <w:sz w:val="17"/>
          <w:szCs w:val="17"/>
          <w:i w:val="1"/>
          <w:iCs w:val="1"/>
          <w:color w:val="auto"/>
        </w:rPr>
        <w:t>Indenture.</w:t>
      </w:r>
      <w:r>
        <w:rPr>
          <w:rFonts w:ascii="Arial" w:cs="Arial" w:eastAsia="Arial" w:hAnsi="Arial"/>
          <w:sz w:val="17"/>
          <w:szCs w:val="17"/>
          <w:color w:val="auto"/>
        </w:rPr>
        <w:t>”</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The Company has authorized the issuance of $1,500,000,000 principal amount of 3.650% Senior Notes due 2023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17" w:lineRule="exact"/>
        <w:rPr>
          <w:sz w:val="20"/>
          <w:szCs w:val="20"/>
          <w:color w:val="auto"/>
        </w:rPr>
      </w:pPr>
    </w:p>
    <w:p>
      <w:pPr>
        <w:ind w:right="560" w:firstLine="913"/>
        <w:spacing w:after="0" w:line="264" w:lineRule="auto"/>
        <w:rPr>
          <w:sz w:val="20"/>
          <w:szCs w:val="20"/>
          <w:color w:val="auto"/>
        </w:rPr>
      </w:pPr>
      <w:r>
        <w:rPr>
          <w:rFonts w:ascii="Arial" w:cs="Arial" w:eastAsia="Arial" w:hAnsi="Arial"/>
          <w:sz w:val="18"/>
          <w:szCs w:val="18"/>
          <w:color w:val="auto"/>
        </w:rPr>
        <w:t>C. The Company and the Guarantor desire to enter into this First Supplemental Indenture pursuant to Section 9.1 of the Base Indenture to establish the terms of the Notes and in accordance with Section 2.2 of the Base Indenture and to establish the form of the Notes in accordance with Sections 2.2.13 and 2.3 of the Base Indenture.</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 All things necessary to make this First Supplemental Indenture a valid and legally binding agreement according to its terms have been done.</w:t>
      </w:r>
    </w:p>
    <w:p>
      <w:pPr>
        <w:spacing w:after="0" w:line="248"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NOW, THEREFORE, for and in consideration of the foregoing premises, the Company, the Guarantor and the Trustee mutually covenant and agree for the equal and proportionate benefit of the Holders from time to time of the Notes as follows: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Additional Defined Terms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 the following defined terms shall have the following meanings with respect to the Notes only:</w:t>
      </w:r>
    </w:p>
    <w:p>
      <w:pPr>
        <w:spacing w:after="0" w:line="117"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of the Depositary that apply to such transfer or exchange at the relevant time.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Certificated Note</w:t>
      </w:r>
      <w:r>
        <w:rPr>
          <w:rFonts w:ascii="Arial" w:cs="Arial" w:eastAsia="Arial" w:hAnsi="Arial"/>
          <w:sz w:val="18"/>
          <w:szCs w:val="18"/>
          <w:color w:val="auto"/>
        </w:rPr>
        <w:t>” means a definitive note in registered non-global certificated form.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Global Note Legend</w:t>
      </w:r>
      <w:r>
        <w:rPr>
          <w:rFonts w:ascii="Arial" w:cs="Arial" w:eastAsia="Arial" w:hAnsi="Arial"/>
          <w:sz w:val="16"/>
          <w:szCs w:val="16"/>
          <w:color w:val="auto"/>
        </w:rPr>
        <w:t>” means the legend set forth in Section 1.4.1 hereof, which is required to be placed on all Global Notes issued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ectPr>
          <w:pgSz w:w="11900" w:h="16838" w:orient="portrait"/>
          <w:cols w:equalWidth="0" w:num="1">
            <w:col w:w="11380"/>
          </w:cols>
          <w:pgMar w:left="240" w:top="274" w:right="279" w:bottom="1440" w:gutter="0" w:footer="0" w:header="0"/>
        </w:sectPr>
      </w:pPr>
    </w:p>
    <w:bookmarkStart w:id="108" w:name="page109"/>
    <w:bookmarkEnd w:id="108"/>
    <w:p>
      <w:pPr>
        <w:ind w:right="3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Global Notes</w:t>
      </w:r>
      <w:r>
        <w:rPr>
          <w:rFonts w:ascii="Arial" w:cs="Arial" w:eastAsia="Arial" w:hAnsi="Arial"/>
          <w:sz w:val="18"/>
          <w:szCs w:val="18"/>
          <w:color w:val="auto"/>
        </w:rPr>
        <w:t>” means, individually and collectively, each of the global notes, substantially in the form of Exhibit A hereto and that bears the Global Note Legend, issued in accordance with Sections 2.1 of the Base Indenture and 1.3 hereof.</w:t>
      </w:r>
    </w:p>
    <w:p>
      <w:pPr>
        <w:spacing w:after="0" w:line="17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Indirect Participant</w:t>
      </w:r>
      <w:r>
        <w:rPr>
          <w:rFonts w:ascii="Arial" w:cs="Arial" w:eastAsia="Arial" w:hAnsi="Arial"/>
          <w:sz w:val="18"/>
          <w:szCs w:val="18"/>
          <w:color w:val="auto"/>
        </w:rPr>
        <w:t>” means any entity that, with respect to the Depositary, clears through or maintains a direct or indirect custodial relationship with a Participant.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means the stated due date of an installment of interest on the Notes set forth in the Notes.</w:t>
      </w:r>
    </w:p>
    <w:p>
      <w:pPr>
        <w:spacing w:after="0" w:line="225"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i w:val="1"/>
          <w:iCs w:val="1"/>
          <w:color w:val="auto"/>
        </w:rPr>
        <w:t xml:space="preserve">“Note Guarantee” </w:t>
      </w:r>
      <w:r>
        <w:rPr>
          <w:rFonts w:ascii="Arial" w:cs="Arial" w:eastAsia="Arial" w:hAnsi="Arial"/>
          <w:sz w:val="18"/>
          <w:szCs w:val="18"/>
          <w:color w:val="auto"/>
        </w:rPr>
        <w:t>means the Guarantee by the Guarantor of the Company’s obligations under the Indenture and the Notes,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Indenture.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with respect to the Depositary, a Person who has an account with the Depositary.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Redemption Date</w:t>
      </w:r>
      <w:r>
        <w:rPr>
          <w:rFonts w:ascii="Arial" w:cs="Arial" w:eastAsia="Arial" w:hAnsi="Arial"/>
          <w:sz w:val="17"/>
          <w:szCs w:val="17"/>
          <w:color w:val="auto"/>
        </w:rPr>
        <w:t>” means, when used with respect to any Note to be redeemed, the date fixed for such redemption by or pursuant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Terms of the Notes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terms relate to the Notes:</w:t>
      </w:r>
    </w:p>
    <w:p>
      <w:pPr>
        <w:spacing w:after="0" w:line="117" w:lineRule="exact"/>
        <w:rPr>
          <w:sz w:val="20"/>
          <w:szCs w:val="20"/>
          <w:color w:val="auto"/>
        </w:rPr>
      </w:pPr>
    </w:p>
    <w:p>
      <w:pPr>
        <w:ind w:left="1180" w:hanging="259"/>
        <w:spacing w:after="0"/>
        <w:tabs>
          <w:tab w:leader="none" w:pos="11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Notes shall constitute a separate Series of Securities under the Base Indenture having the title “3.650% Senior Notes due 2023.”</w:t>
      </w:r>
    </w:p>
    <w:p>
      <w:pPr>
        <w:spacing w:after="0" w:line="128" w:lineRule="exact"/>
        <w:rPr>
          <w:rFonts w:ascii="Arial" w:cs="Arial" w:eastAsia="Arial" w:hAnsi="Arial"/>
          <w:sz w:val="17"/>
          <w:szCs w:val="17"/>
          <w:color w:val="auto"/>
        </w:rPr>
      </w:pPr>
    </w:p>
    <w:p>
      <w:pPr>
        <w:ind w:right="160" w:firstLine="921"/>
        <w:spacing w:after="0" w:line="291" w:lineRule="auto"/>
        <w:tabs>
          <w:tab w:leader="none" w:pos="1168"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aggregate principal amount of the Notes (the “</w:t>
      </w:r>
      <w:r>
        <w:rPr>
          <w:rFonts w:ascii="Arial" w:cs="Arial" w:eastAsia="Arial" w:hAnsi="Arial"/>
          <w:sz w:val="16"/>
          <w:szCs w:val="16"/>
          <w:i w:val="1"/>
          <w:iCs w:val="1"/>
          <w:color w:val="auto"/>
        </w:rPr>
        <w:t>Initial Notes</w:t>
      </w:r>
      <w:r>
        <w:rPr>
          <w:rFonts w:ascii="Arial" w:cs="Arial" w:eastAsia="Arial" w:hAnsi="Arial"/>
          <w:sz w:val="16"/>
          <w:szCs w:val="16"/>
          <w:color w:val="auto"/>
        </w:rPr>
        <w:t>”) that may be initially authenticated and delivered under the Indenture shall be $1,500,000,000 of Notes. The Company may from time to time, without the consent of the Holders of Notes, issue additional Notes (in any such case “</w:t>
      </w:r>
      <w:r>
        <w:rPr>
          <w:rFonts w:ascii="Arial" w:cs="Arial" w:eastAsia="Arial" w:hAnsi="Arial"/>
          <w:sz w:val="16"/>
          <w:szCs w:val="16"/>
          <w:i w:val="1"/>
          <w:iCs w:val="1"/>
          <w:color w:val="auto"/>
        </w:rPr>
        <w:t>Additional Notes</w:t>
      </w:r>
      <w:r>
        <w:rPr>
          <w:rFonts w:ascii="Arial" w:cs="Arial" w:eastAsia="Arial" w:hAnsi="Arial"/>
          <w:sz w:val="16"/>
          <w:szCs w:val="16"/>
          <w:color w:val="auto"/>
        </w:rPr>
        <w:t>”) having the same ranking and the same interest rate, maturity and other terms as the Initial Notes. Any Additional Notes and the Initial Notes shall constitute a single Series under the Indenture and all references to the Notes shall include the Initial Notes and any Additional Notes, unless the context otherwise requires, provided, however, that a separate CUSIP or ISIN shall be issued for the Additional Notes, unless the Initial Notes and the Additional Notes are fungible for U.S. federal income tax purposes. Such Additional Notes will also be guaranteed by the Guarantor (with the same ranking as the Note Guarantee for the Initial Notes). The aggregate principal amount of the Additional Notes that may be issued shall be unlimited.</w:t>
      </w:r>
    </w:p>
    <w:p>
      <w:pPr>
        <w:spacing w:after="0" w:line="59" w:lineRule="exact"/>
        <w:rPr>
          <w:rFonts w:ascii="Arial" w:cs="Arial" w:eastAsia="Arial" w:hAnsi="Arial"/>
          <w:sz w:val="16"/>
          <w:szCs w:val="16"/>
          <w:color w:val="auto"/>
        </w:rPr>
      </w:pPr>
    </w:p>
    <w:p>
      <w:pPr>
        <w:ind w:left="1180" w:hanging="259"/>
        <w:spacing w:after="0"/>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entire outstanding principal of the Notes shall be payable on December 1, 2023.</w:t>
      </w:r>
    </w:p>
    <w:p>
      <w:pPr>
        <w:spacing w:after="0" w:line="117" w:lineRule="exact"/>
        <w:rPr>
          <w:rFonts w:ascii="Arial" w:cs="Arial" w:eastAsia="Arial" w:hAnsi="Arial"/>
          <w:sz w:val="18"/>
          <w:szCs w:val="18"/>
          <w:color w:val="auto"/>
        </w:rPr>
      </w:pPr>
    </w:p>
    <w:p>
      <w:pPr>
        <w:ind w:firstLine="921"/>
        <w:spacing w:after="0" w:line="264" w:lineRule="auto"/>
        <w:tabs>
          <w:tab w:leader="none" w:pos="116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rate at which the Notes shall bear interest shall be 3.650% per year. The date from which interest shall accrue on the Notes shall be December 3, 2013, or the most recent Interest Payment Date to which interest has been paid or provided for. The Interest Payment Dates for each of the Notes shall be June 1 and December 1 of each year, beginning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09" w:name="page110"/>
    <w:bookmarkEnd w:id="109"/>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June 1, 2014. Interest shall be payable on each Interest Payment Date to the Holders of record at the close of business on the May 15 and November 15 prior to each Interest Payment Date (whether or not a Business Day). The basis upon which interest shall be calculated shall be that of a 360–day year consisting of twelve 30–day months.</w:t>
      </w:r>
    </w:p>
    <w:p>
      <w:pPr>
        <w:spacing w:after="0" w:line="73" w:lineRule="exact"/>
        <w:rPr>
          <w:sz w:val="20"/>
          <w:szCs w:val="20"/>
          <w:color w:val="auto"/>
        </w:rPr>
      </w:pPr>
    </w:p>
    <w:p>
      <w:pPr>
        <w:ind w:right="20" w:firstLine="921"/>
        <w:spacing w:after="0" w:line="259" w:lineRule="auto"/>
        <w:tabs>
          <w:tab w:leader="none" w:pos="116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Notes shall be issuable in whole in the form of one or more registered Global Notes, and the Depositary for such Global Notes shall be The Depository Trust Company, New York, New York (“</w:t>
      </w:r>
      <w:r>
        <w:rPr>
          <w:rFonts w:ascii="Arial" w:cs="Arial" w:eastAsia="Arial" w:hAnsi="Arial"/>
          <w:sz w:val="18"/>
          <w:szCs w:val="18"/>
          <w:i w:val="1"/>
          <w:iCs w:val="1"/>
          <w:color w:val="auto"/>
        </w:rPr>
        <w:t>DTC</w:t>
      </w:r>
      <w:r>
        <w:rPr>
          <w:rFonts w:ascii="Arial" w:cs="Arial" w:eastAsia="Arial" w:hAnsi="Arial"/>
          <w:sz w:val="18"/>
          <w:szCs w:val="18"/>
          <w:color w:val="auto"/>
        </w:rPr>
        <w:t>”). The Notes shall be substantially in the form attached hereto as Exhibit A, the terms of which are herein incorporated by reference. The Notes shall be denominated in Dollars and shall be issuable in minimum denominations of $2,000 and any integral multiple of $1,000 in excess thereof.</w:t>
      </w:r>
    </w:p>
    <w:p>
      <w:pPr>
        <w:spacing w:after="0" w:line="78" w:lineRule="exact"/>
        <w:rPr>
          <w:rFonts w:ascii="Arial" w:cs="Arial" w:eastAsia="Arial" w:hAnsi="Arial"/>
          <w:sz w:val="18"/>
          <w:szCs w:val="18"/>
          <w:color w:val="auto"/>
        </w:rPr>
      </w:pPr>
    </w:p>
    <w:p>
      <w:pPr>
        <w:ind w:right="160" w:firstLine="921"/>
        <w:spacing w:after="0" w:line="277" w:lineRule="auto"/>
        <w:tabs>
          <w:tab w:leader="none" w:pos="116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Notes may be redeemed at the option of the Company or the Guarantor prior to the Maturity date, as provided in Article III of the Base Indenture and under the caption “Optional Redemption” in the Notes.</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Notes will not have the benefit of any sinking fund.</w:t>
      </w:r>
    </w:p>
    <w:p>
      <w:pPr>
        <w:spacing w:after="0" w:line="117" w:lineRule="exact"/>
        <w:rPr>
          <w:rFonts w:ascii="Arial" w:cs="Arial" w:eastAsia="Arial" w:hAnsi="Arial"/>
          <w:sz w:val="18"/>
          <w:szCs w:val="18"/>
          <w:color w:val="auto"/>
        </w:rPr>
      </w:pPr>
    </w:p>
    <w:p>
      <w:pPr>
        <w:ind w:right="220" w:firstLine="921"/>
        <w:spacing w:after="0" w:line="277" w:lineRule="auto"/>
        <w:tabs>
          <w:tab w:leader="none" w:pos="1168"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Except as provided in Sections 1.3 and 1.5 hereof, the Holders of the Notes shall have no special rights in addition to those provided in the Base Indenture upon the occurrence of any particular events.</w:t>
      </w:r>
    </w:p>
    <w:p>
      <w:pPr>
        <w:spacing w:after="0" w:line="62"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Notes will be senior unsecured obligations of the Company and will rank equally and ratably in right of payment to all of the Company’s other unsecured indebtedness.</w:t>
      </w:r>
    </w:p>
    <w:p>
      <w:pPr>
        <w:spacing w:after="0" w:line="62" w:lineRule="exact"/>
        <w:rPr>
          <w:rFonts w:ascii="Arial" w:cs="Arial" w:eastAsia="Arial" w:hAnsi="Arial"/>
          <w:sz w:val="18"/>
          <w:szCs w:val="18"/>
          <w:color w:val="auto"/>
        </w:rPr>
      </w:pPr>
    </w:p>
    <w:p>
      <w:pPr>
        <w:ind w:left="1260" w:hanging="339"/>
        <w:spacing w:after="0"/>
        <w:tabs>
          <w:tab w:leader="none" w:pos="1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Notes are not convertible into shares of common stock or other securities of the Company.</w:t>
      </w:r>
    </w:p>
    <w:p>
      <w:pPr>
        <w:spacing w:after="0" w:line="117" w:lineRule="exact"/>
        <w:rPr>
          <w:rFonts w:ascii="Arial" w:cs="Arial" w:eastAsia="Arial" w:hAnsi="Arial"/>
          <w:sz w:val="18"/>
          <w:szCs w:val="18"/>
          <w:color w:val="auto"/>
        </w:rPr>
      </w:pPr>
    </w:p>
    <w:p>
      <w:pPr>
        <w:ind w:left="1260" w:hanging="339"/>
        <w:spacing w:after="0"/>
        <w:tabs>
          <w:tab w:leader="none" w:pos="1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restrictive covenants set forth in Article IV of the Base Indenture shall be applicable to the Notes.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Section 1.3 shall replace Sections 2.7 and the first two paragraphs of Section 2.14.2 of the Base Indenture with respect to the Notes only.</w:t>
      </w:r>
    </w:p>
    <w:p>
      <w:pPr>
        <w:spacing w:after="0" w:line="129" w:lineRule="exact"/>
        <w:rPr>
          <w:sz w:val="20"/>
          <w:szCs w:val="20"/>
          <w:color w:val="auto"/>
        </w:rPr>
      </w:pPr>
    </w:p>
    <w:p>
      <w:pPr>
        <w:ind w:right="260" w:firstLine="913"/>
        <w:spacing w:after="0" w:line="312"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Transfer and Exchange of Global Notes</w:t>
      </w:r>
      <w:r>
        <w:rPr>
          <w:rFonts w:ascii="Arial" w:cs="Arial" w:eastAsia="Arial" w:hAnsi="Arial"/>
          <w:sz w:val="16"/>
          <w:szCs w:val="16"/>
          <w:color w:val="auto"/>
        </w:rPr>
        <w:t>. A Global Note may not be transferred except as a whole by the Depositary to a nominee of the Depositary, by a nominee of the Depositary to the Depositary or to another nominee of the Depositary, or by the Depositary or any such nominee to a successor Depositary or a nominee of such successor Depositary. All Global Notes will be exchanged by the Company for Certificated Notes if:</w:t>
      </w:r>
    </w:p>
    <w:p>
      <w:pPr>
        <w:spacing w:after="0" w:line="39" w:lineRule="exact"/>
        <w:rPr>
          <w:sz w:val="20"/>
          <w:szCs w:val="20"/>
          <w:color w:val="auto"/>
        </w:rPr>
      </w:pPr>
    </w:p>
    <w:p>
      <w:pPr>
        <w:ind w:left="460" w:firstLine="443"/>
        <w:spacing w:after="0" w:line="264" w:lineRule="auto"/>
        <w:tabs>
          <w:tab w:leader="none" w:pos="114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10" w:name="page111"/>
    <w:bookmarkEnd w:id="110"/>
    <w:p>
      <w:pPr>
        <w:ind w:left="460" w:right="40" w:firstLine="443"/>
        <w:spacing w:after="0" w:line="277" w:lineRule="auto"/>
        <w:tabs>
          <w:tab w:leader="none" w:pos="11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in its sole discretion determines that the Global Notes (in whole but not in part) should be exchanged for Certificated Notes and delivers a written notice to such effect to the Trustee; or</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225"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Upon the occurrence of any of the preceding events in (a), (b) or (c) above, Certificated Notes shall be issued in such names as the Depositary shall instruct the Trustee. Global Notes also may be exchanged or replaced, in whole or in part, as provided in Sections 2.8 and 2.11 of the Base Indenture. Except as otherwise permitted and/or required by the Indenture, every Note authenticated and delivered in exchange for, or in lieu of, a Global Note or any portion thereof, pursuant to this Section 1.3 or Section 2.8 or 2.11 of the Base Indenture, shall be authenticated and delivered in the form of, and shall be, a Global Note for purposes of the Indenture with such modifications or revisions as may be appropriate or necessary to reflect the ownership thereof by an investor instead of DTC or another Depositary. A Global Note may not be exchanged for another Note other than as provided in this Section 1.3.1, however, beneficial interests in a Global Note may be transferred and exchanged as provided in Section 1.3.2 hereof.</w:t>
      </w:r>
    </w:p>
    <w:p>
      <w:pPr>
        <w:spacing w:after="0" w:line="59"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Transfer and Exchange of Beneficial Interests in the Global Notes</w:t>
      </w:r>
      <w:r>
        <w:rPr>
          <w:rFonts w:ascii="Arial" w:cs="Arial" w:eastAsia="Arial" w:hAnsi="Arial"/>
          <w:sz w:val="18"/>
          <w:szCs w:val="18"/>
          <w:color w:val="auto"/>
        </w:rPr>
        <w:t>. The transfer and exchange of beneficial interests in the Global Notes will be effected through the Depositary, in accordance with the provisions of the Indenture and the Applicable Procedures. Transfers of beneficial interests in the Global Notes also will require compliance with either subparagraph (a) or (b) below, as applicable, as well as one or more of the other following subparagraphs, as applicable.</w:t>
      </w:r>
    </w:p>
    <w:p>
      <w:pPr>
        <w:spacing w:after="0" w:line="79" w:lineRule="exact"/>
        <w:rPr>
          <w:sz w:val="20"/>
          <w:szCs w:val="20"/>
          <w:color w:val="auto"/>
        </w:rPr>
      </w:pPr>
    </w:p>
    <w:p>
      <w:pPr>
        <w:ind w:left="460" w:right="260" w:firstLine="443"/>
        <w:spacing w:after="0" w:line="264" w:lineRule="auto"/>
        <w:tabs>
          <w:tab w:leader="none" w:pos="1143"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Transfer of Beneficial Interests in the Same Global Note</w:t>
      </w:r>
      <w:r>
        <w:rPr>
          <w:rFonts w:ascii="Arial" w:cs="Arial" w:eastAsia="Arial" w:hAnsi="Arial"/>
          <w:sz w:val="18"/>
          <w:szCs w:val="18"/>
          <w:color w:val="auto"/>
        </w:rPr>
        <w:t>. Beneficial interests in any Global Note may be transferred to Persons who take delivery thereof in the form of a beneficial interest in the same Global Note. No written orders or instructions shall be required to be delivered to the Registrar to effect the transfers described in this Section 1.3.2(a).</w:t>
      </w:r>
    </w:p>
    <w:p>
      <w:pPr>
        <w:spacing w:after="0" w:line="73" w:lineRule="exact"/>
        <w:rPr>
          <w:rFonts w:ascii="Arial" w:cs="Arial" w:eastAsia="Arial" w:hAnsi="Arial"/>
          <w:sz w:val="18"/>
          <w:szCs w:val="18"/>
          <w:color w:val="auto"/>
        </w:rPr>
      </w:pPr>
    </w:p>
    <w:p>
      <w:pPr>
        <w:ind w:left="460" w:right="520" w:firstLine="443"/>
        <w:spacing w:after="0" w:line="342" w:lineRule="auto"/>
        <w:tabs>
          <w:tab w:leader="none" w:pos="1153"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All Other Transfers and Exchanges of Beneficial Interests in Global Notes</w:t>
      </w:r>
      <w:r>
        <w:rPr>
          <w:rFonts w:ascii="Arial" w:cs="Arial" w:eastAsia="Arial" w:hAnsi="Arial"/>
          <w:sz w:val="16"/>
          <w:szCs w:val="16"/>
          <w:color w:val="auto"/>
        </w:rPr>
        <w:t>. In connection with all transfers and exchanges of beneficial interests that are not subject to Section 1.3.2(a) above, the transferor of such beneficial interest must deliver to the Registrar either:</w:t>
      </w:r>
    </w:p>
    <w:p>
      <w:pPr>
        <w:spacing w:after="0" w:line="15" w:lineRule="exact"/>
        <w:rPr>
          <w:rFonts w:ascii="Arial" w:cs="Arial" w:eastAsia="Arial" w:hAnsi="Arial"/>
          <w:sz w:val="16"/>
          <w:szCs w:val="16"/>
          <w:color w:val="auto"/>
        </w:rPr>
      </w:pPr>
    </w:p>
    <w:p>
      <w:pPr>
        <w:ind w:left="1560" w:hanging="219"/>
        <w:spacing w:after="0"/>
        <w:tabs>
          <w:tab w:leader="none" w:pos="15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both:</w:t>
      </w:r>
    </w:p>
    <w:p>
      <w:pPr>
        <w:spacing w:after="0" w:line="117" w:lineRule="exact"/>
        <w:rPr>
          <w:rFonts w:ascii="Arial" w:cs="Arial" w:eastAsia="Arial" w:hAnsi="Arial"/>
          <w:sz w:val="18"/>
          <w:szCs w:val="18"/>
          <w:color w:val="auto"/>
        </w:rPr>
      </w:pPr>
    </w:p>
    <w:p>
      <w:pPr>
        <w:ind w:left="1500" w:firstLine="389"/>
        <w:spacing w:after="0" w:line="264" w:lineRule="auto"/>
        <w:tabs>
          <w:tab w:leader="none" w:pos="2152"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73" w:lineRule="exact"/>
        <w:rPr>
          <w:rFonts w:ascii="Arial" w:cs="Arial" w:eastAsia="Arial" w:hAnsi="Arial"/>
          <w:sz w:val="18"/>
          <w:szCs w:val="18"/>
          <w:color w:val="auto"/>
        </w:rPr>
      </w:pPr>
    </w:p>
    <w:p>
      <w:pPr>
        <w:ind w:left="1500" w:right="600" w:firstLine="389"/>
        <w:spacing w:after="0" w:line="277" w:lineRule="auto"/>
        <w:tabs>
          <w:tab w:leader="none" w:pos="2152" w:val="left"/>
        </w:tabs>
        <w:numPr>
          <w:ilvl w:val="2"/>
          <w:numId w:val="101"/>
        </w:numPr>
        <w:rPr>
          <w:rFonts w:ascii="Arial" w:cs="Arial" w:eastAsia="Arial" w:hAnsi="Arial"/>
          <w:sz w:val="18"/>
          <w:szCs w:val="18"/>
          <w:color w:val="auto"/>
        </w:rPr>
      </w:pPr>
      <w:r>
        <w:rPr>
          <w:rFonts w:ascii="Arial" w:cs="Arial" w:eastAsia="Arial" w:hAnsi="Arial"/>
          <w:sz w:val="18"/>
          <w:szCs w:val="18"/>
          <w:color w:val="auto"/>
        </w:rPr>
        <w:t>instructions given by the Depositary in accordance with the Applicable Procedures containing information regarding the Participant account to be credited with such increase;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11" w:name="page112"/>
    <w:bookmarkEnd w:id="111"/>
    <w:p>
      <w:pPr>
        <w:ind w:left="1600" w:hanging="259"/>
        <w:spacing w:after="0"/>
        <w:tabs>
          <w:tab w:leader="none" w:pos="1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both:</w:t>
      </w:r>
    </w:p>
    <w:p>
      <w:pPr>
        <w:spacing w:after="0" w:line="117" w:lineRule="exact"/>
        <w:rPr>
          <w:rFonts w:ascii="Arial" w:cs="Arial" w:eastAsia="Arial" w:hAnsi="Arial"/>
          <w:sz w:val="18"/>
          <w:szCs w:val="18"/>
          <w:color w:val="auto"/>
        </w:rPr>
      </w:pPr>
    </w:p>
    <w:p>
      <w:pPr>
        <w:jc w:val="both"/>
        <w:ind w:left="1500" w:right="800" w:firstLine="389"/>
        <w:spacing w:after="0" w:line="264" w:lineRule="auto"/>
        <w:tabs>
          <w:tab w:leader="none" w:pos="215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Certificated Note in an amount equal to the beneficial interest to be transferred or exchanged; and</w:t>
      </w:r>
    </w:p>
    <w:p>
      <w:pPr>
        <w:spacing w:after="0" w:line="73" w:lineRule="exact"/>
        <w:rPr>
          <w:rFonts w:ascii="Arial" w:cs="Arial" w:eastAsia="Arial" w:hAnsi="Arial"/>
          <w:sz w:val="18"/>
          <w:szCs w:val="18"/>
          <w:color w:val="auto"/>
        </w:rPr>
      </w:pPr>
    </w:p>
    <w:p>
      <w:pPr>
        <w:ind w:left="1500" w:right="780" w:firstLine="389"/>
        <w:spacing w:after="0" w:line="277" w:lineRule="auto"/>
        <w:tabs>
          <w:tab w:leader="none" w:pos="215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Certificated Note shall be registered.</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Upon satisfaction of all of the requirements for transfer or exchange of beneficial interests in Global Notes contained in the Indenture and the Notes, the Trustee shall adjust the principal amount of the relevant Global Note(s) pursuant to Section 1.3.4 hereof.</w:t>
      </w:r>
    </w:p>
    <w:p>
      <w:pPr>
        <w:spacing w:after="0" w:line="62" w:lineRule="exact"/>
        <w:rPr>
          <w:sz w:val="20"/>
          <w:szCs w:val="20"/>
          <w:color w:val="auto"/>
        </w:rPr>
      </w:pPr>
    </w:p>
    <w:p>
      <w:pPr>
        <w:ind w:right="340" w:firstLine="913"/>
        <w:spacing w:after="0" w:line="297"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Transfer and Exchange of Certificated Notes for Certificated Notes</w:t>
      </w:r>
      <w:r>
        <w:rPr>
          <w:rFonts w:ascii="Arial" w:cs="Arial" w:eastAsia="Arial" w:hAnsi="Arial"/>
          <w:sz w:val="16"/>
          <w:szCs w:val="16"/>
          <w:color w:val="auto"/>
        </w:rPr>
        <w:t>. Upon request by a Holder of Certificated Notes and such Holder’s compliance with the provisions of this Section 1.3.3, the Registrar will register the transfer or exchange of Certificated Notes. Prior to such registration of transfer or exchange, the requesting Holder must present or surrender to the Registrar the Certificated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reasonably required by the Registrar.</w:t>
      </w:r>
    </w:p>
    <w:p>
      <w:pPr>
        <w:spacing w:after="0" w:line="5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Cancellation and/or Adjustment of Global Notes</w:t>
      </w:r>
      <w:r>
        <w:rPr>
          <w:rFonts w:ascii="Arial" w:cs="Arial" w:eastAsia="Arial" w:hAnsi="Arial"/>
          <w:sz w:val="18"/>
          <w:szCs w:val="18"/>
          <w:color w:val="auto"/>
        </w:rPr>
        <w:t>. At such time as all beneficial interests in a particular Global Note have been exchanged for Certificated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interests in another Global Note or for Certificated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General Provisions Relating to Transfers and Exchanges</w:t>
      </w:r>
      <w:r>
        <w:rPr>
          <w:rFonts w:ascii="Arial" w:cs="Arial" w:eastAsia="Arial" w:hAnsi="Arial"/>
          <w:sz w:val="18"/>
          <w:szCs w:val="18"/>
          <w:color w:val="auto"/>
        </w:rPr>
        <w:t>.</w:t>
      </w:r>
    </w:p>
    <w:p>
      <w:pPr>
        <w:spacing w:after="0" w:line="117" w:lineRule="exact"/>
        <w:rPr>
          <w:sz w:val="20"/>
          <w:szCs w:val="20"/>
          <w:color w:val="auto"/>
        </w:rPr>
      </w:pPr>
    </w:p>
    <w:p>
      <w:pPr>
        <w:ind w:left="460" w:right="120" w:firstLine="443"/>
        <w:spacing w:after="0" w:line="277" w:lineRule="auto"/>
        <w:tabs>
          <w:tab w:leader="none" w:pos="114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will execute and the Trustee will authenticate Global Notes and Certificated Notes upon receipt of a Company Order in accordance with Section 2.3 of the Base Indenture.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12" w:name="page113"/>
    <w:bookmarkEnd w:id="112"/>
    <w:p>
      <w:pPr>
        <w:ind w:left="460" w:right="40" w:firstLine="443"/>
        <w:spacing w:after="0" w:line="279" w:lineRule="auto"/>
        <w:tabs>
          <w:tab w:leader="none" w:pos="1153" w:val="left"/>
        </w:tabs>
        <w:numPr>
          <w:ilvl w:val="0"/>
          <w:numId w:val="1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service charge will be made to a holder of a beneficial interest in a Global Note, a Holder of a Global Note or to a Holder of a Certificated Note for any registration of transfer or exchange, but the Company may require payment of a sum sufficient to cover any stamp duty, stamp duty reserve tax, documentary, transfer tax or similar governmental charge payable in connection therewith (other than any such transfer taxes or similar governmental charge payable upon exchange or transfer pursuant to Sections 2.11 and 3.6 of the Base Indenture).</w:t>
      </w:r>
    </w:p>
    <w:p>
      <w:pPr>
        <w:spacing w:after="0" w:line="63" w:lineRule="exact"/>
        <w:rPr>
          <w:rFonts w:ascii="Arial" w:cs="Arial" w:eastAsia="Arial" w:hAnsi="Arial"/>
          <w:sz w:val="17"/>
          <w:szCs w:val="17"/>
          <w:color w:val="auto"/>
        </w:rPr>
      </w:pPr>
    </w:p>
    <w:p>
      <w:pPr>
        <w:ind w:left="460" w:right="220" w:firstLine="443"/>
        <w:spacing w:after="0" w:line="277" w:lineRule="auto"/>
        <w:tabs>
          <w:tab w:leader="none" w:pos="114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of any Note selected for redemption in whole or in part, except the unredeemed portion of any Note being redeemed in part.</w:t>
      </w:r>
    </w:p>
    <w:p>
      <w:pPr>
        <w:spacing w:after="0" w:line="62" w:lineRule="exact"/>
        <w:rPr>
          <w:rFonts w:ascii="Arial" w:cs="Arial" w:eastAsia="Arial" w:hAnsi="Arial"/>
          <w:sz w:val="18"/>
          <w:szCs w:val="18"/>
          <w:color w:val="auto"/>
        </w:rPr>
      </w:pPr>
    </w:p>
    <w:p>
      <w:pPr>
        <w:ind w:left="460" w:right="20" w:firstLine="443"/>
        <w:spacing w:after="0" w:line="264" w:lineRule="auto"/>
        <w:tabs>
          <w:tab w:leader="none" w:pos="115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Global Notes and Certificated Notes issued upon any registration of transfer or exchange of Global Notes or Certificated Notes will be the valid obligations of the Company, evidencing the same debt, and entitled to the same benefits under the Indenture, as the Global Notes or Certificated Notes surrendered upon such registration of transfer or exchange.</w:t>
      </w:r>
    </w:p>
    <w:p>
      <w:pPr>
        <w:spacing w:after="0" w:line="73" w:lineRule="exact"/>
        <w:rPr>
          <w:rFonts w:ascii="Arial" w:cs="Arial" w:eastAsia="Arial" w:hAnsi="Arial"/>
          <w:sz w:val="18"/>
          <w:szCs w:val="18"/>
          <w:color w:val="auto"/>
        </w:rPr>
      </w:pPr>
    </w:p>
    <w:p>
      <w:pPr>
        <w:ind w:left="1140" w:hanging="237"/>
        <w:spacing w:after="0"/>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Neither the Registrar nor the Company will be required:</w:t>
      </w:r>
    </w:p>
    <w:p>
      <w:pPr>
        <w:spacing w:after="0" w:line="117" w:lineRule="exact"/>
        <w:rPr>
          <w:rFonts w:ascii="Arial" w:cs="Arial" w:eastAsia="Arial" w:hAnsi="Arial"/>
          <w:sz w:val="18"/>
          <w:szCs w:val="18"/>
          <w:color w:val="auto"/>
        </w:rPr>
      </w:pPr>
    </w:p>
    <w:p>
      <w:pPr>
        <w:ind w:left="920" w:right="60" w:firstLine="421"/>
        <w:spacing w:after="0" w:line="342" w:lineRule="auto"/>
        <w:tabs>
          <w:tab w:leader="none" w:pos="1555"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to issue, to register the transfer of or to exchange any Notes during a period beginning at the opening of business 15 days before the day of any selection of Notes for redemption under Section 3.2 of the Base Indenture and ending at the close of business on the day of selection;</w:t>
      </w:r>
    </w:p>
    <w:p>
      <w:pPr>
        <w:spacing w:after="0" w:line="15" w:lineRule="exact"/>
        <w:rPr>
          <w:rFonts w:ascii="Arial" w:cs="Arial" w:eastAsia="Arial" w:hAnsi="Arial"/>
          <w:sz w:val="16"/>
          <w:szCs w:val="16"/>
          <w:color w:val="auto"/>
        </w:rPr>
      </w:pPr>
    </w:p>
    <w:p>
      <w:pPr>
        <w:ind w:left="920" w:right="280" w:firstLine="421"/>
        <w:spacing w:after="0" w:line="277" w:lineRule="auto"/>
        <w:tabs>
          <w:tab w:leader="none" w:pos="160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selected for redemption in whole or in part, except the unredeemed portion of any Note being redeemed in part; or</w:t>
      </w:r>
    </w:p>
    <w:p>
      <w:pPr>
        <w:spacing w:after="0" w:line="62" w:lineRule="exact"/>
        <w:rPr>
          <w:rFonts w:ascii="Arial" w:cs="Arial" w:eastAsia="Arial" w:hAnsi="Arial"/>
          <w:sz w:val="18"/>
          <w:szCs w:val="18"/>
          <w:color w:val="auto"/>
        </w:rPr>
      </w:pPr>
    </w:p>
    <w:p>
      <w:pPr>
        <w:ind w:left="1660" w:hanging="319"/>
        <w:spacing w:after="0"/>
        <w:tabs>
          <w:tab w:leader="none" w:pos="16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register the transfer of or to exchange a Note between a record date and the next succeeding Interest Payment Date.</w:t>
      </w:r>
    </w:p>
    <w:p>
      <w:pPr>
        <w:spacing w:after="0" w:line="117" w:lineRule="exact"/>
        <w:rPr>
          <w:rFonts w:ascii="Arial" w:cs="Arial" w:eastAsia="Arial" w:hAnsi="Arial"/>
          <w:sz w:val="18"/>
          <w:szCs w:val="18"/>
          <w:color w:val="auto"/>
        </w:rPr>
      </w:pPr>
    </w:p>
    <w:p>
      <w:pPr>
        <w:ind w:left="460" w:firstLine="443"/>
        <w:spacing w:after="0" w:line="259" w:lineRule="auto"/>
        <w:tabs>
          <w:tab w:leader="none" w:pos="112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premium, if any, and interest and Additional Amounts, if any, on such Notes and for all other purposes, and none of the Trustee, any Agent or the Company shall be affected by notice to the contrary.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Legends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Section 1.4 shall replace Section 2.14.3 of the Base Indenture with respect to the Notes only.</w:t>
      </w:r>
    </w:p>
    <w:p>
      <w:pPr>
        <w:spacing w:after="0" w:line="11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Legends</w:t>
      </w:r>
      <w:r>
        <w:rPr>
          <w:rFonts w:ascii="Arial" w:cs="Arial" w:eastAsia="Arial" w:hAnsi="Arial"/>
          <w:sz w:val="18"/>
          <w:szCs w:val="18"/>
          <w:color w:val="auto"/>
        </w:rPr>
        <w:t>. The following legend will appear in substantially the following form on the face of each Global Note issued under the Indenture unless specifically stated otherwise in the applicable provisions of the Indenture.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13" w:name="page114"/>
    <w:bookmarkEnd w:id="11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1.3 OF THE FIRST SUPPLEMENTAL INDENTURE, (2) THIS GLOBAL NOTE MAY BE EXCHANGED IN WHOLE BUT NOT IN PART PURSUANT TO SECTION 1.3 OF THE FIRST SUPPLEMENTAL INDENTURE, (3) THIS GLOBAL NOTE MAY BE DELIVERED TO THE TRUSTEE FOR CANCELLATION PURSUANT TO SECTION 2.12 OF THE BASE INDENTURE AND (4) THIS GLOBAL NOTE MAY BE TRANSFERRED TO A SUCCESSOR DEPOSITARY WITH THE PRIOR WRITTEN CONSENT OF THE COMPANY.</w:t>
      </w:r>
    </w:p>
    <w:p>
      <w:pPr>
        <w:spacing w:after="0" w:line="7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UNLESS AND UNTIL IT IS EXCHANGED IN WHOLE OR IN PART FOR NOTES IN DEFINITIVE FORM, THIS NOTE MAY NOT BE TRANSFERRED EXCEPT TO A CUSTODIAN OR A NOMINEE OF SUCH CUSTODIAN, BY A CUSTODIAN OR A NOMINEE OF SUCH CUSTODIAN TO A DEPOSITARY OR TO ANOTHER NOMINEE OR CUSTODIAN OF SUCH DEPOSITARY, OR BY SUCH CUSTODIAN OR DEPOSITARY OR ANY SUCH NOMINEE TO A SUCCESSOR DEPOSITARY OR CUSTODIAN OR A NOMINEE THEREOF. ACCORDINGLY,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Note Guarantee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117" w:lineRule="exact"/>
        <w:rPr>
          <w:sz w:val="20"/>
          <w:szCs w:val="20"/>
          <w:color w:val="auto"/>
        </w:rPr>
      </w:pPr>
    </w:p>
    <w:p>
      <w:pPr>
        <w:ind w:right="100" w:firstLine="443"/>
        <w:spacing w:after="0" w:line="264" w:lineRule="auto"/>
        <w:tabs>
          <w:tab w:leader="none" w:pos="68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Subject to this Section 1.5.1, the Guarantor hereby unconditionally guarantees to each Holder of a Note authenticated and delivered by the Trustee and to the Trustee and its successors and assigns, irrespective of the validity and enforceability of the Indenture, the Notes or the obligations of the Company hereunder or thereunder, that:</w:t>
      </w:r>
    </w:p>
    <w:p>
      <w:pPr>
        <w:spacing w:after="0" w:line="73" w:lineRule="exact"/>
        <w:rPr>
          <w:rFonts w:ascii="Arial" w:cs="Arial" w:eastAsia="Arial" w:hAnsi="Arial"/>
          <w:sz w:val="18"/>
          <w:szCs w:val="18"/>
          <w:color w:val="auto"/>
        </w:rPr>
      </w:pPr>
    </w:p>
    <w:p>
      <w:pPr>
        <w:ind w:left="460" w:right="420" w:firstLine="421"/>
        <w:spacing w:after="0" w:line="302" w:lineRule="auto"/>
        <w:tabs>
          <w:tab w:leader="none" w:pos="1095"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principal of, premium on, if any, and interest, if any, on, the Notes and all other amounts payable by the Company under the Indenture will be promptly paid in full when due, whether at maturity, by acceleration, redemption or otherwise, and interest on the overdue principal of, premium on, if any, and interest, if any, on, the Notes, if lawful, and all other obligations of the Company to the Holders or the Trustee hereunder or thereunder will be promptly paid in full or performed, all in accordance with the terms hereof and thereof; and</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14" w:name="page115"/>
    <w:bookmarkEnd w:id="114"/>
    <w:p>
      <w:pPr>
        <w:ind w:left="920" w:firstLine="421"/>
        <w:spacing w:after="0" w:line="342" w:lineRule="auto"/>
        <w:tabs>
          <w:tab w:leader="none" w:pos="1605" w:val="left"/>
        </w:tabs>
        <w:numPr>
          <w:ilvl w:val="0"/>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16"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Failing payment when due of any amount so guaranteed or any performance so guaranteed for whatever reason, the Guarantor will be obligated to pay the same immediately. The Guarantor agrees that its Note Guarantee is a guarantee of payment and not a guarantee of collection.</w:t>
      </w:r>
    </w:p>
    <w:p>
      <w:pPr>
        <w:spacing w:after="0" w:line="16" w:lineRule="exact"/>
        <w:rPr>
          <w:sz w:val="20"/>
          <w:szCs w:val="20"/>
          <w:color w:val="auto"/>
        </w:rPr>
      </w:pPr>
    </w:p>
    <w:p>
      <w:pPr>
        <w:ind w:left="460" w:right="300" w:firstLine="443"/>
        <w:spacing w:after="0" w:line="272" w:lineRule="auto"/>
        <w:tabs>
          <w:tab w:leader="none" w:pos="1153"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Guarantor hereby agrees that its obligations under its Note Guarantee are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the Guarantor. The Guarantor hereby waives diligence, presentment, demand of payment, filing of claims with a court in the event of insolvency or bankruptcy of the Company, any right to require a proceeding first against the Company, protest, notice and all demands whatsoever and covenants that its Note Guarantee will not be discharged with respect to the Notes except by complete performance of the obligations contained in the Notes and the Indenture.</w:t>
      </w:r>
    </w:p>
    <w:p>
      <w:pPr>
        <w:spacing w:after="0" w:line="69" w:lineRule="exact"/>
        <w:rPr>
          <w:rFonts w:ascii="Arial" w:cs="Arial" w:eastAsia="Arial" w:hAnsi="Arial"/>
          <w:sz w:val="17"/>
          <w:szCs w:val="17"/>
          <w:color w:val="auto"/>
        </w:rPr>
      </w:pPr>
    </w:p>
    <w:p>
      <w:pPr>
        <w:jc w:val="both"/>
        <w:ind w:left="460" w:right="40" w:firstLine="443"/>
        <w:spacing w:after="0" w:line="264" w:lineRule="auto"/>
        <w:tabs>
          <w:tab w:leader="none" w:pos="114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 or any custodian, trustee, liquidator or other similar official acting in relation to either the Company or the Guarantor, any amount paid either to the Trustee or such Holder, the Guarantor’s Note Guarantee, to the extent theretofore discharged, will be reinstated in full force and effect.</w:t>
      </w:r>
    </w:p>
    <w:p>
      <w:pPr>
        <w:spacing w:after="0" w:line="73" w:lineRule="exact"/>
        <w:rPr>
          <w:rFonts w:ascii="Arial" w:cs="Arial" w:eastAsia="Arial" w:hAnsi="Arial"/>
          <w:sz w:val="18"/>
          <w:szCs w:val="18"/>
          <w:color w:val="auto"/>
        </w:rPr>
      </w:pPr>
    </w:p>
    <w:p>
      <w:pPr>
        <w:ind w:left="460" w:right="60" w:firstLine="443"/>
        <w:spacing w:after="0" w:line="272" w:lineRule="auto"/>
        <w:tabs>
          <w:tab w:leader="none" w:pos="1153"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Guarantor agrees that it will not be entitled to any right of subrogation in relation to the Holders with respect to the Notes in respect of any obligations guaranteed hereby until payment in full of all obligations guaranteed hereby with respect to the Notes. The Guarantor further agrees that, as between the Guarantor, on the one hand, and the Holders and the Trustee, on the other hand, (1) the maturity of the obligations guaranteed hereby may be accelerated as provided in Article VI of the Base Indenture for the purposes of the Guarantor’s Note Guarantee, notwithstanding any stay, injunction or other prohibition preventing such acceleration in respect of the obligations guaranteed hereby, and (2) in the event of any declaration of acceleration of such obligations as provided in Article VI of the Base Indenture, such obligations (whether or not due and payable) will forthwith become due and payable by the Guarantor for the purpose of the Guarantor’s Note Guarantee.</w:t>
      </w:r>
    </w:p>
    <w:p>
      <w:pPr>
        <w:spacing w:after="0" w:line="70"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Limitation on Guarantor Liability</w:t>
      </w:r>
      <w:r>
        <w:rPr>
          <w:rFonts w:ascii="Arial" w:cs="Arial" w:eastAsia="Arial" w:hAnsi="Arial"/>
          <w:sz w:val="18"/>
          <w:szCs w:val="18"/>
          <w:color w:val="auto"/>
        </w:rPr>
        <w:t>. The Guarantor, and by its acceptance of Notes, each Holder, hereby confirms that it is the intention of all such parties that the Note Guarantee of the Guarantor not constitute a fraudulent transfer or conveyance for purposes of Bankruptcy Law, the Uniform Fraudulent Conveyance Act, the Uniform Fraudulent Transfer Act or any similar federal or state law to the extent applicable to its Note Guarantee. To effectuate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5" w:name="page116"/>
    <w:bookmarkEnd w:id="115"/>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intention, the Trustee, the Holders and the Guarantor hereby irrevocably agree that the obligations of the Guarantor will be limited to the maximum amount that will, after giving effect to such maximum amount and all other contingent and fixed liabilities of the Guarantor that are relevant under such laws, result in the obligations of the Guarantor under its Note Guarantee not constituting a fraudulent transfer or conveyance.</w:t>
      </w:r>
    </w:p>
    <w:p>
      <w:pPr>
        <w:spacing w:after="0" w:line="57"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u w:val="single" w:color="auto"/>
          <w:color w:val="auto"/>
        </w:rPr>
        <w:t>Execution and Delivery of Note Guarantee</w:t>
      </w:r>
      <w:r>
        <w:rPr>
          <w:rFonts w:ascii="Arial" w:cs="Arial" w:eastAsia="Arial" w:hAnsi="Arial"/>
          <w:sz w:val="17"/>
          <w:szCs w:val="17"/>
          <w:color w:val="auto"/>
        </w:rPr>
        <w:t>. The terms of the Note Guarantee set forth in Section 1.5.1 do not require the Guarantor to evidence its Note Guarantee through any notation of such Note Guarantee endorsed by an Officer of the Guarantor on each Note authenticated and delivered by the Trustee. This First Supplemental Indenture will be executed on behalf of the Guarantor by one of its Officers.</w:t>
      </w:r>
    </w:p>
    <w:p>
      <w:pPr>
        <w:spacing w:after="0" w:line="166"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The Note Guarantee set forth in Section 1.5.1 hereof will remain in full force and effect without any requirement to endorse on each Note a notation of such Note Guarantee.</w:t>
      </w:r>
    </w:p>
    <w:p>
      <w:pPr>
        <w:spacing w:after="0" w:line="170"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If an Officer of the Guarantor whose signature is on this First Supplemental Indenture no longer holds that office at the time the Trustee authenticates the Note, the Note Guarantee will be valid nevertheless.</w:t>
      </w:r>
    </w:p>
    <w:p>
      <w:pPr>
        <w:spacing w:after="0" w:line="17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will constitute due delivery of the Note Guarantee set forth in this First Supplemental Indenture on behalf of the Guarantor.</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u w:val="single" w:color="auto"/>
          <w:color w:val="auto"/>
        </w:rPr>
        <w:t>Releases</w:t>
      </w:r>
      <w:r>
        <w:rPr>
          <w:rFonts w:ascii="Arial" w:cs="Arial" w:eastAsia="Arial" w:hAnsi="Arial"/>
          <w:sz w:val="18"/>
          <w:szCs w:val="18"/>
          <w:color w:val="auto"/>
        </w:rPr>
        <w:t>.</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Upon legal defeasance or covenant defeasance with respect to the Notes in accordance with Article VIII of the Base Indenture or satisfaction and discharge of the Indenture, the Guarantor will be released and relieved of any obligations with respect to the Notes under its Note Guarantee to the extent set forth in the Indenture.</w:t>
      </w:r>
    </w:p>
    <w:p>
      <w:pPr>
        <w:spacing w:after="0" w:line="18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If the Guarantor is not released from its obligations under its Note Guarantee as provided in this Section 1.5.4 the Guarantor will remain liable for the full amount of principal of, premium on, if any, and interest, if any, on, the Notes and for the other obligations of the Guarantor under the Indenture as provided in this Section 1.5.</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Capitalized terms used but not defined in this First Supplemental Indenture shall have the meanings ascribed thereto in the Base Indenture.</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Confirmation of Indenture</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The Base Indenture, as supplemented and amended by this First Supplemental Indenture, is in all respects ratified and confirmed, and the Base Indenture, this First Supplemental Indenture and all indentures supplemental thereto shall be read, taken and construed as one and the same instrument.</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16" w:name="page117"/>
    <w:bookmarkEnd w:id="11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2.3.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13" w:lineRule="exact"/>
        <w:rPr>
          <w:sz w:val="20"/>
          <w:szCs w:val="20"/>
          <w:color w:val="auto"/>
        </w:rPr>
      </w:pPr>
    </w:p>
    <w:p>
      <w:pPr>
        <w:ind w:right="200" w:firstLine="913"/>
        <w:spacing w:after="0" w:line="261" w:lineRule="auto"/>
        <w:rPr>
          <w:sz w:val="20"/>
          <w:szCs w:val="20"/>
          <w:color w:val="auto"/>
        </w:rPr>
      </w:pPr>
      <w:r>
        <w:rPr>
          <w:rFonts w:ascii="Arial" w:cs="Arial" w:eastAsia="Arial" w:hAnsi="Arial"/>
          <w:sz w:val="18"/>
          <w:szCs w:val="18"/>
          <w:b w:val="1"/>
          <w:bCs w:val="1"/>
          <w:color w:val="auto"/>
        </w:rPr>
        <w:t>THIS FIRST SUPPLEMENTAL INDENTURE, THE NOTES AND THE NOTE GUARANTEE, INCLUDING ANY CLAIM OR CONTROVERSY ARISING OUT OF OR RELATING TO THIS FIRST SUPPLEMENTAL INDENTURE, THE NOTES OR THE NOTE GUARANTEE, SHALL BE GOVERNED BY THE LAWS OF THE STATE OF NEW YORK WITHOUT REGARD TO CONFLICT OF LAW PRINCIPLES THAT WOULD RESULT IN THE APPLICATION OF ANY LAW OTHER THAN THE LAW OF THE STATE OF NEW YORK.</w:t>
      </w:r>
    </w:p>
    <w:p>
      <w:pPr>
        <w:spacing w:after="0" w:line="180" w:lineRule="exact"/>
        <w:rPr>
          <w:sz w:val="20"/>
          <w:szCs w:val="20"/>
          <w:color w:val="auto"/>
        </w:rPr>
      </w:pPr>
    </w:p>
    <w:p>
      <w:pPr>
        <w:ind w:right="480" w:firstLine="913"/>
        <w:spacing w:after="0" w:line="313" w:lineRule="auto"/>
        <w:rPr>
          <w:sz w:val="20"/>
          <w:szCs w:val="20"/>
          <w:color w:val="auto"/>
        </w:rPr>
      </w:pPr>
      <w:r>
        <w:rPr>
          <w:rFonts w:ascii="Arial" w:cs="Arial" w:eastAsia="Arial" w:hAnsi="Arial"/>
          <w:sz w:val="17"/>
          <w:szCs w:val="17"/>
          <w:b w:val="1"/>
          <w:bCs w:val="1"/>
          <w:color w:val="auto"/>
        </w:rPr>
        <w:t>THE APPLICATION OF THE PROVISIONS OF THE ARTICLES 86 TO 94-8 AND THE ARTICLES 96 AND 97 OF THE LUXEMBOURG LAW OF 10 AUGUST 1915 ON COMMERCIAL COMPANIES, AS AMENDED, IS HEREBY EXPRESSLY EXCLUDED.</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117"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In case any provision in this First Supplemental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ind w:right="300" w:firstLine="913"/>
        <w:spacing w:after="0" w:line="308" w:lineRule="auto"/>
        <w:rPr>
          <w:sz w:val="20"/>
          <w:szCs w:val="20"/>
          <w:color w:val="auto"/>
        </w:rPr>
      </w:pPr>
      <w:r>
        <w:rPr>
          <w:rFonts w:ascii="Arial" w:cs="Arial" w:eastAsia="Arial" w:hAnsi="Arial"/>
          <w:sz w:val="17"/>
          <w:szCs w:val="17"/>
          <w:color w:val="auto"/>
        </w:rPr>
        <w:t>This First Supplemental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No Benefit</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Nothing in this First Supplemental Indenture, express or implied, shall give to any Person other than the parties hereto and their successors or assigns, and the Holders of the Notes, any benefit or legal or equitable rights, remedy or claim under this First Supplemental Indenture or the Base Indenture.</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No Responsibility of the Trustee</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Trustee shall not be responsible in any manner whatsoever for or in respect of the validity or sufficiency of the Notes, the Note Guarantee or this First Supplemental Indenture.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74" w:right="319" w:bottom="1440" w:gutter="0" w:footer="0" w:header="0"/>
        </w:sectPr>
      </w:pPr>
    </w:p>
    <w:bookmarkStart w:id="117" w:name="page118"/>
    <w:bookmarkEnd w:id="117"/>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First Supplemental Indenture to be duly executed all as of the day and year first above written.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SCHLUMBERGER INVESTMENT SA</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Philippe Petre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Philippe Petre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Director B</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Imran Kizilbash</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Imran Kizilbash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Vice President Treasurer</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First Supplemental Indenture</w:t>
      </w:r>
    </w:p>
    <w:p>
      <w:pPr>
        <w:sectPr>
          <w:pgSz w:w="11900" w:h="16838" w:orient="portrait"/>
          <w:cols w:equalWidth="0" w:num="1">
            <w:col w:w="11160"/>
          </w:cols>
          <w:pgMar w:left="240" w:top="274" w:right="499" w:bottom="1440" w:gutter="0" w:footer="0" w:header="0"/>
        </w:sectPr>
      </w:pPr>
    </w:p>
    <w:bookmarkStart w:id="118" w:name="page119"/>
    <w:bookmarkEnd w:id="11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 as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Trustee, Registrar, Paying Agent and</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Transfer Agent</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Laurence J. O’Brien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First Supplemental Indenture</w:t>
      </w:r>
    </w:p>
    <w:p>
      <w:pPr>
        <w:sectPr>
          <w:pgSz w:w="11900" w:h="16838" w:orient="portrait"/>
          <w:cols w:equalWidth="0" w:num="1">
            <w:col w:w="9019"/>
          </w:cols>
          <w:pgMar w:left="1440" w:top="274"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3.650% SENIOR NOTES DUE 2023</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Global Note legend]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3.650% SENIOR NOTES DUE 2023</w:t>
      </w:r>
    </w:p>
    <w:p>
      <w:pPr>
        <w:sectPr>
          <w:pgSz w:w="11900" w:h="16838" w:orient="portrait"/>
          <w:cols w:equalWidth="0" w:num="1">
            <w:col w:w="11420"/>
          </w:cols>
          <w:pgMar w:left="240" w:top="270" w:right="239" w:bottom="1440" w:gutter="0" w:footer="0" w:header="0"/>
        </w:sectPr>
      </w:pP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No. [</w:t>
        <w:tab/>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3">
            <w:col w:w="10320" w:space="720"/>
            <w:col w:w="140" w:space="180"/>
            <w:col w:w="60"/>
          </w:cols>
          <w:pgMar w:left="240" w:top="270" w:right="239" w:bottom="1440" w:gutter="0" w:footer="0" w:header="0"/>
          <w:type w:val="continuous"/>
        </w:sectPr>
      </w:pPr>
    </w:p>
    <w:p>
      <w:pPr>
        <w:spacing w:after="0"/>
        <w:rPr>
          <w:sz w:val="20"/>
          <w:szCs w:val="20"/>
          <w:color w:val="auto"/>
        </w:rPr>
      </w:pPr>
      <w:r>
        <w:rPr>
          <w:rFonts w:ascii="Arial" w:cs="Arial" w:eastAsia="Arial" w:hAnsi="Arial"/>
          <w:sz w:val="18"/>
          <w:szCs w:val="18"/>
          <w:color w:val="auto"/>
        </w:rPr>
        <w:t>CUSIP No. 806854AH8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ISIN: US806854AH81</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INVESTMENT SA</w:t>
      </w:r>
    </w:p>
    <w:p>
      <w:pPr>
        <w:sectPr>
          <w:pgSz w:w="11900" w:h="16838" w:orient="portrait"/>
          <w:cols w:equalWidth="0" w:num="1">
            <w:col w:w="11420"/>
          </w:cols>
          <w:pgMar w:left="240" w:top="270" w:right="2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promises to pay to Cede &amp; Co., or registered assigns, the principal sum of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Dollars on December 1, 2023.</w:t>
      </w:r>
    </w:p>
    <w:p>
      <w:pPr>
        <w:spacing w:after="0" w:line="200" w:lineRule="exact"/>
        <w:rPr>
          <w:sz w:val="20"/>
          <w:szCs w:val="20"/>
          <w:color w:val="auto"/>
        </w:rPr>
      </w:pPr>
    </w:p>
    <w:p>
      <w:pPr>
        <w:sectPr>
          <w:pgSz w:w="11900" w:h="16838" w:orient="portrait"/>
          <w:cols w:equalWidth="0" w:num="2">
            <w:col w:w="5440" w:space="540"/>
            <w:col w:w="5440"/>
          </w:cols>
          <w:pgMar w:left="240" w:top="27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Interest Payment Dates: June 1 and December 1</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May 15 and November 15</w:t>
      </w:r>
    </w:p>
    <w:p>
      <w:pPr>
        <w:sectPr>
          <w:pgSz w:w="11900" w:h="16838" w:orient="portrait"/>
          <w:cols w:equalWidth="0" w:num="1">
            <w:col w:w="11420"/>
          </w:cols>
          <w:pgMar w:left="240" w:top="270" w:right="239" w:bottom="1440" w:gutter="0" w:footer="0" w:header="0"/>
          <w:type w:val="continuous"/>
        </w:sectPr>
      </w:pPr>
    </w:p>
    <w:p>
      <w:pPr>
        <w:spacing w:after="0" w:line="225"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Each Holder of this Note (each as defined below), by accepting the same, agrees to and shall be bound by the provisions hereof and of the Indenture described herein, and authorizes and directs the Trustee described herein on such Holder’s behalf to be bound by such provisions. Each Holder of this Note hereby waives all notice of the acceptance of the provisions contained herein and in the Indenture and waives reliance by such Holder upon said provisions.</w:t>
      </w:r>
    </w:p>
    <w:p>
      <w:pPr>
        <w:spacing w:after="0" w:line="14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This Note shall not be entitled to any benefit under the Indenture, or be valid or become obligatory for any purpose, until the Certificate of Authentication hereon shall have been manually signed by or on behalf of the Trustee. The provisions of this Note are continued on the reverse side hereof, and such continued provisions shall for all purposes have the same effect as though fully set forth at this place.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type w:val="continuous"/>
        </w:sectPr>
      </w:pPr>
    </w:p>
    <w:bookmarkStart w:id="120" w:name="page121"/>
    <w:bookmarkEnd w:id="120"/>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instrument to be signed in accordance with Section 2.3 of the Base Indenture.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2013</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SCHLUMBERGER INVESTMENT SA</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640"/>
          </w:cols>
          <w:pgMar w:left="240" w:top="274" w:right="1019" w:bottom="1440" w:gutter="0" w:footer="0" w:header="0"/>
        </w:sectPr>
      </w:pPr>
    </w:p>
    <w:bookmarkStart w:id="121" w:name="page122"/>
    <w:bookmarkEnd w:id="121"/>
    <w:p>
      <w:pPr>
        <w:ind w:left="4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AUTHENTICATION</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This is one of the 3.650% Senior Notes due 2023 issued by Schlumberger Investment SA of the Series designated therein referred to in the within-mentioned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2013</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BANK OF NEW YORK MELLON</w:t>
      </w:r>
    </w:p>
    <w:p>
      <w:pPr>
        <w:spacing w:after="0" w:line="2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3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00"/>
          </w:cols>
          <w:pgMar w:left="240" w:top="270" w:right="75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Schlumberger Investment SA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3.650% Senior Notes due 2023</w:t>
      </w:r>
    </w:p>
    <w:p>
      <w:pPr>
        <w:spacing w:after="0" w:line="229"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This note is one of a duly authorized Series of debt securities of Schlumberger Investment SA, a public limited liability company (société anonyme) organized under the laws of the Grand Duchy of Luxembourg having its registered address at 5 Avenue Gaston Diderich, L-1420 Luxembourg and registered with the Luxembourg Register of Commerce and Companies under number B 163.122 (the “</w:t>
      </w:r>
      <w:r>
        <w:rPr>
          <w:rFonts w:ascii="Arial" w:cs="Arial" w:eastAsia="Arial" w:hAnsi="Arial"/>
          <w:sz w:val="16"/>
          <w:szCs w:val="16"/>
          <w:i w:val="1"/>
          <w:iCs w:val="1"/>
          <w:color w:val="auto"/>
        </w:rPr>
        <w:t>Company</w:t>
      </w:r>
      <w:r>
        <w:rPr>
          <w:rFonts w:ascii="Arial" w:cs="Arial" w:eastAsia="Arial" w:hAnsi="Arial"/>
          <w:sz w:val="16"/>
          <w:szCs w:val="16"/>
          <w:color w:val="auto"/>
        </w:rPr>
        <w:t>”), issued or to be issued in one or more Series under and pursuant to an Indenture for the Company’s debentures, notes or other debt instruments evidencing its indebtedness, dated as of December 3, 2013 (the “</w:t>
      </w:r>
      <w:r>
        <w:rPr>
          <w:rFonts w:ascii="Arial" w:cs="Arial" w:eastAsia="Arial" w:hAnsi="Arial"/>
          <w:sz w:val="16"/>
          <w:szCs w:val="16"/>
          <w:i w:val="1"/>
          <w:iCs w:val="1"/>
          <w:color w:val="auto"/>
        </w:rPr>
        <w:t>Base Indenture</w:t>
      </w:r>
      <w:r>
        <w:rPr>
          <w:rFonts w:ascii="Arial" w:cs="Arial" w:eastAsia="Arial" w:hAnsi="Arial"/>
          <w:sz w:val="16"/>
          <w:szCs w:val="16"/>
          <w:color w:val="auto"/>
        </w:rPr>
        <w:t>”), duly executed and delivered by and among the Company, Schlumberger Limited, a corporation with limited liability governed by the laws of Curaçao (the “</w:t>
      </w:r>
      <w:r>
        <w:rPr>
          <w:rFonts w:ascii="Arial" w:cs="Arial" w:eastAsia="Arial" w:hAnsi="Arial"/>
          <w:sz w:val="16"/>
          <w:szCs w:val="16"/>
          <w:i w:val="1"/>
          <w:iCs w:val="1"/>
          <w:color w:val="auto"/>
        </w:rPr>
        <w:t>Guarantor</w:t>
      </w:r>
      <w:r>
        <w:rPr>
          <w:rFonts w:ascii="Arial" w:cs="Arial" w:eastAsia="Arial" w:hAnsi="Arial"/>
          <w:sz w:val="16"/>
          <w:szCs w:val="16"/>
          <w:color w:val="auto"/>
        </w:rPr>
        <w:t>”) and The Bank of New York Mellon as trustee (the “</w:t>
      </w:r>
      <w:r>
        <w:rPr>
          <w:rFonts w:ascii="Arial" w:cs="Arial" w:eastAsia="Arial" w:hAnsi="Arial"/>
          <w:sz w:val="16"/>
          <w:szCs w:val="16"/>
          <w:i w:val="1"/>
          <w:iCs w:val="1"/>
          <w:color w:val="auto"/>
        </w:rPr>
        <w:t>Trustee</w:t>
      </w:r>
      <w:r>
        <w:rPr>
          <w:rFonts w:ascii="Arial" w:cs="Arial" w:eastAsia="Arial" w:hAnsi="Arial"/>
          <w:sz w:val="16"/>
          <w:szCs w:val="16"/>
          <w:color w:val="auto"/>
        </w:rPr>
        <w:t>”), registrar, paying agent and transfer agent, as supplemented by the First Supplemental Indenture, dated as of December 3, 2013 (the “</w:t>
      </w:r>
      <w:r>
        <w:rPr>
          <w:rFonts w:ascii="Arial" w:cs="Arial" w:eastAsia="Arial" w:hAnsi="Arial"/>
          <w:sz w:val="16"/>
          <w:szCs w:val="16"/>
          <w:i w:val="1"/>
          <w:iCs w:val="1"/>
          <w:color w:val="auto"/>
        </w:rPr>
        <w:t>First Supplemental Indenture</w:t>
      </w:r>
      <w:r>
        <w:rPr>
          <w:rFonts w:ascii="Arial" w:cs="Arial" w:eastAsia="Arial" w:hAnsi="Arial"/>
          <w:sz w:val="16"/>
          <w:szCs w:val="16"/>
          <w:color w:val="auto"/>
        </w:rPr>
        <w:t>”), by and among the Company, the Guarantor and the Trustee. The Base Indenture as supplemented and amended by the First Supplemental Indenture is referred to herein as the “</w:t>
      </w:r>
      <w:r>
        <w:rPr>
          <w:rFonts w:ascii="Arial" w:cs="Arial" w:eastAsia="Arial" w:hAnsi="Arial"/>
          <w:sz w:val="16"/>
          <w:szCs w:val="16"/>
          <w:i w:val="1"/>
          <w:iCs w:val="1"/>
          <w:color w:val="auto"/>
        </w:rPr>
        <w:t>Indenture</w:t>
      </w:r>
      <w:r>
        <w:rPr>
          <w:rFonts w:ascii="Arial" w:cs="Arial" w:eastAsia="Arial" w:hAnsi="Arial"/>
          <w:sz w:val="16"/>
          <w:szCs w:val="16"/>
          <w:color w:val="auto"/>
        </w:rPr>
        <w:t>.” By the terms of the Base Indenture, the debt securities issuable thereunder are issuable in Series that may vary as to amount, date of maturity, rate of interest and in other respects as provided in the Base Indenture. This note is one of the Series designated on the face hereof (individually, a “</w:t>
      </w:r>
      <w:r>
        <w:rPr>
          <w:rFonts w:ascii="Arial" w:cs="Arial" w:eastAsia="Arial" w:hAnsi="Arial"/>
          <w:sz w:val="16"/>
          <w:szCs w:val="16"/>
          <w:i w:val="1"/>
          <w:iCs w:val="1"/>
          <w:color w:val="auto"/>
        </w:rPr>
        <w:t>Note</w:t>
      </w:r>
      <w:r>
        <w:rPr>
          <w:rFonts w:ascii="Arial" w:cs="Arial" w:eastAsia="Arial" w:hAnsi="Arial"/>
          <w:sz w:val="16"/>
          <w:szCs w:val="16"/>
          <w:color w:val="auto"/>
        </w:rPr>
        <w:t>,” and collectively, the “</w:t>
      </w:r>
      <w:r>
        <w:rPr>
          <w:rFonts w:ascii="Arial" w:cs="Arial" w:eastAsia="Arial" w:hAnsi="Arial"/>
          <w:sz w:val="16"/>
          <w:szCs w:val="16"/>
          <w:i w:val="1"/>
          <w:iCs w:val="1"/>
          <w:color w:val="auto"/>
        </w:rPr>
        <w:t>Notes</w:t>
      </w:r>
      <w:r>
        <w:rPr>
          <w:rFonts w:ascii="Arial" w:cs="Arial" w:eastAsia="Arial" w:hAnsi="Arial"/>
          <w:sz w:val="16"/>
          <w:szCs w:val="16"/>
          <w:color w:val="auto"/>
        </w:rPr>
        <w:t>”), and reference is hereby made to the Indenture for a description of the rights, limitations of rights, obligations, duties and immunities of the Trustee, the Company and the Holders of the Notes (the “</w:t>
      </w:r>
      <w:r>
        <w:rPr>
          <w:rFonts w:ascii="Arial" w:cs="Arial" w:eastAsia="Arial" w:hAnsi="Arial"/>
          <w:sz w:val="16"/>
          <w:szCs w:val="16"/>
          <w:i w:val="1"/>
          <w:iCs w:val="1"/>
          <w:color w:val="auto"/>
        </w:rPr>
        <w:t>Holders</w:t>
      </w:r>
      <w:r>
        <w:rPr>
          <w:rFonts w:ascii="Arial" w:cs="Arial" w:eastAsia="Arial" w:hAnsi="Arial"/>
          <w:sz w:val="16"/>
          <w:szCs w:val="16"/>
          <w:color w:val="auto"/>
        </w:rPr>
        <w:t>”). Capitalized terms used herein and not otherwise defined shall have the meanings given them in the Base Indenture or the First Supplemental Indenture, as applicable.</w:t>
      </w:r>
    </w:p>
    <w:p>
      <w:pPr>
        <w:spacing w:after="0" w:line="67" w:lineRule="exact"/>
        <w:rPr>
          <w:sz w:val="20"/>
          <w:szCs w:val="20"/>
          <w:color w:val="auto"/>
        </w:rPr>
      </w:pPr>
    </w:p>
    <w:p>
      <w:pPr>
        <w:ind w:right="60" w:firstLine="464"/>
        <w:spacing w:after="0" w:line="257" w:lineRule="auto"/>
        <w:tabs>
          <w:tab w:leader="none" w:pos="63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The rate at which the Notes shall bear interest shall be 3.650% per year. The date from which interest shall accrue on the Notes shall be December 3, 2013, or the most recent Interest Payment Date to which interest has been paid or provided for. The Interest Payment Dates for the Notes shall be June 1 and December 1 of each year, beginning June 1, 2014. Interest shall be payable on each Interest Payment Date to the Holders of record at the close of business on the May 15 and November 15 prior to each Interest Payment Date. The basis upon which interest shall be calculated shall be that of a 360–day year consisting of twelve 30–day months.</w:t>
      </w:r>
    </w:p>
    <w:p>
      <w:pPr>
        <w:spacing w:after="0" w:line="80" w:lineRule="exact"/>
        <w:rPr>
          <w:rFonts w:ascii="Arial" w:cs="Arial" w:eastAsia="Arial" w:hAnsi="Arial"/>
          <w:sz w:val="18"/>
          <w:szCs w:val="18"/>
          <w:color w:val="auto"/>
        </w:rPr>
      </w:pPr>
    </w:p>
    <w:p>
      <w:pPr>
        <w:ind w:right="80" w:firstLine="464"/>
        <w:spacing w:after="0" w:line="254" w:lineRule="auto"/>
        <w:tabs>
          <w:tab w:leader="none" w:pos="63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The Company will pay interest on the Notes (except defaulted interest), if any, to the persons in whose name such Notes are registered at the close of business on the regular record date referred to on the facing page of this Note for such interest payment. In the event that the Notes or a portion thereof are called for redemption and the Redemption Date is subsequent to a regular record date with respect to any Interest Payment Date and prior to such Interest Payment Date, interest on such Notes will be paid upon presentation and surrender of such Notes as provided in the Indenture. The principal of and the interest on the Notes shall be payable in Dollars, at the office or agency of the Company maintained for that purpose in accordance with the Indenture, or at the Company’s option, by check mailed to the address of the registered Holder or, with respect to any Global Note or upon application by the Holder of a definitive, non-global Note to the specified office of any Paying Agent not less than 15 days before the due date of any payment, by wire transfer to a U.S. dollar account.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70" w:right="259" w:bottom="1440" w:gutter="0" w:footer="0" w:header="0"/>
        </w:sectPr>
      </w:pPr>
    </w:p>
    <w:bookmarkStart w:id="123" w:name="page124"/>
    <w:bookmarkEnd w:id="123"/>
    <w:p>
      <w:pPr>
        <w:jc w:val="both"/>
        <w:ind w:firstLine="464"/>
        <w:spacing w:after="0" w:line="264" w:lineRule="auto"/>
        <w:tabs>
          <w:tab w:leader="none" w:pos="636"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Registrar, Paying Agent, and Transfer Agent</w:t>
      </w:r>
      <w:r>
        <w:rPr>
          <w:rFonts w:ascii="Arial" w:cs="Arial" w:eastAsia="Arial" w:hAnsi="Arial"/>
          <w:sz w:val="18"/>
          <w:szCs w:val="18"/>
          <w:color w:val="auto"/>
        </w:rPr>
        <w:t>. Initially, The Bank of New York Mellon will act as Registrar; the initial Paying Agent will be The Bank of New York Mellon, in New York; the initial Transfer Agent will be The Bank of New York Mellon, in New York. The Company may change or appoint any Registrar, Paying Agent or Transfer Agent without notice to any Holder.</w:t>
      </w:r>
    </w:p>
    <w:p>
      <w:pPr>
        <w:spacing w:after="0" w:line="73" w:lineRule="exact"/>
        <w:rPr>
          <w:rFonts w:ascii="Arial" w:cs="Arial" w:eastAsia="Arial" w:hAnsi="Arial"/>
          <w:sz w:val="18"/>
          <w:szCs w:val="18"/>
          <w:color w:val="auto"/>
        </w:rPr>
      </w:pPr>
    </w:p>
    <w:p>
      <w:pPr>
        <w:ind w:right="60" w:firstLine="464"/>
        <w:spacing w:after="0" w:line="259" w:lineRule="auto"/>
        <w:tabs>
          <w:tab w:leader="none" w:pos="636"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Indenture</w:t>
      </w:r>
      <w:r>
        <w:rPr>
          <w:rFonts w:ascii="Arial" w:cs="Arial" w:eastAsia="Arial" w:hAnsi="Arial"/>
          <w:sz w:val="18"/>
          <w:szCs w:val="18"/>
          <w:color w:val="auto"/>
        </w:rPr>
        <w:t>. The Notes are senior unsecured obligations of the Company and constitute the Series designated on the face hereof as the “3.650% Senior Notes due 2023”, initially limited to $1,500,000,000 in aggregate principal amount. The Company will furnish to any Holders upon written request and without charge a copy of the Base Indenture and the First Supplemental Indenture. Requests may be made to: Schlumberger Limited, 5599 San Felipe Street, 17</w:t>
      </w:r>
      <w:r>
        <w:rPr>
          <w:rFonts w:ascii="Arial" w:cs="Arial" w:eastAsia="Arial" w:hAnsi="Arial"/>
          <w:sz w:val="15"/>
          <w:szCs w:val="15"/>
          <w:color w:val="auto"/>
        </w:rPr>
        <w:t>th</w:t>
      </w:r>
      <w:r>
        <w:rPr>
          <w:rFonts w:ascii="Arial" w:cs="Arial" w:eastAsia="Arial" w:hAnsi="Arial"/>
          <w:sz w:val="18"/>
          <w:szCs w:val="18"/>
          <w:color w:val="auto"/>
        </w:rPr>
        <w:t xml:space="preserve"> Floor, Houston, Texas 77057 Attention: Vice President Treasurer.</w:t>
      </w:r>
    </w:p>
    <w:p>
      <w:pPr>
        <w:spacing w:after="0" w:line="78" w:lineRule="exact"/>
        <w:rPr>
          <w:rFonts w:ascii="Arial" w:cs="Arial" w:eastAsia="Arial" w:hAnsi="Arial"/>
          <w:sz w:val="18"/>
          <w:szCs w:val="18"/>
          <w:color w:val="auto"/>
        </w:rPr>
      </w:pPr>
    </w:p>
    <w:p>
      <w:pPr>
        <w:ind w:right="80" w:firstLine="464"/>
        <w:spacing w:after="0" w:line="264" w:lineRule="auto"/>
        <w:tabs>
          <w:tab w:leader="none" w:pos="636"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At the Company’s option, the Notes may be redeemed or purchased, in each case, in whole or in part at any time or from time to time prior to the Stated Maturity of the Notes, as provided in Article III of the Base Indenture, Section 1.2 of the First Supplemental Indenture and in this Section 5.</w:t>
      </w:r>
    </w:p>
    <w:p>
      <w:pPr>
        <w:spacing w:after="0" w:line="181" w:lineRule="exact"/>
        <w:rPr>
          <w:sz w:val="20"/>
          <w:szCs w:val="20"/>
          <w:color w:val="auto"/>
        </w:rPr>
      </w:pPr>
    </w:p>
    <w:p>
      <w:pPr>
        <w:ind w:right="740" w:firstLine="913"/>
        <w:spacing w:after="0" w:line="277" w:lineRule="auto"/>
        <w:rPr>
          <w:sz w:val="20"/>
          <w:szCs w:val="20"/>
          <w:color w:val="auto"/>
        </w:rPr>
      </w:pPr>
      <w:r>
        <w:rPr>
          <w:rFonts w:ascii="Arial" w:cs="Arial" w:eastAsia="Arial" w:hAnsi="Arial"/>
          <w:sz w:val="18"/>
          <w:szCs w:val="18"/>
          <w:color w:val="auto"/>
        </w:rPr>
        <w:t>Prior to September 1, 2023, the Notes may be redeemed in whole at any time or in part from time to time, at the Company’s option, at a redemption price equal to the greater of:</w:t>
      </w:r>
    </w:p>
    <w:p>
      <w:pPr>
        <w:spacing w:after="0" w:line="62" w:lineRule="exact"/>
        <w:rPr>
          <w:sz w:val="20"/>
          <w:szCs w:val="20"/>
          <w:color w:val="auto"/>
        </w:rPr>
      </w:pPr>
    </w:p>
    <w:p>
      <w:pPr>
        <w:ind w:left="1140" w:hanging="237"/>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100% of the principal amount of such Notes then outstanding, and</w:t>
      </w:r>
    </w:p>
    <w:p>
      <w:pPr>
        <w:spacing w:after="0" w:line="117" w:lineRule="exact"/>
        <w:rPr>
          <w:rFonts w:ascii="Arial" w:cs="Arial" w:eastAsia="Arial" w:hAnsi="Arial"/>
          <w:sz w:val="18"/>
          <w:szCs w:val="18"/>
          <w:color w:val="auto"/>
        </w:rPr>
      </w:pPr>
    </w:p>
    <w:p>
      <w:pPr>
        <w:ind w:left="460" w:right="100" w:firstLine="443"/>
        <w:spacing w:after="0" w:line="259" w:lineRule="auto"/>
        <w:tabs>
          <w:tab w:leader="none" w:pos="115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on such Notes to be redeemed (not including any portion of such payments of interest accrued to the date of redemption) discounted to the date of redemption on a semiannual basis (assuming a 360-day year consisting of twelve 30-day months) at the applicable treasury rate plus 15 basis points, plus accrued and unpaid interest on the principal amount being redeemed to the redemption date.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w:t>
      </w:r>
    </w:p>
    <w:p>
      <w:pPr>
        <w:spacing w:after="0" w:line="117" w:lineRule="exact"/>
        <w:rPr>
          <w:sz w:val="20"/>
          <w:szCs w:val="20"/>
          <w:color w:val="auto"/>
        </w:rPr>
      </w:pPr>
    </w:p>
    <w:p>
      <w:pPr>
        <w:ind w:left="460" w:right="20" w:firstLine="443"/>
        <w:spacing w:after="0" w:line="293" w:lineRule="auto"/>
        <w:tabs>
          <w:tab w:leader="none" w:pos="114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yield, under the heading which represents the average for the immediately preceding week, appearing in the most recently published statistical release designed “H.15(519)”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remaining life (as defined below), yields for the two published maturities most closely corresponding to the comparable treasury issue will be determined and the treasury rate will be interpolated or extrapolated from such yields on a straight line basis, rounding to the nearest month), or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274" w:right="239" w:bottom="1440" w:gutter="0" w:footer="0" w:header="0"/>
        </w:sectPr>
      </w:pPr>
    </w:p>
    <w:bookmarkStart w:id="124" w:name="page125"/>
    <w:bookmarkEnd w:id="124"/>
    <w:p>
      <w:pPr>
        <w:ind w:left="460" w:right="160" w:firstLine="443"/>
        <w:spacing w:after="0" w:line="312" w:lineRule="auto"/>
        <w:tabs>
          <w:tab w:leader="none" w:pos="1153" w:val="left"/>
        </w:tabs>
        <w:numPr>
          <w:ilvl w:val="0"/>
          <w:numId w:val="1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treasury rate will be calculated on the third Business Day preceding the redemption date.</w:t>
      </w:r>
    </w:p>
    <w:p>
      <w:pPr>
        <w:spacing w:after="0" w:line="117" w:lineRule="exact"/>
        <w:rPr>
          <w:sz w:val="20"/>
          <w:szCs w:val="20"/>
          <w:color w:val="auto"/>
        </w:rPr>
      </w:pPr>
    </w:p>
    <w:p>
      <w:pPr>
        <w:ind w:left="460" w:firstLine="438"/>
        <w:spacing w:after="0" w:line="264" w:lineRule="auto"/>
        <w:rPr>
          <w:sz w:val="20"/>
          <w:szCs w:val="20"/>
          <w:color w:val="auto"/>
        </w:rPr>
      </w:pPr>
      <w:r>
        <w:rPr>
          <w:rFonts w:ascii="Arial" w:cs="Arial" w:eastAsia="Arial" w:hAnsi="Arial"/>
          <w:sz w:val="18"/>
          <w:szCs w:val="18"/>
          <w:color w:val="auto"/>
        </w:rPr>
        <w:t>Notwithstanding the foregoing, commencing on September 1, 2023, the Notes are redeemable at the Company’s option, in whole at any time or in part from time to time, at a redemption price equal to 100% of the principal amount of the Notes to be redeemed, plus in each case accrued and unpaid interest on the principal amount being redeemed to the redemption date.</w:t>
      </w:r>
    </w:p>
    <w:p>
      <w:pPr>
        <w:spacing w:after="0" w:line="73" w:lineRule="exact"/>
        <w:rPr>
          <w:sz w:val="20"/>
          <w:szCs w:val="20"/>
          <w:color w:val="auto"/>
        </w:rPr>
      </w:pPr>
    </w:p>
    <w:p>
      <w:pPr>
        <w:ind w:left="460" w:right="120" w:firstLine="438"/>
        <w:spacing w:after="0" w:line="312" w:lineRule="auto"/>
        <w:rPr>
          <w:sz w:val="20"/>
          <w:szCs w:val="20"/>
          <w:color w:val="auto"/>
        </w:rPr>
      </w:pPr>
      <w:r>
        <w:rPr>
          <w:rFonts w:ascii="Arial" w:cs="Arial" w:eastAsia="Arial" w:hAnsi="Arial"/>
          <w:sz w:val="16"/>
          <w:szCs w:val="16"/>
          <w:color w:val="auto"/>
        </w:rPr>
        <w:t>“comparable treasury issue” means the U.S. Treasury security selected by an independent investment banker as having a maturity comparable to the remaining term (“remaining life”) of the Notes to be redeemed that would be utilized, at the time of selection and in accordance with customary financial practice, in pricing new issues of corporate debt securities of comparable maturity to the remaining term of such Notes.</w:t>
      </w:r>
    </w:p>
    <w:p>
      <w:pPr>
        <w:spacing w:after="0" w:line="39" w:lineRule="exact"/>
        <w:rPr>
          <w:sz w:val="20"/>
          <w:szCs w:val="20"/>
          <w:color w:val="auto"/>
        </w:rPr>
      </w:pPr>
    </w:p>
    <w:p>
      <w:pPr>
        <w:jc w:val="both"/>
        <w:ind w:left="460" w:right="360" w:firstLine="438"/>
        <w:spacing w:after="0" w:line="264" w:lineRule="auto"/>
        <w:rPr>
          <w:sz w:val="20"/>
          <w:szCs w:val="20"/>
          <w:color w:val="auto"/>
        </w:rPr>
      </w:pPr>
      <w:r>
        <w:rPr>
          <w:rFonts w:ascii="Arial" w:cs="Arial" w:eastAsia="Arial" w:hAnsi="Arial"/>
          <w:sz w:val="18"/>
          <w:szCs w:val="18"/>
          <w:color w:val="auto"/>
        </w:rPr>
        <w:t>“comparable treasury price”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73" w:lineRule="exact"/>
        <w:rPr>
          <w:sz w:val="20"/>
          <w:szCs w:val="20"/>
          <w:color w:val="auto"/>
        </w:rPr>
      </w:pPr>
    </w:p>
    <w:p>
      <w:pPr>
        <w:ind w:left="460" w:firstLine="438"/>
        <w:spacing w:after="0" w:line="264" w:lineRule="auto"/>
        <w:rPr>
          <w:sz w:val="20"/>
          <w:szCs w:val="20"/>
          <w:color w:val="auto"/>
        </w:rPr>
      </w:pPr>
      <w:r>
        <w:rPr>
          <w:rFonts w:ascii="Arial" w:cs="Arial" w:eastAsia="Arial" w:hAnsi="Arial"/>
          <w:sz w:val="18"/>
          <w:szCs w:val="18"/>
          <w:color w:val="auto"/>
        </w:rPr>
        <w:t>“independent investment banker” means either Citigroup Global Markets Inc., J.P. Morgan Securities LLC or Deutsche Bank Securities Inc., or, if these firms are unwilling or unable to select the comparable treasury issue, an independent investment banking institution of national standing appointed by the Company.</w:t>
      </w:r>
    </w:p>
    <w:p>
      <w:pPr>
        <w:spacing w:after="0" w:line="73"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color w:val="auto"/>
        </w:rPr>
        <w:t>“reference treasury dealer” means (1) Citigroup Global Markets Inc., J.P. Morgan Securities LLC or Deutsche Bank Securities Inc. and their respective successors, provided, however, that if any of the foregoing shall cease to be a primary U.S. government securities dealer in New York City (a “primary treasury dealer”), the Company will substitute therefor another primary treasury dealer, and (2) any other primary treasury dealer selected by the independent investment banker after consultation with the Company.</w:t>
      </w:r>
    </w:p>
    <w:p>
      <w:pPr>
        <w:spacing w:after="0" w:line="79" w:lineRule="exact"/>
        <w:rPr>
          <w:sz w:val="20"/>
          <w:szCs w:val="20"/>
          <w:color w:val="auto"/>
        </w:rPr>
      </w:pPr>
    </w:p>
    <w:p>
      <w:pPr>
        <w:ind w:left="460" w:right="100" w:firstLine="438"/>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comparable treasury issue (express in each case as a percentage of its principal amount) quoted in writing to the independent investment banker at 5:00 p.m., New York City time, on the third Business Day preceding such redemption date.</w:t>
      </w:r>
    </w:p>
    <w:p>
      <w:pPr>
        <w:spacing w:after="0" w:line="18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For the avoidance of doubt, the Trustee shall have no obligation to determine or calculate any rate, price or amount in respect of any optional redemption under the Indenture.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4" w:right="239" w:bottom="1440" w:gutter="0" w:footer="0" w:header="0"/>
        </w:sectPr>
      </w:pPr>
    </w:p>
    <w:bookmarkStart w:id="125" w:name="page126"/>
    <w:bookmarkEnd w:id="12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Notes will not have the benefit of any sinking fund.</w:t>
      </w:r>
    </w:p>
    <w:p>
      <w:pPr>
        <w:spacing w:after="0" w:line="117" w:lineRule="exact"/>
        <w:rPr>
          <w:sz w:val="20"/>
          <w:szCs w:val="20"/>
          <w:color w:val="auto"/>
        </w:rPr>
      </w:pPr>
    </w:p>
    <w:p>
      <w:pPr>
        <w:ind w:firstLine="464"/>
        <w:spacing w:after="0" w:line="293" w:lineRule="auto"/>
        <w:tabs>
          <w:tab w:leader="none" w:pos="636"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Denominations, Transfer, Exchange</w:t>
      </w:r>
      <w:r>
        <w:rPr>
          <w:rFonts w:ascii="Arial" w:cs="Arial" w:eastAsia="Arial" w:hAnsi="Arial"/>
          <w:sz w:val="16"/>
          <w:szCs w:val="16"/>
          <w:color w:val="auto"/>
        </w:rPr>
        <w:t>. 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next succeeding Interest Payment Date.</w:t>
      </w:r>
    </w:p>
    <w:p>
      <w:pPr>
        <w:spacing w:after="0" w:line="56" w:lineRule="exact"/>
        <w:rPr>
          <w:rFonts w:ascii="Arial" w:cs="Arial" w:eastAsia="Arial" w:hAnsi="Arial"/>
          <w:sz w:val="16"/>
          <w:szCs w:val="16"/>
          <w:color w:val="auto"/>
        </w:rPr>
      </w:pPr>
    </w:p>
    <w:p>
      <w:pPr>
        <w:ind w:right="360" w:firstLine="464"/>
        <w:spacing w:after="0" w:line="277" w:lineRule="auto"/>
        <w:tabs>
          <w:tab w:leader="none" w:pos="636"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registered Holder of a Note may be treated as the owner of it for all purposes. Only registered Holders have rights under the Indenture.</w:t>
      </w:r>
    </w:p>
    <w:p>
      <w:pPr>
        <w:spacing w:after="0" w:line="62" w:lineRule="exact"/>
        <w:rPr>
          <w:rFonts w:ascii="Arial" w:cs="Arial" w:eastAsia="Arial" w:hAnsi="Arial"/>
          <w:sz w:val="18"/>
          <w:szCs w:val="18"/>
          <w:color w:val="auto"/>
        </w:rPr>
      </w:pPr>
    </w:p>
    <w:p>
      <w:pPr>
        <w:ind w:right="560" w:firstLine="464"/>
        <w:spacing w:after="0" w:line="277" w:lineRule="auto"/>
        <w:tabs>
          <w:tab w:leader="none" w:pos="636"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Repayment to the Company</w:t>
      </w:r>
      <w:r>
        <w:rPr>
          <w:rFonts w:ascii="Arial" w:cs="Arial" w:eastAsia="Arial" w:hAnsi="Arial"/>
          <w:sz w:val="18"/>
          <w:szCs w:val="18"/>
          <w:color w:val="auto"/>
        </w:rPr>
        <w:t>. The Trustee and the Paying Agent shall promptly pay to the Company upon written request any excess money or Government Obligations (or proceeds therefrom) held by them at any time upon the written request of the Company.</w:t>
      </w:r>
    </w:p>
    <w:p>
      <w:pPr>
        <w:spacing w:after="0" w:line="170"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80" w:lineRule="exact"/>
        <w:rPr>
          <w:sz w:val="20"/>
          <w:szCs w:val="20"/>
          <w:color w:val="auto"/>
        </w:rPr>
      </w:pPr>
    </w:p>
    <w:p>
      <w:pPr>
        <w:ind w:right="180" w:firstLine="464"/>
        <w:spacing w:after="0" w:line="291" w:lineRule="auto"/>
        <w:tabs>
          <w:tab w:leader="none" w:pos="636"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Amendment, Supplements and Waivers</w:t>
      </w:r>
      <w:r>
        <w:rPr>
          <w:rFonts w:ascii="Arial" w:cs="Arial" w:eastAsia="Arial" w:hAnsi="Arial"/>
          <w:sz w:val="16"/>
          <w:szCs w:val="16"/>
          <w:color w:val="auto"/>
        </w:rPr>
        <w:t>. Without the consent of any Holder of Notes, the Company, the Guarantor and the Trustee may amend or supplement the Indenture, the Notes or the Note Guarantee in certain circumstances, including: (a) to cure any ambiguity, omission, defect or inconsistency;</w:t>
      </w:r>
    </w:p>
    <w:p>
      <w:pPr>
        <w:ind w:right="40" w:firstLine="8"/>
        <w:spacing w:after="0" w:line="268" w:lineRule="auto"/>
        <w:tabs>
          <w:tab w:leader="none" w:pos="25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to provide for the assumption of the Company’s obligations under the Indenture and the Notes or the Guarantor’s obligations under the Note Guarantee by a successor upon any merger, consolidation or asset transfer or to provide for the assumption of the Company’s obligations under the Indenture by a Subsidiary of the Guarantor in accordance with Section 5.2 of the Base Indenture; (c) to provide for uncertificated Notes in addition to or in place of Certificated Notes; (d) to provide any security for or guarantees of the Notes or for the addition of an additional obligor on the Notes; (e) to comply with any requirement to effect or maintain the qualification of the Indenture under the TIA; (f) to add covenants that would benefit the Holders of the outstanding Notes or to surrender any rights the Company has under the Indenture; (g) to change or eliminate any of the provisions of the Indenture, provided that any such change or elimination shall not become effective with respect to any outstanding Notes created prior to the execution of such supplemental indenture which is entitled to the benefit of such provision; (h) to provide for the issuance of and establish forms and terms and conditions of a new Series of debt securities; (i) to issue additional Notes, provided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74" w:right="239" w:bottom="1440" w:gutter="0" w:footer="0" w:header="0"/>
        </w:sectPr>
      </w:pPr>
    </w:p>
    <w:bookmarkStart w:id="126" w:name="page127"/>
    <w:bookmarkEnd w:id="126"/>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such additional Notes have the same terms as, and be deemed part of the same Series as, the applicable Series of Notes to the extent required under the Indenture; (j) to evidence and provide for the acceptance of appointment by a successor trustee with respect to the Notes and to add to or change any of the provisions of the Indenture as shall be necessary to provide for or facilitate the administration of the trust by more than one trustee; (k) to add additional Events of Default with respect to Notes; and (l) to make any change that does not adversely affect any of its outstanding Notes in any material respect. 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w:t>
      </w:r>
    </w:p>
    <w:p>
      <w:pPr>
        <w:spacing w:after="0" w:line="165"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The Indenture or the Notes or the Note Guarantee may be amended or supplemented, and waivers may be obtained,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the Note Guarantee may be waived with the consent of the Holders of a majority in aggregate principal amount of the then outstanding Notes (including, without limitation, Additional Notes, if any) voting as a single class (including, without limitation, consents obtained in connection with a purchase of, or tender offer or exchange offer for, such Notes).</w:t>
      </w:r>
    </w:p>
    <w:p>
      <w:pPr>
        <w:spacing w:after="0" w:line="71" w:lineRule="exact"/>
        <w:rPr>
          <w:sz w:val="20"/>
          <w:szCs w:val="20"/>
          <w:color w:val="auto"/>
        </w:rPr>
      </w:pPr>
    </w:p>
    <w:p>
      <w:pPr>
        <w:ind w:right="40" w:firstLine="464"/>
        <w:spacing w:after="0" w:line="276" w:lineRule="auto"/>
        <w:tabs>
          <w:tab w:leader="none" w:pos="726"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Defaults and Remedies</w:t>
      </w:r>
      <w:r>
        <w:rPr>
          <w:rFonts w:ascii="Arial" w:cs="Arial" w:eastAsia="Arial" w:hAnsi="Arial"/>
          <w:sz w:val="17"/>
          <w:szCs w:val="17"/>
          <w:color w:val="auto"/>
        </w:rPr>
        <w:t>. If an Event of Default for the Company’s Notes occurs and is continuing (other than an Event of Default referred to in Section 6.1(f) or (g) of the Base Indenture), the Trustee or the Holders of at least 25% in principal amount of the outstanding Notes may require the Company to pay immediately the principal amount plus accrued and unpaid interest on such Notes. If an Event of Default referred to in Section 6.1(f) or (g) of the Base Indenture occurs with respect to the Company (or with respect to the Guarantor), the principal amount plus accrued and unpaid interest on the Company’s Notes will become immediately due and payable without any action on the part of the Trustee or any Holder.</w:t>
      </w:r>
    </w:p>
    <w:p>
      <w:pPr>
        <w:spacing w:after="0" w:line="64" w:lineRule="exact"/>
        <w:rPr>
          <w:rFonts w:ascii="Arial" w:cs="Arial" w:eastAsia="Arial" w:hAnsi="Arial"/>
          <w:sz w:val="17"/>
          <w:szCs w:val="17"/>
          <w:color w:val="auto"/>
        </w:rPr>
      </w:pPr>
    </w:p>
    <w:p>
      <w:pPr>
        <w:jc w:val="both"/>
        <w:ind w:right="260" w:firstLine="464"/>
        <w:spacing w:after="0" w:line="264" w:lineRule="auto"/>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Trustee May Hold Notes</w:t>
      </w:r>
      <w:r>
        <w:rPr>
          <w:rFonts w:ascii="Arial" w:cs="Arial" w:eastAsia="Arial" w:hAnsi="Arial"/>
          <w:sz w:val="18"/>
          <w:szCs w:val="18"/>
          <w:color w:val="auto"/>
        </w:rPr>
        <w:t>. The Trustee in its individual or any other capacity may become the owner or pledgee of Notes and may otherwise deal with the Company or any of its Affiliates with the same rights it would have if it were not Trustee. Any Agent may do the same with like rights and duties. However, the Trustee is subject to Sections 7.10 and 7.11 of the Base Indenture.</w:t>
      </w:r>
    </w:p>
    <w:p>
      <w:pPr>
        <w:spacing w:after="0" w:line="73" w:lineRule="exact"/>
        <w:rPr>
          <w:rFonts w:ascii="Arial" w:cs="Arial" w:eastAsia="Arial" w:hAnsi="Arial"/>
          <w:sz w:val="18"/>
          <w:szCs w:val="18"/>
          <w:color w:val="auto"/>
        </w:rPr>
      </w:pPr>
    </w:p>
    <w:p>
      <w:pPr>
        <w:ind w:firstLine="464"/>
        <w:spacing w:after="0" w:line="257" w:lineRule="auto"/>
        <w:tabs>
          <w:tab w:leader="none" w:pos="726"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 Personal Liability of Directors, Officers, Employees and Certain Others</w:t>
      </w:r>
      <w:r>
        <w:rPr>
          <w:rFonts w:ascii="Arial" w:cs="Arial" w:eastAsia="Arial" w:hAnsi="Arial"/>
          <w:sz w:val="18"/>
          <w:szCs w:val="18"/>
          <w:color w:val="auto"/>
        </w:rPr>
        <w:t>. No director, officer, employee, incorporator or similar founder, stockholder or member of the Company or the Guarantor, as such, will have any liability for or any obligations of the Company or the Guarantor under the Indenture or the Notes, or the Note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274" w:right="259" w:bottom="1440" w:gutter="0" w:footer="0" w:header="0"/>
        </w:sectPr>
      </w:pPr>
    </w:p>
    <w:bookmarkStart w:id="127" w:name="page128"/>
    <w:bookmarkEnd w:id="127"/>
    <w:p>
      <w:pPr>
        <w:ind w:right="160" w:firstLine="464"/>
        <w:spacing w:after="0" w:line="277" w:lineRule="auto"/>
        <w:tabs>
          <w:tab w:leader="none" w:pos="726"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Discharge of Indenture</w:t>
      </w:r>
      <w:r>
        <w:rPr>
          <w:rFonts w:ascii="Arial" w:cs="Arial" w:eastAsia="Arial" w:hAnsi="Arial"/>
          <w:sz w:val="18"/>
          <w:szCs w:val="18"/>
          <w:color w:val="auto"/>
        </w:rPr>
        <w:t>. The Indenture contains certain provisions pertaining to discharge and defeasance, which provisions shall for all purposes have the same effect as if set forth herein.</w:t>
      </w:r>
    </w:p>
    <w:p>
      <w:pPr>
        <w:spacing w:after="0" w:line="62" w:lineRule="exact"/>
        <w:rPr>
          <w:rFonts w:ascii="Arial" w:cs="Arial" w:eastAsia="Arial" w:hAnsi="Arial"/>
          <w:sz w:val="18"/>
          <w:szCs w:val="18"/>
          <w:color w:val="auto"/>
        </w:rPr>
      </w:pPr>
    </w:p>
    <w:p>
      <w:pPr>
        <w:ind w:left="740" w:hanging="276"/>
        <w:spacing w:after="0"/>
        <w:tabs>
          <w:tab w:leader="none" w:pos="740"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Authentication</w:t>
      </w:r>
      <w:r>
        <w:rPr>
          <w:rFonts w:ascii="Arial" w:cs="Arial" w:eastAsia="Arial" w:hAnsi="Arial"/>
          <w:sz w:val="16"/>
          <w:szCs w:val="16"/>
          <w:color w:val="auto"/>
        </w:rPr>
        <w:t>. This Note shall not be valid until the Trustee manually signs the certificate of authentication attached to the other side of this Note.</w:t>
      </w:r>
    </w:p>
    <w:p>
      <w:pPr>
        <w:spacing w:after="0" w:line="140" w:lineRule="exact"/>
        <w:rPr>
          <w:rFonts w:ascii="Arial" w:cs="Arial" w:eastAsia="Arial" w:hAnsi="Arial"/>
          <w:sz w:val="16"/>
          <w:szCs w:val="16"/>
          <w:color w:val="auto"/>
        </w:rPr>
      </w:pPr>
    </w:p>
    <w:p>
      <w:pPr>
        <w:ind w:left="740" w:hanging="276"/>
        <w:spacing w:after="0"/>
        <w:tabs>
          <w:tab w:leader="none" w:pos="74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Additional Amounts</w:t>
      </w:r>
      <w:r>
        <w:rPr>
          <w:rFonts w:ascii="Arial" w:cs="Arial" w:eastAsia="Arial" w:hAnsi="Arial"/>
          <w:sz w:val="18"/>
          <w:szCs w:val="18"/>
          <w:color w:val="auto"/>
        </w:rPr>
        <w:t>. The Company is obligated to pay Additional Amounts on this Note to the extent provided in the Indenture.</w:t>
      </w:r>
    </w:p>
    <w:p>
      <w:pPr>
        <w:spacing w:after="0" w:line="117" w:lineRule="exact"/>
        <w:rPr>
          <w:rFonts w:ascii="Arial" w:cs="Arial" w:eastAsia="Arial" w:hAnsi="Arial"/>
          <w:sz w:val="18"/>
          <w:szCs w:val="18"/>
          <w:color w:val="auto"/>
        </w:rPr>
      </w:pPr>
    </w:p>
    <w:p>
      <w:pPr>
        <w:ind w:right="180" w:firstLine="464"/>
        <w:spacing w:after="0" w:line="264" w:lineRule="auto"/>
        <w:tabs>
          <w:tab w:leader="none" w:pos="726"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THE INDENTURE, THIS NOTE AND THE NOTE GUARANTEE, INCLUDING ANY CLAIM OR CONTROVERSY</w:t>
      </w:r>
    </w:p>
    <w:p>
      <w:pPr>
        <w:spacing w:after="0" w:line="2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b w:val="1"/>
          <w:bCs w:val="1"/>
          <w:color w:val="auto"/>
        </w:rPr>
        <w:t>ARISING OUT OF OR RELATING TO THE INDENTURE, THE NOTES OR THE NOTE GUARANTEE, SHALL BE GOVERNED BY THE LAWS OF THE STATE OF NEW YORK WITHOUT REGARD TO CONFLICT OF LAW PRINCIPLES THAT WOULD RESULT IN THE APPLICATION OF ANY LAW OTHER THAN THE LAW OF THE STATE OF NEW YORK.</w:t>
      </w:r>
    </w:p>
    <w:p>
      <w:pPr>
        <w:spacing w:after="0" w:line="186" w:lineRule="exact"/>
        <w:rPr>
          <w:sz w:val="20"/>
          <w:szCs w:val="20"/>
          <w:color w:val="auto"/>
        </w:rPr>
      </w:pPr>
    </w:p>
    <w:p>
      <w:pPr>
        <w:ind w:right="480" w:firstLine="913"/>
        <w:spacing w:after="0" w:line="313" w:lineRule="auto"/>
        <w:rPr>
          <w:sz w:val="20"/>
          <w:szCs w:val="20"/>
          <w:color w:val="auto"/>
        </w:rPr>
      </w:pPr>
      <w:r>
        <w:rPr>
          <w:rFonts w:ascii="Arial" w:cs="Arial" w:eastAsia="Arial" w:hAnsi="Arial"/>
          <w:sz w:val="17"/>
          <w:szCs w:val="17"/>
          <w:b w:val="1"/>
          <w:bCs w:val="1"/>
          <w:color w:val="auto"/>
        </w:rPr>
        <w:t>THE APPLICATION OF THE PROVISIONS OF THE ARTICLES 86 TO 94-8 AND THE ARTICLES 96 AND 97 OF THE LUXEMBOURG LAW OF 10 AUGUST 1915 ON COMMERCIAL COMPANIES, AS AMENDED, IS HEREBY EXPRESSLY EXCLUDED.</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40"/>
          </w:cols>
          <w:pgMar w:left="240" w:top="274" w:right="319" w:bottom="1440" w:gutter="0" w:footer="0" w:header="0"/>
        </w:sectPr>
      </w:pPr>
    </w:p>
    <w:bookmarkStart w:id="128" w:name="page129"/>
    <w:bookmarkEnd w:id="128"/>
    <w:p>
      <w:pPr>
        <w:ind w:left="4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assign this Note, fill in the form below: (I)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152400</wp:posOffset>
            </wp:positionV>
            <wp:extent cx="2349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752475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1052830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(Print or type assignee’s name, address and zip code)</w:t>
      </w:r>
    </w:p>
    <w:p>
      <w:pPr>
        <w:sectPr>
          <w:pgSz w:w="11900" w:h="16838" w:orient="portrait"/>
          <w:cols w:equalWidth="0" w:num="1">
            <w:col w:w="11200"/>
          </w:cols>
          <w:pgMar w:left="240" w:top="270" w:right="45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agent to transfer this Note on</w:t>
      </w:r>
    </w:p>
    <w:p>
      <w:pPr>
        <w:spacing w:after="0" w:line="430" w:lineRule="exact"/>
        <w:rPr>
          <w:sz w:val="20"/>
          <w:szCs w:val="20"/>
          <w:color w:val="auto"/>
        </w:rPr>
      </w:pPr>
    </w:p>
    <w:p>
      <w:pPr>
        <w:sectPr>
          <w:pgSz w:w="11900" w:h="16838" w:orient="portrait"/>
          <w:cols w:equalWidth="0" w:num="2">
            <w:col w:w="8380" w:space="720"/>
            <w:col w:w="2100"/>
          </w:cols>
          <w:pgMar w:left="240" w:top="270" w:right="45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-130810</wp:posOffset>
            </wp:positionV>
            <wp:extent cx="20237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(Signature must be guaranteed by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-130810</wp:posOffset>
            </wp:positionV>
            <wp:extent cx="18522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participant in a recognized Signature</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Guarantee Medallion Program (or</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other signature guarantor acceptable</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to the Trustee))</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00"/>
          </w:cols>
          <w:pgMar w:left="240" w:top="270" w:right="459" w:bottom="144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TRANSFER AND EXCHANGES OF INTERESTS IN THE GLOBAL NOTE</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Certificated Note, or exchanges of a part of another Global Note or Certificated Note for an interest in this Global Note, have been made: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60" w:type="dxa"/>
            <w:vAlign w:val="bottom"/>
            <w:gridSpan w:val="2"/>
          </w:tcPr>
          <w:p>
            <w:pPr>
              <w:jc w:val="center"/>
              <w:ind w:right="700"/>
              <w:spacing w:after="0"/>
              <w:rPr>
                <w:sz w:val="20"/>
                <w:szCs w:val="20"/>
                <w:color w:val="auto"/>
              </w:rPr>
            </w:pPr>
            <w:r>
              <w:rPr>
                <w:rFonts w:ascii="Arial" w:cs="Arial" w:eastAsia="Arial" w:hAnsi="Arial"/>
                <w:sz w:val="14"/>
                <w:szCs w:val="14"/>
                <w:color w:val="auto"/>
                <w:w w:val="97"/>
              </w:rPr>
              <w:t>Principal Amount of</w:t>
            </w:r>
          </w:p>
        </w:tc>
        <w:tc>
          <w:tcPr>
            <w:tcW w:w="1020" w:type="dxa"/>
            <w:vAlign w:val="bottom"/>
          </w:tcPr>
          <w:p>
            <w:pPr>
              <w:spacing w:after="0"/>
              <w:rPr>
                <w:sz w:val="14"/>
                <w:szCs w:val="14"/>
                <w:color w:val="auto"/>
              </w:rPr>
            </w:pPr>
          </w:p>
        </w:tc>
      </w:tr>
      <w:tr>
        <w:trPr>
          <w:trHeight w:val="149"/>
        </w:trPr>
        <w:tc>
          <w:tcPr>
            <w:tcW w:w="5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2"/>
              </w:rPr>
              <w:t>Amount of decrease in</w:t>
            </w:r>
          </w:p>
        </w:tc>
        <w:tc>
          <w:tcPr>
            <w:tcW w:w="27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4"/>
              </w:rPr>
              <w:t>Amount of increase in</w:t>
            </w:r>
          </w:p>
        </w:tc>
        <w:tc>
          <w:tcPr>
            <w:tcW w:w="196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6"/>
              </w:rPr>
              <w:t>this Global Note</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2"/>
              </w:rPr>
              <w:t>Signature of</w:t>
            </w:r>
          </w:p>
        </w:tc>
      </w:tr>
      <w:tr>
        <w:trPr>
          <w:trHeight w:val="149"/>
        </w:trPr>
        <w:tc>
          <w:tcPr>
            <w:tcW w:w="3700" w:type="dxa"/>
            <w:vAlign w:val="bottom"/>
            <w:gridSpan w:val="2"/>
          </w:tcPr>
          <w:p>
            <w:pPr>
              <w:spacing w:after="0" w:line="149" w:lineRule="exact"/>
              <w:rPr>
                <w:sz w:val="20"/>
                <w:szCs w:val="20"/>
                <w:color w:val="auto"/>
              </w:rPr>
            </w:pPr>
            <w:r>
              <w:rPr>
                <w:rFonts w:ascii="Arial" w:cs="Arial" w:eastAsia="Arial" w:hAnsi="Arial"/>
                <w:sz w:val="14"/>
                <w:szCs w:val="14"/>
                <w:color w:val="auto"/>
              </w:rPr>
              <w:t>Date of Increase or</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7"/>
              </w:rPr>
              <w:t>Principal Amount of</w:t>
            </w:r>
          </w:p>
        </w:tc>
        <w:tc>
          <w:tcPr>
            <w:tcW w:w="720" w:type="dxa"/>
            <w:vAlign w:val="bottom"/>
          </w:tcPr>
          <w:p>
            <w:pPr>
              <w:spacing w:after="0"/>
              <w:rPr>
                <w:sz w:val="12"/>
                <w:szCs w:val="12"/>
                <w:color w:val="auto"/>
              </w:rPr>
            </w:pPr>
          </w:p>
        </w:tc>
        <w:tc>
          <w:tcPr>
            <w:tcW w:w="198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7"/>
              </w:rPr>
              <w:t>Principal Amount of</w:t>
            </w:r>
          </w:p>
        </w:tc>
        <w:tc>
          <w:tcPr>
            <w:tcW w:w="19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7"/>
              </w:rPr>
              <w:t>following such</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authorized officer</w:t>
            </w:r>
          </w:p>
        </w:tc>
      </w:tr>
      <w:tr>
        <w:trPr>
          <w:trHeight w:val="174"/>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Decrease</w:t>
            </w:r>
          </w:p>
        </w:tc>
        <w:tc>
          <w:tcPr>
            <w:tcW w:w="316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this Global Note</w:t>
            </w:r>
          </w:p>
        </w:tc>
        <w:tc>
          <w:tcPr>
            <w:tcW w:w="7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this Global Note</w:t>
            </w:r>
          </w:p>
        </w:tc>
        <w:tc>
          <w:tcPr>
            <w:tcW w:w="70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 (or increase)</w:t>
            </w:r>
          </w:p>
        </w:tc>
        <w:tc>
          <w:tcPr>
            <w:tcW w:w="7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of Registrar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74" w:right="239" w:bottom="1440" w:gutter="0" w:footer="0" w:header="0"/>
        </w:sectPr>
      </w:pPr>
    </w:p>
    <w:bookmarkStart w:id="130" w:name="page131"/>
    <w:bookmarkEnd w:id="130"/>
    <w:p>
      <w:pPr>
        <w:spacing w:after="0" w:line="200" w:lineRule="exact"/>
        <w:rPr>
          <w:sz w:val="20"/>
          <w:szCs w:val="20"/>
          <w:color w:val="auto"/>
        </w:rPr>
      </w:pPr>
    </w:p>
    <w:p>
      <w:pPr>
        <w:spacing w:after="0" w:line="26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ONE SHELL PLAZA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4117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41170" cy="188595"/>
                    </a:xfrm>
                    <a:prstGeom prst="rect">
                      <a:avLst/>
                    </a:prstGeom>
                    <a:noFill/>
                  </pic:spPr>
                </pic:pic>
              </a:graphicData>
            </a:graphic>
          </wp:anchor>
        </w:drawing>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910 LOUISIANA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77002-4995</w:t>
      </w:r>
    </w:p>
    <w:p>
      <w:pPr>
        <w:spacing w:after="0" w:line="116"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TEL +1 713.229.1234</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FAX +1 713.229.1522</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BakerBotts.com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December 3,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Schlumberger Investment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52"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ABU DHABI</w:t>
      </w:r>
      <w:r>
        <w:rPr>
          <w:sz w:val="20"/>
          <w:szCs w:val="20"/>
          <w:color w:val="auto"/>
        </w:rPr>
        <w:tab/>
      </w:r>
      <w:r>
        <w:rPr>
          <w:rFonts w:ascii="Arial" w:cs="Arial" w:eastAsia="Arial" w:hAnsi="Arial"/>
          <w:sz w:val="18"/>
          <w:szCs w:val="18"/>
          <w:b w:val="1"/>
          <w:bCs w:val="1"/>
          <w:color w:val="auto"/>
        </w:rPr>
        <w:t>HOUSTON</w:t>
      </w:r>
    </w:p>
    <w:p>
      <w:pPr>
        <w:spacing w:after="0" w:line="27"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AUSTIN</w:t>
      </w:r>
      <w:r>
        <w:rPr>
          <w:sz w:val="20"/>
          <w:szCs w:val="20"/>
          <w:color w:val="auto"/>
        </w:rPr>
        <w:tab/>
      </w:r>
      <w:r>
        <w:rPr>
          <w:rFonts w:ascii="Arial" w:cs="Arial" w:eastAsia="Arial" w:hAnsi="Arial"/>
          <w:sz w:val="18"/>
          <w:szCs w:val="18"/>
          <w:color w:val="auto"/>
        </w:rPr>
        <w:t>LONDON</w:t>
      </w:r>
    </w:p>
    <w:p>
      <w:pPr>
        <w:spacing w:after="0" w:line="9"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BEIJING</w:t>
      </w:r>
      <w:r>
        <w:rPr>
          <w:sz w:val="20"/>
          <w:szCs w:val="20"/>
          <w:color w:val="auto"/>
        </w:rPr>
        <w:tab/>
      </w:r>
      <w:r>
        <w:rPr>
          <w:rFonts w:ascii="Arial" w:cs="Arial" w:eastAsia="Arial" w:hAnsi="Arial"/>
          <w:sz w:val="18"/>
          <w:szCs w:val="18"/>
          <w:color w:val="auto"/>
        </w:rPr>
        <w:t>MOSCOW</w:t>
      </w:r>
    </w:p>
    <w:p>
      <w:pPr>
        <w:spacing w:after="0" w:line="9"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BRUSSELS</w:t>
      </w:r>
      <w:r>
        <w:rPr>
          <w:sz w:val="20"/>
          <w:szCs w:val="20"/>
          <w:color w:val="auto"/>
        </w:rPr>
        <w:tab/>
      </w:r>
      <w:r>
        <w:rPr>
          <w:rFonts w:ascii="Arial" w:cs="Arial" w:eastAsia="Arial" w:hAnsi="Arial"/>
          <w:sz w:val="18"/>
          <w:szCs w:val="18"/>
          <w:color w:val="auto"/>
        </w:rPr>
        <w:t>NEW YORK</w:t>
      </w:r>
    </w:p>
    <w:p>
      <w:pPr>
        <w:spacing w:after="0" w:line="9"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DALLAS</w:t>
      </w:r>
      <w:r>
        <w:rPr>
          <w:sz w:val="20"/>
          <w:szCs w:val="20"/>
          <w:color w:val="auto"/>
        </w:rPr>
        <w:tab/>
      </w:r>
      <w:r>
        <w:rPr>
          <w:rFonts w:ascii="Arial" w:cs="Arial" w:eastAsia="Arial" w:hAnsi="Arial"/>
          <w:sz w:val="18"/>
          <w:szCs w:val="18"/>
          <w:color w:val="auto"/>
        </w:rPr>
        <w:t>PALO ALTO</w:t>
      </w:r>
    </w:p>
    <w:p>
      <w:pPr>
        <w:spacing w:after="0" w:line="9"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DUBAI</w:t>
      </w:r>
      <w:r>
        <w:rPr>
          <w:sz w:val="20"/>
          <w:szCs w:val="20"/>
          <w:color w:val="auto"/>
        </w:rPr>
        <w:tab/>
      </w:r>
      <w:r>
        <w:rPr>
          <w:rFonts w:ascii="Arial" w:cs="Arial" w:eastAsia="Arial" w:hAnsi="Arial"/>
          <w:sz w:val="18"/>
          <w:szCs w:val="18"/>
          <w:color w:val="auto"/>
        </w:rPr>
        <w:t>RIO DE JANEIRO</w:t>
      </w:r>
    </w:p>
    <w:p>
      <w:pPr>
        <w:spacing w:after="0" w:line="9"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HONG KONG</w:t>
      </w:r>
      <w:r>
        <w:rPr>
          <w:sz w:val="20"/>
          <w:szCs w:val="20"/>
          <w:color w:val="auto"/>
        </w:rPr>
        <w:tab/>
      </w:r>
      <w:r>
        <w:rPr>
          <w:rFonts w:ascii="Arial" w:cs="Arial" w:eastAsia="Arial" w:hAnsi="Arial"/>
          <w:sz w:val="17"/>
          <w:szCs w:val="17"/>
          <w:color w:val="auto"/>
        </w:rPr>
        <w:t>RIYADH</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WASHINGTON</w:t>
      </w:r>
    </w:p>
    <w:p>
      <w:pPr>
        <w:spacing w:after="0" w:line="2709" w:lineRule="exact"/>
        <w:rPr>
          <w:sz w:val="20"/>
          <w:szCs w:val="20"/>
          <w:color w:val="auto"/>
        </w:rPr>
      </w:pPr>
    </w:p>
    <w:p>
      <w:pPr>
        <w:sectPr>
          <w:pgSz w:w="11900" w:h="16838" w:orient="portrait"/>
          <w:cols w:equalWidth="0" w:num="2">
            <w:col w:w="6140" w:space="720"/>
            <w:col w:w="4560"/>
          </w:cols>
          <w:pgMar w:left="240" w:top="121" w:right="239" w:bottom="1440" w:gutter="0" w:footer="0" w:header="0"/>
        </w:sectPr>
      </w:pPr>
    </w:p>
    <w:p>
      <w:pPr>
        <w:ind w:right="140" w:firstLine="913"/>
        <w:spacing w:after="0" w:line="254" w:lineRule="auto"/>
        <w:rPr>
          <w:sz w:val="20"/>
          <w:szCs w:val="20"/>
          <w:color w:val="auto"/>
        </w:rPr>
      </w:pPr>
      <w:r>
        <w:rPr>
          <w:rFonts w:ascii="Arial" w:cs="Arial" w:eastAsia="Arial" w:hAnsi="Arial"/>
          <w:sz w:val="18"/>
          <w:szCs w:val="18"/>
          <w:color w:val="auto"/>
        </w:rPr>
        <w:t>As set forth in the Registration Statement on Form S-3 (Registration No. 333-190822) (the “Registration Statement”) filed by Schlumberger Investment SA, a public company limited by shares (société anonyme) organized under the laws of the Grand Duchy of Luxembourg (the “Company”) and Schlumberger Limited, a company organized under the laws of Curaçao (the “Guarantor”), with the Securities and Exchange Commission (the “Commission”) under the Securities Act of 1933, as amended (the “Act”), relating to the registration under the Act of (i) senior unsecured debt securities of the Company (“Debt Securities”) and (ii) guarantees of the Debt Securities by the Guarantor, that may be issued and sold from time to time pursuant to Rule 415 under the Act, certain legal matters in connection with the Notes and the Guarantee (as defined below) are being passed upon for you by us. At your request, this opinion is being furnished to you for filing as Exhibit 5.1 to the Current Report on Form 8-K filed by the Guarantor on December 3, 2013 the “Form 8-K”).</w:t>
      </w:r>
    </w:p>
    <w:p>
      <w:pPr>
        <w:spacing w:after="0" w:line="192"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Registration Statement has been filed with the Commission and became effective upon filing. A related prospectus dated August 26, 2013 and prospectus supplement dated November 25, 2013 relating to the Notes and the Guarantee (collectively, the “Prospectus”) have been filed by the Company and the Guarantor with the Commission pursuant to Rule 424(b) under the Act.</w:t>
      </w:r>
    </w:p>
    <w:p>
      <w:pPr>
        <w:spacing w:after="0" w:line="181"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On November 25, 2013, the Company and the Guarantor entered into an underwriting agreement (the “Underwriting Agreement”) with Citigroup Global Markets Inc., Deutsche Bank Securities Inc. and J.P. Morgan Securities LLC, as representatives of the several underwriters (collectively, the “Underwriters”), providing for the issuance and sale by the Company to the Underwriters of $1,500,000,000 aggregate principal amount of the Company’s 3.650% Senior Notes due 2023 (the “Notes”), all to be fully and unconditionally guaranteed (the “Guarantee”) by the Guarantor.</w:t>
      </w:r>
    </w:p>
    <w:p>
      <w:pPr>
        <w:spacing w:after="0" w:line="154"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In our capacity as your counsel in the connection referred to above, we have examined (i) the Articles of Incorporation of the Company, (ii) the Articles of Incorporation and Amended and Restated Bylaws of the Guarantor, each as amended to date (together, the “Guarantor Charter Documents”), (iii) a form of the indenture to be executed by the Company, the Guarantor and the trustee thereunder (the “Base Indenture”), (iv) a form of the first</w:t>
      </w:r>
    </w:p>
    <w:p>
      <w:pPr>
        <w:sectPr>
          <w:pgSz w:w="11900" w:h="16838" w:orient="portrait"/>
          <w:cols w:equalWidth="0" w:num="1">
            <w:col w:w="11420"/>
          </w:cols>
          <w:pgMar w:left="240" w:top="121" w:right="2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1166495" cy="1200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166495" cy="120015"/>
                    </a:xfrm>
                    <a:prstGeom prst="rect">
                      <a:avLst/>
                    </a:prstGeom>
                    <a:noFill/>
                  </pic:spPr>
                </pic:pic>
              </a:graphicData>
            </a:graphic>
          </wp:anchor>
        </w:drawing>
        <w:t>Schlumberger Investment SA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December 3, 2013</w:t>
      </w:r>
    </w:p>
    <w:p>
      <w:pPr>
        <w:spacing w:after="0" w:line="410" w:lineRule="exact"/>
        <w:rPr>
          <w:sz w:val="20"/>
          <w:szCs w:val="20"/>
          <w:color w:val="auto"/>
        </w:rPr>
      </w:pPr>
    </w:p>
    <w:p>
      <w:pPr>
        <w:sectPr>
          <w:pgSz w:w="11900" w:h="16838" w:orient="portrait"/>
          <w:cols w:equalWidth="0" w:num="2">
            <w:col w:w="9380" w:space="720"/>
            <w:col w:w="1320"/>
          </w:cols>
          <w:pgMar w:left="240" w:top="800" w:right="239" w:bottom="1440" w:gutter="0" w:footer="0" w:header="0"/>
        </w:sectPr>
      </w:pPr>
    </w:p>
    <w:p>
      <w:pPr>
        <w:ind w:right="120"/>
        <w:spacing w:after="0" w:line="302" w:lineRule="auto"/>
        <w:rPr>
          <w:sz w:val="20"/>
          <w:szCs w:val="20"/>
          <w:color w:val="auto"/>
        </w:rPr>
      </w:pPr>
      <w:r>
        <w:rPr>
          <w:rFonts w:ascii="Arial" w:cs="Arial" w:eastAsia="Arial" w:hAnsi="Arial"/>
          <w:sz w:val="16"/>
          <w:szCs w:val="16"/>
          <w:color w:val="auto"/>
        </w:rPr>
        <w:t>supplemental indenture to the Base Indenture (the “First Supplemental Indenture” and, together with the Base Indenture, the “Indenture”), pursuant to which the Notes are to be issued, (v) the Registration Statement, (vi) the Prospectus, (vii) the Underwriting Agreement, (viii) the originals, or copies certified or otherwise identified, of corporate records of each of the Company and the Guarantor, and (ix) certificates of public officials and of representatives of each of the Company and the Guarantor, statutes and other instruments and documents as a basis for the opinions hereinafter expressed.</w:t>
      </w:r>
    </w:p>
    <w:p>
      <w:pPr>
        <w:spacing w:after="0" w:line="154"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In giving this opinion, we have relied on certificates of officers of each of the Company and the Guarantor and of public officials with respect to the accuracy of the material factual matters contained in such certificates and we have assumed, without independent investigation, that all signatures on documents we have examined are genuine, all documents submitted to us as originals are authentic, all documents submitted to us as certified or photostatic copies of original documents conform to the original documents and all these original documents are authentic, and all information submitted to us was accurate and complete.</w:t>
      </w:r>
    </w:p>
    <w:p>
      <w:pPr>
        <w:spacing w:after="0" w:line="188"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170"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On the basis of the foregoing, and subject to the assumptions, limitations and qualifications set forth herein, we are of the opinion that, with respect to Notes and the Guarantee, when such Notes have been duly executed, authenticated, issued and delivered in accordance with both the provisions of the Indenture and the provisions of the Underwriting Agreement upon payment of the consideration therefor provided for therein, such Notes, and the Guarantee, will constitute legal, valid and binding obligations of the Company and the Guarantor, respectively, enforceable against the Company and the Guarantor, respectively, except as the enforceability thereof is subject to the effect of (i) any applicable bankruptcy, insolvency, reorganization, moratorium, fraudulent conveyance or other laws relating to or affecting creditors’ rights generally, (ii) general principles of equity (regardless of whether such enforceability is considered in a proceeding in equity or at law) and (iii) any implied covenants of good faith and fair dealing.</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opinions set forth above are limited to the applicable laws of the State of New York and the applicable federal laws of the United States.</w:t>
      </w:r>
    </w:p>
    <w:p>
      <w:pPr>
        <w:spacing w:after="0" w:line="248"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We hereby consent to the filing of this opinion as Exhibit 5.1 to the Form 8-K and to the reference to us under “Legal Matters” in the Prospectus. In giving this consent, we do not admit that we are in the category of persons whose consent is required under Section 7 of the Act or the rules and regulations of the Commission thereunder.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800" w:right="2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1166495" cy="1200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1166495" cy="120015"/>
                    </a:xfrm>
                    <a:prstGeom prst="rect">
                      <a:avLst/>
                    </a:prstGeom>
                    <a:noFill/>
                  </pic:spPr>
                </pic:pic>
              </a:graphicData>
            </a:graphic>
          </wp:anchor>
        </w:drawing>
        <w:t>Schlumberger Investment SA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December 3, 2013</w:t>
      </w:r>
    </w:p>
    <w:p>
      <w:pPr>
        <w:spacing w:after="0" w:line="410" w:lineRule="exact"/>
        <w:rPr>
          <w:sz w:val="20"/>
          <w:szCs w:val="20"/>
          <w:color w:val="auto"/>
        </w:rPr>
      </w:pPr>
    </w:p>
    <w:p>
      <w:pPr>
        <w:sectPr>
          <w:pgSz w:w="11900" w:h="16838" w:orient="portrait"/>
          <w:cols w:equalWidth="0" w:num="2">
            <w:col w:w="9380" w:space="720"/>
            <w:col w:w="1320"/>
          </w:cols>
          <w:pgMar w:left="240" w:top="827" w:right="239" w:bottom="1440" w:gutter="0" w:footer="0" w:header="0"/>
        </w:sect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Baker Botts L.L.P.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w:t>
      </w:r>
    </w:p>
    <w:p>
      <w:pPr>
        <w:sectPr>
          <w:pgSz w:w="11900" w:h="16838" w:orient="portrait"/>
          <w:cols w:equalWidth="0" w:num="1">
            <w:col w:w="11420"/>
          </w:cols>
          <w:pgMar w:left="240" w:top="827" w:right="239" w:bottom="1440" w:gutter="0" w:footer="0" w:header="0"/>
          <w:type w:val="continuous"/>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5.2</w:t>
      </w:r>
    </w:p>
    <w:p>
      <w:pPr>
        <w:spacing w:after="0" w:line="256" w:lineRule="exact"/>
        <w:rPr>
          <w:sz w:val="20"/>
          <w:szCs w:val="20"/>
          <w:color w:val="auto"/>
        </w:rPr>
      </w:pPr>
    </w:p>
    <w:tbl>
      <w:tblPr>
        <w:tblLayout w:type="fixed"/>
        <w:tblInd w:w="6300" w:type="dxa"/>
        <w:tblCellMar>
          <w:top w:w="0" w:type="dxa"/>
          <w:left w:w="0" w:type="dxa"/>
          <w:bottom w:w="0" w:type="dxa"/>
          <w:right w:w="0" w:type="dxa"/>
        </w:tblCellMar>
      </w:tblPr>
      <w:tr>
        <w:trPr>
          <w:trHeight w:val="216"/>
        </w:trPr>
        <w:tc>
          <w:tcPr>
            <w:tcW w:w="1580" w:type="dxa"/>
            <w:vAlign w:val="bottom"/>
          </w:tcPr>
          <w:p>
            <w:pPr>
              <w:jc w:val="right"/>
              <w:ind w:right="10"/>
              <w:spacing w:after="0"/>
              <w:rPr>
                <w:sz w:val="20"/>
                <w:szCs w:val="20"/>
                <w:color w:val="auto"/>
              </w:rPr>
            </w:pPr>
            <w:r>
              <w:rPr>
                <w:rFonts w:ascii="Arial" w:cs="Arial" w:eastAsia="Arial" w:hAnsi="Arial"/>
                <w:sz w:val="18"/>
                <w:szCs w:val="18"/>
                <w:color w:val="auto"/>
                <w:w w:val="92"/>
              </w:rPr>
              <w:t>OFFICE ADDRESS</w:t>
            </w:r>
          </w:p>
        </w:tc>
        <w:tc>
          <w:tcPr>
            <w:tcW w:w="2120" w:type="dxa"/>
            <w:vAlign w:val="bottom"/>
          </w:tcPr>
          <w:p>
            <w:pPr>
              <w:ind w:left="100"/>
              <w:spacing w:after="0"/>
              <w:rPr>
                <w:sz w:val="20"/>
                <w:szCs w:val="20"/>
                <w:color w:val="auto"/>
              </w:rPr>
            </w:pPr>
            <w:r>
              <w:rPr>
                <w:rFonts w:ascii="Arial" w:cs="Arial" w:eastAsia="Arial" w:hAnsi="Arial"/>
                <w:sz w:val="18"/>
                <w:szCs w:val="18"/>
                <w:color w:val="auto"/>
                <w:w w:val="89"/>
              </w:rPr>
              <w:t>18-20, rue Edward Steichen</w:t>
            </w:r>
          </w:p>
        </w:tc>
      </w:tr>
      <w:tr>
        <w:trPr>
          <w:trHeight w:val="216"/>
        </w:trPr>
        <w:tc>
          <w:tcPr>
            <w:tcW w:w="1580" w:type="dxa"/>
            <w:vAlign w:val="bottom"/>
          </w:tcPr>
          <w:p>
            <w:pPr>
              <w:spacing w:after="0"/>
              <w:rPr>
                <w:sz w:val="18"/>
                <w:szCs w:val="18"/>
                <w:color w:val="auto"/>
              </w:rPr>
            </w:pPr>
          </w:p>
        </w:tc>
        <w:tc>
          <w:tcPr>
            <w:tcW w:w="2120" w:type="dxa"/>
            <w:vAlign w:val="bottom"/>
          </w:tcPr>
          <w:p>
            <w:pPr>
              <w:ind w:left="100"/>
              <w:spacing w:after="0"/>
              <w:rPr>
                <w:sz w:val="20"/>
                <w:szCs w:val="20"/>
                <w:color w:val="auto"/>
              </w:rPr>
            </w:pPr>
            <w:r>
              <w:rPr>
                <w:rFonts w:ascii="Arial" w:cs="Arial" w:eastAsia="Arial" w:hAnsi="Arial"/>
                <w:sz w:val="18"/>
                <w:szCs w:val="18"/>
                <w:color w:val="auto"/>
              </w:rPr>
              <w:t>L-2540 LUXEMBOURG</w:t>
            </w:r>
          </w:p>
        </w:tc>
      </w:tr>
      <w:tr>
        <w:trPr>
          <w:trHeight w:val="230"/>
        </w:trPr>
        <w:tc>
          <w:tcPr>
            <w:tcW w:w="1580" w:type="dxa"/>
            <w:vAlign w:val="bottom"/>
          </w:tcPr>
          <w:p>
            <w:pPr>
              <w:spacing w:after="0"/>
              <w:rPr>
                <w:sz w:val="19"/>
                <w:szCs w:val="19"/>
                <w:color w:val="auto"/>
              </w:rPr>
            </w:pPr>
          </w:p>
        </w:tc>
        <w:tc>
          <w:tcPr>
            <w:tcW w:w="2120" w:type="dxa"/>
            <w:vAlign w:val="bottom"/>
          </w:tcPr>
          <w:p>
            <w:pPr>
              <w:ind w:left="100"/>
              <w:spacing w:after="0"/>
              <w:rPr>
                <w:sz w:val="20"/>
                <w:szCs w:val="20"/>
                <w:color w:val="auto"/>
              </w:rPr>
            </w:pPr>
            <w:r>
              <w:rPr>
                <w:rFonts w:ascii="Arial" w:cs="Arial" w:eastAsia="Arial" w:hAnsi="Arial"/>
                <w:sz w:val="18"/>
                <w:szCs w:val="18"/>
                <w:color w:val="auto"/>
              </w:rPr>
              <w:t>Luxembourg - Kirchberg</w:t>
            </w:r>
          </w:p>
        </w:tc>
      </w:tr>
      <w:tr>
        <w:trPr>
          <w:trHeight w:val="216"/>
        </w:trPr>
        <w:tc>
          <w:tcPr>
            <w:tcW w:w="1580" w:type="dxa"/>
            <w:vAlign w:val="bottom"/>
          </w:tcPr>
          <w:p>
            <w:pPr>
              <w:jc w:val="right"/>
              <w:ind w:right="10"/>
              <w:spacing w:after="0"/>
              <w:rPr>
                <w:sz w:val="20"/>
                <w:szCs w:val="20"/>
                <w:color w:val="auto"/>
              </w:rPr>
            </w:pPr>
            <w:r>
              <w:rPr>
                <w:rFonts w:ascii="Arial" w:cs="Arial" w:eastAsia="Arial" w:hAnsi="Arial"/>
                <w:sz w:val="18"/>
                <w:szCs w:val="18"/>
                <w:color w:val="auto"/>
              </w:rPr>
              <w:t>TELEPHONE</w:t>
            </w:r>
          </w:p>
        </w:tc>
        <w:tc>
          <w:tcPr>
            <w:tcW w:w="2120" w:type="dxa"/>
            <w:vAlign w:val="bottom"/>
          </w:tcPr>
          <w:p>
            <w:pPr>
              <w:ind w:left="100"/>
              <w:spacing w:after="0"/>
              <w:rPr>
                <w:sz w:val="20"/>
                <w:szCs w:val="20"/>
                <w:color w:val="auto"/>
              </w:rPr>
            </w:pPr>
            <w:r>
              <w:rPr>
                <w:rFonts w:ascii="Arial" w:cs="Arial" w:eastAsia="Arial" w:hAnsi="Arial"/>
                <w:sz w:val="18"/>
                <w:szCs w:val="18"/>
                <w:color w:val="auto"/>
              </w:rPr>
              <w:t>+352 466 230</w:t>
            </w:r>
          </w:p>
        </w:tc>
      </w:tr>
      <w:tr>
        <w:trPr>
          <w:trHeight w:val="216"/>
        </w:trPr>
        <w:tc>
          <w:tcPr>
            <w:tcW w:w="1580" w:type="dxa"/>
            <w:vAlign w:val="bottom"/>
          </w:tcPr>
          <w:p>
            <w:pPr>
              <w:jc w:val="right"/>
              <w:ind w:right="10"/>
              <w:spacing w:after="0"/>
              <w:rPr>
                <w:sz w:val="20"/>
                <w:szCs w:val="20"/>
                <w:color w:val="auto"/>
              </w:rPr>
            </w:pPr>
            <w:r>
              <w:rPr>
                <w:rFonts w:ascii="Arial" w:cs="Arial" w:eastAsia="Arial" w:hAnsi="Arial"/>
                <w:sz w:val="18"/>
                <w:szCs w:val="18"/>
                <w:color w:val="auto"/>
              </w:rPr>
              <w:t>FAX</w:t>
            </w:r>
          </w:p>
        </w:tc>
        <w:tc>
          <w:tcPr>
            <w:tcW w:w="2120" w:type="dxa"/>
            <w:vAlign w:val="bottom"/>
          </w:tcPr>
          <w:p>
            <w:pPr>
              <w:ind w:left="100"/>
              <w:spacing w:after="0"/>
              <w:rPr>
                <w:sz w:val="20"/>
                <w:szCs w:val="20"/>
                <w:color w:val="auto"/>
              </w:rPr>
            </w:pPr>
            <w:r>
              <w:rPr>
                <w:rFonts w:ascii="Arial" w:cs="Arial" w:eastAsia="Arial" w:hAnsi="Arial"/>
                <w:sz w:val="18"/>
                <w:szCs w:val="18"/>
                <w:color w:val="auto"/>
              </w:rPr>
              <w:t>+352 466 234</w:t>
            </w:r>
          </w:p>
        </w:tc>
      </w:tr>
      <w:tr>
        <w:trPr>
          <w:trHeight w:val="230"/>
        </w:trPr>
        <w:tc>
          <w:tcPr>
            <w:tcW w:w="1580" w:type="dxa"/>
            <w:vAlign w:val="bottom"/>
          </w:tcPr>
          <w:p>
            <w:pPr>
              <w:jc w:val="right"/>
              <w:ind w:right="10"/>
              <w:spacing w:after="0"/>
              <w:rPr>
                <w:sz w:val="20"/>
                <w:szCs w:val="20"/>
                <w:color w:val="auto"/>
              </w:rPr>
            </w:pPr>
            <w:r>
              <w:rPr>
                <w:rFonts w:ascii="Arial" w:cs="Arial" w:eastAsia="Arial" w:hAnsi="Arial"/>
                <w:sz w:val="18"/>
                <w:szCs w:val="18"/>
                <w:color w:val="auto"/>
              </w:rPr>
              <w:t>INTERNET</w:t>
            </w:r>
          </w:p>
        </w:tc>
        <w:tc>
          <w:tcPr>
            <w:tcW w:w="2120" w:type="dxa"/>
            <w:vAlign w:val="bottom"/>
          </w:tcPr>
          <w:p>
            <w:pPr>
              <w:ind w:left="100"/>
              <w:spacing w:after="0"/>
              <w:rPr>
                <w:sz w:val="20"/>
                <w:szCs w:val="20"/>
                <w:color w:val="auto"/>
              </w:rPr>
            </w:pPr>
            <w:r>
              <w:rPr>
                <w:rFonts w:ascii="Arial" w:cs="Arial" w:eastAsia="Arial" w:hAnsi="Arial"/>
                <w:sz w:val="18"/>
                <w:szCs w:val="18"/>
                <w:color w:val="auto"/>
              </w:rPr>
              <w:t>www.loyensloeff.lu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-831215</wp:posOffset>
            </wp:positionV>
            <wp:extent cx="1612265" cy="523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12265" cy="52324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Investment SA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5, avenue Gaston Diderich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L-1420 Luxembourg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December 3,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 Dear Madam</w:t>
      </w:r>
    </w:p>
    <w:p>
      <w:pPr>
        <w:spacing w:after="0" w:line="248"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17" w:lineRule="exact"/>
        <w:rPr>
          <w:rFonts w:ascii="Arial" w:cs="Arial" w:eastAsia="Arial" w:hAnsi="Arial"/>
          <w:sz w:val="18"/>
          <w:szCs w:val="18"/>
          <w:b w:val="1"/>
          <w:bCs w:val="1"/>
          <w:color w:val="auto"/>
        </w:rPr>
      </w:pPr>
    </w:p>
    <w:p>
      <w:pPr>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have acted as special legal counsel in the Grand Duchy of Luxembourg (</w:t>
      </w:r>
      <w:r>
        <w:rPr>
          <w:rFonts w:ascii="Arial" w:cs="Arial" w:eastAsia="Arial" w:hAnsi="Arial"/>
          <w:sz w:val="18"/>
          <w:szCs w:val="18"/>
          <w:b w:val="1"/>
          <w:bCs w:val="1"/>
          <w:color w:val="auto"/>
        </w:rPr>
        <w:t>Luxembourg</w:t>
      </w:r>
      <w:r>
        <w:rPr>
          <w:rFonts w:ascii="Arial" w:cs="Arial" w:eastAsia="Arial" w:hAnsi="Arial"/>
          <w:sz w:val="18"/>
          <w:szCs w:val="18"/>
          <w:color w:val="auto"/>
        </w:rPr>
        <w:t>) to Schlumberger Investment SA, a public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organized under the laws of the Grand Duchy of Luxembourg with registered office at 5, avenue Gaston Diderich, L-1420 Luxembourg, registered with the Luxembourg Register of Commerce and Companies (</w:t>
      </w:r>
      <w:r>
        <w:rPr>
          <w:rFonts w:ascii="Arial" w:cs="Arial" w:eastAsia="Arial" w:hAnsi="Arial"/>
          <w:sz w:val="18"/>
          <w:szCs w:val="18"/>
          <w:b w:val="1"/>
          <w:bCs w:val="1"/>
          <w:color w:val="auto"/>
        </w:rPr>
        <w:t>RCS</w:t>
      </w:r>
      <w:r>
        <w:rPr>
          <w:rFonts w:ascii="Arial" w:cs="Arial" w:eastAsia="Arial" w:hAnsi="Arial"/>
          <w:sz w:val="18"/>
          <w:szCs w:val="18"/>
          <w:color w:val="auto"/>
        </w:rPr>
        <w:t xml:space="preserve">) under number B 163.122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filing by the Company and Schlumberger Limited, a company organized under the laws of Curaçao (</w:t>
      </w:r>
      <w:r>
        <w:rPr>
          <w:rFonts w:ascii="Arial" w:cs="Arial" w:eastAsia="Arial" w:hAnsi="Arial"/>
          <w:sz w:val="18"/>
          <w:szCs w:val="18"/>
          <w:b w:val="1"/>
          <w:bCs w:val="1"/>
          <w:color w:val="auto"/>
        </w:rPr>
        <w:t>Schlumberger</w:t>
      </w:r>
      <w:r>
        <w:rPr>
          <w:rFonts w:ascii="Arial" w:cs="Arial" w:eastAsia="Arial" w:hAnsi="Arial"/>
          <w:sz w:val="18"/>
          <w:szCs w:val="18"/>
          <w:color w:val="auto"/>
        </w:rPr>
        <w:t xml:space="preserve">) of a Registration Statement on Form S-3 (Registration Statement No. 333-190822)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xml:space="preserve">) with the United States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xml:space="preserve">) under the United States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and certain matters in connection with the Notes and the Guarantee (as defined below).</w:t>
      </w:r>
    </w:p>
    <w:p>
      <w:pPr>
        <w:spacing w:after="0" w:line="85" w:lineRule="exact"/>
        <w:rPr>
          <w:rFonts w:ascii="Arial" w:cs="Arial" w:eastAsia="Arial" w:hAnsi="Arial"/>
          <w:sz w:val="18"/>
          <w:szCs w:val="18"/>
          <w:b w:val="1"/>
          <w:bCs w:val="1"/>
          <w:color w:val="auto"/>
        </w:rPr>
      </w:pPr>
    </w:p>
    <w:p>
      <w:pPr>
        <w:ind w:left="46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Registration Statement has been filed with the Commission and became effective upon filing. A related prospectus dated August 26, 2013 and prospectus supplement dated November 25, 2013 relating to the Notes and the Guarantee (collectively, the </w:t>
      </w:r>
      <w:r>
        <w:rPr>
          <w:rFonts w:ascii="Arial" w:cs="Arial" w:eastAsia="Arial" w:hAnsi="Arial"/>
          <w:sz w:val="18"/>
          <w:szCs w:val="18"/>
          <w:b w:val="1"/>
          <w:bCs w:val="1"/>
          <w:color w:val="auto"/>
        </w:rPr>
        <w:t>Prospectus</w:t>
      </w:r>
      <w:r>
        <w:rPr>
          <w:rFonts w:ascii="Arial" w:cs="Arial" w:eastAsia="Arial" w:hAnsi="Arial"/>
          <w:sz w:val="18"/>
          <w:szCs w:val="18"/>
          <w:color w:val="auto"/>
        </w:rPr>
        <w:t>) have been filed by the Company and Schlumberger with the Commission pursuant to Rule 424(b) under the Act.</w:t>
      </w:r>
    </w:p>
    <w:p>
      <w:pPr>
        <w:spacing w:after="0" w:line="69" w:lineRule="exact"/>
        <w:rPr>
          <w:rFonts w:ascii="Arial" w:cs="Arial" w:eastAsia="Arial" w:hAnsi="Arial"/>
          <w:sz w:val="18"/>
          <w:szCs w:val="18"/>
          <w:b w:val="1"/>
          <w:bCs w:val="1"/>
          <w:color w:val="auto"/>
        </w:rPr>
      </w:pPr>
    </w:p>
    <w:p>
      <w:pPr>
        <w:ind w:left="460" w:right="60"/>
        <w:spacing w:after="0" w:line="303" w:lineRule="auto"/>
        <w:rPr>
          <w:rFonts w:ascii="Arial" w:cs="Arial" w:eastAsia="Arial" w:hAnsi="Arial"/>
          <w:sz w:val="18"/>
          <w:szCs w:val="18"/>
          <w:b w:val="1"/>
          <w:bCs w:val="1"/>
          <w:color w:val="auto"/>
        </w:rPr>
      </w:pPr>
      <w:r>
        <w:rPr>
          <w:rFonts w:ascii="Arial" w:cs="Arial" w:eastAsia="Arial" w:hAnsi="Arial"/>
          <w:sz w:val="16"/>
          <w:szCs w:val="16"/>
          <w:color w:val="auto"/>
        </w:rPr>
        <w:t xml:space="preserve">On November 25, 2013, the Company and Schlumberger entered into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xml:space="preserve">) with Citigroup Global Markets Inc., Deutsche Bank Securities Inc. and J.P. Morgan Securities LLC, as representatives of the several underwriters (the </w:t>
      </w:r>
      <w:r>
        <w:rPr>
          <w:rFonts w:ascii="Arial" w:cs="Arial" w:eastAsia="Arial" w:hAnsi="Arial"/>
          <w:sz w:val="16"/>
          <w:szCs w:val="16"/>
          <w:b w:val="1"/>
          <w:bCs w:val="1"/>
          <w:color w:val="auto"/>
        </w:rPr>
        <w:t>Underwriters</w:t>
      </w:r>
      <w:r>
        <w:rPr>
          <w:rFonts w:ascii="Arial" w:cs="Arial" w:eastAsia="Arial" w:hAnsi="Arial"/>
          <w:sz w:val="16"/>
          <w:szCs w:val="16"/>
          <w:color w:val="auto"/>
        </w:rPr>
        <w:t xml:space="preserve">), providing for the issuance and sale by the Company to the Underwriters of $1,500,000,000 aggregate principal amount of the Company’s 3.650% Senior Notes due 2023 (the </w:t>
      </w:r>
      <w:r>
        <w:rPr>
          <w:rFonts w:ascii="Arial" w:cs="Arial" w:eastAsia="Arial" w:hAnsi="Arial"/>
          <w:sz w:val="16"/>
          <w:szCs w:val="16"/>
          <w:b w:val="1"/>
          <w:bCs w:val="1"/>
          <w:color w:val="auto"/>
        </w:rPr>
        <w:t>Notes</w:t>
      </w:r>
      <w:r>
        <w:rPr>
          <w:rFonts w:ascii="Arial" w:cs="Arial" w:eastAsia="Arial" w:hAnsi="Arial"/>
          <w:sz w:val="16"/>
          <w:szCs w:val="16"/>
          <w:color w:val="auto"/>
        </w:rPr>
        <w:t xml:space="preserve">), all to be fully and unconditionally guaranteed (the </w:t>
      </w:r>
      <w:r>
        <w:rPr>
          <w:rFonts w:ascii="Arial" w:cs="Arial" w:eastAsia="Arial" w:hAnsi="Arial"/>
          <w:sz w:val="16"/>
          <w:szCs w:val="16"/>
          <w:b w:val="1"/>
          <w:bCs w:val="1"/>
          <w:color w:val="auto"/>
        </w:rPr>
        <w:t>Guarantee</w:t>
      </w:r>
      <w:r>
        <w:rPr>
          <w:rFonts w:ascii="Arial" w:cs="Arial" w:eastAsia="Arial" w:hAnsi="Arial"/>
          <w:sz w:val="16"/>
          <w:szCs w:val="16"/>
          <w:color w:val="auto"/>
        </w:rPr>
        <w:t>) by Schlumberger, as guarantor.</w:t>
      </w:r>
    </w:p>
    <w:p>
      <w:pPr>
        <w:spacing w:after="0" w:line="15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All services are provided by Loyens &amp; Loeff Luxembourg S.à r.l., a private limited liability company (</w:t>
      </w:r>
      <w:r>
        <w:rPr>
          <w:rFonts w:ascii="Arial" w:cs="Arial" w:eastAsia="Arial" w:hAnsi="Arial"/>
          <w:sz w:val="18"/>
          <w:szCs w:val="18"/>
          <w:i w:val="1"/>
          <w:iCs w:val="1"/>
          <w:color w:val="auto"/>
        </w:rPr>
        <w:t>société à responsabilité limitée</w:t>
      </w:r>
      <w:r>
        <w:rPr>
          <w:rFonts w:ascii="Arial" w:cs="Arial" w:eastAsia="Arial" w:hAnsi="Arial"/>
          <w:sz w:val="18"/>
          <w:szCs w:val="18"/>
          <w:color w:val="auto"/>
        </w:rPr>
        <w:t>) having its registered office at 18-20, rue Edward Steichen, L-2540 Luxembourg, Luxembourg, with a share capital of Eur 25.200 and registered with the Luxembourg Register of Commerce and Companies (</w:t>
      </w:r>
      <w:r>
        <w:rPr>
          <w:rFonts w:ascii="Arial" w:cs="Arial" w:eastAsia="Arial" w:hAnsi="Arial"/>
          <w:sz w:val="18"/>
          <w:szCs w:val="18"/>
          <w:i w:val="1"/>
          <w:iCs w:val="1"/>
          <w:color w:val="auto"/>
        </w:rPr>
        <w:t>Registre du commerce et des sociétés, Luxembourg)</w:t>
      </w:r>
      <w:r>
        <w:rPr>
          <w:rFonts w:ascii="Arial" w:cs="Arial" w:eastAsia="Arial" w:hAnsi="Arial"/>
          <w:sz w:val="18"/>
          <w:szCs w:val="18"/>
          <w:color w:val="auto"/>
        </w:rPr>
        <w:t xml:space="preserve"> under number B 174.248. All its services are governed by its General Terms and Conditions, which include a limitation of liability, the applicability of Luxembourg law and the competence of the Luxembourg courts. These General Terms and Conditions may be consulted via www.loyensloeff.lu.</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AMSTERDAM • ARNHEM CURACAO • DUBAI • FRANKFURT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340" w:firstLine="120"/>
        <w:spacing w:after="0" w:line="253" w:lineRule="auto"/>
        <w:rPr>
          <w:sz w:val="20"/>
          <w:szCs w:val="20"/>
          <w:color w:val="auto"/>
        </w:rPr>
      </w:pPr>
      <w:r>
        <w:rPr>
          <w:rFonts w:ascii="Arial" w:cs="Arial" w:eastAsia="Arial" w:hAnsi="Arial"/>
          <w:sz w:val="14"/>
          <w:szCs w:val="14"/>
          <w:color w:val="auto"/>
        </w:rPr>
        <w:t>• BRUSSELS • LUXEMBOURG • ROTTERDAM • ARUBA GENEVA • HONG KONG • LONDON • NEW YORK • PARIS • SINGAPORE • TOKYO • ZURICH</w:t>
      </w:r>
    </w:p>
    <w:p>
      <w:pPr>
        <w:sectPr>
          <w:pgSz w:w="11900" w:h="16838" w:orient="portrait"/>
          <w:cols w:equalWidth="0" w:num="2">
            <w:col w:w="2520" w:space="120"/>
            <w:col w:w="8780"/>
          </w:cols>
          <w:pgMar w:left="240" w:top="121" w:right="239" w:bottom="1440" w:gutter="0" w:footer="0" w:header="0"/>
          <w:type w:val="continuous"/>
        </w:sectPr>
      </w:pPr>
    </w:p>
    <w:bookmarkStart w:id="134" w:name="page135"/>
    <w:bookmarkEnd w:id="134"/>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72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617220"/>
                    </a:xfrm>
                    <a:prstGeom prst="rect">
                      <a:avLst/>
                    </a:prstGeom>
                    <a:noFill/>
                  </pic:spPr>
                </pic:pic>
              </a:graphicData>
            </a:graphic>
          </wp:anchor>
        </w:drawing>
        <w:t>Scope of Inquiry</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For the purpose of this Opinion, we have examined a copy of the following documents:</w:t>
      </w:r>
    </w:p>
    <w:p>
      <w:pPr>
        <w:spacing w:after="0" w:line="130" w:lineRule="exact"/>
        <w:rPr>
          <w:rFonts w:ascii="Arial" w:cs="Arial" w:eastAsia="Arial" w:hAnsi="Arial"/>
          <w:sz w:val="18"/>
          <w:szCs w:val="18"/>
          <w:b w:val="1"/>
          <w:bCs w:val="1"/>
          <w:color w:val="auto"/>
        </w:rPr>
      </w:pPr>
    </w:p>
    <w:p>
      <w:pPr>
        <w:jc w:val="both"/>
        <w:ind w:left="900" w:right="80" w:hanging="446"/>
        <w:spacing w:after="0" w:line="264"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an executed copy of the Registration Statement, filed with the Commission under the Act, relating to,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registration under the Act of senior unsecured debt securities of the Company (the </w:t>
      </w:r>
      <w:r>
        <w:rPr>
          <w:rFonts w:ascii="Arial" w:cs="Arial" w:eastAsia="Arial" w:hAnsi="Arial"/>
          <w:sz w:val="18"/>
          <w:szCs w:val="18"/>
          <w:b w:val="1"/>
          <w:bCs w:val="1"/>
          <w:color w:val="auto"/>
        </w:rPr>
        <w:t>Debt Securities</w:t>
      </w:r>
      <w:r>
        <w:rPr>
          <w:rFonts w:ascii="Arial" w:cs="Arial" w:eastAsia="Arial" w:hAnsi="Arial"/>
          <w:sz w:val="18"/>
          <w:szCs w:val="18"/>
          <w:color w:val="auto"/>
        </w:rPr>
        <w:t>) and guarantees of the Debt Securities by Schlumberger, dated August 26, 2013;</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126" w:lineRule="exact"/>
        <w:rPr>
          <w:rFonts w:ascii="Arial" w:cs="Arial" w:eastAsia="Arial" w:hAnsi="Arial"/>
          <w:sz w:val="18"/>
          <w:szCs w:val="18"/>
          <w:color w:val="auto"/>
        </w:rPr>
      </w:pPr>
    </w:p>
    <w:p>
      <w:pPr>
        <w:ind w:left="900" w:right="460" w:hanging="446"/>
        <w:spacing w:after="0" w:line="347" w:lineRule="auto"/>
        <w:tabs>
          <w:tab w:leader="none" w:pos="9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the Indenture dated December 3, 2013 (the </w:t>
      </w:r>
      <w:r>
        <w:rPr>
          <w:rFonts w:ascii="Arial" w:cs="Arial" w:eastAsia="Arial" w:hAnsi="Arial"/>
          <w:sz w:val="16"/>
          <w:szCs w:val="16"/>
          <w:b w:val="1"/>
          <w:bCs w:val="1"/>
          <w:color w:val="auto"/>
        </w:rPr>
        <w:t>Base Indenture</w:t>
      </w:r>
      <w:r>
        <w:rPr>
          <w:rFonts w:ascii="Arial" w:cs="Arial" w:eastAsia="Arial" w:hAnsi="Arial"/>
          <w:sz w:val="16"/>
          <w:szCs w:val="16"/>
          <w:color w:val="auto"/>
        </w:rPr>
        <w:t xml:space="preserve">) among the Company, Schlumberger, as guarantor, and The Bank of New York Mellon, as trustee, registrar, paying agent and transfer agent (the </w:t>
      </w:r>
      <w:r>
        <w:rPr>
          <w:rFonts w:ascii="Arial" w:cs="Arial" w:eastAsia="Arial" w:hAnsi="Arial"/>
          <w:sz w:val="16"/>
          <w:szCs w:val="16"/>
          <w:b w:val="1"/>
          <w:bCs w:val="1"/>
          <w:color w:val="auto"/>
        </w:rPr>
        <w:t>Trustee</w:t>
      </w:r>
      <w:r>
        <w:rPr>
          <w:rFonts w:ascii="Arial" w:cs="Arial" w:eastAsia="Arial" w:hAnsi="Arial"/>
          <w:sz w:val="16"/>
          <w:szCs w:val="16"/>
          <w:color w:val="auto"/>
        </w:rPr>
        <w:t>), in the form of Exhibit 4.1 to the Current Report on Form 8-K;</w:t>
      </w:r>
    </w:p>
    <w:p>
      <w:pPr>
        <w:spacing w:after="0" w:line="21" w:lineRule="exact"/>
        <w:rPr>
          <w:rFonts w:ascii="Arial" w:cs="Arial" w:eastAsia="Arial" w:hAnsi="Arial"/>
          <w:sz w:val="16"/>
          <w:szCs w:val="16"/>
          <w:color w:val="auto"/>
        </w:rPr>
      </w:pPr>
    </w:p>
    <w:p>
      <w:pPr>
        <w:ind w:left="900" w:hanging="446"/>
        <w:spacing w:after="0" w:line="266"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the First Supplemental Indenture dated December 3, 2013 (the </w:t>
      </w:r>
      <w:r>
        <w:rPr>
          <w:rFonts w:ascii="Arial" w:cs="Arial" w:eastAsia="Arial" w:hAnsi="Arial"/>
          <w:sz w:val="18"/>
          <w:szCs w:val="18"/>
          <w:b w:val="1"/>
          <w:bCs w:val="1"/>
          <w:color w:val="auto"/>
        </w:rPr>
        <w:t>First Supplemental Indenture</w:t>
      </w:r>
      <w:r>
        <w:rPr>
          <w:rFonts w:ascii="Arial" w:cs="Arial" w:eastAsia="Arial" w:hAnsi="Arial"/>
          <w:sz w:val="18"/>
          <w:szCs w:val="18"/>
          <w:color w:val="auto"/>
        </w:rPr>
        <w:t xml:space="preserve"> and, together with the Base Indenture, the </w:t>
      </w:r>
      <w:r>
        <w:rPr>
          <w:rFonts w:ascii="Arial" w:cs="Arial" w:eastAsia="Arial" w:hAnsi="Arial"/>
          <w:sz w:val="18"/>
          <w:szCs w:val="18"/>
          <w:b w:val="1"/>
          <w:bCs w:val="1"/>
          <w:color w:val="auto"/>
        </w:rPr>
        <w:t>Indenture</w:t>
      </w:r>
      <w:r>
        <w:rPr>
          <w:rFonts w:ascii="Arial" w:cs="Arial" w:eastAsia="Arial" w:hAnsi="Arial"/>
          <w:sz w:val="18"/>
          <w:szCs w:val="18"/>
          <w:color w:val="auto"/>
        </w:rPr>
        <w:t>) among the Company, Schlumberger and the Trustee, in the form of Exhibit 4.2 to the Current Report on Form 8-K, pursuant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 Notes will be issued;</w:t>
      </w:r>
    </w:p>
    <w:p>
      <w:pPr>
        <w:spacing w:after="0" w:line="85" w:lineRule="exact"/>
        <w:rPr>
          <w:rFonts w:ascii="Arial" w:cs="Arial" w:eastAsia="Arial" w:hAnsi="Arial"/>
          <w:sz w:val="18"/>
          <w:szCs w:val="18"/>
          <w:color w:val="auto"/>
        </w:rPr>
      </w:pPr>
    </w:p>
    <w:p>
      <w:pPr>
        <w:ind w:left="900" w:hanging="446"/>
        <w:spacing w:after="0"/>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the consolidated text of the articles of association of the Company as at September 2, 2011 drawn up by Maître Martine Schaeffer, notary in Luxembourg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900" w:hanging="446"/>
        <w:spacing w:after="0"/>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the resolutions of the board of directors of the Company dated November 14, 2013 (the </w:t>
      </w:r>
      <w:r>
        <w:rPr>
          <w:rFonts w:ascii="Arial" w:cs="Arial" w:eastAsia="Arial" w:hAnsi="Arial"/>
          <w:sz w:val="18"/>
          <w:szCs w:val="18"/>
          <w:b w:val="1"/>
          <w:bCs w:val="1"/>
          <w:color w:val="auto"/>
        </w:rPr>
        <w:t>Directors Resolutions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an excerpt pertaining to the Company delivered by the RCS, dated December 3, 2013 (the </w:t>
      </w:r>
      <w:r>
        <w:rPr>
          <w:rFonts w:ascii="Arial" w:cs="Arial" w:eastAsia="Arial" w:hAnsi="Arial"/>
          <w:sz w:val="18"/>
          <w:szCs w:val="18"/>
          <w:b w:val="1"/>
          <w:bCs w:val="1"/>
          <w:color w:val="auto"/>
        </w:rPr>
        <w:t>Excerpt</w:t>
      </w:r>
      <w:r>
        <w:rPr>
          <w:rFonts w:ascii="Arial" w:cs="Arial" w:eastAsia="Arial" w:hAnsi="Arial"/>
          <w:sz w:val="18"/>
          <w:szCs w:val="18"/>
          <w:color w:val="auto"/>
        </w:rPr>
        <w:t>); and</w:t>
      </w:r>
    </w:p>
    <w:p>
      <w:pPr>
        <w:spacing w:after="0" w:line="134" w:lineRule="exact"/>
        <w:rPr>
          <w:rFonts w:ascii="Arial" w:cs="Arial" w:eastAsia="Arial" w:hAnsi="Arial"/>
          <w:sz w:val="18"/>
          <w:szCs w:val="18"/>
          <w:color w:val="auto"/>
        </w:rPr>
      </w:pPr>
    </w:p>
    <w:p>
      <w:pPr>
        <w:ind w:left="900" w:right="100" w:hanging="446"/>
        <w:spacing w:after="0" w:line="308" w:lineRule="auto"/>
        <w:tabs>
          <w:tab w:leader="none" w:pos="90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a certificate of absence of judicial decisions (</w:t>
      </w:r>
      <w:r>
        <w:rPr>
          <w:rFonts w:ascii="Arial" w:cs="Arial" w:eastAsia="Arial" w:hAnsi="Arial"/>
          <w:sz w:val="17"/>
          <w:szCs w:val="17"/>
          <w:i w:val="1"/>
          <w:iCs w:val="1"/>
          <w:color w:val="auto"/>
        </w:rPr>
        <w:t>certificat de non-inscription d’une décision judiciaire</w:t>
      </w:r>
      <w:r>
        <w:rPr>
          <w:rFonts w:ascii="Arial" w:cs="Arial" w:eastAsia="Arial" w:hAnsi="Arial"/>
          <w:sz w:val="17"/>
          <w:szCs w:val="17"/>
          <w:color w:val="auto"/>
        </w:rPr>
        <w:t xml:space="preserve">) pertaining to the Company, delivered by the RCS on December 3, 2013, with respect to the situation of the Company as at December 2, 2013 (the </w:t>
      </w:r>
      <w:r>
        <w:rPr>
          <w:rFonts w:ascii="Arial" w:cs="Arial" w:eastAsia="Arial" w:hAnsi="Arial"/>
          <w:sz w:val="17"/>
          <w:szCs w:val="17"/>
          <w:b w:val="1"/>
          <w:bCs w:val="1"/>
          <w:color w:val="auto"/>
        </w:rPr>
        <w:t>RCS Certificate</w:t>
      </w:r>
      <w:r>
        <w:rPr>
          <w:rFonts w:ascii="Arial" w:cs="Arial" w:eastAsia="Arial" w:hAnsi="Arial"/>
          <w:sz w:val="17"/>
          <w:szCs w:val="17"/>
          <w:color w:val="auto"/>
        </w:rPr>
        <w:t>).</w:t>
      </w:r>
    </w:p>
    <w:p>
      <w:pPr>
        <w:spacing w:after="0" w:line="170"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We have assumed the following:</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the genuineness of all signatures, stamps and seals of the persons purported to have signed the relevant documents;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authenticity of all documents submitted to us as originals and the conformity to the originals of all documents submitted to us as copies;</w:t>
      </w:r>
    </w:p>
    <w:p>
      <w:pPr>
        <w:spacing w:after="0" w:line="131" w:lineRule="exact"/>
        <w:rPr>
          <w:sz w:val="20"/>
          <w:szCs w:val="20"/>
          <w:color w:val="auto"/>
        </w:rPr>
      </w:pPr>
    </w:p>
    <w:p>
      <w:pPr>
        <w:ind w:left="460" w:right="220" w:hanging="445"/>
        <w:spacing w:after="0" w:line="277" w:lineRule="auto"/>
        <w:tabs>
          <w:tab w:leader="none" w:pos="440" w:val="left"/>
        </w:tabs>
        <w:rPr>
          <w:sz w:val="20"/>
          <w:szCs w:val="20"/>
          <w:color w:val="auto"/>
        </w:rPr>
      </w:pPr>
      <w:r>
        <w:rPr>
          <w:rFonts w:ascii="Arial" w:cs="Arial" w:eastAsia="Arial" w:hAnsi="Arial"/>
          <w:sz w:val="18"/>
          <w:szCs w:val="18"/>
          <w:color w:val="auto"/>
        </w:rPr>
        <w:t>3.3</w:t>
        <w:tab/>
        <w:t>all factual matters and statements relied upon or assumed in this Opinion are and were true and complete on the date of execution of the Registration Statement (and any document in connection therewith) and on the date of this Opinion;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42" w:right="279" w:bottom="1440" w:gutter="0" w:footer="0" w:header="0"/>
        </w:sectPr>
      </w:pPr>
    </w:p>
    <w:bookmarkStart w:id="135" w:name="page136"/>
    <w:bookmarkEnd w:id="135"/>
    <w:p>
      <w:pPr>
        <w:ind w:left="460" w:right="20" w:hanging="445"/>
        <w:spacing w:after="0" w:line="302"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72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617220"/>
                    </a:xfrm>
                    <a:prstGeom prst="rect">
                      <a:avLst/>
                    </a:prstGeom>
                    <a:noFill/>
                  </pic:spPr>
                </pic:pic>
              </a:graphicData>
            </a:graphic>
          </wp:anchor>
        </w:drawing>
        <w:t>3.4</w:t>
      </w:r>
      <w:r>
        <w:rPr>
          <w:sz w:val="20"/>
          <w:szCs w:val="20"/>
          <w:color w:val="auto"/>
        </w:rPr>
        <w:tab/>
      </w:r>
      <w:r>
        <w:rPr>
          <w:rFonts w:ascii="Arial" w:cs="Arial" w:eastAsia="Arial" w:hAnsi="Arial"/>
          <w:sz w:val="16"/>
          <w:szCs w:val="16"/>
          <w:color w:val="auto"/>
        </w:rPr>
        <w:t>the due compliance with all requirements (including, without limitation, the obtaining of the necessary consents, licences, approvals and authorisations, the making of the necessary filings, registrations and notifications and the payment of stamp duties and other taxes) under any laws (other than, but only to the extent expressly opined herein, Luxembourg laws) in connection with the issue of the Notes, the execution of and performance under the Registration Statement, the Indenture, the Underwriting Agreement and the Prospectus (and any document in connection therewith);</w:t>
      </w:r>
    </w:p>
    <w:p>
      <w:pPr>
        <w:spacing w:after="0" w:line="60" w:lineRule="exact"/>
        <w:rPr>
          <w:sz w:val="20"/>
          <w:szCs w:val="20"/>
          <w:color w:val="auto"/>
        </w:rPr>
      </w:pPr>
    </w:p>
    <w:p>
      <w:pPr>
        <w:ind w:left="460" w:right="60" w:hanging="445"/>
        <w:spacing w:after="0" w:line="277" w:lineRule="auto"/>
        <w:tabs>
          <w:tab w:leader="none" w:pos="440" w:val="left"/>
        </w:tabs>
        <w:rPr>
          <w:sz w:val="20"/>
          <w:szCs w:val="20"/>
          <w:color w:val="auto"/>
        </w:rPr>
      </w:pPr>
      <w:r>
        <w:rPr>
          <w:rFonts w:ascii="Arial" w:cs="Arial" w:eastAsia="Arial" w:hAnsi="Arial"/>
          <w:sz w:val="18"/>
          <w:szCs w:val="18"/>
          <w:color w:val="auto"/>
        </w:rPr>
        <w:t>3.5</w:t>
        <w:tab/>
        <w:t>with respect to the domiciliation of the Company in Luxembourg, proper compliance with, and adherence to, the Luxembourg law dated May 31, 1999 concerning the domiciliation of companies, as amended;</w:t>
      </w:r>
    </w:p>
    <w:p>
      <w:pPr>
        <w:spacing w:after="0" w:line="76" w:lineRule="exact"/>
        <w:rPr>
          <w:sz w:val="20"/>
          <w:szCs w:val="20"/>
          <w:color w:val="auto"/>
        </w:rPr>
      </w:pPr>
    </w:p>
    <w:p>
      <w:pPr>
        <w:ind w:left="460" w:right="160" w:hanging="445"/>
        <w:spacing w:after="0" w:line="312" w:lineRule="auto"/>
        <w:tabs>
          <w:tab w:leader="none" w:pos="4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the Company has its central administration (</w:t>
      </w:r>
      <w:r>
        <w:rPr>
          <w:rFonts w:ascii="Arial" w:cs="Arial" w:eastAsia="Arial" w:hAnsi="Arial"/>
          <w:sz w:val="16"/>
          <w:szCs w:val="16"/>
          <w:i w:val="1"/>
          <w:iCs w:val="1"/>
          <w:color w:val="auto"/>
        </w:rPr>
        <w:t>administration centrale</w:t>
      </w:r>
      <w:r>
        <w:rPr>
          <w:rFonts w:ascii="Arial" w:cs="Arial" w:eastAsia="Arial" w:hAnsi="Arial"/>
          <w:sz w:val="16"/>
          <w:szCs w:val="16"/>
          <w:color w:val="auto"/>
        </w:rPr>
        <w:t xml:space="preserve">) and, for the purposes of the Council Regulation (EC) No. 1346/2000 of May 29, 2000 on insolvency proceedings (the </w:t>
      </w:r>
      <w:r>
        <w:rPr>
          <w:rFonts w:ascii="Arial" w:cs="Arial" w:eastAsia="Arial" w:hAnsi="Arial"/>
          <w:sz w:val="16"/>
          <w:szCs w:val="16"/>
          <w:b w:val="1"/>
          <w:bCs w:val="1"/>
          <w:color w:val="auto"/>
        </w:rPr>
        <w:t>EU Insolvency Regulation</w:t>
      </w:r>
      <w:r>
        <w:rPr>
          <w:rFonts w:ascii="Arial" w:cs="Arial" w:eastAsia="Arial" w:hAnsi="Arial"/>
          <w:sz w:val="16"/>
          <w:szCs w:val="16"/>
          <w:color w:val="auto"/>
        </w:rPr>
        <w:t>), the centre of its main interests (</w:t>
      </w:r>
      <w:r>
        <w:rPr>
          <w:rFonts w:ascii="Arial" w:cs="Arial" w:eastAsia="Arial" w:hAnsi="Arial"/>
          <w:sz w:val="16"/>
          <w:szCs w:val="16"/>
          <w:i w:val="1"/>
          <w:iCs w:val="1"/>
          <w:color w:val="auto"/>
        </w:rPr>
        <w:t>centre des intérêts principaux</w:t>
      </w:r>
      <w:r>
        <w:rPr>
          <w:rFonts w:ascii="Arial" w:cs="Arial" w:eastAsia="Arial" w:hAnsi="Arial"/>
          <w:sz w:val="16"/>
          <w:szCs w:val="16"/>
          <w:color w:val="auto"/>
        </w:rPr>
        <w:t>) at the place of its registered office (</w:t>
      </w:r>
      <w:r>
        <w:rPr>
          <w:rFonts w:ascii="Arial" w:cs="Arial" w:eastAsia="Arial" w:hAnsi="Arial"/>
          <w:sz w:val="16"/>
          <w:szCs w:val="16"/>
          <w:i w:val="1"/>
          <w:iCs w:val="1"/>
          <w:color w:val="auto"/>
        </w:rPr>
        <w:t>siège statutaire</w:t>
      </w:r>
      <w:r>
        <w:rPr>
          <w:rFonts w:ascii="Arial" w:cs="Arial" w:eastAsia="Arial" w:hAnsi="Arial"/>
          <w:sz w:val="16"/>
          <w:szCs w:val="16"/>
          <w:color w:val="auto"/>
        </w:rPr>
        <w:t>) in Luxembourg and has no establishment (as defined in the EU Insolvency Regulation) outside Luxembourg;</w:t>
      </w:r>
    </w:p>
    <w:p>
      <w:pPr>
        <w:spacing w:after="0" w:line="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the Articles are in full force and effect and have not been amended, rescinded, revoked or declared null and void;</w:t>
      </w:r>
    </w:p>
    <w:p>
      <w:pPr>
        <w:spacing w:after="0" w:line="131" w:lineRule="exact"/>
        <w:rPr>
          <w:sz w:val="20"/>
          <w:szCs w:val="20"/>
          <w:color w:val="auto"/>
        </w:rPr>
      </w:pPr>
    </w:p>
    <w:p>
      <w:pPr>
        <w:ind w:left="460" w:right="120" w:hanging="445"/>
        <w:spacing w:after="0" w:line="277" w:lineRule="auto"/>
        <w:tabs>
          <w:tab w:leader="none" w:pos="440" w:val="left"/>
        </w:tabs>
        <w:rPr>
          <w:sz w:val="20"/>
          <w:szCs w:val="20"/>
          <w:color w:val="auto"/>
        </w:rPr>
      </w:pPr>
      <w:r>
        <w:rPr>
          <w:rFonts w:ascii="Arial" w:cs="Arial" w:eastAsia="Arial" w:hAnsi="Arial"/>
          <w:sz w:val="18"/>
          <w:szCs w:val="18"/>
          <w:color w:val="auto"/>
        </w:rPr>
        <w:t>3.8</w:t>
        <w:tab/>
        <w:t>the Directors Resolutions are in full force and effect, have not been amended, rescinded, revoked or declared null and void, have been validly adopted and there has been no change in the directors of the Issuer since the Directors Resolutions;</w:t>
      </w:r>
    </w:p>
    <w:p>
      <w:pPr>
        <w:spacing w:after="0" w:line="76" w:lineRule="exact"/>
        <w:rPr>
          <w:sz w:val="20"/>
          <w:szCs w:val="20"/>
          <w:color w:val="auto"/>
        </w:rPr>
      </w:pPr>
    </w:p>
    <w:p>
      <w:pPr>
        <w:ind w:left="460" w:right="100" w:hanging="445"/>
        <w:spacing w:after="0" w:line="342" w:lineRule="auto"/>
        <w:tabs>
          <w:tab w:leader="none" w:pos="4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the information and the statements recorded and contained in the Excerpt, the RCS Certificate and the Directors Resolutions are true, complete, up-to-date and accurate at the date of this Opinion and on the date of execution of the Indenture, the Underwriting Agreement and the Prospectus;</w:t>
      </w:r>
    </w:p>
    <w:p>
      <w:pPr>
        <w:spacing w:after="0" w:line="29" w:lineRule="exact"/>
        <w:rPr>
          <w:sz w:val="20"/>
          <w:szCs w:val="20"/>
          <w:color w:val="auto"/>
        </w:rPr>
      </w:pPr>
    </w:p>
    <w:p>
      <w:pPr>
        <w:jc w:val="both"/>
        <w:ind w:left="460" w:right="220" w:hanging="445"/>
        <w:spacing w:after="0" w:line="264" w:lineRule="auto"/>
        <w:rPr>
          <w:sz w:val="20"/>
          <w:szCs w:val="20"/>
          <w:color w:val="auto"/>
        </w:rPr>
      </w:pPr>
      <w:r>
        <w:rPr>
          <w:rFonts w:ascii="Arial" w:cs="Arial" w:eastAsia="Arial" w:hAnsi="Arial"/>
          <w:sz w:val="18"/>
          <w:szCs w:val="18"/>
          <w:color w:val="auto"/>
        </w:rPr>
        <w:t>3.10 the issue and execution of the Notes, the execution of and the performance under the Indenture, the Underwriting Agreement and the Prospectus and filing of the Registration Statement and the Prospectus with the Commission (and all documents in connection therewith) by the Company are in the corporate interest of the Company;</w:t>
      </w:r>
    </w:p>
    <w:p>
      <w:pPr>
        <w:spacing w:after="0" w:line="87" w:lineRule="exact"/>
        <w:rPr>
          <w:sz w:val="20"/>
          <w:szCs w:val="20"/>
          <w:color w:val="auto"/>
        </w:rPr>
      </w:pPr>
    </w:p>
    <w:p>
      <w:pPr>
        <w:ind w:left="460" w:hanging="445"/>
        <w:spacing w:after="0" w:line="312" w:lineRule="auto"/>
        <w:tabs>
          <w:tab w:leader="none" w:pos="4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the Notes, the Indenture, the Underwriting Agreement and all obligations of the Company in connection with the Notes and the Indenture and under the Registration Statement and the Prospectus (and the documents in connection therewith) are legal, valid, binding upon it and enforceable as a matter of all relevant laws (other than, but only to the extent expressly opined herein, Luxembourg law) and, in particular, their expressed governing law;</w:t>
      </w:r>
    </w:p>
    <w:p>
      <w:pPr>
        <w:spacing w:after="0" w:line="52" w:lineRule="exact"/>
        <w:rPr>
          <w:sz w:val="20"/>
          <w:szCs w:val="20"/>
          <w:color w:val="auto"/>
        </w:rPr>
      </w:pPr>
    </w:p>
    <w:p>
      <w:pPr>
        <w:ind w:left="460" w:right="80" w:hanging="445"/>
        <w:spacing w:after="0" w:line="259" w:lineRule="auto"/>
        <w:rPr>
          <w:sz w:val="20"/>
          <w:szCs w:val="20"/>
          <w:color w:val="auto"/>
        </w:rPr>
      </w:pPr>
      <w:r>
        <w:rPr>
          <w:rFonts w:ascii="Arial" w:cs="Arial" w:eastAsia="Arial" w:hAnsi="Arial"/>
          <w:sz w:val="18"/>
          <w:szCs w:val="18"/>
          <w:color w:val="auto"/>
        </w:rPr>
        <w:t>3.12 the Company will issue and execute the Notes and execute and perform its obligations under the Indenture, the Underwriting Agreement, the Registration Statement and the Prospectus (and all documents in connection therewith) in good faith, for the purpose of carrying out its business and without any intention to defraud or deprive of any legal benefit any other party (including third party creditors) or to circumvent any mandatory law or regulation of any jurisdiction;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46" w:right="279" w:bottom="1440" w:gutter="0" w:footer="0" w:header="0"/>
        </w:sectPr>
      </w:pPr>
    </w:p>
    <w:bookmarkStart w:id="136" w:name="page137"/>
    <w:bookmarkEnd w:id="136"/>
    <w:p>
      <w:pPr>
        <w:jc w:val="both"/>
        <w:ind w:left="460" w:right="100" w:hanging="445"/>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72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617220"/>
                    </a:xfrm>
                    <a:prstGeom prst="rect">
                      <a:avLst/>
                    </a:prstGeom>
                    <a:noFill/>
                  </pic:spPr>
                </pic:pic>
              </a:graphicData>
            </a:graphic>
          </wp:anchor>
        </w:drawing>
        <w:t xml:space="preserve">3.13 the Notes will not be offered to the public in Luxembourg, unless a prospectus has been duly approved by the </w:t>
      </w:r>
      <w:r>
        <w:rPr>
          <w:rFonts w:ascii="Arial" w:cs="Arial" w:eastAsia="Arial" w:hAnsi="Arial"/>
          <w:sz w:val="17"/>
          <w:szCs w:val="17"/>
          <w:i w:val="1"/>
          <w:iCs w:val="1"/>
          <w:color w:val="auto"/>
        </w:rPr>
        <w:t>Commission de Surveillance du Secteur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Financier </w:t>
      </w:r>
      <w:r>
        <w:rPr>
          <w:rFonts w:ascii="Arial" w:cs="Arial" w:eastAsia="Arial" w:hAnsi="Arial"/>
          <w:sz w:val="17"/>
          <w:szCs w:val="17"/>
          <w:color w:val="auto"/>
        </w:rPr>
        <w:t>in accordance with the Law of July 10, 2005 on prospectuses for securities, as amended by the law of July 3, 2012 (the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Prospectus Law</w:t>
      </w:r>
      <w:r>
        <w:rPr>
          <w:rFonts w:ascii="Arial" w:cs="Arial" w:eastAsia="Arial" w:hAnsi="Arial"/>
          <w:sz w:val="17"/>
          <w:szCs w:val="17"/>
          <w:color w:val="auto"/>
        </w:rPr>
        <w:t>) or</w:t>
      </w:r>
      <w:r>
        <w:rPr>
          <w:rFonts w:ascii="Arial" w:cs="Arial" w:eastAsia="Arial" w:hAnsi="Arial"/>
          <w:sz w:val="17"/>
          <w:szCs w:val="17"/>
          <w:i w:val="1"/>
          <w:iCs w:val="1"/>
          <w:color w:val="auto"/>
        </w:rPr>
        <w:t xml:space="preserve"> </w:t>
      </w:r>
      <w:r>
        <w:rPr>
          <w:rFonts w:ascii="Arial" w:cs="Arial" w:eastAsia="Arial" w:hAnsi="Arial"/>
          <w:sz w:val="17"/>
          <w:szCs w:val="17"/>
          <w:color w:val="auto"/>
        </w:rPr>
        <w:t>the offer benefits from an exemption to or constitutes a transaction otherwise not subject to the requirement to publish a prospectus for the purpose of the Prospectus Law and the Notes will not be listed on the Luxembourg Stock Exchange;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3.14  the proceeds of the Notes will be applied by the Company in accordance with the Articles and Luxembourg law;</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3.15  the Notes will be duly authenticated, delivered and paid for in accordance with the terms of the Notes, the Underwriting Agreement and the Indenture.</w:t>
      </w:r>
    </w:p>
    <w:p>
      <w:pPr>
        <w:spacing w:after="0" w:line="271"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121" w:lineRule="exact"/>
        <w:rPr>
          <w:rFonts w:ascii="Arial" w:cs="Arial" w:eastAsia="Arial" w:hAnsi="Arial"/>
          <w:sz w:val="18"/>
          <w:szCs w:val="18"/>
          <w:b w:val="1"/>
          <w:bCs w:val="1"/>
          <w:color w:val="auto"/>
        </w:rPr>
      </w:pPr>
    </w:p>
    <w:p>
      <w:pPr>
        <w:ind w:left="4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Based upon the assumptions made above and subject to the qualifications set out below and any matter not disclosed to us, we are of the following opinion:</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Status</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 is a public company limited by shares (</w:t>
      </w:r>
      <w:r>
        <w:rPr>
          <w:rFonts w:ascii="Arial" w:cs="Arial" w:eastAsia="Arial" w:hAnsi="Arial"/>
          <w:sz w:val="18"/>
          <w:szCs w:val="18"/>
          <w:i w:val="1"/>
          <w:iCs w:val="1"/>
          <w:color w:val="auto"/>
        </w:rPr>
        <w:t>société anonyme</w:t>
      </w:r>
      <w:r>
        <w:rPr>
          <w:rFonts w:ascii="Arial" w:cs="Arial" w:eastAsia="Arial" w:hAnsi="Arial"/>
          <w:sz w:val="18"/>
          <w:szCs w:val="18"/>
          <w:color w:val="auto"/>
        </w:rPr>
        <w:t>), duly incorporated and validly existing under Luxembourg law for an unlimited duration.</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Corporate authority</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Notes and the Indenture have been duly authorized and validly executed by the Company according to Luxembourg laws applicable to commercial companies generally.</w:t>
      </w:r>
    </w:p>
    <w:p>
      <w:pPr>
        <w:spacing w:after="0" w:line="193"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Opinion is subject to the following qualifications:</w:t>
      </w:r>
    </w:p>
    <w:p>
      <w:pPr>
        <w:spacing w:after="0" w:line="131" w:lineRule="exact"/>
        <w:rPr>
          <w:sz w:val="20"/>
          <w:szCs w:val="20"/>
          <w:color w:val="auto"/>
        </w:rPr>
      </w:pPr>
    </w:p>
    <w:p>
      <w:pPr>
        <w:ind w:left="460" w:right="140" w:hanging="445"/>
        <w:spacing w:after="0" w:line="279" w:lineRule="auto"/>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Our Opinion is subject to all limitations resulting from the application of Luxembourg public policy rules, overriding statutes and mandatory laws as well as to all limitations by reasons of bankruptcy (</w:t>
      </w:r>
      <w:r>
        <w:rPr>
          <w:rFonts w:ascii="Arial" w:cs="Arial" w:eastAsia="Arial" w:hAnsi="Arial"/>
          <w:sz w:val="17"/>
          <w:szCs w:val="17"/>
          <w:i w:val="1"/>
          <w:iCs w:val="1"/>
          <w:color w:val="auto"/>
        </w:rPr>
        <w:t>faillite</w:t>
      </w:r>
      <w:r>
        <w:rPr>
          <w:rFonts w:ascii="Arial" w:cs="Arial" w:eastAsia="Arial" w:hAnsi="Arial"/>
          <w:sz w:val="17"/>
          <w:szCs w:val="17"/>
          <w:color w:val="auto"/>
        </w:rPr>
        <w:t>), composition with creditors (</w:t>
      </w:r>
      <w:r>
        <w:rPr>
          <w:rFonts w:ascii="Arial" w:cs="Arial" w:eastAsia="Arial" w:hAnsi="Arial"/>
          <w:sz w:val="17"/>
          <w:szCs w:val="17"/>
          <w:i w:val="1"/>
          <w:iCs w:val="1"/>
          <w:color w:val="auto"/>
        </w:rPr>
        <w:t>concordat</w:t>
      </w:r>
      <w:r>
        <w:rPr>
          <w:rFonts w:ascii="Arial" w:cs="Arial" w:eastAsia="Arial" w:hAnsi="Arial"/>
          <w:sz w:val="17"/>
          <w:szCs w:val="17"/>
          <w:color w:val="auto"/>
        </w:rPr>
        <w:t>), suspension of payments (</w:t>
      </w:r>
      <w:r>
        <w:rPr>
          <w:rFonts w:ascii="Arial" w:cs="Arial" w:eastAsia="Arial" w:hAnsi="Arial"/>
          <w:sz w:val="17"/>
          <w:szCs w:val="17"/>
          <w:i w:val="1"/>
          <w:iCs w:val="1"/>
          <w:color w:val="auto"/>
        </w:rPr>
        <w:t>sursis de paiement</w:t>
      </w:r>
      <w:r>
        <w:rPr>
          <w:rFonts w:ascii="Arial" w:cs="Arial" w:eastAsia="Arial" w:hAnsi="Arial"/>
          <w:sz w:val="17"/>
          <w:szCs w:val="17"/>
          <w:color w:val="auto"/>
        </w:rPr>
        <w:t>), controlled management (</w:t>
      </w:r>
      <w:r>
        <w:rPr>
          <w:rFonts w:ascii="Arial" w:cs="Arial" w:eastAsia="Arial" w:hAnsi="Arial"/>
          <w:sz w:val="17"/>
          <w:szCs w:val="17"/>
          <w:i w:val="1"/>
          <w:iCs w:val="1"/>
          <w:color w:val="auto"/>
        </w:rPr>
        <w:t>gestion contrôlée</w:t>
      </w:r>
      <w:r>
        <w:rPr>
          <w:rFonts w:ascii="Arial" w:cs="Arial" w:eastAsia="Arial" w:hAnsi="Arial"/>
          <w:sz w:val="17"/>
          <w:szCs w:val="17"/>
          <w:color w:val="auto"/>
        </w:rPr>
        <w:t>), or the appointment of a temporary administrator (</w:t>
      </w:r>
      <w:r>
        <w:rPr>
          <w:rFonts w:ascii="Arial" w:cs="Arial" w:eastAsia="Arial" w:hAnsi="Arial"/>
          <w:sz w:val="17"/>
          <w:szCs w:val="17"/>
          <w:i w:val="1"/>
          <w:iCs w:val="1"/>
          <w:color w:val="auto"/>
        </w:rPr>
        <w:t>administrateur provisoire</w:t>
      </w:r>
      <w:r>
        <w:rPr>
          <w:rFonts w:ascii="Arial" w:cs="Arial" w:eastAsia="Arial" w:hAnsi="Arial"/>
          <w:sz w:val="17"/>
          <w:szCs w:val="17"/>
          <w:color w:val="auto"/>
        </w:rPr>
        <w:t>) and any similar Luxembourg or foreign proceedings affecting the rights of creditors generally (</w:t>
      </w:r>
      <w:r>
        <w:rPr>
          <w:rFonts w:ascii="Arial" w:cs="Arial" w:eastAsia="Arial" w:hAnsi="Arial"/>
          <w:sz w:val="17"/>
          <w:szCs w:val="17"/>
          <w:b w:val="1"/>
          <w:bCs w:val="1"/>
          <w:color w:val="auto"/>
        </w:rPr>
        <w:t>Insolvency Proceedings</w:t>
      </w:r>
      <w:r>
        <w:rPr>
          <w:rFonts w:ascii="Arial" w:cs="Arial" w:eastAsia="Arial" w:hAnsi="Arial"/>
          <w:sz w:val="17"/>
          <w:szCs w:val="17"/>
          <w:color w:val="auto"/>
        </w:rPr>
        <w:t>).</w:t>
      </w:r>
    </w:p>
    <w:p>
      <w:pPr>
        <w:spacing w:after="0" w:line="77" w:lineRule="exact"/>
        <w:rPr>
          <w:sz w:val="20"/>
          <w:szCs w:val="20"/>
          <w:color w:val="auto"/>
        </w:rPr>
      </w:pPr>
    </w:p>
    <w:p>
      <w:pPr>
        <w:ind w:left="460" w:right="600" w:hanging="445"/>
        <w:spacing w:after="0" w:line="277" w:lineRule="auto"/>
        <w:tabs>
          <w:tab w:leader="none" w:pos="440" w:val="left"/>
        </w:tabs>
        <w:rPr>
          <w:sz w:val="20"/>
          <w:szCs w:val="20"/>
          <w:color w:val="auto"/>
        </w:rPr>
      </w:pPr>
      <w:r>
        <w:rPr>
          <w:rFonts w:ascii="Arial" w:cs="Arial" w:eastAsia="Arial" w:hAnsi="Arial"/>
          <w:sz w:val="18"/>
          <w:szCs w:val="18"/>
          <w:color w:val="auto"/>
        </w:rPr>
        <w:t>5.2</w:t>
        <w:tab/>
        <w:t>Powers of attorney, mandates (</w:t>
      </w:r>
      <w:r>
        <w:rPr>
          <w:rFonts w:ascii="Arial" w:cs="Arial" w:eastAsia="Arial" w:hAnsi="Arial"/>
          <w:sz w:val="18"/>
          <w:szCs w:val="18"/>
          <w:i w:val="1"/>
          <w:iCs w:val="1"/>
          <w:color w:val="auto"/>
        </w:rPr>
        <w:t>mandats</w:t>
      </w:r>
      <w:r>
        <w:rPr>
          <w:rFonts w:ascii="Arial" w:cs="Arial" w:eastAsia="Arial" w:hAnsi="Arial"/>
          <w:sz w:val="18"/>
          <w:szCs w:val="18"/>
          <w:color w:val="auto"/>
        </w:rPr>
        <w:t>) or appointments of agents may terminate by law and without notice upon the occurrence of Insolvency Proceedings and may be revoked despite their being expressed to be irrevocable.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46" w:right="279" w:bottom="1440" w:gutter="0" w:footer="0" w:header="0"/>
        </w:sectPr>
      </w:pPr>
    </w:p>
    <w:bookmarkStart w:id="137" w:name="page138"/>
    <w:bookmarkEnd w:id="137"/>
    <w:p>
      <w:pPr>
        <w:ind w:left="460" w:right="60" w:hanging="445"/>
        <w:spacing w:after="0" w:line="257"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72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617220"/>
                    </a:xfrm>
                    <a:prstGeom prst="rect">
                      <a:avLst/>
                    </a:prstGeom>
                    <a:noFill/>
                  </pic:spPr>
                </pic:pic>
              </a:graphicData>
            </a:graphic>
          </wp:anchor>
        </w:drawing>
        <w:t>5.3</w:t>
        <w:tab/>
        <w:t>Our opinion that the Company exists validly is based on the Articles, the Excerpt and the RCS Certificate (which confirms in particular that no judicial decisions in respect of bankruptcy (</w:t>
      </w:r>
      <w:r>
        <w:rPr>
          <w:rFonts w:ascii="Arial" w:cs="Arial" w:eastAsia="Arial" w:hAnsi="Arial"/>
          <w:sz w:val="18"/>
          <w:szCs w:val="18"/>
          <w:i w:val="1"/>
          <w:iCs w:val="1"/>
          <w:color w:val="auto"/>
        </w:rPr>
        <w:t>faillite</w:t>
      </w:r>
      <w:r>
        <w:rPr>
          <w:rFonts w:ascii="Arial" w:cs="Arial" w:eastAsia="Arial" w:hAnsi="Arial"/>
          <w:sz w:val="18"/>
          <w:szCs w:val="18"/>
          <w:color w:val="auto"/>
        </w:rPr>
        <w:t>), composition with creditors (</w:t>
      </w:r>
      <w:r>
        <w:rPr>
          <w:rFonts w:ascii="Arial" w:cs="Arial" w:eastAsia="Arial" w:hAnsi="Arial"/>
          <w:sz w:val="18"/>
          <w:szCs w:val="18"/>
          <w:i w:val="1"/>
          <w:iCs w:val="1"/>
          <w:color w:val="auto"/>
        </w:rPr>
        <w:t>concordat</w:t>
      </w:r>
      <w:r>
        <w:rPr>
          <w:rFonts w:ascii="Arial" w:cs="Arial" w:eastAsia="Arial" w:hAnsi="Arial"/>
          <w:sz w:val="18"/>
          <w:szCs w:val="18"/>
          <w:color w:val="auto"/>
        </w:rPr>
        <w:t>), suspension of payments (</w:t>
      </w:r>
      <w:r>
        <w:rPr>
          <w:rFonts w:ascii="Arial" w:cs="Arial" w:eastAsia="Arial" w:hAnsi="Arial"/>
          <w:sz w:val="18"/>
          <w:szCs w:val="18"/>
          <w:i w:val="1"/>
          <w:iCs w:val="1"/>
          <w:color w:val="auto"/>
        </w:rPr>
        <w:t>sursis de paiement</w:t>
      </w:r>
      <w:r>
        <w:rPr>
          <w:rFonts w:ascii="Arial" w:cs="Arial" w:eastAsia="Arial" w:hAnsi="Arial"/>
          <w:sz w:val="18"/>
          <w:szCs w:val="18"/>
          <w:color w:val="auto"/>
        </w:rPr>
        <w:t>), controlled management (</w:t>
      </w:r>
      <w:r>
        <w:rPr>
          <w:rFonts w:ascii="Arial" w:cs="Arial" w:eastAsia="Arial" w:hAnsi="Arial"/>
          <w:sz w:val="18"/>
          <w:szCs w:val="18"/>
          <w:i w:val="1"/>
          <w:iCs w:val="1"/>
          <w:color w:val="auto"/>
        </w:rPr>
        <w:t>gestion contrôlée</w:t>
      </w:r>
      <w:r>
        <w:rPr>
          <w:rFonts w:ascii="Arial" w:cs="Arial" w:eastAsia="Arial" w:hAnsi="Arial"/>
          <w:sz w:val="18"/>
          <w:szCs w:val="18"/>
          <w:color w:val="auto"/>
        </w:rPr>
        <w:t>), or the appointment of a temporary administrator (</w:t>
      </w:r>
      <w:r>
        <w:rPr>
          <w:rFonts w:ascii="Arial" w:cs="Arial" w:eastAsia="Arial" w:hAnsi="Arial"/>
          <w:sz w:val="18"/>
          <w:szCs w:val="18"/>
          <w:i w:val="1"/>
          <w:iCs w:val="1"/>
          <w:color w:val="auto"/>
        </w:rPr>
        <w:t>administrateur provisoire</w:t>
      </w:r>
      <w:r>
        <w:rPr>
          <w:rFonts w:ascii="Arial" w:cs="Arial" w:eastAsia="Arial" w:hAnsi="Arial"/>
          <w:sz w:val="18"/>
          <w:szCs w:val="18"/>
          <w:color w:val="auto"/>
        </w:rPr>
        <w:t>) pertaining to the Company have been registered with the RCS). The Articles, the Excerpt and the RCS Certificate are, however, not capable of revealing conclusively whether or not the Company is subject to any Insolvency Proceedings.</w:t>
      </w:r>
    </w:p>
    <w:p>
      <w:pPr>
        <w:spacing w:after="0" w:line="94" w:lineRule="exact"/>
        <w:rPr>
          <w:sz w:val="20"/>
          <w:szCs w:val="20"/>
          <w:color w:val="auto"/>
        </w:rPr>
      </w:pPr>
    </w:p>
    <w:p>
      <w:pPr>
        <w:ind w:left="460" w:right="220" w:hanging="445"/>
        <w:spacing w:after="0" w:line="276" w:lineRule="auto"/>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Corporate documents of, and courts orders affecting, the Company may not be available at the RCS and the clerk’s office of the Luxembourg district court forthwith upon their execution and filing and there may be a delay in the filing and publication of the documents or notices related thereto. We express no opinion as to the consequences of any failure by the Company to comply with its filing and publication obligations pursuant to the law of August 10, 1915 on commercial companies, as amended and the law of December 19, 2002 concerning the trade and companies register and the accounting and annual accounts of undertakings, as amended.</w:t>
      </w:r>
    </w:p>
    <w:p>
      <w:pPr>
        <w:spacing w:after="0" w:line="78" w:lineRule="exact"/>
        <w:rPr>
          <w:sz w:val="20"/>
          <w:szCs w:val="20"/>
          <w:color w:val="auto"/>
        </w:rPr>
      </w:pPr>
    </w:p>
    <w:p>
      <w:pPr>
        <w:ind w:left="460" w:right="500" w:hanging="445"/>
        <w:spacing w:after="0" w:line="277" w:lineRule="auto"/>
        <w:tabs>
          <w:tab w:leader="none" w:pos="440" w:val="left"/>
        </w:tabs>
        <w:rPr>
          <w:sz w:val="20"/>
          <w:szCs w:val="20"/>
          <w:color w:val="auto"/>
        </w:rPr>
      </w:pPr>
      <w:r>
        <w:rPr>
          <w:rFonts w:ascii="Arial" w:cs="Arial" w:eastAsia="Arial" w:hAnsi="Arial"/>
          <w:sz w:val="18"/>
          <w:szCs w:val="18"/>
          <w:color w:val="auto"/>
        </w:rPr>
        <w:t>5.5</w:t>
        <w:tab/>
        <w:t>We do not express an opinion on the validity or/and enforceability of the Registration Statement, the Indenture, the Prospectus, the Underwriting Agreement and the documents in connection therewith.</w:t>
      </w:r>
    </w:p>
    <w:p>
      <w:pPr>
        <w:spacing w:after="0" w:line="76" w:lineRule="exact"/>
        <w:rPr>
          <w:sz w:val="20"/>
          <w:szCs w:val="20"/>
          <w:color w:val="auto"/>
        </w:rPr>
      </w:pPr>
    </w:p>
    <w:p>
      <w:pPr>
        <w:ind w:left="460" w:right="360" w:hanging="445"/>
        <w:spacing w:after="0" w:line="277" w:lineRule="auto"/>
        <w:tabs>
          <w:tab w:leader="none" w:pos="440" w:val="left"/>
        </w:tabs>
        <w:rPr>
          <w:sz w:val="20"/>
          <w:szCs w:val="20"/>
          <w:color w:val="auto"/>
        </w:rPr>
      </w:pPr>
      <w:r>
        <w:rPr>
          <w:rFonts w:ascii="Arial" w:cs="Arial" w:eastAsia="Arial" w:hAnsi="Arial"/>
          <w:sz w:val="18"/>
          <w:szCs w:val="18"/>
          <w:color w:val="auto"/>
        </w:rPr>
        <w:t>5.6</w:t>
        <w:tab/>
        <w:t>We do not express an opinion in relation to tax laws or regulations or the tax consequences of the transactions contemplated in connection with the Registration Statement, the Indenture, the Prospectus and the Underwriting Agreement.</w:t>
      </w:r>
    </w:p>
    <w:p>
      <w:pPr>
        <w:spacing w:after="0" w:line="76" w:lineRule="exact"/>
        <w:rPr>
          <w:sz w:val="20"/>
          <w:szCs w:val="20"/>
          <w:color w:val="auto"/>
        </w:rPr>
      </w:pPr>
    </w:p>
    <w:p>
      <w:pPr>
        <w:ind w:left="460" w:hanging="445"/>
        <w:spacing w:after="0" w:line="277" w:lineRule="auto"/>
        <w:tabs>
          <w:tab w:leader="none" w:pos="440" w:val="left"/>
        </w:tabs>
        <w:rPr>
          <w:sz w:val="20"/>
          <w:szCs w:val="20"/>
          <w:color w:val="auto"/>
        </w:rPr>
      </w:pPr>
      <w:r>
        <w:rPr>
          <w:rFonts w:ascii="Arial" w:cs="Arial" w:eastAsia="Arial" w:hAnsi="Arial"/>
          <w:sz w:val="18"/>
          <w:szCs w:val="18"/>
          <w:color w:val="auto"/>
        </w:rPr>
        <w:t>5.7</w:t>
        <w:tab/>
        <w:t>We have not reviewed any documents incorporated by reference or referred to in the Registration Statement and therefore our opinions do not extend to such documents (other than those expressly set out in Section 2 hereof).</w:t>
      </w:r>
    </w:p>
    <w:p>
      <w:pPr>
        <w:spacing w:after="0" w:line="193"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460" w:right="140" w:hanging="445"/>
        <w:spacing w:after="0" w:line="264" w:lineRule="auto"/>
        <w:tabs>
          <w:tab w:leader="none" w:pos="440" w:val="left"/>
        </w:tabs>
        <w:rPr>
          <w:sz w:val="20"/>
          <w:szCs w:val="20"/>
          <w:color w:val="auto"/>
        </w:rPr>
      </w:pPr>
      <w:r>
        <w:rPr>
          <w:rFonts w:ascii="Arial" w:cs="Arial" w:eastAsia="Arial" w:hAnsi="Arial"/>
          <w:sz w:val="18"/>
          <w:szCs w:val="18"/>
          <w:color w:val="auto"/>
        </w:rPr>
        <w:t>6.1</w:t>
        <w:tab/>
        <w:t>This Opinion is as of this date and is given on the basis of Luxembourg laws in effect and as published, construed and applied by Luxembourg courts, as of such date. We undertake no obligation to update it or to advise of any changes in such laws or their construction or application. We express no opinion, nor do we imply any opinion, as to any laws other than Luxembourg laws.</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This Opinion is strictly limited to the matters expressly set forth therein. No other opinion is, or may be, implied or inferred therefrom.</w:t>
      </w:r>
    </w:p>
    <w:p>
      <w:pPr>
        <w:spacing w:after="0" w:line="131" w:lineRule="exact"/>
        <w:rPr>
          <w:sz w:val="20"/>
          <w:szCs w:val="20"/>
          <w:color w:val="auto"/>
        </w:rPr>
      </w:pPr>
    </w:p>
    <w:p>
      <w:pPr>
        <w:ind w:left="460" w:right="360" w:hanging="445"/>
        <w:spacing w:after="0" w:line="277" w:lineRule="auto"/>
        <w:tabs>
          <w:tab w:leader="none" w:pos="440" w:val="left"/>
        </w:tabs>
        <w:rPr>
          <w:sz w:val="20"/>
          <w:szCs w:val="20"/>
          <w:color w:val="auto"/>
        </w:rPr>
      </w:pPr>
      <w:r>
        <w:rPr>
          <w:rFonts w:ascii="Arial" w:cs="Arial" w:eastAsia="Arial" w:hAnsi="Arial"/>
          <w:sz w:val="18"/>
          <w:szCs w:val="18"/>
          <w:color w:val="auto"/>
        </w:rPr>
        <w:t>6.3</w:t>
        <w:tab/>
        <w:t>Luxembourg legal concepts are expressed in English terms, which may not correspond to the original French or German terms relating thereto. We accept no liability for omissions or inaccuracies attributable to the use of English terms.</w:t>
      </w:r>
    </w:p>
    <w:p>
      <w:pPr>
        <w:spacing w:after="0" w:line="76" w:lineRule="exact"/>
        <w:rPr>
          <w:sz w:val="20"/>
          <w:szCs w:val="20"/>
          <w:color w:val="auto"/>
        </w:rPr>
      </w:pPr>
    </w:p>
    <w:p>
      <w:pPr>
        <w:jc w:val="both"/>
        <w:ind w:left="460" w:right="300" w:hanging="445"/>
        <w:spacing w:after="0" w:line="264" w:lineRule="auto"/>
        <w:tabs>
          <w:tab w:leader="none" w:pos="440" w:val="left"/>
        </w:tabs>
        <w:rPr>
          <w:sz w:val="20"/>
          <w:szCs w:val="20"/>
          <w:color w:val="auto"/>
        </w:rPr>
      </w:pPr>
      <w:r>
        <w:rPr>
          <w:rFonts w:ascii="Arial" w:cs="Arial" w:eastAsia="Arial" w:hAnsi="Arial"/>
          <w:sz w:val="18"/>
          <w:szCs w:val="18"/>
          <w:color w:val="auto"/>
        </w:rPr>
        <w:t>6.4</w:t>
        <w:tab/>
        <w:t>This Opinion is given on the express condition, accepted by each person entitled to rely on it, that this Opinion and all rights, obligations, issues of interpretation and liabilities in relation to it are governed by, and shall be construed in accordance with, Luxembourg law and any action or claim in relation to it can be brought exclusively before the Luxembourg courts.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246" w:right="279" w:bottom="1440" w:gutter="0" w:footer="0" w:header="0"/>
        </w:sectPr>
      </w:pPr>
    </w:p>
    <w:bookmarkStart w:id="138" w:name="page139"/>
    <w:bookmarkEnd w:id="138"/>
    <w:p>
      <w:pPr>
        <w:ind w:left="460" w:right="240" w:hanging="445"/>
        <w:spacing w:after="0" w:line="342"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72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617220"/>
                    </a:xfrm>
                    <a:prstGeom prst="rect">
                      <a:avLst/>
                    </a:prstGeom>
                    <a:noFill/>
                  </pic:spPr>
                </pic:pic>
              </a:graphicData>
            </a:graphic>
          </wp:anchor>
        </w:drawing>
        <w:t>6.5</w:t>
      </w:r>
      <w:r>
        <w:rPr>
          <w:sz w:val="20"/>
          <w:szCs w:val="20"/>
          <w:color w:val="auto"/>
        </w:rPr>
        <w:tab/>
      </w:r>
      <w:r>
        <w:rPr>
          <w:rFonts w:ascii="Arial" w:cs="Arial" w:eastAsia="Arial" w:hAnsi="Arial"/>
          <w:sz w:val="16"/>
          <w:szCs w:val="16"/>
          <w:color w:val="auto"/>
        </w:rPr>
        <w:t>We hereby consent to the filing of this opinion as Exhibit 5 to the Current Report on Form 8-K. In giving this consent, we do not admit that we are in the category of persons whose consent is required under Section 7 of the Act or the rules and regulations of the Commission thereunder.</w:t>
      </w:r>
    </w:p>
    <w:p>
      <w:pPr>
        <w:spacing w:after="0" w:line="29" w:lineRule="exact"/>
        <w:rPr>
          <w:sz w:val="20"/>
          <w:szCs w:val="20"/>
          <w:color w:val="auto"/>
        </w:rPr>
      </w:pPr>
    </w:p>
    <w:p>
      <w:pPr>
        <w:ind w:left="460" w:right="80" w:hanging="445"/>
        <w:spacing w:after="0" w:line="259" w:lineRule="auto"/>
        <w:tabs>
          <w:tab w:leader="none" w:pos="440" w:val="left"/>
        </w:tabs>
        <w:rPr>
          <w:sz w:val="20"/>
          <w:szCs w:val="20"/>
          <w:color w:val="auto"/>
        </w:rPr>
      </w:pPr>
      <w:r>
        <w:rPr>
          <w:rFonts w:ascii="Arial" w:cs="Arial" w:eastAsia="Arial" w:hAnsi="Arial"/>
          <w:sz w:val="18"/>
          <w:szCs w:val="18"/>
          <w:color w:val="auto"/>
        </w:rPr>
        <w:t>6.6</w:t>
        <w:tab/>
        <w:t>This Opinion is issued by Loyens &amp; Loeff Luxembourg S.à r.l. and may only be relied upon under the express condition, accepted by each person entitled to rely on it, that any liability of Loyens &amp; Loeff Luxembourg S.à r.l. is limited to the amount paid out under its professional liability insurance policies. Individuals or legal entities that are involved in the services provided by, or on behalf of, Loyens &amp; Loeff Luxembourg S.à r.l. cannot be held liable in any manner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Loyens &amp; Loeff Luxembourg S.à 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/s/ Judith Raijmakers</w:t>
            </w:r>
          </w:p>
        </w:tc>
        <w:tc>
          <w:tcPr>
            <w:tcW w:w="58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 Vassiliyan Zanev</w:t>
            </w:r>
          </w:p>
        </w:tc>
      </w:tr>
      <w:tr>
        <w:trPr>
          <w:trHeight w:val="195"/>
        </w:trPr>
        <w:tc>
          <w:tcPr>
            <w:tcW w:w="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Judith Raijmakers</w:t>
            </w:r>
          </w:p>
        </w:tc>
        <w:tc>
          <w:tcPr>
            <w:tcW w:w="580" w:type="dxa"/>
            <w:vAlign w:val="bottom"/>
          </w:tcPr>
          <w:p>
            <w:pPr>
              <w:spacing w:after="0"/>
              <w:rPr>
                <w:sz w:val="16"/>
                <w:szCs w:val="16"/>
                <w:color w:val="auto"/>
              </w:rPr>
            </w:pPr>
          </w:p>
        </w:tc>
        <w:tc>
          <w:tcPr>
            <w:tcW w:w="5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Vassiliyan Zanev</w:t>
            </w: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Advocaat</w:t>
            </w:r>
          </w:p>
        </w:tc>
        <w:tc>
          <w:tcPr>
            <w:tcW w:w="58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Avocat à la Cour</w:t>
            </w:r>
          </w:p>
        </w:tc>
      </w:tr>
      <w:tr>
        <w:trPr>
          <w:trHeight w:val="36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1246"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Exhibit 5.3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STvB Advocaten]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3,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acted as legal counsel to Schlumberger N.V. (also referred to as Schlumberger Limited), a limited liability company organized under the laws of Curaçao (the “Company”), in connection with the preparation of the filing by the Company and Schlumberger Investment SA, a public company limited by shares (</w:t>
      </w:r>
      <w:r>
        <w:rPr>
          <w:rFonts w:ascii="Arial" w:cs="Arial" w:eastAsia="Arial" w:hAnsi="Arial"/>
          <w:sz w:val="18"/>
          <w:szCs w:val="18"/>
          <w:i w:val="1"/>
          <w:iCs w:val="1"/>
          <w:color w:val="auto"/>
        </w:rPr>
        <w:t>société anonyme</w:t>
      </w:r>
      <w:r>
        <w:rPr>
          <w:rFonts w:ascii="Arial" w:cs="Arial" w:eastAsia="Arial" w:hAnsi="Arial"/>
          <w:sz w:val="18"/>
          <w:szCs w:val="18"/>
          <w:color w:val="auto"/>
        </w:rPr>
        <w:t>) organized under the laws of the Grand Duchy of Luxembourg (“SISA”), of a Registration Statement on Form S-3 (Registration No. 333-190822) (the “Registration Statement”), with the Securities and Exchange Commission (the “Commission”) under the Securities Act of 1933, as amended (the “Act”), relating to the registration under the Act of (i) senior unsecured debt securities of SISA (“Debt Securities”) and (ii) guarantees of the Debt Securities by the Company, that may be issued and sold from time to time pursuant to Rule 415 under the Act, certain legal matters in connection with the Notes and the Guarantee (as defined below) are being passed upon for you by us. At your request, this opinion is being furnished to you for filing as Exhibit 5 to the Current Report on Form 8-K.</w:t>
      </w:r>
    </w:p>
    <w:p>
      <w:pPr>
        <w:spacing w:after="0" w:line="19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Registration Statement has been filed with the Commission. A related prospectus dated August 26, 2013 and prospectus supplement dated November 25, 2013 relating to the Notes and the Guarantee (collectively, the “Prospectus”) have been filed by SISA and the Company with the Commission pursuant to Rule 424(b) under the Act.</w:t>
      </w:r>
    </w:p>
    <w:p>
      <w:pPr>
        <w:spacing w:after="0" w:line="18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On November 25, 2013, SISA and the Company entered into an underwriting agreement (the “Underwriting Agreement”) with Citigroup Global Markets Inc., Deutsche Bank Securities Inc. and J.P. Morgan Securities LLC, as representatives of the several underwriters (collectively, the “Underwriters”), providing for the issuance and sale by SISA to the Underwriters of $1,500,000,000 aggregate principal amount of SISA’s 3.650% Senior Notes due 2023 (the “Notes”), all to be fully and unconditionally guaranteed (the “Guarantee”) by the Company, as guarantor.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opinion is limited to matters governed by the laws of Curaçao.</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reviewed each of the Articles of Incorporation, the Amended and Restated Bylaws of the Company, each as amended to date, the Registration Statement, the Prospectus, the Indenture (the “Base Indenture”) among SISA, the Company, as guarantor, and The Bank of New York Mellon, as trustee, registrar, paying agent and transfer agent (the “Trustee”), in the form of Exhibit 4.1 to the Current Report on Form 8-K, the First Supplemental Indenture (the “First Supplemental Indenture” and, together with the Base Indenture, the “Indenture”) among SISA, the Company and the Trustee, in the form of Exhibit 4.2 to the Current Report on Form 8-K,</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40" w:name="page141"/>
    <w:bookmarkEnd w:id="140"/>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which the Notes will be issued, and the Underwriting Agreement; have familiarized ourselves with the matters discussed in the Registration Statement and the Prospectus; and have examined all statutes and other records, instruments and corporate documents pertaining to the Company and the matters discussed in the Registration Statement and the Prospectus that we deem necessary to examine for the purpose of this opinion. We have assumed that all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our examination as aforesaid, we are of the opinion that:</w:t>
      </w:r>
    </w:p>
    <w:p>
      <w:pPr>
        <w:spacing w:after="0" w:line="117" w:lineRule="exact"/>
        <w:rPr>
          <w:sz w:val="20"/>
          <w:szCs w:val="20"/>
          <w:color w:val="auto"/>
        </w:rPr>
      </w:pPr>
    </w:p>
    <w:p>
      <w:pPr>
        <w:ind w:left="460" w:right="400" w:firstLine="443"/>
        <w:spacing w:after="0" w:line="277" w:lineRule="auto"/>
        <w:tabs>
          <w:tab w:leader="none" w:pos="107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has been duly incorporated under the laws of the former Netherlands Antilles and is currently validly existing as a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under the laws of Curaçao.</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Guarantee has been duly authorized, and the Indenture has been duly authorized, executed and delivered by the Company.</w:t>
      </w:r>
    </w:p>
    <w:p>
      <w:pPr>
        <w:spacing w:after="0" w:line="225"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We hereby consent to the filing of this opinion as Exhibit 5 to the Current Report on Form 8-K. In giving this consent, we do not admit that we are in the category of persons whose consent is required under Section 7 of the Act or the rules and regulations of the Commission thereunder.</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understand that Baker Botts L.L.P. intends to rely upon this opinion for purposes of the opinion such firm expects to deliver in connection with the Notes and the Guarantee, and we hereby consent to such reliance as though this opinion were addressed to such firm.</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STvB Advocaten (Curaçao) N.V.</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1"/>
      <w:numFmt w:val="bullet"/>
      <w:start w:val="1"/>
    </w:lvl>
  </w:abstractNum>
  <w:abstractNum w:abstractNumId="2">
    <w:nsid w:val="579BE4F1"/>
    <w:multiLevelType w:val="hybridMultilevel"/>
    <w:lvl w:ilvl="0">
      <w:lvlJc w:val="left"/>
      <w:lvlText w:val="%1."/>
      <w:numFmt w:val="decimal"/>
      <w:start w:val="1"/>
    </w:lvl>
  </w:abstractNum>
  <w:abstractNum w:abstractNumId="3">
    <w:nsid w:val="310C50B3"/>
    <w:multiLevelType w:val="hybridMultilevel"/>
    <w:lvl w:ilvl="0">
      <w:lvlJc w:val="left"/>
      <w:lvlText w:val="%1."/>
      <w:numFmt w:val="decimal"/>
      <w:start w:val="2"/>
    </w:lvl>
  </w:abstractNum>
  <w:abstractNum w:abstractNumId="4">
    <w:nsid w:val="5FF87E05"/>
    <w:multiLevelType w:val="hybridMultilevel"/>
    <w:lvl w:ilvl="0">
      <w:lvlJc w:val="left"/>
      <w:lvlText w:val="(%1)"/>
      <w:numFmt w:val="lowerLetter"/>
      <w:start w:val="1"/>
    </w:lvl>
  </w:abstractNum>
  <w:abstractNum w:abstractNumId="5">
    <w:nsid w:val="2F305DEF"/>
    <w:multiLevelType w:val="hybridMultilevel"/>
    <w:lvl w:ilvl="0">
      <w:lvlJc w:val="left"/>
      <w:lvlText w:val="(%1)"/>
      <w:numFmt w:val="lowerLetter"/>
      <w:start w:val="1"/>
    </w:lvl>
  </w:abstractNum>
  <w:abstractNum w:abstractNumId="6">
    <w:nsid w:val="25A70BF7"/>
    <w:multiLevelType w:val="hybridMultilevel"/>
    <w:lvl w:ilvl="0">
      <w:lvlJc w:val="left"/>
      <w:lvlText w:val="(%1)"/>
      <w:numFmt w:val="lowerLetter"/>
      <w:start w:val="4"/>
    </w:lvl>
  </w:abstractNum>
  <w:abstractNum w:abstractNumId="7">
    <w:nsid w:val="1DBABF00"/>
    <w:multiLevelType w:val="hybridMultilevel"/>
    <w:lvl w:ilvl="0">
      <w:lvlJc w:val="left"/>
      <w:lvlText w:val="(%1)"/>
      <w:numFmt w:val="lowerLetter"/>
      <w:start w:val="5"/>
    </w:lvl>
  </w:abstractNum>
  <w:abstractNum w:abstractNumId="8">
    <w:nsid w:val="4AD084E9"/>
    <w:multiLevelType w:val="hybridMultilevel"/>
    <w:lvl w:ilvl="0">
      <w:lvlJc w:val="left"/>
      <w:lvlText w:val="(%1)"/>
      <w:numFmt w:val="lowerLetter"/>
      <w:start w:val="12"/>
    </w:lvl>
  </w:abstractNum>
  <w:abstractNum w:abstractNumId="9">
    <w:nsid w:val="1F48EAA1"/>
    <w:multiLevelType w:val="hybridMultilevel"/>
    <w:lvl w:ilvl="0">
      <w:lvlJc w:val="left"/>
      <w:lvlText w:val="(%1)"/>
      <w:numFmt w:val="lowerLetter"/>
      <w:start w:val="1"/>
    </w:lvl>
  </w:abstractNum>
  <w:abstractNum w:abstractNumId="10">
    <w:nsid w:val="1381823A"/>
    <w:multiLevelType w:val="hybridMultilevel"/>
    <w:lvl w:ilvl="0">
      <w:lvlJc w:val="left"/>
      <w:lvlText w:val="(%1)"/>
      <w:numFmt w:val="lowerLetter"/>
      <w:start w:val="2"/>
    </w:lvl>
  </w:abstractNum>
  <w:abstractNum w:abstractNumId="11">
    <w:nsid w:val="5DB70AE5"/>
    <w:multiLevelType w:val="hybridMultilevel"/>
    <w:lvl w:ilvl="0">
      <w:lvlJc w:val="left"/>
      <w:lvlText w:val="(%1)"/>
      <w:numFmt w:val="lowerLetter"/>
      <w:start w:val="5"/>
    </w:lvl>
  </w:abstractNum>
  <w:abstractNum w:abstractNumId="12">
    <w:nsid w:val="100F8FCA"/>
    <w:multiLevelType w:val="hybridMultilevel"/>
    <w:lvl w:ilvl="0">
      <w:lvlJc w:val="left"/>
      <w:lvlText w:val="(%1)"/>
      <w:numFmt w:val="lowerLetter"/>
      <w:start w:val="7"/>
    </w:lvl>
  </w:abstractNum>
  <w:abstractNum w:abstractNumId="13">
    <w:nsid w:val="6590700B"/>
    <w:multiLevelType w:val="hybridMultilevel"/>
    <w:lvl w:ilvl="0">
      <w:lvlJc w:val="left"/>
      <w:lvlText w:val="(%1)"/>
      <w:numFmt w:val="lowerLetter"/>
      <w:start w:val="11"/>
    </w:lvl>
  </w:abstractNum>
  <w:abstractNum w:abstractNumId="14">
    <w:nsid w:val="15014ACB"/>
    <w:multiLevelType w:val="hybridMultilevel"/>
    <w:lvl w:ilvl="0">
      <w:lvlJc w:val="left"/>
      <w:lvlText w:val="(%1)"/>
      <w:numFmt w:val="lowerLetter"/>
      <w:start w:val="16"/>
    </w:lvl>
  </w:abstractNum>
  <w:abstractNum w:abstractNumId="15">
    <w:nsid w:val="5F5E7FD0"/>
    <w:multiLevelType w:val="hybridMultilevel"/>
    <w:lvl w:ilvl="0">
      <w:lvlJc w:val="left"/>
      <w:lvlText w:val="%1"/>
      <w:numFmt w:val="lowerLetter"/>
      <w:start w:val="1"/>
    </w:lvl>
    <w:lvl w:ilvl="1">
      <w:lvlJc w:val="left"/>
      <w:lvlText w:val="(%2)"/>
      <w:numFmt w:val="lowerLetter"/>
      <w:start w:val="21"/>
    </w:lvl>
  </w:abstractNum>
  <w:abstractNum w:abstractNumId="16">
    <w:nsid w:val="98A3148"/>
    <w:multiLevelType w:val="hybridMultilevel"/>
    <w:lvl w:ilvl="0">
      <w:lvlJc w:val="left"/>
      <w:lvlText w:val="(%1)"/>
      <w:numFmt w:val="lowerLetter"/>
      <w:start w:val="35"/>
    </w:lvl>
    <w:lvl w:ilvl="1">
      <w:lvlJc w:val="left"/>
      <w:lvlText w:val="%2"/>
      <w:numFmt w:val="lowerLetter"/>
      <w:start w:val="1"/>
    </w:lvl>
  </w:abstractNum>
  <w:abstractNum w:abstractNumId="17">
    <w:nsid w:val="799D0247"/>
    <w:multiLevelType w:val="hybridMultilevel"/>
    <w:lvl w:ilvl="0">
      <w:lvlJc w:val="left"/>
      <w:lvlText w:val="(%1)"/>
      <w:numFmt w:val="lowerLetter"/>
      <w:start w:val="25"/>
    </w:lvl>
  </w:abstractNum>
  <w:abstractNum w:abstractNumId="18">
    <w:nsid w:val="6B94764"/>
    <w:multiLevelType w:val="hybridMultilevel"/>
    <w:lvl w:ilvl="0">
      <w:lvlJc w:val="left"/>
      <w:lvlText w:val="(%1)"/>
      <w:numFmt w:val="lowerLetter"/>
      <w:start w:val="27"/>
    </w:lvl>
  </w:abstractNum>
  <w:abstractNum w:abstractNumId="19">
    <w:nsid w:val="42C296BD"/>
    <w:multiLevelType w:val="hybridMultilevel"/>
    <w:lvl w:ilvl="0">
      <w:lvlJc w:val="left"/>
      <w:lvlText w:val="%1."/>
      <w:numFmt w:val="decimal"/>
      <w:start w:val="4"/>
    </w:lvl>
  </w:abstractNum>
  <w:abstractNum w:abstractNumId="20">
    <w:nsid w:val="168E121F"/>
    <w:multiLevelType w:val="hybridMultilevel"/>
    <w:lvl w:ilvl="0">
      <w:lvlJc w:val="left"/>
      <w:lvlText w:val="(%1)"/>
      <w:numFmt w:val="lowerLetter"/>
      <w:start w:val="1"/>
    </w:lvl>
  </w:abstractNum>
  <w:abstractNum w:abstractNumId="21">
    <w:nsid w:val="1EBA5D23"/>
    <w:multiLevelType w:val="hybridMultilevel"/>
    <w:lvl w:ilvl="0">
      <w:lvlJc w:val="left"/>
      <w:lvlText w:val="(%1)"/>
      <w:numFmt w:val="lowerLetter"/>
      <w:start w:val="2"/>
    </w:lvl>
  </w:abstractNum>
  <w:abstractNum w:abstractNumId="22">
    <w:nsid w:val="661E3F1E"/>
    <w:multiLevelType w:val="hybridMultilevel"/>
    <w:lvl w:ilvl="0">
      <w:lvlJc w:val="left"/>
      <w:lvlText w:val="(%1)"/>
      <w:numFmt w:val="lowerLetter"/>
      <w:start w:val="5"/>
    </w:lvl>
  </w:abstractNum>
  <w:abstractNum w:abstractNumId="23">
    <w:nsid w:val="5DC79EA8"/>
    <w:multiLevelType w:val="hybridMultilevel"/>
    <w:lvl w:ilvl="0">
      <w:lvlJc w:val="left"/>
      <w:lvlText w:val="(%1)"/>
      <w:numFmt w:val="lowerLetter"/>
      <w:start w:val="35"/>
    </w:lvl>
    <w:lvl w:ilvl="1">
      <w:lvlJc w:val="left"/>
      <w:lvlText w:val="(%2)"/>
      <w:numFmt w:val="lowerLetter"/>
      <w:start w:val="8"/>
    </w:lvl>
  </w:abstractNum>
  <w:abstractNum w:abstractNumId="24">
    <w:nsid w:val="540A471C"/>
    <w:multiLevelType w:val="hybridMultilevel"/>
    <w:lvl w:ilvl="0">
      <w:lvlJc w:val="left"/>
      <w:lvlText w:val="(%1)"/>
      <w:numFmt w:val="lowerLetter"/>
      <w:start w:val="1"/>
    </w:lvl>
  </w:abstractNum>
  <w:abstractNum w:abstractNumId="25">
    <w:nsid w:val="7BD3EE7B"/>
    <w:multiLevelType w:val="hybridMultilevel"/>
    <w:lvl w:ilvl="0">
      <w:lvlJc w:val="left"/>
      <w:lvlText w:val="(%1)"/>
      <w:numFmt w:val="lowerLetter"/>
      <w:start w:val="2"/>
    </w:lvl>
  </w:abstractNum>
  <w:abstractNum w:abstractNumId="26">
    <w:nsid w:val="51D9C564"/>
    <w:multiLevelType w:val="hybridMultilevel"/>
    <w:lvl w:ilvl="0">
      <w:lvlJc w:val="left"/>
      <w:lvlText w:val="%1."/>
      <w:numFmt w:val="decimal"/>
      <w:start w:val="6"/>
    </w:lvl>
  </w:abstractNum>
  <w:abstractNum w:abstractNumId="27">
    <w:nsid w:val="613EFDC5"/>
    <w:multiLevelType w:val="hybridMultilevel"/>
    <w:lvl w:ilvl="0">
      <w:lvlJc w:val="left"/>
      <w:lvlText w:val="(%1)"/>
      <w:numFmt w:val="lowerLetter"/>
      <w:start w:val="1"/>
    </w:lvl>
  </w:abstractNum>
  <w:abstractNum w:abstractNumId="28">
    <w:nsid w:val="BF72B14"/>
    <w:multiLevelType w:val="hybridMultilevel"/>
    <w:lvl w:ilvl="0">
      <w:lvlJc w:val="left"/>
      <w:lvlText w:val="%1"/>
      <w:numFmt w:val="lowerLetter"/>
      <w:start w:val="1"/>
    </w:lvl>
    <w:lvl w:ilvl="1">
      <w:lvlJc w:val="left"/>
      <w:lvlText w:val="(%2)"/>
      <w:numFmt w:val="lowerLetter"/>
      <w:start w:val="5"/>
    </w:lvl>
  </w:abstractNum>
  <w:abstractNum w:abstractNumId="29">
    <w:nsid w:val="11447B73"/>
    <w:multiLevelType w:val="hybridMultilevel"/>
    <w:lvl w:ilvl="0">
      <w:lvlJc w:val="left"/>
      <w:lvlText w:val="(%1)"/>
      <w:numFmt w:val="lowerLetter"/>
      <w:start w:val="35"/>
    </w:lvl>
    <w:lvl w:ilvl="1">
      <w:lvlJc w:val="left"/>
      <w:lvlText w:val="(%2)"/>
      <w:numFmt w:val="lowerLetter"/>
      <w:start w:val="6"/>
    </w:lvl>
  </w:abstractNum>
  <w:abstractNum w:abstractNumId="30">
    <w:nsid w:val="42963E5A"/>
    <w:multiLevelType w:val="hybridMultilevel"/>
    <w:lvl w:ilvl="0">
      <w:lvlJc w:val="left"/>
      <w:lvlText w:val="(%1)"/>
      <w:numFmt w:val="lowerLetter"/>
      <w:start w:val="8"/>
    </w:lvl>
  </w:abstractNum>
  <w:abstractNum w:abstractNumId="31">
    <w:nsid w:val="A0382C5"/>
    <w:multiLevelType w:val="hybridMultilevel"/>
    <w:lvl w:ilvl="0">
      <w:lvlJc w:val="left"/>
      <w:lvlText w:val="%1."/>
      <w:numFmt w:val="decimal"/>
      <w:start w:val="7"/>
    </w:lvl>
  </w:abstractNum>
  <w:abstractNum w:abstractNumId="32">
    <w:nsid w:val="8F2B15E"/>
    <w:multiLevelType w:val="hybridMultilevel"/>
    <w:lvl w:ilvl="0">
      <w:lvlJc w:val="left"/>
      <w:lvlText w:val="(%1)"/>
      <w:numFmt w:val="lowerLetter"/>
      <w:start w:val="1"/>
    </w:lvl>
  </w:abstractNum>
  <w:abstractNum w:abstractNumId="33">
    <w:nsid w:val="1A32234B"/>
    <w:multiLevelType w:val="hybridMultilevel"/>
    <w:lvl w:ilvl="0">
      <w:lvlJc w:val="left"/>
      <w:lvlText w:val="(%1)"/>
      <w:numFmt w:val="lowerLetter"/>
      <w:start w:val="2"/>
    </w:lvl>
  </w:abstractNum>
  <w:abstractNum w:abstractNumId="34">
    <w:nsid w:val="3B0FD379"/>
    <w:multiLevelType w:val="hybridMultilevel"/>
    <w:lvl w:ilvl="0">
      <w:lvlJc w:val="left"/>
      <w:lvlText w:val="(%1)"/>
      <w:numFmt w:val="lowerLetter"/>
      <w:start w:val="4"/>
    </w:lvl>
  </w:abstractNum>
  <w:abstractNum w:abstractNumId="35">
    <w:nsid w:val="68EB2F63"/>
    <w:multiLevelType w:val="hybridMultilevel"/>
    <w:lvl w:ilvl="0">
      <w:lvlJc w:val="left"/>
      <w:lvlText w:val="(%1)"/>
      <w:numFmt w:val="lowerLetter"/>
      <w:start w:val="6"/>
    </w:lvl>
  </w:abstractNum>
  <w:abstractNum w:abstractNumId="36">
    <w:nsid w:val="4962813B"/>
    <w:multiLevelType w:val="hybridMultilevel"/>
    <w:lvl w:ilvl="0">
      <w:lvlJc w:val="left"/>
      <w:lvlText w:val="%1."/>
      <w:numFmt w:val="decimal"/>
      <w:start w:val="8"/>
    </w:lvl>
  </w:abstractNum>
  <w:abstractNum w:abstractNumId="37">
    <w:nsid w:val="60B6DF70"/>
    <w:multiLevelType w:val="hybridMultilevel"/>
    <w:lvl w:ilvl="0">
      <w:lvlJc w:val="left"/>
      <w:lvlText w:val="(%1)"/>
      <w:numFmt w:val="lowerLetter"/>
      <w:start w:val="1"/>
    </w:lvl>
  </w:abstractNum>
  <w:abstractNum w:abstractNumId="38">
    <w:nsid w:val="6A5EE64"/>
    <w:multiLevelType w:val="hybridMultilevel"/>
    <w:lvl w:ilvl="0">
      <w:lvlJc w:val="left"/>
      <w:lvlText w:val="(%1)"/>
      <w:numFmt w:val="lowerLetter"/>
      <w:start w:val="2"/>
    </w:lvl>
  </w:abstractNum>
  <w:abstractNum w:abstractNumId="39">
    <w:nsid w:val="14330624"/>
    <w:multiLevelType w:val="hybridMultilevel"/>
    <w:lvl w:ilvl="0">
      <w:lvlJc w:val="left"/>
      <w:lvlText w:val="%1."/>
      <w:numFmt w:val="decimal"/>
      <w:start w:val="11"/>
    </w:lvl>
  </w:abstractNum>
  <w:abstractNum w:abstractNumId="40">
    <w:nsid w:val="7FFFCA11"/>
    <w:multiLevelType w:val="hybridMultilevel"/>
    <w:lvl w:ilvl="0">
      <w:lvlJc w:val="left"/>
      <w:lvlText w:val="(%1)"/>
      <w:numFmt w:val="lowerLetter"/>
      <w:start w:val="1"/>
    </w:lvl>
  </w:abstractNum>
  <w:abstractNum w:abstractNumId="41">
    <w:nsid w:val="1A27709E"/>
    <w:multiLevelType w:val="hybridMultilevel"/>
    <w:lvl w:ilvl="0">
      <w:lvlJc w:val="left"/>
      <w:lvlText w:val="(%1)"/>
      <w:numFmt w:val="lowerLetter"/>
      <w:start w:val="2"/>
    </w:lvl>
  </w:abstractNum>
  <w:abstractNum w:abstractNumId="42">
    <w:nsid w:val="71EA1109"/>
    <w:multiLevelType w:val="hybridMultilevel"/>
    <w:lvl w:ilvl="0">
      <w:lvlJc w:val="left"/>
      <w:lvlText w:val="%1."/>
      <w:numFmt w:val="decimal"/>
      <w:start w:val="12"/>
    </w:lvl>
  </w:abstractNum>
  <w:abstractNum w:abstractNumId="43">
    <w:nsid w:val="100F59DC"/>
    <w:multiLevelType w:val="hybridMultilevel"/>
    <w:lvl w:ilvl="0">
      <w:lvlJc w:val="left"/>
      <w:lvlText w:val="%1."/>
      <w:numFmt w:val="decimal"/>
      <w:start w:val="16"/>
    </w:lvl>
  </w:abstractNum>
  <w:abstractNum w:abstractNumId="44">
    <w:nsid w:val="7FB7E0AA"/>
    <w:multiLevelType w:val="hybridMultilevel"/>
    <w:lvl w:ilvl="0">
      <w:lvlJc w:val="left"/>
      <w:lvlText w:val="(%1)"/>
      <w:numFmt w:val="lowerLetter"/>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1)"/>
      <w:numFmt w:val="lowerRoman"/>
      <w:start w:val="3"/>
    </w:lvl>
  </w:abstractNum>
  <w:abstractNum w:abstractNumId="47">
    <w:nsid w:val="94211F2"/>
    <w:multiLevelType w:val="hybridMultilevel"/>
    <w:lvl w:ilvl="0">
      <w:lvlJc w:val="left"/>
      <w:lvlText w:val="%1."/>
      <w:numFmt w:val="decimal"/>
      <w:start w:val="1"/>
    </w:lvl>
  </w:abstractNum>
  <w:abstractNum w:abstractNumId="48">
    <w:nsid w:val="885E1B"/>
    <w:multiLevelType w:val="hybridMultilevel"/>
    <w:lvl w:ilvl="0">
      <w:lvlJc w:val="left"/>
      <w:lvlText w:val="%1."/>
      <w:numFmt w:val="decimal"/>
      <w:start w:val="4"/>
    </w:lvl>
  </w:abstractNum>
  <w:abstractNum w:abstractNumId="49">
    <w:nsid w:val="76272110"/>
    <w:multiLevelType w:val="hybridMultilevel"/>
    <w:lvl w:ilvl="0">
      <w:lvlJc w:val="left"/>
      <w:lvlText w:val="(%1)"/>
      <w:numFmt w:val="decimal"/>
      <w:start w:val="1"/>
    </w:lvl>
  </w:abstractNum>
  <w:abstractNum w:abstractNumId="50">
    <w:nsid w:val="4C04A8AF"/>
    <w:multiLevelType w:val="hybridMultilevel"/>
    <w:lvl w:ilvl="0">
      <w:lvlJc w:val="left"/>
      <w:lvlText w:val="%1."/>
      <w:numFmt w:val="decimal"/>
      <w:start w:val="1"/>
    </w:lvl>
  </w:abstractNum>
  <w:abstractNum w:abstractNumId="51">
    <w:nsid w:val="1716703B"/>
    <w:multiLevelType w:val="hybridMultilevel"/>
    <w:lvl w:ilvl="0">
      <w:lvlJc w:val="left"/>
      <w:lvlText w:val="(%1)"/>
      <w:numFmt w:val="lowerLetter"/>
      <w:start w:val="1"/>
    </w:lvl>
  </w:abstractNum>
  <w:abstractNum w:abstractNumId="52">
    <w:nsid w:val="14E17E33"/>
    <w:multiLevelType w:val="hybridMultilevel"/>
    <w:lvl w:ilvl="0">
      <w:lvlJc w:val="left"/>
      <w:lvlText w:val="(%1)"/>
      <w:numFmt w:val="lowerLetter"/>
      <w:start w:val="1"/>
    </w:lvl>
  </w:abstractNum>
  <w:abstractNum w:abstractNumId="53">
    <w:nsid w:val="3222E7CD"/>
    <w:multiLevelType w:val="hybridMultilevel"/>
    <w:lvl w:ilvl="0">
      <w:lvlJc w:val="left"/>
      <w:lvlText w:val="(%1)"/>
      <w:numFmt w:val="lowerLetter"/>
      <w:start w:val="1"/>
    </w:lvl>
  </w:abstractNum>
  <w:abstractNum w:abstractNumId="54">
    <w:nsid w:val="74DE0EE3"/>
    <w:multiLevelType w:val="hybridMultilevel"/>
    <w:lvl w:ilvl="0">
      <w:lvlJc w:val="left"/>
      <w:lvlText w:val="(%1)"/>
      <w:numFmt w:val="lowerRoman"/>
      <w:start w:val="1"/>
    </w:lvl>
  </w:abstractNum>
  <w:abstractNum w:abstractNumId="55">
    <w:nsid w:val="68EBC550"/>
    <w:multiLevelType w:val="hybridMultilevel"/>
    <w:lvl w:ilvl="0">
      <w:lvlJc w:val="left"/>
      <w:lvlText w:val="(%1)"/>
      <w:numFmt w:val="lowerLetter"/>
      <w:start w:val="1"/>
    </w:lvl>
  </w:abstractNum>
  <w:abstractNum w:abstractNumId="56">
    <w:nsid w:val="2DF6D648"/>
    <w:multiLevelType w:val="hybridMultilevel"/>
    <w:lvl w:ilvl="0">
      <w:lvlJc w:val="left"/>
      <w:lvlText w:val="(%1)"/>
      <w:numFmt w:val="lowerLetter"/>
      <w:start w:val="1"/>
    </w:lvl>
  </w:abstractNum>
  <w:abstractNum w:abstractNumId="57">
    <w:nsid w:val="46B7D447"/>
    <w:multiLevelType w:val="hybridMultilevel"/>
    <w:lvl w:ilvl="0">
      <w:lvlJc w:val="left"/>
      <w:lvlText w:val="(%1)"/>
      <w:numFmt w:val="lowerRoman"/>
      <w:start w:val="2"/>
    </w:lvl>
  </w:abstractNum>
  <w:abstractNum w:abstractNumId="58">
    <w:nsid w:val="4A2AC315"/>
    <w:multiLevelType w:val="hybridMultilevel"/>
    <w:lvl w:ilvl="0">
      <w:lvlJc w:val="left"/>
      <w:lvlText w:val="(%1)"/>
      <w:numFmt w:val="lowerLetter"/>
      <w:start w:val="1"/>
    </w:lvl>
  </w:abstractNum>
  <w:abstractNum w:abstractNumId="59">
    <w:nsid w:val="39EE015C"/>
    <w:multiLevelType w:val="hybridMultilevel"/>
    <w:lvl w:ilvl="0">
      <w:lvlJc w:val="left"/>
      <w:lvlText w:val="(%1)"/>
      <w:numFmt w:val="lowerLetter"/>
      <w:start w:val="9"/>
    </w:lvl>
  </w:abstractNum>
  <w:abstractNum w:abstractNumId="60">
    <w:nsid w:val="57FC4FBB"/>
    <w:multiLevelType w:val="hybridMultilevel"/>
    <w:lvl w:ilvl="0">
      <w:lvlJc w:val="left"/>
      <w:lvlText w:val="(%1)"/>
      <w:numFmt w:val="lowerLetter"/>
      <w:start w:val="1"/>
    </w:lvl>
  </w:abstractNum>
  <w:abstractNum w:abstractNumId="61">
    <w:nsid w:val="CC1016F"/>
    <w:multiLevelType w:val="hybridMultilevel"/>
    <w:lvl w:ilvl="0">
      <w:lvlJc w:val="left"/>
      <w:lvlText w:val="(%1)"/>
      <w:numFmt w:val="lowerLetter"/>
      <w:start w:val="2"/>
    </w:lvl>
  </w:abstractNum>
  <w:abstractNum w:abstractNumId="62">
    <w:nsid w:val="43F18422"/>
    <w:multiLevelType w:val="hybridMultilevel"/>
    <w:lvl w:ilvl="0">
      <w:lvlJc w:val="left"/>
      <w:lvlText w:val="(%1)"/>
      <w:numFmt w:val="lowerLetter"/>
      <w:start w:val="1"/>
    </w:lvl>
  </w:abstractNum>
  <w:abstractNum w:abstractNumId="63">
    <w:nsid w:val="60EF0119"/>
    <w:multiLevelType w:val="hybridMultilevel"/>
    <w:lvl w:ilvl="0">
      <w:lvlJc w:val="left"/>
      <w:lvlText w:val="(%1)"/>
      <w:numFmt w:val="lowerLetter"/>
      <w:start w:val="8"/>
    </w:lvl>
  </w:abstractNum>
  <w:abstractNum w:abstractNumId="64">
    <w:nsid w:val="26F324B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5">
    <w:nsid w:val="7F01579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6">
    <w:nsid w:val="49DA307D"/>
    <w:multiLevelType w:val="hybridMultilevel"/>
    <w:lvl w:ilvl="0">
      <w:lvlJc w:val="left"/>
      <w:lvlText w:val="(%1)"/>
      <w:numFmt w:val="decimal"/>
      <w:start w:val="2"/>
    </w:lvl>
  </w:abstractNum>
  <w:abstractNum w:abstractNumId="67">
    <w:nsid w:val="7055A5F5"/>
    <w:multiLevelType w:val="hybridMultilevel"/>
    <w:lvl w:ilvl="0">
      <w:lvlJc w:val="left"/>
      <w:lvlText w:val="(%1)"/>
      <w:numFmt w:val="lowerLetter"/>
      <w:start w:val="2"/>
    </w:lvl>
  </w:abstractNum>
  <w:abstractNum w:abstractNumId="68">
    <w:nsid w:val="5FB8370B"/>
    <w:multiLevelType w:val="hybridMultilevel"/>
    <w:lvl w:ilvl="0">
      <w:lvlJc w:val="left"/>
      <w:lvlText w:val="(%1)"/>
      <w:numFmt w:val="lowerLetter"/>
      <w:start w:val="1"/>
    </w:lvl>
  </w:abstractNum>
  <w:abstractNum w:abstractNumId="69">
    <w:nsid w:val="50801EE1"/>
    <w:multiLevelType w:val="hybridMultilevel"/>
    <w:lvl w:ilvl="0">
      <w:lvlJc w:val="left"/>
      <w:lvlText w:val="(%1)"/>
      <w:numFmt w:val="lowerLetter"/>
      <w:start w:val="1"/>
    </w:lvl>
  </w:abstractNum>
  <w:abstractNum w:abstractNumId="70">
    <w:nsid w:val="488AC1A"/>
    <w:multiLevelType w:val="hybridMultilevel"/>
    <w:lvl w:ilvl="0">
      <w:lvlJc w:val="left"/>
      <w:lvlText w:val="(%1)"/>
      <w:numFmt w:val="lowerLetter"/>
      <w:start w:val="1"/>
    </w:lvl>
  </w:abstractNum>
  <w:abstractNum w:abstractNumId="71">
    <w:nsid w:val="5FB8011C"/>
    <w:multiLevelType w:val="hybridMultilevel"/>
    <w:lvl w:ilvl="0">
      <w:lvlJc w:val="left"/>
      <w:lvlText w:val="(%1)"/>
      <w:numFmt w:val="lowerLetter"/>
      <w:start w:val="5"/>
    </w:lvl>
    <w:lvl w:ilvl="1">
      <w:lvlJc w:val="left"/>
      <w:lvlText w:val="(%2)"/>
      <w:numFmt w:val="decimal"/>
      <w:start w:val="1"/>
    </w:lvl>
  </w:abstractNum>
  <w:abstractNum w:abstractNumId="72">
    <w:nsid w:val="6AA78F7F"/>
    <w:multiLevelType w:val="hybridMultilevel"/>
    <w:lvl w:ilvl="0">
      <w:lvlJc w:val="left"/>
      <w:lvlText w:val="(%1)"/>
      <w:numFmt w:val="lowerLetter"/>
      <w:start w:val="8"/>
    </w:lvl>
  </w:abstractNum>
  <w:abstractNum w:abstractNumId="73">
    <w:nsid w:val="7672BD23"/>
    <w:multiLevelType w:val="hybridMultilevel"/>
    <w:lvl w:ilvl="0">
      <w:lvlJc w:val="left"/>
      <w:lvlText w:val="(%1)"/>
      <w:numFmt w:val="lowerLetter"/>
      <w:start w:val="1"/>
    </w:lvl>
  </w:abstractNum>
  <w:abstractNum w:abstractNumId="74">
    <w:nsid w:val="6FC75AF8"/>
    <w:multiLevelType w:val="hybridMultilevel"/>
    <w:lvl w:ilvl="0">
      <w:lvlJc w:val="left"/>
      <w:lvlText w:val="(%1)"/>
      <w:numFmt w:val="lowerLetter"/>
      <w:start w:val="1"/>
    </w:lvl>
  </w:abstractNum>
  <w:abstractNum w:abstractNumId="75">
    <w:nsid w:val="6A5F7029"/>
    <w:multiLevelType w:val="hybridMultilevel"/>
    <w:lvl w:ilvl="0">
      <w:lvlJc w:val="left"/>
      <w:lvlText w:val="(%1)"/>
      <w:numFmt w:val="lowerLetter"/>
      <w:start w:val="1"/>
    </w:lvl>
  </w:abstractNum>
  <w:abstractNum w:abstractNumId="76">
    <w:nsid w:val="7D5E18F8"/>
    <w:multiLevelType w:val="hybridMultilevel"/>
    <w:lvl w:ilvl="0">
      <w:lvlJc w:val="left"/>
      <w:lvlText w:val="(%1)"/>
      <w:numFmt w:val="lowerLetter"/>
      <w:start w:val="1"/>
    </w:lvl>
  </w:abstractNum>
  <w:abstractNum w:abstractNumId="77">
    <w:nsid w:val="5F3534A4"/>
    <w:multiLevelType w:val="hybridMultilevel"/>
    <w:lvl w:ilvl="0">
      <w:lvlJc w:val="left"/>
      <w:lvlText w:val="(%1)"/>
      <w:numFmt w:val="lowerLetter"/>
      <w:start w:val="2"/>
    </w:lvl>
  </w:abstractNum>
  <w:abstractNum w:abstractNumId="78">
    <w:nsid w:val="73A1821B"/>
    <w:multiLevelType w:val="hybridMultilevel"/>
    <w:lvl w:ilvl="0">
      <w:lvlJc w:val="left"/>
      <w:lvlText w:val="(%1)"/>
      <w:numFmt w:val="lowerLetter"/>
      <w:start w:val="1"/>
    </w:lvl>
  </w:abstractNum>
  <w:abstractNum w:abstractNumId="79">
    <w:nsid w:val="7DE67713"/>
    <w:multiLevelType w:val="hybridMultilevel"/>
    <w:lvl w:ilvl="0">
      <w:lvlJc w:val="left"/>
      <w:lvlText w:val="(%1)"/>
      <w:numFmt w:val="lowerLetter"/>
      <w:start w:val="2"/>
    </w:lvl>
    <w:lvl w:ilvl="1">
      <w:lvlJc w:val="left"/>
      <w:lvlText w:val="(%2)"/>
      <w:numFmt w:val="decimal"/>
      <w:start w:val="1"/>
    </w:lvl>
  </w:abstractNum>
  <w:abstractNum w:abstractNumId="80">
    <w:nsid w:val="555C55B5"/>
    <w:multiLevelType w:val="hybridMultilevel"/>
    <w:lvl w:ilvl="0">
      <w:lvlJc w:val="left"/>
      <w:lvlText w:val="(%1)"/>
      <w:numFmt w:val="lowerLetter"/>
      <w:start w:val="1"/>
    </w:lvl>
  </w:abstractNum>
  <w:abstractNum w:abstractNumId="81">
    <w:nsid w:val="3FA62ACA"/>
    <w:multiLevelType w:val="hybridMultilevel"/>
    <w:lvl w:ilvl="0">
      <w:lvlJc w:val="left"/>
      <w:lvlText w:val="(%1)"/>
      <w:numFmt w:val="lowerLetter"/>
      <w:start w:val="8"/>
    </w:lvl>
  </w:abstractNum>
  <w:abstractNum w:abstractNumId="82">
    <w:nsid w:val="14FCE74E"/>
    <w:multiLevelType w:val="hybridMultilevel"/>
    <w:lvl w:ilvl="0">
      <w:lvlJc w:val="left"/>
      <w:lvlText w:val="(%1)"/>
      <w:numFmt w:val="lowerLetter"/>
      <w:start w:val="1"/>
    </w:lvl>
  </w:abstractNum>
  <w:abstractNum w:abstractNumId="83">
    <w:nsid w:val="6A3DD3E8"/>
    <w:multiLevelType w:val="hybridMultilevel"/>
    <w:lvl w:ilvl="0">
      <w:lvlJc w:val="left"/>
      <w:lvlText w:val="(%1)"/>
      <w:numFmt w:val="lowerLetter"/>
      <w:start w:val="1"/>
    </w:lvl>
  </w:abstractNum>
  <w:abstractNum w:abstractNumId="84">
    <w:nsid w:val="71C91298"/>
    <w:multiLevelType w:val="hybridMultilevel"/>
    <w:lvl w:ilvl="0">
      <w:lvlJc w:val="left"/>
      <w:lvlText w:val="(%1)"/>
      <w:numFmt w:val="upperLetter"/>
      <w:start w:val="1"/>
    </w:lvl>
    <w:lvl w:ilvl="1">
      <w:lvlJc w:val="left"/>
      <w:lvlText w:val="(%2)"/>
      <w:numFmt w:val="lowerRoman"/>
      <w:start w:val="1"/>
    </w:lvl>
  </w:abstractNum>
  <w:abstractNum w:abstractNumId="85">
    <w:nsid w:val="9DAF632"/>
    <w:multiLevelType w:val="hybridMultilevel"/>
    <w:lvl w:ilvl="0">
      <w:lvlJc w:val="left"/>
      <w:lvlText w:val="%1"/>
      <w:numFmt w:val="decimal"/>
      <w:start w:val="1"/>
    </w:lvl>
    <w:lvl w:ilvl="1">
      <w:lvlJc w:val="left"/>
      <w:lvlText w:val="(%2)"/>
      <w:numFmt w:val="upperLetter"/>
      <w:start w:val="3"/>
    </w:lvl>
  </w:abstractNum>
  <w:abstractNum w:abstractNumId="86">
    <w:nsid w:val="53299938"/>
    <w:multiLevelType w:val="hybridMultilevel"/>
    <w:lvl w:ilvl="0">
      <w:lvlJc w:val="left"/>
      <w:lvlText w:val="(%1)"/>
      <w:numFmt w:val="decimal"/>
      <w:start w:val="2"/>
    </w:lvl>
    <w:lvl w:ilvl="1">
      <w:lvlJc w:val="left"/>
      <w:lvlText w:val="%2"/>
      <w:numFmt w:val="upperLetter"/>
      <w:start w:val="1"/>
    </w:lvl>
  </w:abstractNum>
  <w:abstractNum w:abstractNumId="87">
    <w:nsid w:val="1FBFE8E0"/>
    <w:multiLevelType w:val="hybridMultilevel"/>
    <w:lvl w:ilvl="0">
      <w:lvlJc w:val="left"/>
      <w:lvlText w:val="(%1)"/>
      <w:numFmt w:val="lowerLetter"/>
      <w:start w:val="2"/>
    </w:lvl>
    <w:lvl w:ilvl="1">
      <w:lvlJc w:val="left"/>
      <w:lvlText w:val="(%2)"/>
      <w:numFmt w:val="lowerRoman"/>
      <w:start w:val="2"/>
    </w:lvl>
    <w:lvl w:ilvl="2">
      <w:lvlJc w:val="left"/>
      <w:lvlText w:val="(%3)"/>
      <w:numFmt w:val="decimal"/>
      <w:start w:val="1"/>
    </w:lvl>
  </w:abstractNum>
  <w:abstractNum w:abstractNumId="88">
    <w:nsid w:val="5092CA7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89">
    <w:nsid w:val="1D545C4D"/>
    <w:multiLevelType w:val="hybridMultilevel"/>
    <w:lvl w:ilvl="0">
      <w:lvlJc w:val="left"/>
      <w:lvlText w:val="(%1)"/>
      <w:numFmt w:val="lowerLetter"/>
      <w:start w:val="3"/>
    </w:lvl>
    <w:lvl w:ilvl="1">
      <w:lvlJc w:val="left"/>
      <w:lvlText w:val="(%2)"/>
      <w:numFmt w:val="decimal"/>
      <w:start w:val="1"/>
    </w:lvl>
  </w:abstractNum>
  <w:abstractNum w:abstractNumId="90">
    <w:nsid w:val="59ADEA3D"/>
    <w:multiLevelType w:val="hybridMultilevel"/>
    <w:lvl w:ilvl="0">
      <w:lvlJc w:val="left"/>
      <w:lvlText w:val="(%1)"/>
      <w:numFmt w:val="lowerLetter"/>
      <w:start w:val="4"/>
    </w:lvl>
  </w:abstractNum>
  <w:abstractNum w:abstractNumId="91">
    <w:nsid w:val="288F1A34"/>
    <w:multiLevelType w:val="hybridMultilevel"/>
    <w:lvl w:ilvl="0">
      <w:lvlJc w:val="left"/>
      <w:lvlText w:val="(%1)"/>
      <w:numFmt w:val="decimal"/>
      <w:start w:val="1"/>
    </w:lvl>
  </w:abstractNum>
  <w:abstractNum w:abstractNumId="92">
    <w:nsid w:val="2A155DBC"/>
    <w:multiLevelType w:val="hybridMultilevel"/>
    <w:lvl w:ilvl="0">
      <w:lvlJc w:val="left"/>
      <w:lvlText w:val="(%1)"/>
      <w:numFmt w:val="decimal"/>
      <w:start w:val="9"/>
    </w:lvl>
  </w:abstractNum>
  <w:abstractNum w:abstractNumId="93">
    <w:nsid w:val="1D9F6E5F"/>
    <w:multiLevelType w:val="hybridMultilevel"/>
    <w:lvl w:ilvl="0">
      <w:lvlJc w:val="left"/>
      <w:lvlText w:val="(%1)"/>
      <w:numFmt w:val="decimal"/>
      <w:start w:val="1"/>
    </w:lvl>
  </w:abstractNum>
  <w:abstractNum w:abstractNumId="94">
    <w:nsid w:val="97E1B4E"/>
    <w:multiLevelType w:val="hybridMultilevel"/>
    <w:lvl w:ilvl="0">
      <w:lvlJc w:val="left"/>
      <w:lvlText w:val="%1."/>
      <w:numFmt w:val="decimal"/>
      <w:start w:val="1"/>
    </w:lvl>
  </w:abstractNum>
  <w:abstractNum w:abstractNumId="95">
    <w:nsid w:val="51088277"/>
    <w:multiLevelType w:val="hybridMultilevel"/>
    <w:lvl w:ilvl="0">
      <w:lvlJc w:val="left"/>
      <w:lvlText w:val="%1."/>
      <w:numFmt w:val="decimal"/>
      <w:start w:val="1"/>
    </w:lvl>
  </w:abstractNum>
  <w:abstractNum w:abstractNumId="96">
    <w:nsid w:val="1CA0C5FA"/>
    <w:multiLevelType w:val="hybridMultilevel"/>
    <w:lvl w:ilvl="0">
      <w:lvlJc w:val="left"/>
      <w:lvlText w:val="(%1)"/>
      <w:numFmt w:val="decimal"/>
      <w:start w:val="1"/>
    </w:lvl>
  </w:abstractNum>
  <w:abstractNum w:abstractNumId="97">
    <w:nsid w:val="53584BCB"/>
    <w:multiLevelType w:val="hybridMultilevel"/>
    <w:lvl w:ilvl="0">
      <w:lvlJc w:val="left"/>
      <w:lvlText w:val="(%1)"/>
      <w:numFmt w:val="decimal"/>
      <w:start w:val="5"/>
    </w:lvl>
  </w:abstractNum>
  <w:abstractNum w:abstractNumId="98">
    <w:nsid w:val="415E286C"/>
    <w:multiLevelType w:val="hybridMultilevel"/>
    <w:lvl w:ilvl="0">
      <w:lvlJc w:val="left"/>
      <w:lvlText w:val="(%1)"/>
      <w:numFmt w:val="lowerLetter"/>
      <w:start w:val="1"/>
    </w:lvl>
  </w:abstractNum>
  <w:abstractNum w:abstractNumId="99">
    <w:nsid w:val="7C58FD05"/>
    <w:multiLevelType w:val="hybridMultilevel"/>
    <w:lvl w:ilvl="0">
      <w:lvlJc w:val="left"/>
      <w:lvlText w:val="(%1)"/>
      <w:numFmt w:val="lowerLetter"/>
      <w:start w:val="2"/>
    </w:lvl>
  </w:abstractNum>
  <w:abstractNum w:abstractNumId="100">
    <w:nsid w:val="23D86AA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01">
    <w:nsid w:val="45E6D486"/>
    <w:multiLevelType w:val="hybridMultilevel"/>
    <w:lvl w:ilvl="0">
      <w:lvlJc w:val="left"/>
      <w:lvlText w:val="(%1)"/>
      <w:numFmt w:val="lowerRoman"/>
      <w:start w:val="2"/>
    </w:lvl>
    <w:lvl w:ilvl="1">
      <w:lvlJc w:val="left"/>
      <w:lvlText w:val="(%2)"/>
      <w:numFmt w:val="decimal"/>
      <w:start w:val="1"/>
    </w:lvl>
  </w:abstractNum>
  <w:abstractNum w:abstractNumId="102">
    <w:nsid w:val="5C10FE21"/>
    <w:multiLevelType w:val="hybridMultilevel"/>
    <w:lvl w:ilvl="0">
      <w:lvlJc w:val="left"/>
      <w:lvlText w:val="(%1)"/>
      <w:numFmt w:val="lowerLetter"/>
      <w:start w:val="1"/>
    </w:lvl>
  </w:abstractNum>
  <w:abstractNum w:abstractNumId="103">
    <w:nsid w:val="E7FFA2B"/>
    <w:multiLevelType w:val="hybridMultilevel"/>
    <w:lvl w:ilvl="0">
      <w:lvlJc w:val="left"/>
      <w:lvlText w:val="(%1)"/>
      <w:numFmt w:val="lowerLetter"/>
      <w:start w:val="2"/>
    </w:lvl>
    <w:lvl w:ilvl="1">
      <w:lvlJc w:val="left"/>
      <w:lvlText w:val="(%2)"/>
      <w:numFmt w:val="lowerRoman"/>
      <w:start w:val="1"/>
    </w:lvl>
  </w:abstractNum>
  <w:abstractNum w:abstractNumId="104">
    <w:nsid w:val="3C5991AA"/>
    <w:multiLevelType w:val="hybridMultilevel"/>
    <w:lvl w:ilvl="0">
      <w:lvlJc w:val="left"/>
      <w:lvlText w:val="(%1)"/>
      <w:numFmt w:val="lowerLetter"/>
      <w:start w:val="1"/>
    </w:lvl>
    <w:lvl w:ilvl="1">
      <w:lvlJc w:val="left"/>
      <w:lvlText w:val="(%2)"/>
      <w:numFmt w:val="lowerLetter"/>
      <w:start w:val="9"/>
    </w:lvl>
  </w:abstractNum>
  <w:abstractNum w:abstractNumId="105">
    <w:nsid w:val="4BD8591A"/>
    <w:multiLevelType w:val="hybridMultilevel"/>
    <w:lvl w:ilvl="0">
      <w:lvlJc w:val="left"/>
      <w:lvlText w:val="(%1)"/>
      <w:numFmt w:val="lowerRoman"/>
      <w:start w:val="2"/>
    </w:lvl>
  </w:abstractNum>
  <w:abstractNum w:abstractNumId="106">
    <w:nsid w:val="78DF6A55"/>
    <w:multiLevelType w:val="hybridMultilevel"/>
    <w:lvl w:ilvl="0">
      <w:lvlJc w:val="left"/>
      <w:lvlText w:val="(%1)"/>
      <w:numFmt w:val="lowerLetter"/>
      <w:start w:val="2"/>
    </w:lvl>
  </w:abstractNum>
  <w:abstractNum w:abstractNumId="107">
    <w:nsid w:val="39B7AAA2"/>
    <w:multiLevelType w:val="hybridMultilevel"/>
    <w:lvl w:ilvl="0">
      <w:lvlJc w:val="left"/>
      <w:lvlText w:val="%1."/>
      <w:numFmt w:val="decimal"/>
      <w:start w:val="1"/>
    </w:lvl>
  </w:abstractNum>
  <w:abstractNum w:abstractNumId="108">
    <w:nsid w:val="2B0D8DBE"/>
    <w:multiLevelType w:val="hybridMultilevel"/>
    <w:lvl w:ilvl="0">
      <w:lvlJc w:val="left"/>
      <w:lvlText w:val="%1."/>
      <w:numFmt w:val="decimal"/>
      <w:start w:val="3"/>
    </w:lvl>
  </w:abstractNum>
  <w:abstractNum w:abstractNumId="109">
    <w:nsid w:val="6C80EC70"/>
    <w:multiLevelType w:val="hybridMultilevel"/>
    <w:lvl w:ilvl="0">
      <w:lvlJc w:val="left"/>
      <w:lvlText w:val="(%1)"/>
      <w:numFmt w:val="lowerLetter"/>
      <w:start w:val="1"/>
    </w:lvl>
  </w:abstractNum>
  <w:abstractNum w:abstractNumId="110">
    <w:nsid w:val="379E21B5"/>
    <w:multiLevelType w:val="hybridMultilevel"/>
    <w:lvl w:ilvl="0">
      <w:lvlJc w:val="left"/>
      <w:lvlText w:val="(%1)"/>
      <w:numFmt w:val="lowerLetter"/>
      <w:start w:val="1"/>
    </w:lvl>
  </w:abstractNum>
  <w:abstractNum w:abstractNumId="111">
    <w:nsid w:val="69E373"/>
    <w:multiLevelType w:val="hybridMultilevel"/>
    <w:lvl w:ilvl="0">
      <w:lvlJc w:val="left"/>
      <w:lvlText w:val="(%1)"/>
      <w:numFmt w:val="lowerLetter"/>
      <w:start w:val="2"/>
    </w:lvl>
  </w:abstractNum>
  <w:abstractNum w:abstractNumId="112">
    <w:nsid w:val="2C27173B"/>
    <w:multiLevelType w:val="hybridMultilevel"/>
    <w:lvl w:ilvl="0">
      <w:lvlJc w:val="left"/>
      <w:lvlText w:val="%1."/>
      <w:numFmt w:val="decimal"/>
      <w:start w:val="6"/>
    </w:lvl>
  </w:abstractNum>
  <w:abstractNum w:abstractNumId="113">
    <w:nsid w:val="4C9B0904"/>
    <w:multiLevelType w:val="hybridMultilevel"/>
    <w:lvl w:ilvl="0">
      <w:lvlJc w:val="left"/>
      <w:lvlText w:val="%1"/>
      <w:numFmt w:val="lowerLetter"/>
      <w:start w:val="1"/>
    </w:lvl>
    <w:lvl w:ilvl="1">
      <w:lvlJc w:val="left"/>
      <w:lvlText w:val="%2."/>
      <w:numFmt w:val="decimal"/>
      <w:start w:val="9"/>
    </w:lvl>
  </w:abstractNum>
  <w:abstractNum w:abstractNumId="114">
    <w:nsid w:val="6AA7B75C"/>
    <w:multiLevelType w:val="hybridMultilevel"/>
    <w:lvl w:ilvl="0">
      <w:lvlJc w:val="left"/>
      <w:lvlText w:val="(%1)"/>
      <w:numFmt w:val="lowerLetter"/>
      <w:start w:val="2"/>
    </w:lvl>
    <w:lvl w:ilvl="1">
      <w:lvlJc w:val="left"/>
      <w:lvlText w:val="%2"/>
      <w:numFmt w:val="decimal"/>
      <w:start w:val="1"/>
    </w:lvl>
  </w:abstractNum>
  <w:abstractNum w:abstractNumId="115">
    <w:nsid w:val="1DF029D3"/>
    <w:multiLevelType w:val="hybridMultilevel"/>
    <w:lvl w:ilvl="0">
      <w:lvlJc w:val="left"/>
      <w:lvlText w:val="%1."/>
      <w:numFmt w:val="decimal"/>
      <w:start w:val="10"/>
    </w:lvl>
  </w:abstractNum>
  <w:abstractNum w:abstractNumId="116">
    <w:nsid w:val="5675FF36"/>
    <w:multiLevelType w:val="hybridMultilevel"/>
    <w:lvl w:ilvl="0">
      <w:lvlJc w:val="left"/>
      <w:lvlText w:val="%1."/>
      <w:numFmt w:val="decimal"/>
      <w:start w:val="13"/>
    </w:lvl>
  </w:abstractNum>
  <w:abstractNum w:abstractNumId="117">
    <w:nsid w:val="3DD15094"/>
    <w:multiLevelType w:val="hybridMultilevel"/>
    <w:lvl w:ilvl="0">
      <w:lvlJc w:val="left"/>
      <w:lvlText w:val="1"/>
      <w:numFmt w:val="bullet"/>
      <w:start w:val="1"/>
    </w:lvl>
  </w:abstractNum>
  <w:abstractNum w:abstractNumId="118">
    <w:nsid w:val="3DB012B3"/>
    <w:multiLevelType w:val="hybridMultilevel"/>
    <w:lvl w:ilvl="0">
      <w:lvlJc w:val="left"/>
      <w:lvlText w:val="2"/>
      <w:numFmt w:val="bullet"/>
      <w:start w:val="1"/>
    </w:lvl>
    <w:lvl w:ilvl="1">
      <w:lvlJc w:val="left"/>
      <w:lvlText w:val="(%2)"/>
      <w:numFmt w:val="lowerLetter"/>
      <w:start w:val="1"/>
    </w:lvl>
  </w:abstractNum>
  <w:abstractNum w:abstractNumId="119">
    <w:nsid w:val="2708C9AF"/>
    <w:multiLevelType w:val="hybridMultilevel"/>
    <w:lvl w:ilvl="0">
      <w:lvlJc w:val="left"/>
      <w:lvlText w:val="3"/>
      <w:numFmt w:val="bullet"/>
      <w:start w:val="1"/>
    </w:lvl>
  </w:abstractNum>
  <w:abstractNum w:abstractNumId="120">
    <w:nsid w:val="5B25ACE2"/>
    <w:multiLevelType w:val="hybridMultilevel"/>
    <w:lvl w:ilvl="0">
      <w:lvlJc w:val="left"/>
      <w:lvlText w:val="4"/>
      <w:numFmt w:val="bullet"/>
      <w:start w:val="1"/>
    </w:lvl>
  </w:abstractNum>
  <w:abstractNum w:abstractNumId="121">
    <w:nsid w:val="175DFCF0"/>
    <w:multiLevelType w:val="hybridMultilevel"/>
    <w:lvl w:ilvl="0">
      <w:lvlJc w:val="left"/>
      <w:lvlText w:val="5"/>
      <w:numFmt w:val="bullet"/>
      <w:start w:val="1"/>
    </w:lvl>
  </w:abstractNum>
  <w:abstractNum w:abstractNumId="122">
    <w:nsid w:val="4F97E3E4"/>
    <w:multiLevelType w:val="hybridMultilevel"/>
    <w:lvl w:ilvl="0">
      <w:lvlJc w:val="left"/>
      <w:lvlText w:val="6"/>
      <w:numFmt w:val="bullet"/>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2019-12-05T14:49:25Z</dcterms:created>
  <dcterms:modified xsi:type="dcterms:W3CDTF">2019-12-05T14:49:25Z</dcterms:modified>
</cp:coreProperties>
</file>