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Aaron Gatt Floridia</w:t>
            </w: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3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0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4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0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300" w:type="dxa"/>
            <w:vAlign w:val="bottom"/>
            <w:tcBorders>
              <w:right w:val="single" w:sz="8" w:color="auto"/>
            </w:tcBorders>
          </w:tcPr>
          <w:p>
            <w:pPr>
              <w:jc w:val="center"/>
              <w:ind w:left="23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00" w:type="dxa"/>
            <w:vAlign w:val="bottom"/>
            <w:tcBorders>
              <w:bottom w:val="single" w:sz="8" w:color="auto"/>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tcBorders>
              <w:right w:val="single" w:sz="8" w:color="auto"/>
            </w:tcBorders>
          </w:tcPr>
          <w:p>
            <w:pPr>
              <w:jc w:val="center"/>
              <w:ind w:left="54"/>
              <w:spacing w:after="0" w:line="100" w:lineRule="exact"/>
              <w:rPr>
                <w:sz w:val="20"/>
                <w:szCs w:val="20"/>
                <w:color w:val="auto"/>
              </w:rPr>
            </w:pPr>
            <w:r>
              <w:rPr>
                <w:rFonts w:ascii="Arial" w:cs="Arial" w:eastAsia="Arial" w:hAnsi="Arial"/>
                <w:sz w:val="11"/>
                <w:szCs w:val="11"/>
                <w:b w:val="1"/>
                <w:bCs w:val="1"/>
                <w:color w:val="auto"/>
                <w:w w:val="99"/>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300" w:type="dxa"/>
            <w:vAlign w:val="bottom"/>
            <w:tcBorders>
              <w:right w:val="single" w:sz="8" w:color="auto"/>
            </w:tcBorders>
          </w:tcPr>
          <w:p>
            <w:pPr>
              <w:jc w:val="center"/>
              <w:ind w:left="23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0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3"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tcPr>
          <w:p>
            <w:pPr>
              <w:jc w:val="center"/>
              <w:ind w:left="237"/>
              <w:spacing w:after="0" w:line="144" w:lineRule="exact"/>
              <w:rPr>
                <w:sz w:val="20"/>
                <w:szCs w:val="20"/>
                <w:color w:val="auto"/>
              </w:rPr>
            </w:pPr>
            <w:r>
              <w:rPr>
                <w:rFonts w:ascii="Arial" w:cs="Arial" w:eastAsia="Arial" w:hAnsi="Arial"/>
                <w:sz w:val="13"/>
                <w:szCs w:val="13"/>
                <w:b w:val="1"/>
                <w:bCs w:val="1"/>
                <w:color w:val="auto"/>
                <w:w w:val="95"/>
              </w:rPr>
              <w:t>Maker</w:t>
            </w:r>
          </w:p>
        </w:tc>
        <w:tc>
          <w:tcPr>
            <w:tcW w:w="110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30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86"/>
              </w:rPr>
              <w:t>who is Acquiring the Securities</w:t>
            </w:r>
          </w:p>
        </w:tc>
        <w:tc>
          <w:tcPr>
            <w:tcW w:w="1100" w:type="dxa"/>
            <w:vAlign w:val="bottom"/>
            <w:tcBorders>
              <w:bottom w:val="single" w:sz="8" w:color="auto"/>
              <w:right w:val="single" w:sz="8" w:color="auto"/>
            </w:tcBorders>
            <w:shd w:val="clear" w:color="auto" w:fill="BFBFBF"/>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ind w:left="54"/>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StockCross Financial Services</w:t>
            </w:r>
          </w:p>
        </w:tc>
        <w:tc>
          <w:tcPr>
            <w:tcW w:w="1100" w:type="dxa"/>
            <w:vAlign w:val="bottom"/>
            <w:tcBorders>
              <w:right w:val="single" w:sz="8" w:color="auto"/>
            </w:tcBorders>
            <w:shd w:val="clear" w:color="auto" w:fill="BFBFB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17151 Davenport St., Ste 117</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tcPr>
          <w:p>
            <w:pPr>
              <w:jc w:val="right"/>
              <w:ind w:right="394"/>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right"/>
              <w:ind w:right="174"/>
              <w:spacing w:after="0"/>
              <w:rPr>
                <w:sz w:val="20"/>
                <w:szCs w:val="20"/>
                <w:color w:val="auto"/>
              </w:rPr>
            </w:pPr>
            <w:r>
              <w:rPr>
                <w:rFonts w:ascii="Arial" w:cs="Arial" w:eastAsia="Arial" w:hAnsi="Arial"/>
                <w:sz w:val="18"/>
                <w:szCs w:val="18"/>
                <w:color w:val="auto"/>
                <w:w w:val="93"/>
              </w:rPr>
              <w:t>$2,772,000</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1,388,374,040</w:t>
            </w:r>
          </w:p>
        </w:tc>
        <w:tc>
          <w:tcPr>
            <w:tcW w:w="1320" w:type="dxa"/>
            <w:vAlign w:val="bottom"/>
            <w:tcBorders>
              <w:right w:val="single" w:sz="8" w:color="auto"/>
            </w:tcBorders>
          </w:tcPr>
          <w:p>
            <w:pPr>
              <w:jc w:val="right"/>
              <w:ind w:right="235"/>
              <w:spacing w:after="0"/>
              <w:rPr>
                <w:sz w:val="20"/>
                <w:szCs w:val="20"/>
                <w:color w:val="auto"/>
              </w:rPr>
            </w:pPr>
            <w:r>
              <w:rPr>
                <w:rFonts w:ascii="Arial" w:cs="Arial" w:eastAsia="Arial" w:hAnsi="Arial"/>
                <w:sz w:val="18"/>
                <w:szCs w:val="18"/>
                <w:color w:val="auto"/>
              </w:rPr>
              <w:t>6/12/2017</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Omaha, NE 68118</w:t>
            </w:r>
          </w:p>
        </w:tc>
        <w:tc>
          <w:tcPr>
            <w:tcW w:w="1100" w:type="dxa"/>
            <w:vAlign w:val="bottom"/>
            <w:tcBorders>
              <w:bottom w:val="single" w:sz="8" w:color="auto"/>
              <w:right w:val="single" w:sz="8" w:color="auto"/>
            </w:tcBorders>
            <w:shd w:val="clear" w:color="auto" w:fill="BFBFBF"/>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6/12/2017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6/12/2017</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r>
      <w:tr>
        <w:trPr>
          <w:trHeight w:val="210"/>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7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6/12/2017</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Saul Laureles, Attorney-in-Fact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2019-12-21T02:25:58Z</dcterms:created>
  <dcterms:modified xsi:type="dcterms:W3CDTF">2019-12-21T02:25:58Z</dcterms:modified>
</cp:coreProperties>
</file>