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jc w:val="right"/>
        <w:spacing w:after="0"/>
        <w:rPr>
          <w:sz w:val="20"/>
          <w:szCs w:val="20"/>
          <w:color w:val="auto"/>
        </w:rPr>
      </w:pPr>
      <w:r>
        <w:rPr>
          <w:rFonts w:ascii="Arial" w:cs="Arial" w:eastAsia="Arial" w:hAnsi="Arial"/>
          <w:sz w:val="18"/>
          <w:szCs w:val="18"/>
          <w:color w:val="auto"/>
        </w:rPr>
        <w:t>Registration No. 333-134300</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May 19, 2006)</w:t>
      </w:r>
    </w:p>
    <w:p>
      <w:pPr>
        <w:spacing w:after="0" w:line="105"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4,182,074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620520"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Schlumberger Limited</w:t>
      </w:r>
    </w:p>
    <w:p>
      <w:pPr>
        <w:spacing w:after="0" w:line="171"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198"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The selling stockholders are selling 4,182,074 shares of our common stock. We will not receive any proceeds from the common stock sold by the selling stockholders.</w:t>
      </w:r>
    </w:p>
    <w:p>
      <w:pPr>
        <w:spacing w:after="0" w:line="141" w:lineRule="exact"/>
        <w:rPr>
          <w:sz w:val="24"/>
          <w:szCs w:val="24"/>
          <w:color w:val="auto"/>
        </w:rPr>
      </w:pPr>
    </w:p>
    <w:p>
      <w:pPr>
        <w:ind w:right="320"/>
        <w:spacing w:after="0" w:line="239" w:lineRule="auto"/>
        <w:rPr>
          <w:sz w:val="20"/>
          <w:szCs w:val="20"/>
          <w:color w:val="auto"/>
        </w:rPr>
      </w:pPr>
      <w:r>
        <w:rPr>
          <w:rFonts w:ascii="Arial" w:cs="Arial" w:eastAsia="Arial" w:hAnsi="Arial"/>
          <w:sz w:val="18"/>
          <w:szCs w:val="18"/>
          <w:color w:val="auto"/>
        </w:rPr>
        <w:t>Our common stock is listed on the New York Stock Exchange under the symbol “SLB.” The last reported sale price of our common stock on the New York Stock Exchange on November 29, 2006 was $68.03.</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6040" w:type="dxa"/>
            <w:vAlign w:val="bottom"/>
            <w:tcBorders>
              <w:top w:val="single" w:sz="8" w:color="auto"/>
              <w:bottom w:val="single" w:sz="8" w:color="auto"/>
            </w:tcBorders>
          </w:tcPr>
          <w:p>
            <w:pPr>
              <w:spacing w:after="0"/>
              <w:rPr>
                <w:sz w:val="15"/>
                <w:szCs w:val="15"/>
                <w:color w:val="auto"/>
              </w:rPr>
            </w:pPr>
          </w:p>
        </w:tc>
        <w:tc>
          <w:tcPr>
            <w:tcW w:w="3860" w:type="dxa"/>
            <w:vAlign w:val="bottom"/>
            <w:tcBorders>
              <w:top w:val="single" w:sz="8" w:color="auto"/>
              <w:bottom w:val="single" w:sz="8" w:color="auto"/>
            </w:tcBorders>
            <w:gridSpan w:val="2"/>
          </w:tcPr>
          <w:p>
            <w:pPr>
              <w:ind w:left="2860"/>
              <w:spacing w:after="0"/>
              <w:rPr>
                <w:sz w:val="20"/>
                <w:szCs w:val="20"/>
                <w:color w:val="auto"/>
              </w:rPr>
            </w:pPr>
            <w:r>
              <w:rPr>
                <w:rFonts w:ascii="Arial" w:cs="Arial" w:eastAsia="Arial" w:hAnsi="Arial"/>
                <w:sz w:val="14"/>
                <w:szCs w:val="14"/>
                <w:b w:val="1"/>
                <w:bCs w:val="1"/>
                <w:color w:val="auto"/>
              </w:rPr>
              <w:t>Per share</w:t>
            </w:r>
          </w:p>
        </w:tc>
        <w:tc>
          <w:tcPr>
            <w:tcW w:w="152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275"/>
        </w:trPr>
        <w:tc>
          <w:tcPr>
            <w:tcW w:w="6040" w:type="dxa"/>
            <w:vAlign w:val="bottom"/>
          </w:tcPr>
          <w:p>
            <w:pPr>
              <w:spacing w:after="0"/>
              <w:rPr>
                <w:sz w:val="20"/>
                <w:szCs w:val="20"/>
                <w:color w:val="auto"/>
              </w:rPr>
            </w:pPr>
            <w:r>
              <w:rPr>
                <w:rFonts w:ascii="Arial" w:cs="Arial" w:eastAsia="Arial" w:hAnsi="Arial"/>
                <w:sz w:val="18"/>
                <w:szCs w:val="18"/>
                <w:color w:val="auto"/>
              </w:rPr>
              <w:t>Public offering price</w:t>
            </w:r>
          </w:p>
        </w:tc>
        <w:tc>
          <w:tcPr>
            <w:tcW w:w="3020" w:type="dxa"/>
            <w:vAlign w:val="bottom"/>
          </w:tcPr>
          <w:p>
            <w:pPr>
              <w:ind w:left="28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67.50</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282,289,995</w:t>
            </w:r>
          </w:p>
        </w:tc>
      </w:tr>
      <w:tr>
        <w:trPr>
          <w:trHeight w:val="338"/>
        </w:trPr>
        <w:tc>
          <w:tcPr>
            <w:tcW w:w="60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020" w:type="dxa"/>
            <w:vAlign w:val="bottom"/>
          </w:tcPr>
          <w:p>
            <w:pPr>
              <w:ind w:left="28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0.63</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2,634,707</w:t>
            </w:r>
          </w:p>
        </w:tc>
      </w:tr>
      <w:tr>
        <w:trPr>
          <w:trHeight w:val="32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to the selling stockholders</w:t>
            </w:r>
          </w:p>
        </w:tc>
        <w:tc>
          <w:tcPr>
            <w:tcW w:w="302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66.87</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279,655,288</w:t>
            </w:r>
          </w:p>
        </w:tc>
      </w:tr>
    </w:tbl>
    <w:p>
      <w:pPr>
        <w:spacing w:after="0" w:line="1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certain risks. See “Risk Factors” beginning on page 1 of the accompanying prospectus.</w:t>
      </w:r>
    </w:p>
    <w:p>
      <w:pPr>
        <w:spacing w:after="0" w:line="144" w:lineRule="exact"/>
        <w:rPr>
          <w:sz w:val="24"/>
          <w:szCs w:val="24"/>
          <w:color w:val="auto"/>
        </w:rPr>
      </w:pPr>
    </w:p>
    <w:p>
      <w:pPr>
        <w:jc w:val="both"/>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We expect that delivery of the shares will be made in New York, New York on or about December 5, 2006.</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JPMorgan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November 29, 2006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supplement and the accompanying prospectus. We have not authorized anyone else to provide you with any additional or different information. If anyone provides you with different or inconsistent information, you should not rely on it. We are not making an offer to sell securities in any jurisdiction where the offer or sale is not permitted. The information contained in this prospectus supplement or the accompanying prospectus is current only as of the date of this prospectus supplement or the accompanying prospectus, as the case may be, and any information incorporated by reference is current only as of the date of the document incorporated by reference. Our business, financial condition, results of operations and prospects may have changed since those dates.</w:t>
      </w:r>
    </w:p>
    <w:p>
      <w:pPr>
        <w:spacing w:after="0" w:line="12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common stock or possession or distribution of this prospectus supplement or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60" w:type="dxa"/>
            <w:vAlign w:val="bottom"/>
          </w:tcPr>
          <w:p>
            <w:pPr>
              <w:jc w:val="right"/>
              <w:ind w:right="4267"/>
              <w:spacing w:after="0"/>
              <w:rPr>
                <w:sz w:val="20"/>
                <w:szCs w:val="20"/>
                <w:color w:val="auto"/>
              </w:rPr>
            </w:pPr>
            <w:r>
              <w:rPr>
                <w:rFonts w:ascii="Arial" w:cs="Arial" w:eastAsia="Arial" w:hAnsi="Arial"/>
                <w:sz w:val="32"/>
                <w:szCs w:val="32"/>
                <w:b w:val="1"/>
                <w:bCs w:val="1"/>
                <w:color w:val="auto"/>
              </w:rPr>
              <w:t>Table of contents</w:t>
            </w:r>
          </w:p>
        </w:tc>
      </w:tr>
      <w:tr>
        <w:trPr>
          <w:trHeight w:val="527"/>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60" w:type="dxa"/>
            <w:vAlign w:val="bottom"/>
          </w:tcPr>
          <w:p>
            <w:pPr>
              <w:jc w:val="right"/>
              <w:ind w:right="3747"/>
              <w:spacing w:after="0"/>
              <w:rPr>
                <w:sz w:val="20"/>
                <w:szCs w:val="20"/>
                <w:color w:val="auto"/>
              </w:rPr>
            </w:pPr>
            <w:r>
              <w:rPr>
                <w:rFonts w:ascii="Arial" w:cs="Arial" w:eastAsia="Arial" w:hAnsi="Arial"/>
                <w:sz w:val="32"/>
                <w:szCs w:val="32"/>
                <w:b w:val="1"/>
                <w:bCs w:val="1"/>
                <w:color w:val="auto"/>
              </w:rPr>
              <w:t>Prospectus supplement</w:t>
            </w:r>
          </w:p>
        </w:tc>
      </w:tr>
      <w:tr>
        <w:trPr>
          <w:trHeight w:val="295"/>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5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Selling stockholders</w:t>
              </w:r>
            </w:hyperlink>
          </w:p>
        </w:tc>
        <w:tc>
          <w:tcPr>
            <w:tcW w:w="98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1000" w:type="dxa"/>
            <w:vAlign w:val="bottom"/>
            <w:tcBorders>
              <w:bottom w:val="single" w:sz="8" w:color="0000EE"/>
            </w:tcBorders>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Underwriting</w:t>
              </w:r>
            </w:hyperlink>
          </w:p>
        </w:tc>
        <w:tc>
          <w:tcPr>
            <w:tcW w:w="560" w:type="dxa"/>
            <w:vAlign w:val="bottom"/>
          </w:tcPr>
          <w:p>
            <w:pPr>
              <w:spacing w:after="0"/>
              <w:rPr>
                <w:sz w:val="21"/>
                <w:szCs w:val="21"/>
                <w:color w:val="auto"/>
              </w:rPr>
            </w:pPr>
          </w:p>
        </w:tc>
        <w:tc>
          <w:tcPr>
            <w:tcW w:w="9860" w:type="dxa"/>
            <w:vAlign w:val="bottom"/>
          </w:tcPr>
          <w:p>
            <w:pPr>
              <w:jc w:val="right"/>
              <w:spacing w:after="0"/>
              <w:rPr>
                <w:sz w:val="20"/>
                <w:szCs w:val="20"/>
                <w:color w:val="auto"/>
              </w:rPr>
            </w:pPr>
            <w:r>
              <w:rPr>
                <w:rFonts w:ascii="Arial" w:cs="Arial" w:eastAsia="Arial" w:hAnsi="Arial"/>
                <w:sz w:val="18"/>
                <w:szCs w:val="18"/>
                <w:color w:val="auto"/>
              </w:rPr>
              <w:t>S-2</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720" w:type="dxa"/>
            <w:vAlign w:val="bottom"/>
          </w:tcPr>
          <w:p>
            <w:pPr>
              <w:jc w:val="right"/>
              <w:ind w:right="5027"/>
              <w:spacing w:after="0"/>
              <w:rPr>
                <w:sz w:val="20"/>
                <w:szCs w:val="20"/>
                <w:color w:val="auto"/>
              </w:rPr>
            </w:pPr>
            <w:r>
              <w:rPr>
                <w:rFonts w:ascii="Arial" w:cs="Arial" w:eastAsia="Arial" w:hAnsi="Arial"/>
                <w:sz w:val="32"/>
                <w:szCs w:val="32"/>
                <w:b w:val="1"/>
                <w:bCs w:val="1"/>
                <w:color w:val="auto"/>
              </w:rPr>
              <w:t>Prospectus</w:t>
            </w:r>
          </w:p>
        </w:tc>
      </w:tr>
      <w:tr>
        <w:trPr>
          <w:trHeight w:val="172"/>
        </w:trPr>
        <w:tc>
          <w:tcPr>
            <w:tcW w:w="1720" w:type="dxa"/>
            <w:vAlign w:val="bottom"/>
            <w:tcBorders>
              <w:bottom w:val="single" w:sz="8" w:color="0000EE"/>
            </w:tcBorders>
            <w:gridSpan w:val="7"/>
          </w:tcPr>
          <w:p>
            <w:pPr>
              <w:spacing w:after="0" w:line="17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Schlumberger Limited</w:t>
              </w:r>
            </w:hyperlink>
          </w:p>
        </w:tc>
        <w:tc>
          <w:tcPr>
            <w:tcW w:w="1980" w:type="dxa"/>
            <w:vAlign w:val="bottom"/>
            <w:gridSpan w:val="4"/>
          </w:tcPr>
          <w:p>
            <w:pPr>
              <w:spacing w:after="0"/>
              <w:rPr>
                <w:sz w:val="14"/>
                <w:szCs w:val="14"/>
                <w:color w:val="auto"/>
              </w:rPr>
            </w:pPr>
          </w:p>
        </w:tc>
        <w:tc>
          <w:tcPr>
            <w:tcW w:w="772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250"/>
        </w:trPr>
        <w:tc>
          <w:tcPr>
            <w:tcW w:w="370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50"/>
        </w:trPr>
        <w:tc>
          <w:tcPr>
            <w:tcW w:w="370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Forward-Looking Statements</w:t>
              </w:r>
            </w:hyperlink>
          </w:p>
        </w:tc>
        <w:tc>
          <w:tcPr>
            <w:tcW w:w="7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1440" w:type="dxa"/>
            <w:vAlign w:val="bottom"/>
            <w:gridSpan w:val="3"/>
          </w:tcPr>
          <w:p>
            <w:pPr>
              <w:spacing w:after="0"/>
              <w:rPr>
                <w:sz w:val="21"/>
                <w:szCs w:val="21"/>
                <w:color w:val="auto"/>
              </w:rPr>
            </w:pPr>
          </w:p>
        </w:tc>
        <w:tc>
          <w:tcPr>
            <w:tcW w:w="7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50"/>
        </w:trPr>
        <w:tc>
          <w:tcPr>
            <w:tcW w:w="37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Selected Historical Consolidated Financial Data</w:t>
              </w:r>
            </w:hyperlink>
          </w:p>
        </w:tc>
        <w:tc>
          <w:tcPr>
            <w:tcW w:w="7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6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Selling Stockholders</w:t>
              </w:r>
            </w:hyperlink>
          </w:p>
        </w:tc>
        <w:tc>
          <w:tcPr>
            <w:tcW w:w="2100" w:type="dxa"/>
            <w:vAlign w:val="bottom"/>
            <w:gridSpan w:val="5"/>
          </w:tcPr>
          <w:p>
            <w:pPr>
              <w:spacing w:after="0"/>
              <w:rPr>
                <w:sz w:val="21"/>
                <w:szCs w:val="21"/>
                <w:color w:val="auto"/>
              </w:rPr>
            </w:pPr>
          </w:p>
        </w:tc>
        <w:tc>
          <w:tcPr>
            <w:tcW w:w="7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370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7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50"/>
        </w:trPr>
        <w:tc>
          <w:tcPr>
            <w:tcW w:w="23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Description of Common Stock</w:t>
              </w:r>
            </w:hyperlink>
          </w:p>
        </w:tc>
        <w:tc>
          <w:tcPr>
            <w:tcW w:w="1360" w:type="dxa"/>
            <w:vAlign w:val="bottom"/>
            <w:gridSpan w:val="2"/>
          </w:tcPr>
          <w:p>
            <w:pPr>
              <w:spacing w:after="0"/>
              <w:rPr>
                <w:sz w:val="21"/>
                <w:szCs w:val="21"/>
                <w:color w:val="auto"/>
              </w:rPr>
            </w:pPr>
          </w:p>
        </w:tc>
        <w:tc>
          <w:tcPr>
            <w:tcW w:w="7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10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Legal Matters</w:t>
              </w:r>
            </w:hyperlink>
          </w:p>
        </w:tc>
        <w:tc>
          <w:tcPr>
            <w:tcW w:w="2620" w:type="dxa"/>
            <w:vAlign w:val="bottom"/>
            <w:gridSpan w:val="8"/>
          </w:tcPr>
          <w:p>
            <w:pPr>
              <w:spacing w:after="0"/>
              <w:rPr>
                <w:sz w:val="21"/>
                <w:szCs w:val="21"/>
                <w:color w:val="auto"/>
              </w:rPr>
            </w:pPr>
          </w:p>
        </w:tc>
        <w:tc>
          <w:tcPr>
            <w:tcW w:w="7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370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7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50"/>
        </w:trPr>
        <w:tc>
          <w:tcPr>
            <w:tcW w:w="370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7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70"/>
        </w:trPr>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7720" w:type="dxa"/>
            <w:vAlign w:val="bottom"/>
          </w:tcPr>
          <w:p>
            <w:pPr>
              <w:jc w:val="right"/>
              <w:ind w:right="5587"/>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Selling stockholders</w:t>
      </w:r>
    </w:p>
    <w:p>
      <w:pPr>
        <w:spacing w:after="0" w:line="19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 sets forth the total number of shares of our common stock held by each selling stockholder named below as of the date of this prospectus supplement and the number of shares of our common stock offered hereby by each such selling stockholder. Certain selling stockholders named in the accompanying prospectus are not selling their shares in this offering. No selling stockholder named in the table below owns more than 1% of our outstanding common stock before the offering. Such selling stockholders will not own any shares of our common stock immediately after the closing of this offering.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jc w:val="right"/>
              <w:ind w:right="980"/>
              <w:spacing w:after="0"/>
              <w:rPr>
                <w:sz w:val="20"/>
                <w:szCs w:val="20"/>
                <w:color w:val="auto"/>
              </w:rPr>
            </w:pPr>
            <w:r>
              <w:rPr>
                <w:rFonts w:ascii="Arial" w:cs="Arial" w:eastAsia="Arial" w:hAnsi="Arial"/>
                <w:sz w:val="18"/>
                <w:szCs w:val="18"/>
                <w:b w:val="1"/>
                <w:bCs w:val="1"/>
                <w:color w:val="auto"/>
              </w:rPr>
              <w:t>Number of</w:t>
            </w:r>
          </w:p>
        </w:tc>
        <w:tc>
          <w:tcPr>
            <w:tcW w:w="8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shares of</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 of</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common</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common</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stock</w:t>
            </w:r>
          </w:p>
        </w:tc>
        <w:tc>
          <w:tcPr>
            <w:tcW w:w="186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w w:val="95"/>
              </w:rPr>
              <w:t>Number of</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stock</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w w:val="95"/>
              </w:rPr>
              <w:t>beneficially</w:t>
            </w:r>
          </w:p>
        </w:tc>
        <w:tc>
          <w:tcPr>
            <w:tcW w:w="186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shares of</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beneficially</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owned</w:t>
            </w:r>
          </w:p>
        </w:tc>
        <w:tc>
          <w:tcPr>
            <w:tcW w:w="186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common</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owned</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prior to</w:t>
            </w:r>
          </w:p>
        </w:tc>
        <w:tc>
          <w:tcPr>
            <w:tcW w:w="186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stock</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after</w:t>
            </w:r>
          </w:p>
        </w:tc>
      </w:tr>
      <w:tr>
        <w:trPr>
          <w:trHeight w:val="203"/>
        </w:trPr>
        <w:tc>
          <w:tcPr>
            <w:tcW w:w="5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the</w:t>
            </w:r>
          </w:p>
        </w:tc>
        <w:tc>
          <w:tcPr>
            <w:tcW w:w="1860" w:type="dxa"/>
            <w:vAlign w:val="bottom"/>
            <w:gridSpan w:val="2"/>
          </w:tcPr>
          <w:p>
            <w:pPr>
              <w:jc w:val="right"/>
              <w:ind w:right="980"/>
              <w:spacing w:after="0" w:line="202" w:lineRule="exact"/>
              <w:rPr>
                <w:sz w:val="20"/>
                <w:szCs w:val="20"/>
                <w:color w:val="auto"/>
              </w:rPr>
            </w:pPr>
            <w:r>
              <w:rPr>
                <w:rFonts w:ascii="Arial" w:cs="Arial" w:eastAsia="Arial" w:hAnsi="Arial"/>
                <w:sz w:val="18"/>
                <w:szCs w:val="18"/>
                <w:b w:val="1"/>
                <w:bCs w:val="1"/>
                <w:color w:val="auto"/>
              </w:rPr>
              <w:t>offered</w:t>
            </w:r>
          </w:p>
        </w:tc>
        <w:tc>
          <w:tcPr>
            <w:tcW w:w="9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w w:val="88"/>
              </w:rPr>
              <w:t>the</w:t>
            </w:r>
          </w:p>
        </w:tc>
      </w:tr>
      <w:tr>
        <w:trPr>
          <w:trHeight w:val="246"/>
        </w:trPr>
        <w:tc>
          <w:tcPr>
            <w:tcW w:w="5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80" w:type="dxa"/>
            <w:vAlign w:val="bottom"/>
          </w:tcPr>
          <w:p>
            <w:pPr>
              <w:spacing w:after="0"/>
              <w:rPr>
                <w:sz w:val="21"/>
                <w:szCs w:val="21"/>
                <w:color w:val="auto"/>
              </w:rPr>
            </w:pPr>
          </w:p>
        </w:tc>
        <w:tc>
          <w:tcPr>
            <w:tcW w:w="19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offering(1)</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hereby</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offering (1)</w:t>
            </w:r>
          </w:p>
        </w:tc>
      </w:tr>
      <w:tr>
        <w:trPr>
          <w:trHeight w:val="97"/>
        </w:trPr>
        <w:tc>
          <w:tcPr>
            <w:tcW w:w="56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102"/>
        </w:trPr>
        <w:tc>
          <w:tcPr>
            <w:tcW w:w="5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Janak Kumar Basnet</w:t>
            </w:r>
          </w:p>
        </w:tc>
        <w:tc>
          <w:tcPr>
            <w:tcW w:w="2920" w:type="dxa"/>
            <w:vAlign w:val="bottom"/>
            <w:gridSpan w:val="3"/>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47,309</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47,309</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Marjoram Limited</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1,182,744</w:t>
            </w:r>
          </w:p>
        </w:tc>
        <w:tc>
          <w:tcPr>
            <w:tcW w:w="9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1,182,744</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Yulievich Djaparidze</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709,646</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709,646</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Efraim Dory</w:t>
            </w:r>
          </w:p>
        </w:tc>
        <w:tc>
          <w:tcPr>
            <w:tcW w:w="2920" w:type="dxa"/>
            <w:vAlign w:val="bottom"/>
            <w:gridSpan w:val="3"/>
          </w:tcPr>
          <w:p>
            <w:pPr>
              <w:jc w:val="right"/>
              <w:ind w:right="980"/>
              <w:spacing w:after="0" w:line="202" w:lineRule="exact"/>
              <w:rPr>
                <w:sz w:val="20"/>
                <w:szCs w:val="20"/>
                <w:color w:val="auto"/>
              </w:rPr>
            </w:pPr>
            <w:r>
              <w:rPr>
                <w:rFonts w:ascii="Arial" w:cs="Arial" w:eastAsia="Arial" w:hAnsi="Arial"/>
                <w:sz w:val="18"/>
                <w:szCs w:val="18"/>
                <w:color w:val="auto"/>
              </w:rPr>
              <w:t>23,654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23,654</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V. Gavura</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6,999</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6,999</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Inter Jura Cy (Services) Limited</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4,827</w:t>
            </w:r>
          </w:p>
        </w:tc>
        <w:tc>
          <w:tcPr>
            <w:tcW w:w="9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4,827</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Igor N. Kerysov</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9,413</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9,413</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Vassili Kyvelidi</w:t>
            </w:r>
          </w:p>
        </w:tc>
        <w:tc>
          <w:tcPr>
            <w:tcW w:w="2920" w:type="dxa"/>
            <w:vAlign w:val="bottom"/>
            <w:gridSpan w:val="3"/>
          </w:tcPr>
          <w:p>
            <w:pPr>
              <w:jc w:val="right"/>
              <w:ind w:right="980"/>
              <w:spacing w:after="0" w:line="202" w:lineRule="exact"/>
              <w:rPr>
                <w:sz w:val="20"/>
                <w:szCs w:val="20"/>
                <w:color w:val="auto"/>
              </w:rPr>
            </w:pPr>
            <w:r>
              <w:rPr>
                <w:rFonts w:ascii="Arial" w:cs="Arial" w:eastAsia="Arial" w:hAnsi="Arial"/>
                <w:sz w:val="18"/>
                <w:szCs w:val="18"/>
                <w:color w:val="auto"/>
              </w:rPr>
              <w:t>94,619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94,619</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Vladimir V. Metlin</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9,413</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9,413</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Andrei Niziev</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416,373</w:t>
            </w:r>
          </w:p>
        </w:tc>
        <w:tc>
          <w:tcPr>
            <w:tcW w:w="9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416,373</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PetroAlliance Directors, Officers and Employees Benefits Plan Limited</w:t>
            </w:r>
          </w:p>
        </w:tc>
        <w:tc>
          <w:tcPr>
            <w:tcW w:w="2920" w:type="dxa"/>
            <w:vAlign w:val="bottom"/>
            <w:gridSpan w:val="3"/>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99,207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99,207</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PetroAlliance Stock Incentive Plan Limited</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529,821</w:t>
            </w:r>
          </w:p>
        </w:tc>
        <w:tc>
          <w:tcPr>
            <w:tcW w:w="9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529,821</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Murat Sampiev</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321,753</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321,753</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Isa Sharaputtinovich Shabanov</w:t>
            </w:r>
          </w:p>
        </w:tc>
        <w:tc>
          <w:tcPr>
            <w:tcW w:w="2920" w:type="dxa"/>
            <w:vAlign w:val="bottom"/>
            <w:gridSpan w:val="3"/>
          </w:tcPr>
          <w:p>
            <w:pPr>
              <w:jc w:val="right"/>
              <w:ind w:right="980"/>
              <w:spacing w:after="0" w:line="202" w:lineRule="exact"/>
              <w:rPr>
                <w:sz w:val="20"/>
                <w:szCs w:val="20"/>
                <w:color w:val="auto"/>
              </w:rPr>
            </w:pPr>
            <w:r>
              <w:rPr>
                <w:rFonts w:ascii="Arial" w:cs="Arial" w:eastAsia="Arial" w:hAnsi="Arial"/>
                <w:sz w:val="18"/>
                <w:szCs w:val="18"/>
                <w:color w:val="auto"/>
              </w:rPr>
              <w:t>47,309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47,309</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Sizov</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416,373</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416,373</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Vladimir Stenin</w:t>
            </w:r>
          </w:p>
        </w:tc>
        <w:tc>
          <w:tcPr>
            <w:tcW w:w="2920" w:type="dxa"/>
            <w:vAlign w:val="bottom"/>
            <w:gridSpan w:val="3"/>
          </w:tcPr>
          <w:p>
            <w:pPr>
              <w:jc w:val="right"/>
              <w:ind w:right="980"/>
              <w:spacing w:after="0" w:line="202" w:lineRule="exact"/>
              <w:rPr>
                <w:sz w:val="20"/>
                <w:szCs w:val="20"/>
                <w:color w:val="auto"/>
              </w:rPr>
            </w:pPr>
            <w:r>
              <w:rPr>
                <w:rFonts w:ascii="Arial" w:cs="Arial" w:eastAsia="Arial" w:hAnsi="Arial"/>
                <w:sz w:val="18"/>
                <w:szCs w:val="18"/>
                <w:color w:val="auto"/>
              </w:rPr>
              <w:t>85,205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85,205</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A. Vaigel</w:t>
            </w:r>
          </w:p>
        </w:tc>
        <w:tc>
          <w:tcPr>
            <w:tcW w:w="2920" w:type="dxa"/>
            <w:vAlign w:val="bottom"/>
            <w:gridSpan w:val="3"/>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47,309</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47,309</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Vadim E. Usakovsky</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106,446</w:t>
            </w:r>
          </w:p>
        </w:tc>
        <w:tc>
          <w:tcPr>
            <w:tcW w:w="9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106,446</w:t>
            </w:r>
          </w:p>
        </w:tc>
        <w:tc>
          <w:tcPr>
            <w:tcW w:w="98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Fuad Aliev</w:t>
            </w:r>
          </w:p>
        </w:tc>
        <w:tc>
          <w:tcPr>
            <w:tcW w:w="2920" w:type="dxa"/>
            <w:vAlign w:val="bottom"/>
            <w:gridSpan w:val="3"/>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23,654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23,654</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108"/>
        </w:trPr>
        <w:tc>
          <w:tcPr>
            <w:tcW w:w="5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102"/>
        </w:trPr>
        <w:tc>
          <w:tcPr>
            <w:tcW w:w="5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3"/>
        </w:trPr>
        <w:tc>
          <w:tcPr>
            <w:tcW w:w="5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4,182,074</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4,182,074</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r>
      <w:tr>
        <w:trPr>
          <w:trHeight w:val="108"/>
        </w:trPr>
        <w:tc>
          <w:tcPr>
            <w:tcW w:w="56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pacing w:after="0" w:line="175" w:lineRule="exact"/>
        <w:rPr>
          <w:sz w:val="20"/>
          <w:szCs w:val="20"/>
          <w:color w:val="auto"/>
        </w:rPr>
      </w:pPr>
    </w:p>
    <w:p>
      <w:pPr>
        <w:ind w:left="340" w:right="20" w:hanging="332"/>
        <w:spacing w:after="0" w:line="22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Securities and Exchange Commission and generally includes voting or investment power with respect to securities. Shares of common stock subject to securities exercisable or convertible into shares of common stock that are currently exercisable or exercisable within 60 days of November 29, 2006,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141" w:lineRule="exact"/>
        <w:rPr>
          <w:sz w:val="20"/>
          <w:szCs w:val="20"/>
          <w:color w:val="auto"/>
        </w:rPr>
      </w:pPr>
    </w:p>
    <w:p>
      <w:pPr>
        <w:jc w:val="both"/>
        <w:ind w:right="480"/>
        <w:spacing w:after="0" w:line="236" w:lineRule="auto"/>
        <w:rPr>
          <w:sz w:val="20"/>
          <w:szCs w:val="20"/>
          <w:color w:val="auto"/>
        </w:rPr>
      </w:pPr>
      <w:r>
        <w:rPr>
          <w:rFonts w:ascii="Arial" w:cs="Arial" w:eastAsia="Arial" w:hAnsi="Arial"/>
          <w:sz w:val="18"/>
          <w:szCs w:val="18"/>
          <w:color w:val="auto"/>
        </w:rPr>
        <w:t>Certain selling stockholders received and sold shares of our common stock in connection with our 2004 and 2005 acquisitions of interests in PetroAlliance Services Company Limited. Each of the selling stockholders was a security holder of PetroAlliance Services Company Limited immediately prior to our acquisition of additional interests in PetroAlliance Services Company Limited. Except as set forth above, none of the selling stockholders has, or within the past three years has had, any position, office or other material relationship with us or, insofar as we are aware, any of our predecessors or affiliates.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Underwriting</w:t>
      </w:r>
    </w:p>
    <w:p>
      <w:pPr>
        <w:spacing w:after="0" w:line="19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Under the terms of a purchase agreement, which we will file as an exhibit to a current report on Form 8-K and incorporate by reference in the prospectus, J.P. Morgan Securities Inc. has agreed to purchase from the selling stockholders 4,182,074 shares of our common stock.</w:t>
      </w:r>
    </w:p>
    <w:p>
      <w:pPr>
        <w:spacing w:after="0" w:line="14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purchase agreement provides that the underwriter is obligated to purchase all of the shares of common stock offered hereby, if any of the shares are purchased. However, the underwriter’s obligation to purchase shares of common stock depends on the satisfaction of the conditions contained in the purchase agreement including:</w:t>
      </w:r>
    </w:p>
    <w:p>
      <w:pPr>
        <w:spacing w:after="0" w:line="141"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stockholders to the underwriter are true;</w:t>
      </w:r>
    </w:p>
    <w:p>
      <w:pPr>
        <w:spacing w:after="0" w:line="18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event or occurrence that would reasonably be expected to have a material adverse effect on our financial condition, business, results of operation or prospects;</w:t>
      </w:r>
    </w:p>
    <w:p>
      <w:pPr>
        <w:spacing w:after="0" w:line="141"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material change in the financial markets; and</w:t>
      </w:r>
    </w:p>
    <w:p>
      <w:pPr>
        <w:spacing w:after="0" w:line="18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and the selling stockholders deliver customary closing documents to the underwriter.</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Commissions and discounts</w:t>
      </w:r>
    </w:p>
    <w:p>
      <w:pPr>
        <w:spacing w:after="0" w:line="17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Shares sold by the underwriter to the public will initially be offered at the offering price set forth on the cover of this prospectus supplement. Any shares sold by the underwriter to securities dealers may be sold at a discount of up to $0.10 per share from the public offering price. If all the shares are not sold at the public offering price, the underwriter may change the offering price and the other selling terms. Upon the terms and subject to the conditions in the purchase agreement, the underwriter is obligated to purchase the shares at the price and upon the terms stated therein, and, as a result, bears any risk associated with changing the offering price to the public or other selling terms.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 share and total underwriting discounts and commissions the selling stockholders will pay to the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14"/>
        </w:trPr>
        <w:tc>
          <w:tcPr>
            <w:tcW w:w="994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2,634,707</w:t>
            </w:r>
          </w:p>
        </w:tc>
      </w:tr>
      <w:tr>
        <w:trPr>
          <w:trHeight w:val="97"/>
        </w:trPr>
        <w:tc>
          <w:tcPr>
            <w:tcW w:w="9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pacing w:after="0" w:line="260"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We estimate that the total expense of this offering payable by us, which do not include the underwriting discounts and commissions, will be approximately $100,000.</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w:t>
      </w:r>
    </w:p>
    <w:p>
      <w:pPr>
        <w:spacing w:after="0" w:line="1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and the selling stockholders have agreed to indemnify the underwriter against certain liabilities, including liabilities under the Securities Act of 1933, or to contribute to payments the underwriter may be required to make in respect of those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York Stock Exchange listing</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common stock is traded on the New York Stock Exchange under the symbol “SLB.”</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 stabilization, short positions</w:t>
      </w:r>
    </w:p>
    <w:p>
      <w:pPr>
        <w:spacing w:after="0" w:line="174"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underwriter may engage in over-allotment, stabilizing transactions, syndicate covering transactions, and penalty bids or purchases for the purpose of pegging, fixing or maintaining the price of the common stock, in accordance with Regulation M under the Exchange Act of 1934:</w:t>
      </w:r>
    </w:p>
    <w:p>
      <w:pPr>
        <w:spacing w:after="0" w:line="95" w:lineRule="exact"/>
        <w:rPr>
          <w:sz w:val="20"/>
          <w:szCs w:val="20"/>
          <w:color w:val="auto"/>
        </w:rPr>
      </w:pPr>
    </w:p>
    <w:p>
      <w:pPr>
        <w:ind w:left="220" w:right="28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Over-allotment involves sales by the underwriter of shares in excess of the number of shares the underwriter is obligated to purchase, which creates a naked short position. The underwriter may close out any short position by purchasing shares in the open market.</w:t>
      </w:r>
    </w:p>
    <w:p>
      <w:pPr>
        <w:spacing w:after="0" w:line="141"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84" w:lineRule="exact"/>
        <w:rPr>
          <w:rFonts w:ascii="Arial" w:cs="Arial" w:eastAsia="Arial" w:hAnsi="Arial"/>
          <w:sz w:val="18"/>
          <w:szCs w:val="18"/>
          <w:color w:val="auto"/>
        </w:rPr>
      </w:pPr>
    </w:p>
    <w:p>
      <w:pPr>
        <w:ind w:left="220" w:hanging="212"/>
        <w:spacing w:after="0" w:line="23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naked short positions, which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spacing w:after="0" w:line="141" w:lineRule="exact"/>
        <w:rPr>
          <w:rFonts w:ascii="Arial" w:cs="Arial" w:eastAsia="Arial" w:hAnsi="Arial"/>
          <w:sz w:val="18"/>
          <w:szCs w:val="18"/>
          <w:color w:val="auto"/>
        </w:rPr>
      </w:pPr>
    </w:p>
    <w:p>
      <w:pPr>
        <w:ind w:left="220" w:right="40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Penalty bids permit the underwriter to reclaim a selling concession from a syndicate member when the common stock originally sold by the syndicate member is purchased in a stabilizing or syndicate covering transaction.</w:t>
      </w:r>
    </w:p>
    <w:p>
      <w:pPr>
        <w:spacing w:after="0" w:line="14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If these activities are commenced, they may be discontinued by the underwriter at any time. The underwriter may carry out these transactions on the New York Stock Exchange, in the over-the-counter market or otherwise.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Relationships</w:t>
      </w:r>
    </w:p>
    <w:p>
      <w:pPr>
        <w:spacing w:after="0" w:line="174"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J.P. Morgan Securities Inc. and its predecessors and affiliates have from time to time provided and expect to continue to provide certain commercial banking, financial advisory and investment banking services for us for which they receive customary fees.</w:t>
      </w:r>
    </w:p>
    <w:p>
      <w:pPr>
        <w:spacing w:after="0" w:line="14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J.P. Morgan Securities Inc. and its affiliates may from time to time in the future engage in transactions with us and perform services for us in the ordinary course of their business.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4,636,341 Shares</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229870</wp:posOffset>
            </wp:positionV>
            <wp:extent cx="162052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4,636,341 shares of our common stock offered by this prospectus were originally issued by us in offshore transactions and in private placements in connection with our acquisition of interests in PetroAlliance Services Company Limited. All of the shares of common stock offered by this prospectus may be sold from time to time by or on behalf the selling stockholders named herein. The shares of common stock covered by this prospectus may be sold at fixed prices, at market prices prevailing at the time of sale, at prices related to such prevailing market prices or at negotiated prices. We will not receive any of the proceeds from the sale of our common stock by the selling stockholders. Please read “Plan of Distribution.”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May 18, 2006, the closing sale price of our common stock as reported on the New York Stock Exchange was $64.40 per share.</w:t>
      </w:r>
    </w:p>
    <w:p>
      <w:pPr>
        <w:spacing w:after="0" w:line="132" w:lineRule="exact"/>
        <w:rPr>
          <w:sz w:val="20"/>
          <w:szCs w:val="20"/>
          <w:color w:val="auto"/>
        </w:rPr>
      </w:pPr>
    </w:p>
    <w:p>
      <w:pPr>
        <w:ind w:left="24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common stock involves risk. Please read “ </w:t>
      </w:r>
      <w:hyperlink w:anchor="page8">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208280</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150495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19, 2006.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we have provided or incorporated by reference in this prospectus. We have not authorized any person to provide you with additional or different information. We are not making an offer of these securities in any jurisdiction where the offer is not permitted.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prospectus may have changed since those dates.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200" w:type="dxa"/>
            <w:vAlign w:val="bottom"/>
            <w:gridSpan w:val="7"/>
            <w:vMerge w:val="restart"/>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SCHLUMBERGER LIMITED</w:t>
              </w:r>
            </w:hyperlink>
          </w:p>
        </w:tc>
        <w:tc>
          <w:tcPr>
            <w:tcW w:w="8940" w:type="dxa"/>
            <w:vAlign w:val="bottom"/>
            <w:gridSpan w:val="5"/>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200" w:type="dxa"/>
            <w:vAlign w:val="bottom"/>
            <w:tcBorders>
              <w:bottom w:val="single" w:sz="8" w:color="0000EE"/>
            </w:tcBorders>
            <w:gridSpan w:val="7"/>
            <w:vMerge w:val="continue"/>
          </w:tcPr>
          <w:p>
            <w:pPr>
              <w:spacing w:after="0"/>
              <w:rPr>
                <w:sz w:val="14"/>
                <w:szCs w:val="14"/>
                <w:color w:val="auto"/>
              </w:rPr>
            </w:pPr>
          </w:p>
        </w:tc>
        <w:tc>
          <w:tcPr>
            <w:tcW w:w="8940" w:type="dxa"/>
            <w:vAlign w:val="bottom"/>
            <w:gridSpan w:val="5"/>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82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SELECTED HISTORICAL CONSOLIDATED FINANCIAL DATA</w:t>
              </w:r>
            </w:hyperlink>
          </w:p>
        </w:tc>
        <w:tc>
          <w:tcPr>
            <w:tcW w:w="63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89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82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97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Founded in 1927, we are the world’s leading oilfield services company, supplying technology, project management, and information solutions that optimize performance in the oil and gas industry. As of December 31, 2005, we employed more than 60,000 people of over 140 nationalities operating in more than 80 countries. We have two business segments:</w:t>
      </w:r>
    </w:p>
    <w:p>
      <w:pPr>
        <w:spacing w:after="0" w:line="59" w:lineRule="exact"/>
        <w:rPr>
          <w:sz w:val="20"/>
          <w:szCs w:val="20"/>
          <w:color w:val="auto"/>
        </w:rPr>
      </w:pPr>
    </w:p>
    <w:p>
      <w:pPr>
        <w:ind w:left="780" w:right="2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Oilfield Services is the world’s premier oilfield services company supplying a wide range of technology services and solutions to the international oil and gas industry.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WesternGeco is the world’s largest and most advanced surface seismic company.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are incorporated under the laws of the Netherlands Antilles. The mailing addresses and telephone numbers of our principal executive offices are:</w:t>
      </w:r>
    </w:p>
    <w:p>
      <w:pPr>
        <w:spacing w:after="0" w:line="11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153 East 53rd Street, 57th Floor, New York, New York, 10022-4624, 212-350-9400;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42 Rue Saint-Dominique, Paris, France, 75007, 33-1-4062-1000;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Parkstraat 83, The Hague, The Netherlands 2514 JG, 31-70-310-5400.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in the documents incorporated by reference in this prospectus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218"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2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4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non-United States operations accounted for approximately 75% of our consolidated revenues in 2005 and 74% in both 2004 and 2003. Operations in countries other than the United States are subject to various risks, including:</w:t>
      </w:r>
    </w:p>
    <w:p>
      <w:pPr>
        <w:spacing w:after="0" w:line="5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Libya and Cuba, which are subject to trade, economic sanctions or other restrictions imposed by the United States government.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44"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costs or become the basis of new or increased liabilities that could reduce our earnings and our cash available for operations. We believe we are currently in substantial compliance with environmental laws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19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oilfield service businesses intensifies as activity increases. In periods of high utilization it may become more difficult to find and retain qualified individuals. This could increase our costs or have other adverse effects on our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(the “Securities Act”) and Section 21E of the Securities Exchange Act of 1934 (the “Exchange Act”). Forward-looking statements include the information concerning our possible or assumed future results of operations, including statements about the following subjects:</w:t>
      </w:r>
    </w:p>
    <w:p>
      <w:pPr>
        <w:spacing w:after="0" w:line="32"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and market outlook;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growth as a whole and growth for each of Oilfield Services and WesternGeco;</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and capital expenditures by us and the oil and gas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customers’ business strategies;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depreciation and amortization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pension and post-retirement funding;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SFAS 123R and stock-based compensation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buy-back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benefits from contract awards and performance of contracts;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outcomes of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results of operations and/or financial position;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Forward-looking statements in this prospectus or in the documents incorporated by reference in this prospectus are generally identifiable by use of the following words and other similar expressions, among others: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“anticipate”;</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“estimate”;</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“may”;</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“project”;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“believe”;</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“expect”;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“might”;</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“shall”;</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“budget”;</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“forecast”;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“plan”;</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w w:val="89"/>
              </w:rPr>
              <w:t>“should”; and</w:t>
            </w:r>
          </w:p>
        </w:tc>
      </w:t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rPr>
              <w:t>“could”;</w:t>
            </w: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“intend”;</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620" w:type="dxa"/>
            <w:vAlign w:val="bottom"/>
          </w:tcPr>
          <w:p>
            <w:pPr>
              <w:ind w:left="120"/>
              <w:spacing w:after="0"/>
              <w:rPr>
                <w:sz w:val="20"/>
                <w:szCs w:val="20"/>
                <w:color w:val="auto"/>
              </w:rPr>
            </w:pPr>
            <w:r>
              <w:rPr>
                <w:rFonts w:ascii="Arial" w:cs="Arial" w:eastAsia="Arial" w:hAnsi="Arial"/>
                <w:sz w:val="18"/>
                <w:szCs w:val="18"/>
                <w:color w:val="auto"/>
              </w:rPr>
              <w:t>“predict”;</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“will.”</w:t>
            </w:r>
          </w:p>
        </w:tc>
      </w:tr>
    </w:tbl>
    <w:p>
      <w:pPr>
        <w:spacing w:after="0" w:line="15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Assumptions, beliefs, expectations, intentions and projections about future events may and often do vary materially from actual results. Therefore, actual results may differ materially from those expressed or implied by our forward-looking statements. Some of the factors that could cause actual results to differ from those expressed or implied by our forward-looking statements are described in the “Risk Factors” section of this prospectus, in the “Management’s Discussion and Analysis of Financial Condition and Results of Operations” and “Risk Factors” sections of our Annual Report on Form 10-K for the fiscal year ended December 31, 2005, and in our subsequent filings with the Securities and Exchange Commission (“SEC”).</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shares of common stock by the selling stockholders.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January 19, 2006, our Board of Directors approved a two-for-one split of our common stock. Stockholders of record as of March 1, 2006 were entitled to one additional share for every share outstanding, which was distributed on April 7, 2006. The following table sets forth the restated earnings per share, cash dividends declared per share and average shares outstanding data to reflect the effect of the stock split and other selected financial data (in millions,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9"/>
          </w:tcPr>
          <w:p>
            <w:pPr>
              <w:jc w:val="right"/>
              <w:ind w:right="12"/>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4"/>
          </w:tcPr>
          <w:p>
            <w:pPr>
              <w:jc w:val="right"/>
              <w:ind w:right="5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2003</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Operating revenue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4,239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3,159</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14,309</w:t>
            </w:r>
          </w:p>
        </w:tc>
        <w:tc>
          <w:tcPr>
            <w:tcW w:w="880" w:type="dxa"/>
            <w:vAlign w:val="bottom"/>
            <w:gridSpan w:val="6"/>
          </w:tcPr>
          <w:p>
            <w:pPr>
              <w:jc w:val="right"/>
              <w:ind w:right="120"/>
              <w:spacing w:after="0"/>
              <w:rPr>
                <w:sz w:val="20"/>
                <w:szCs w:val="20"/>
                <w:color w:val="auto"/>
              </w:rPr>
            </w:pPr>
            <w:r>
              <w:rPr>
                <w:rFonts w:ascii="Arial" w:cs="Arial" w:eastAsia="Arial" w:hAnsi="Arial"/>
                <w:sz w:val="18"/>
                <w:szCs w:val="18"/>
                <w:color w:val="auto"/>
              </w:rPr>
              <w:t>$11,480</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$10,017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9,657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1,014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2,207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1,224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(2,320)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Income from continuing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(loss) from discontinued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880"/>
              <w:spacing w:after="0" w:line="243" w:lineRule="exact"/>
              <w:rPr>
                <w:sz w:val="20"/>
                <w:szCs w:val="20"/>
                <w:color w:val="auto"/>
              </w:rPr>
            </w:pPr>
            <w:r>
              <w:rPr>
                <w:rFonts w:ascii="Arial" w:cs="Arial" w:eastAsia="Arial" w:hAnsi="Arial"/>
                <w:sz w:val="18"/>
                <w:szCs w:val="18"/>
                <w:color w:val="auto"/>
              </w:rPr>
              <w:t>Net income (loss)</w:t>
            </w:r>
            <w:r>
              <w:rPr>
                <w:rFonts w:ascii="Arial" w:cs="Arial" w:eastAsia="Arial" w:hAnsi="Arial"/>
                <w:sz w:val="22"/>
                <w:szCs w:val="22"/>
                <w:color w:val="auto"/>
                <w:vertAlign w:val="superscript"/>
              </w:rPr>
              <w:t>(1)</w:t>
            </w: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Add back amortization of goodwill</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880"/>
              <w:spacing w:after="0" w:line="223"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2"/>
                <w:szCs w:val="22"/>
                <w:color w:val="auto"/>
                <w:vertAlign w:val="superscript"/>
              </w:rPr>
              <w:t>(1)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Income from continuing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(loss) from discontinued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Add back amortization of goodwill</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Adjusted net income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1.82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Avg. number of shares outstanding:</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1,180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1,179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1,168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Assuming dilution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7"/>
              </w:rPr>
              <w:t>1,241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Cash dividends declared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0.125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0.105</w:t>
            </w:r>
          </w:p>
        </w:tc>
        <w:tc>
          <w:tcPr>
            <w:tcW w:w="3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0.420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0.375</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0.375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0.375</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INFORMATION: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Working capital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3,350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88"/>
              </w:rPr>
              <w:t>3,039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2,359</w:t>
            </w:r>
          </w:p>
        </w:tc>
        <w:tc>
          <w:tcPr>
            <w:tcW w:w="1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18,542</w:t>
            </w:r>
          </w:p>
        </w:tc>
        <w:tc>
          <w:tcPr>
            <w:tcW w:w="8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87"/>
              </w:rPr>
              <w:t>$  18,077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16,001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20,041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19,435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22,326</w:t>
            </w: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3,635</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88"/>
              </w:rPr>
              <w:t>3,591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3,944</w:t>
            </w:r>
          </w:p>
        </w:tc>
        <w:tc>
          <w:tcPr>
            <w:tcW w:w="1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6,097</w:t>
            </w: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6,029</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8,131</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7,592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6,117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5,606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Amounts may not add due to rounding.</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selected historical data in the table above for the three-month periods ended March 31, 2006 and 2005 were derived from our unaudited consolidated financial statements. The data for the five years ended December 31, 2005 were derived from our audited consolidated financial statements.</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Financial information incorporated by reference into this prospectus from our Annual Report on Form 10-K for the fiscal year ended December 31, 2005 has not been restated to reflect the two-for-one stock split.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table sets forth the total number of shares of our common stock held by each selling stockholder as of the date of this prospectus and the number of shares of our common stock of each selling stockholder offered by this prospectus. No estimate can be given as to the number of shares of our common stock that each selling stockholder will own after the sale of any shares under this prospectus, because the selling stockholders may offer all, some or none of their respective shares. No selling stockholder named in the table below owns or will own more than 1% of our outstanding common stock before or after the offering.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8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7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r>
      <w:tr>
        <w:trPr>
          <w:trHeight w:val="182"/>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5"/>
                <w:szCs w:val="15"/>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8"/>
              </w:rPr>
              <w:t>Owned</w:t>
            </w:r>
            <w:r>
              <w:rPr>
                <w:rFonts w:ascii="Arial" w:cs="Arial" w:eastAsia="Arial" w:hAnsi="Arial"/>
                <w:sz w:val="18"/>
                <w:szCs w:val="18"/>
                <w:b w:val="1"/>
                <w:bCs w:val="1"/>
                <w:color w:val="auto"/>
                <w:w w:val="98"/>
                <w:vertAlign w:val="superscript"/>
              </w:rPr>
              <w:t>(1)</w:t>
            </w:r>
          </w:p>
        </w:tc>
        <w:tc>
          <w:tcPr>
            <w:tcW w:w="86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 be Offered</w:t>
            </w:r>
          </w:p>
        </w:tc>
      </w:tr>
      <w:tr>
        <w:trPr>
          <w:trHeight w:val="195"/>
        </w:trPr>
        <w:tc>
          <w:tcPr>
            <w:tcW w:w="7580" w:type="dxa"/>
            <w:vAlign w:val="bottom"/>
          </w:tcPr>
          <w:p>
            <w:pPr>
              <w:spacing w:after="0" w:line="195" w:lineRule="exact"/>
              <w:rPr>
                <w:sz w:val="20"/>
                <w:szCs w:val="20"/>
                <w:color w:val="auto"/>
              </w:rPr>
            </w:pPr>
            <w:r>
              <w:rPr>
                <w:rFonts w:ascii="Arial" w:cs="Arial" w:eastAsia="Arial" w:hAnsi="Arial"/>
                <w:sz w:val="18"/>
                <w:szCs w:val="18"/>
                <w:color w:val="auto"/>
              </w:rPr>
              <w:t>Janak Kumar Basnet</w:t>
            </w:r>
          </w:p>
        </w:tc>
        <w:tc>
          <w:tcPr>
            <w:tcW w:w="860" w:type="dxa"/>
            <w:vAlign w:val="bottom"/>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47,309</w:t>
            </w:r>
          </w:p>
        </w:tc>
        <w:tc>
          <w:tcPr>
            <w:tcW w:w="860" w:type="dxa"/>
            <w:vAlign w:val="bottom"/>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47,309</w:t>
            </w:r>
          </w:p>
        </w:tc>
        <w:tc>
          <w:tcPr>
            <w:tcW w:w="20" w:type="dxa"/>
            <w:vAlign w:val="bottom"/>
          </w:tcPr>
          <w:p>
            <w:pPr>
              <w:spacing w:after="0"/>
              <w:rPr>
                <w:sz w:val="16"/>
                <w:szCs w:val="16"/>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Glen Bird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Marjoram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1,182,744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1,182,744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Yulievich Djaparidze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709,646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709,646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Efraim Dory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V. Gavura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6,999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6,999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Martin Hansen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94,619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Inter Jura Cy (Services)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4,827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4,827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Igor N. Kerysov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Vassili Kyvelidi</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94,619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Vladimir V. Metlin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9,413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Andrei Niziev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416,373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416,373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Petro Alliance Directors, Officers and Employees Benefits Plan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99,207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99,207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Petro Alliance Stock Incentive Plan Limited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529,821</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529,821</w:t>
            </w:r>
          </w:p>
        </w:tc>
      </w:tr>
      <w:tr>
        <w:trPr>
          <w:trHeight w:val="216"/>
        </w:trPr>
        <w:tc>
          <w:tcPr>
            <w:tcW w:w="7580" w:type="dxa"/>
            <w:vAlign w:val="bottom"/>
          </w:tcPr>
          <w:p>
            <w:pPr>
              <w:spacing w:after="0" w:line="217" w:lineRule="exact"/>
              <w:rPr>
                <w:sz w:val="20"/>
                <w:szCs w:val="20"/>
                <w:color w:val="auto"/>
              </w:rPr>
            </w:pPr>
            <w:r>
              <w:rPr>
                <w:rFonts w:ascii="Arial" w:cs="Arial" w:eastAsia="Arial" w:hAnsi="Arial"/>
                <w:sz w:val="18"/>
                <w:szCs w:val="18"/>
                <w:color w:val="auto"/>
              </w:rPr>
              <w:t>The Rice Family Living Trust</w:t>
            </w:r>
            <w:r>
              <w:rPr>
                <w:rFonts w:ascii="Arial" w:cs="Arial" w:eastAsia="Arial" w:hAnsi="Arial"/>
                <w:sz w:val="22"/>
                <w:szCs w:val="22"/>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94,619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94,619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Thomas A. Russell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236,548</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Murat Sampiev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321,753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321,753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Isa Sharaputtinovich Shabanov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47,309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47,309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Sizov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416,373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416,373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Vladimir Stenin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85,205</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85,205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Alexander A. Vaigel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47,309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47,309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Vadim E. Usakovsky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106,446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106,446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David Gray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4,827</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4,827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Fuad Aliev</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23,654</w:t>
            </w:r>
          </w:p>
        </w:tc>
      </w:tr>
      <w:tr>
        <w:trPr>
          <w:trHeight w:val="222"/>
        </w:trPr>
        <w:tc>
          <w:tcPr>
            <w:tcW w:w="7580" w:type="dxa"/>
            <w:vAlign w:val="bottom"/>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4,636,341</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4,636,341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May 19, 2006,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3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William Rice and Karen Rice serve as trustees of The Rice Family Living Trust and they share investment and voting power with respect to the shares of our common stock beneficially owned by The Rice Family Living Trust.</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of the selling stockholders is a former security holder of PetroAlliance Services Company Limited immediately prior to our acquisition of interests in PetroAlliance Services Company Limited. 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set forth above, none of the selling stockholders has, or within the past three years has had, any position, office or other material relationship with us or, insofar as we are aware, any of our predecessors or affiliates.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by Selling Stockholders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registering the shares of common stock on behalf of the selling stockholders pursuant to the terms of a registration rights agreement entered into in connection with our acquisition of interests in PetroAlliance Services Company Limited. A copy of the registration rights agreement has been filed as an exhibit to the registration statement of which this prospectus is a part.</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Any or all of the selling stockholders may offer the shares of common stock from time to time, either in increments or in a single transaction. The selling stockholders may also decide not to sell all the shares of common stock they are allowed to sell under this prospectus. The selling stockholders will act independently of us in making decisions with respect to the timing, manner and size of each sale.</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Sale Transactions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selling stockholders may sell the shares of common stock offered by this prospectus at market prices prevailing at the time of sale, at prices related to such prevailing market prices, at negotiated prices or at fixed prices that may be changed. Sales of shares of our common stock by the selling stockholders may occur from time to time in one or more of the following types of transactions (which may involve crosses or block transactions):</w:t>
      </w:r>
    </w:p>
    <w:p>
      <w:pPr>
        <w:spacing w:after="0" w:line="2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New York Stock Exchange or any other securities exchange that quotes the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transactions other than on those exchanges or in the over-the-counter market (including negotiated transactions and other private transactions);</w:t>
      </w:r>
    </w:p>
    <w:p>
      <w:pPr>
        <w:spacing w:after="0" w:line="113"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short sales (sales of shares completed by delivery of borrowed stock) of the common stock, in transactions to cover short sales or otherwise in connection with short sales;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pledge to secure debts and other obligations or on foreclosure of a pledge;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put or call options, including the writing of exchange-traded call options, or other hedging transactions related to the common stock;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 combination of any of the above transactions.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stockholders may enter into hedging transactions from time to time in which a selling stockholder may:</w:t>
      </w:r>
    </w:p>
    <w:p>
      <w:pPr>
        <w:spacing w:after="0" w:line="90" w:lineRule="exact"/>
        <w:rPr>
          <w:sz w:val="20"/>
          <w:szCs w:val="20"/>
          <w:color w:val="auto"/>
        </w:rPr>
      </w:pPr>
    </w:p>
    <w:p>
      <w:pPr>
        <w:ind w:left="7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59"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common stock short itself and redeliver shares offered by this prospectus to close out its short positions or to close out stock loans incurred in connection with its short positions;</w:t>
      </w:r>
    </w:p>
    <w:p>
      <w:pPr>
        <w:spacing w:after="0" w:line="5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common stock to a broker-dealer or any other person, who will then resell or transfer the common stock under this prospectus;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any other person, who may sell the loaned shares or, in an event of default in the case of a pledge, sell the pledged shares under this prospectus.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stockholders may use broker-dealers or other persons to sell their shares in transactions that may include one or more of the following:</w:t>
      </w:r>
    </w:p>
    <w:p>
      <w:pPr>
        <w:spacing w:after="0" w:line="11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block trade in which a broker-dealer or other person may resell a portion of the block, as principal or agent, in order to facilitate the transaction;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broker-dealer or other person, as principal, and resale by the broker-dealer or other person for its account;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Resales by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stockholder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4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selling stockholders and any agent, broker or dealer that participates in sales of common stock offered by this prospectus may be deemed “underwriters” under the Securities Act, and any commissions or other consideration received by any agent, broker or dealer may be considered underwriting discounts or commissions under the Securities Act.</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Instead of selling shares of common stock under this prospectus, the selling stockholders may sell shares of common stock in compliance with the provisions of Rule 144 under the Securities Act, if available.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informed the selling stockholders that the anti-manipulation provisions of Regulation M under the Exchange Act may apply to their sales of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Delivery Requirements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a selling stockholder may be deemed an underwriter, the selling stockholders must deliver this prospectus and any supplements to this prospectus in the manner required by the Securities Act. This might include delivery through the facilities of the New York Stock Exchange in accordance with Rule 153 under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to indemnify selling stockholders against certain liabilities arising under the Securities Act from sales of common stock. The selling stockholders may agree to indemnify any agent, broker or dealer that participates in sales of common stock against liabilities arising under the Securities Act from sales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of Registration Statement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Under the registration rights agreement, we will use our commercially reasonable efforts to keep the registration statement of which this prospectus is a part effective until the earlier of (1) the sale of all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registrable securities registered under the registration statement; and (2) two years after the date of the third closing at which we acquired additional interests in PetroAlliance Services Company Limited.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permitted to suspend the use of this prospectus for a period not to exceed 90 consecutive days and an aggregate of 150 days during any calendar year if the use of this prospectus would be significantly disadvantageous to us or our stockholders for any reason, including the existence, or in anticipation, of any acquisition, divestiture or financing activity involving us or the unavailability of any required financial statements, or any disclosure that would be required to be made or any other event or condition of similar significance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this Offering</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have agreed, among other things, to pay all expenses in connection with the registration and sale of the shares of common stock covered by this prospectus, other than underwriting fees, discounts, selling commissions and stock transfer taxes applicable to the sale of our common stock by the selling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summarizes the material terms of our capital stock. Reference is made to our articles of incorporation and our bylaws, each as amended to date. Please read “Where You Can Find More Information” for information on how to obtain a copy of our articles of incorporation or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Issued and Treasury Shares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issue an aggregate of 3,000,000,000 shares of common stock, par value $0.01 per share. As of April 30, 2006, 1,334,212,164 shares were issued, of which 1,181,344,225 shares were outstanding and 152,867,939 shares were held by us as treasury stock.</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the articles of incorporation, our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outstanding shares of our common stock (i.e.,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Entitlement to Vote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No action may be taken at any general meeting of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us or the amendment of our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Required Vote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the articles of incorporation this requirement does not apply to a reorganization or rearrangement of us or any of our subsidiaries or any of our assets in any transaction that does not result in any diminution of the beneficial interest of the stockholders in our assets.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articles of incorporation, the board of directors may move our corporate seat to, or convert us into a legal entity under the laws of, another jurisdiction, and may change our corporate domicile from the Netherlands Antilles to another jurisdiction to the extent allowed by applicable law. In certain cases, stockholder approval of such action may not be required under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shares of our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our nominal capital.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stockholders may be called at any time upon the direction of the chairman, the vice chairman, the chief executive 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articles of incorporation, any one person, or any two or more legal entities belonging to the same group, holding shares representing at least 90% of our equity can require the remaining stockholders to transfer their shares as provided by and in accordance with the provisions of Netherlands Antilles law. This provision is somewhat similar to statutes that exist in Delaware and most states in the United States, which typically allow the owner or owners of 90% of a company’s outstanding equity to effect a “short-form” merger. In order to effect a compulsory share transfer, the owner or owners of 90% of our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common stock is listed for trading on the New York Stock Exchange, The London Stock Exchange, Euronext Paris, Euronext Amsterdam and The SWS Swiss Exchange. The transfer agent and registrar for the common stock is Computershare Trust Company, N.A., Canton, Massachusetts.</w:t>
      </w: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common stock will be passed upon for us by Ellen Summer, Esq., our General Counsel.</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our Annual Report on Form 10-K have been so incorporated in reliance on the report of PricewaterhouseCoopers LLP, an independent registered public accounting firm, given on the authority of said firm as experts in auditing and accounting.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over the Internet at our website at www.slb.com and at the SEC’s website 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www.sec.gov. You may also read and copy any document we file at the SEC’s Public Reference Room at 100 F. Street N.E.,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prospectus is part of a registration statement that we have filed with the SEC relating to the common stock.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 (c), 14 and 15(d) of the Exchange Act after the date of the initial registration statement and prior to the effectiveness of the registration statement:</w:t>
      </w:r>
    </w:p>
    <w:p>
      <w:pPr>
        <w:spacing w:after="0" w:line="39"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19, 2006 (two reports), January 24, 2006, April 18, 2006 and April 21, 2006 (Item 8.01 only);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with the SEC on April 29, 2005.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350-9400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4420"/>
        <w:spacing w:after="0"/>
        <w:rPr>
          <w:sz w:val="20"/>
          <w:szCs w:val="20"/>
          <w:color w:val="auto"/>
        </w:rPr>
      </w:pPr>
      <w:r>
        <w:rPr>
          <w:rFonts w:ascii="Arial" w:cs="Arial" w:eastAsia="Arial" w:hAnsi="Arial"/>
          <w:sz w:val="32"/>
          <w:szCs w:val="32"/>
          <w:b w:val="1"/>
          <w:bCs w:val="1"/>
          <w:i w:val="1"/>
          <w:iCs w:val="1"/>
          <w:color w:val="auto"/>
        </w:rPr>
        <w:t>4,182,074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123825</wp:posOffset>
            </wp:positionV>
            <wp:extent cx="1620520" cy="368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Schlumberger Limited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i w:val="1"/>
          <w:iCs w:val="1"/>
          <w:color w:val="auto"/>
        </w:rPr>
        <w:t>Common stock</w:t>
      </w:r>
    </w:p>
    <w:p>
      <w:pPr>
        <w:spacing w:after="0" w:line="14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Prospectus supplement</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32"/>
          <w:szCs w:val="32"/>
          <w:b w:val="1"/>
          <w:bCs w:val="1"/>
          <w:color w:val="auto"/>
        </w:rPr>
        <w:t>JPMorgan</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29, 2006</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2019-12-13T06:50:08Z</dcterms:created>
  <dcterms:modified xsi:type="dcterms:W3CDTF">2019-12-13T06:50:08Z</dcterms:modified>
</cp:coreProperties>
</file>