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Schlumberger N.V.</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ChampionX Corporation</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Filer’s SEC File No.: 001-38441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April 3, 2024</w:t>
      </w:r>
    </w:p>
    <w:p>
      <w:pPr>
        <w:sectPr>
          <w:pgSz w:w="11900" w:h="16838" w:orient="portrait"/>
          <w:cols w:equalWidth="0" w:num="1">
            <w:col w:w="10020"/>
          </w:cols>
          <w:pgMar w:left="1440" w:top="229" w:right="439" w:bottom="1440" w:gutter="0" w:footer="0" w:header="0"/>
        </w:sectPr>
      </w:pPr>
    </w:p>
    <w:bookmarkStart w:id="1" w:name="page2"/>
    <w:bookmarkEnd w:id="1"/>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0"/>
          <w:szCs w:val="20"/>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0"/>
          <w:szCs w:val="20"/>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196" w:lineRule="exact"/>
        <w:rPr>
          <w:sz w:val="20"/>
          <w:szCs w:val="20"/>
          <w:color w:val="auto"/>
        </w:rPr>
      </w:pPr>
    </w:p>
    <w:p>
      <w:pPr>
        <w:ind w:left="3764"/>
        <w:spacing w:after="0"/>
        <w:rPr>
          <w:sz w:val="20"/>
          <w:szCs w:val="20"/>
          <w:color w:val="auto"/>
        </w:rPr>
      </w:pPr>
      <w:r>
        <w:rPr>
          <w:rFonts w:ascii="Times New Roman" w:cs="Times New Roman" w:eastAsia="Times New Roman" w:hAnsi="Times New Roman"/>
          <w:sz w:val="32"/>
          <w:szCs w:val="32"/>
          <w:b w:val="1"/>
          <w:bCs w:val="1"/>
          <w:color w:val="auto"/>
        </w:rPr>
        <w:t>ChampionX Corporation</w:t>
      </w:r>
    </w:p>
    <w:p>
      <w:pPr>
        <w:spacing w:after="0" w:line="45" w:lineRule="exact"/>
        <w:rPr>
          <w:sz w:val="20"/>
          <w:szCs w:val="20"/>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0"/>
          <w:szCs w:val="20"/>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0"/>
          <w:szCs w:val="20"/>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 12a6(i)(1) and 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5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April 2, 2024, ChampionX Corporation posted the following onto its social media accounts.</w:t>
      </w:r>
    </w:p>
    <w:p>
      <w:pPr>
        <w:sectPr>
          <w:pgSz w:w="11900" w:h="16838" w:orient="portrait"/>
          <w:cols w:equalWidth="0" w:num="1">
            <w:col w:w="10019"/>
          </w:cols>
          <w:pgMar w:left="440" w:top="270"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ChampionX LinkedIn Post</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are excited to announce that ChampionX has agreed to be acquired by SLB, a partner whose resources and reach are expected to enhance our production chemical, artificial lift, drilling technologies, digital and emissions expertise.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#weareChampionX #journey #valuecreation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Section 27A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Section 21E of the Securities Exchange Act of 1934, as amended.</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w:t>
      </w:r>
    </w:p>
    <w:p>
      <w:pPr>
        <w:sectPr>
          <w:pgSz w:w="11900" w:h="16838" w:orient="portrait"/>
          <w:cols w:equalWidth="0" w:num="1">
            <w:col w:w="11000"/>
          </w:cols>
          <w:pgMar w:left="440" w:top="266" w:right="459" w:bottom="1440" w:gutter="0" w:footer="0" w:header="0"/>
        </w:sectPr>
      </w:pPr>
    </w:p>
    <w:bookmarkStart w:id="4" w:name="page5"/>
    <w:bookmarkEnd w:id="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January 24, 2024 and Part 1, Item 1A, “Risk Factors” in ChampionX’s Annual Report on Form 10-K for the year ended December 31, 2023 filed with the SEC on February 6, 2024, and each of their respective, subsequent Quarterly Reports on Form 10-Q and Current Reports on Form 8-K.</w:t>
      </w:r>
    </w:p>
    <w:p>
      <w:pPr>
        <w:spacing w:after="0" w:line="1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w:t>
      </w:r>
    </w:p>
    <w:p>
      <w:pPr>
        <w:sectPr>
          <w:pgSz w:w="11900" w:h="16838" w:orient="portrait"/>
          <w:cols w:equalWidth="0" w:num="1">
            <w:col w:w="11000"/>
          </w:cols>
          <w:pgMar w:left="440" w:top="270" w:right="459" w:bottom="1440" w:gutter="0" w:footer="0" w:header="0"/>
        </w:sectPr>
      </w:pPr>
    </w:p>
    <w:bookmarkStart w:id="5" w:name="page6"/>
    <w:bookmarkEnd w:id="5"/>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risks, as well as other risks related to the proposed transaction, will be included in the Form S-4 and proxy statement/prospectus (each, as defined below)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Transaction and Where to Find It</w:t>
      </w:r>
    </w:p>
    <w:p>
      <w:pPr>
        <w:spacing w:after="0" w:line="11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SLB intends to file with the SEC a registration statement on Form S-4 (the “</w:t>
      </w:r>
      <w:r>
        <w:rPr>
          <w:rFonts w:ascii="Times New Roman" w:cs="Times New Roman" w:eastAsia="Times New Roman" w:hAnsi="Times New Roman"/>
          <w:sz w:val="18"/>
          <w:szCs w:val="18"/>
          <w:b w:val="1"/>
          <w:bCs w:val="1"/>
          <w:i w:val="1"/>
          <w:iCs w:val="1"/>
          <w:color w:val="auto"/>
        </w:rPr>
        <w:t>Form S-4</w:t>
      </w:r>
      <w:r>
        <w:rPr>
          <w:rFonts w:ascii="Times New Roman" w:cs="Times New Roman" w:eastAsia="Times New Roman" w:hAnsi="Times New Roman"/>
          <w:sz w:val="18"/>
          <w:szCs w:val="18"/>
          <w:color w:val="auto"/>
        </w:rPr>
        <w:t>”) that will include a proxy statement of ChampionX and that also constitutes a prospectus of SLB with respect to the shares of SLB to be issued in the proposed transaction (the “</w:t>
      </w:r>
      <w:r>
        <w:rPr>
          <w:rFonts w:ascii="Times New Roman" w:cs="Times New Roman" w:eastAsia="Times New Roman" w:hAnsi="Times New Roman"/>
          <w:sz w:val="18"/>
          <w:szCs w:val="18"/>
          <w:b w:val="1"/>
          <w:bCs w:val="1"/>
          <w:i w:val="1"/>
          <w:iCs w:val="1"/>
          <w:color w:val="auto"/>
        </w:rPr>
        <w:t>proxy statement/prospectus</w:t>
      </w:r>
      <w:r>
        <w:rPr>
          <w:rFonts w:ascii="Times New Roman" w:cs="Times New Roman" w:eastAsia="Times New Roman" w:hAnsi="Times New Roman"/>
          <w:sz w:val="18"/>
          <w:szCs w:val="18"/>
          <w:color w:val="auto"/>
        </w:rPr>
        <w:t>”).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p>
      <w:pPr>
        <w:sectPr>
          <w:pgSz w:w="11900" w:h="16838" w:orient="portrait"/>
          <w:cols w:equalWidth="0" w:num="1">
            <w:col w:w="11000"/>
          </w:cols>
          <w:pgMar w:left="440" w:top="270" w:right="45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21" w:lineRule="exact"/>
        <w:rPr>
          <w:sz w:val="20"/>
          <w:szCs w:val="20"/>
          <w:color w:val="auto"/>
        </w:rPr>
      </w:pPr>
    </w:p>
    <w:p>
      <w:pPr>
        <w:ind w:left="4" w:right="100"/>
        <w:spacing w:after="0" w:line="267" w:lineRule="auto"/>
        <w:rPr>
          <w:rFonts w:ascii="Times New Roman" w:cs="Times New Roman" w:eastAsia="Times New Roman" w:hAnsi="Times New Roman"/>
          <w:sz w:val="17"/>
          <w:szCs w:val="17"/>
          <w:color w:val="000000"/>
        </w:rPr>
      </w:pPr>
      <w:r>
        <w:rPr>
          <w:rFonts w:ascii="Times New Roman" w:cs="Times New Roman" w:eastAsia="Times New Roman" w:hAnsi="Times New Roman"/>
          <w:sz w:val="17"/>
          <w:szCs w:val="17"/>
          <w:color w:val="auto"/>
        </w:rPr>
        <w:t xml:space="preserve">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w:t>
      </w:r>
      <w:hyperlink r:id="rId20">
        <w:r>
          <w:rPr>
            <w:rFonts w:ascii="Times New Roman" w:cs="Times New Roman" w:eastAsia="Times New Roman" w:hAnsi="Times New Roman"/>
            <w:sz w:val="17"/>
            <w:szCs w:val="17"/>
            <w:color w:val="auto"/>
          </w:rPr>
          <w:t>interests, by security holdings or otherwise, is set forth in SLB’s proxy statement for its 2024 Annual Meeting of Stockholders (</w:t>
        </w:r>
        <w:r>
          <w:rPr>
            <w:rFonts w:ascii="Times New Roman" w:cs="Times New Roman" w:eastAsia="Times New Roman" w:hAnsi="Times New Roman"/>
            <w:sz w:val="17"/>
            <w:szCs w:val="17"/>
            <w:u w:val="single" w:color="auto"/>
            <w:color w:val="0000EE"/>
          </w:rPr>
          <w:t>https://www.sec.gov/ix?</w:t>
        </w:r>
      </w:hyperlink>
      <w:r>
        <w:rPr>
          <w:rFonts w:ascii="Times New Roman" w:cs="Times New Roman" w:eastAsia="Times New Roman" w:hAnsi="Times New Roman"/>
          <w:sz w:val="17"/>
          <w:szCs w:val="17"/>
          <w:color w:val="auto"/>
        </w:rPr>
        <w:t xml:space="preserve"> </w:t>
      </w:r>
      <w:hyperlink r:id="rId20">
        <w:r>
          <w:rPr>
            <w:rFonts w:ascii="Times New Roman" w:cs="Times New Roman" w:eastAsia="Times New Roman" w:hAnsi="Times New Roman"/>
            <w:sz w:val="17"/>
            <w:szCs w:val="17"/>
            <w:u w:val="single" w:color="auto"/>
            <w:color w:val="0000EE"/>
          </w:rPr>
          <w:t>doc=/Archives/edgar/data/0000087347/000130817924000033/lslb2024_def14a.htm</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which was filed with the SEC on February 22, 2024,</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00"/>
          </w:rPr>
          <w:t>including</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00"/>
        </w:rPr>
        <w:t>under the sections entitled</w:t>
      </w:r>
      <w:r>
        <w:rPr>
          <w:rFonts w:ascii="Times New Roman" w:cs="Times New Roman" w:eastAsia="Times New Roman" w:hAnsi="Times New Roman"/>
          <w:sz w:val="17"/>
          <w:szCs w:val="17"/>
          <w:color w:val="000000"/>
        </w:rPr>
        <w:t xml:space="preserve">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w:t>
      </w:r>
      <w:hyperlink r:id="rId21">
        <w:r>
          <w:rPr>
            <w:rFonts w:ascii="Times New Roman" w:cs="Times New Roman" w:eastAsia="Times New Roman" w:hAnsi="Times New Roman"/>
            <w:sz w:val="17"/>
            <w:szCs w:val="17"/>
            <w:u w:val="single" w:color="auto"/>
            <w:color w:val="0000EE"/>
          </w:rPr>
          <w:t>https://www.sec.gov/ix?doc=/Archives/edgar/data/0000087347/000095017024006884/slb-20231231.htm</w:t>
        </w:r>
      </w:hyperlink>
      <w:r>
        <w:rPr>
          <w:rFonts w:ascii="Times New Roman" w:cs="Times New Roman" w:eastAsia="Times New Roman" w:hAnsi="Times New Roman"/>
          <w:sz w:val="17"/>
          <w:szCs w:val="17"/>
          <w:color w:val="000000"/>
        </w:rPr>
        <w:t>),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w:t>
      </w:r>
    </w:p>
    <w:p>
      <w:pPr>
        <w:spacing w:after="0" w:line="2" w:lineRule="exact"/>
        <w:rPr>
          <w:rFonts w:ascii="Times New Roman" w:cs="Times New Roman" w:eastAsia="Times New Roman" w:hAnsi="Times New Roman"/>
          <w:sz w:val="17"/>
          <w:szCs w:val="17"/>
          <w:color w:val="auto"/>
        </w:rPr>
      </w:pPr>
    </w:p>
    <w:p>
      <w:pPr>
        <w:ind w:left="4" w:hanging="4"/>
        <w:spacing w:after="0" w:line="265" w:lineRule="auto"/>
        <w:tabs>
          <w:tab w:leader="none" w:pos="27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2023 Annual Meeting of Stockholders (</w:t>
      </w:r>
      <w:hyperlink r:id="rId22">
        <w:r>
          <w:rPr>
            <w:rFonts w:ascii="Times New Roman" w:cs="Times New Roman" w:eastAsia="Times New Roman" w:hAnsi="Times New Roman"/>
            <w:sz w:val="17"/>
            <w:szCs w:val="17"/>
            <w:u w:val="single" w:color="auto"/>
            <w:color w:val="0000EE"/>
          </w:rPr>
          <w:t>https://www.sec.gov/ix?doc=/Archives/edgar/data/1723089/000172308923000073/championx-20230327.htm</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 which 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w:t>
      </w:r>
      <w:hyperlink r:id="rId23">
        <w:r>
          <w:rPr>
            <w:rFonts w:ascii="Times New Roman" w:cs="Times New Roman" w:eastAsia="Times New Roman" w:hAnsi="Times New Roman"/>
            <w:sz w:val="17"/>
            <w:szCs w:val="17"/>
            <w:color w:val="auto"/>
          </w:rPr>
          <w:t>the fiscal year ended December 31, 2023 (</w:t>
        </w:r>
        <w:r>
          <w:rPr>
            <w:rFonts w:ascii="Times New Roman" w:cs="Times New Roman" w:eastAsia="Times New Roman" w:hAnsi="Times New Roman"/>
            <w:sz w:val="17"/>
            <w:szCs w:val="17"/>
            <w:u w:val="single" w:color="auto"/>
            <w:color w:val="0000EE"/>
          </w:rPr>
          <w:t>https://www.sec.gov/ix?doc=/Archives/edgar/data/1723089/000172308924000011/championx-</w:t>
        </w:r>
      </w:hyperlink>
    </w:p>
    <w:p>
      <w:pPr>
        <w:spacing w:after="0" w:line="1" w:lineRule="exact"/>
        <w:rPr>
          <w:rFonts w:ascii="Times New Roman" w:cs="Times New Roman" w:eastAsia="Times New Roman" w:hAnsi="Times New Roman"/>
          <w:sz w:val="17"/>
          <w:szCs w:val="17"/>
          <w:color w:val="auto"/>
        </w:rPr>
      </w:pPr>
    </w:p>
    <w:p>
      <w:pPr>
        <w:ind w:left="4" w:right="20"/>
        <w:spacing w:after="0" w:line="252" w:lineRule="auto"/>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u w:val="single" w:color="auto"/>
            <w:color w:val="0000EE"/>
          </w:rPr>
          <w:t>20231231.htm</w:t>
        </w:r>
        <w:r>
          <w:rPr>
            <w:rFonts w:ascii="Times New Roman" w:cs="Times New Roman" w:eastAsia="Times New Roman" w:hAnsi="Times New Roman"/>
            <w:sz w:val="18"/>
            <w:szCs w:val="18"/>
            <w:color w:val="000000"/>
          </w:rPr>
          <w:t xml:space="preserve">), which was filed with the SEC on February 6, 2024, including under the sections entitled “Item. 10 Directors, Executive </w:t>
        </w:r>
      </w:hyperlink>
      <w:r>
        <w:rPr>
          <w:rFonts w:ascii="Times New Roman" w:cs="Times New Roman" w:eastAsia="Times New Roman" w:hAnsi="Times New Roman"/>
          <w:sz w:val="18"/>
          <w:szCs w:val="18"/>
          <w:color w:val="0000EE"/>
        </w:rPr>
        <w:t xml:space="preserve">Officers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w:t>
      </w:r>
    </w:p>
    <w:sectPr>
      <w:pgSz w:w="11900" w:h="16838" w:orient="portrait"/>
      <w:cols w:equalWidth="0" w:num="1">
        <w:col w:w="11024"/>
      </w:cols>
      <w:pgMar w:left="436"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hyperlink" Target="http://www.sec.gov/ix?doc=/Archives/edgar/data/0000087347/000130817924000033/lslb2024_def14a.htm" TargetMode="External"/><Relationship Id="rId21" Type="http://schemas.openxmlformats.org/officeDocument/2006/relationships/hyperlink" Target="http://www.sec.gov/ix?doc=/Archives/edgar/data/0000087347/000095017024006884/slb-20231231.htm" TargetMode="External"/><Relationship Id="rId22" Type="http://schemas.openxmlformats.org/officeDocument/2006/relationships/hyperlink" Target="http://www.sec.gov/ix?doc=/Archives/edgar/data/1723089/000172308923000073/championx-20230327.htm" TargetMode="External"/><Relationship Id="rId23" Type="http://schemas.openxmlformats.org/officeDocument/2006/relationships/hyperlink" Target="http://www.sec.gov/ix?doc=/Archives/edgar/data/1723089/000172308924000011/championx-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2024-04-04T05:22:21Z</dcterms:created>
  <dcterms:modified xsi:type="dcterms:W3CDTF">2024-04-04T05:22:21Z</dcterms:modified>
</cp:coreProperties>
</file>