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AUGUST 31, 1998</w:t>
      </w:r>
    </w:p>
    <w:p>
      <w:pPr>
        <w:spacing w:after="0" w:line="200" w:lineRule="exact"/>
        <w:rPr>
          <w:sz w:val="24"/>
          <w:szCs w:val="24"/>
          <w:color w:val="auto"/>
        </w:rPr>
      </w:pPr>
    </w:p>
    <w:p>
      <w:pPr>
        <w:sectPr>
          <w:pgSz w:w="11900" w:h="16838" w:orient="portrait"/>
          <w:cols w:equalWidth="0" w:num="2">
            <w:col w:w="5720" w:space="720"/>
            <w:col w:w="3779"/>
          </w:cols>
          <w:pgMar w:left="240" w:top="655"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296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5"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5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firstLine="421"/>
        <w:spacing w:after="0" w:line="279" w:lineRule="auto"/>
        <w:rPr>
          <w:sz w:val="20"/>
          <w:szCs w:val="20"/>
          <w:color w:val="auto"/>
        </w:rPr>
      </w:pPr>
      <w:r>
        <w:rPr>
          <w:rFonts w:ascii="Courier New" w:cs="Courier New" w:eastAsia="Courier New" w:hAnsi="Courier New"/>
          <w:sz w:val="16"/>
          <w:szCs w:val="16"/>
          <w:color w:val="auto"/>
        </w:rPr>
        <w:t>NETHERLANDS ANTILLES (State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001-04601</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52-0684746</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38" w:orient="portrait"/>
          <w:cols w:equalWidth="0" w:num="3">
            <w:col w:w="2960" w:space="320"/>
            <w:col w:w="2200" w:space="640"/>
            <w:col w:w="4099"/>
          </w:cols>
          <w:pgMar w:left="240" w:top="655" w:right="1440" w:bottom="1440" w:gutter="0" w:footer="0" w:header="0"/>
          <w:type w:val="continuous"/>
        </w:sectPr>
      </w:pPr>
    </w:p>
    <w:p>
      <w:pPr>
        <w:spacing w:after="0" w:line="181" w:lineRule="exact"/>
        <w:rPr>
          <w:sz w:val="24"/>
          <w:szCs w:val="24"/>
          <w:color w:val="auto"/>
        </w:rPr>
      </w:pPr>
    </w:p>
    <w:p>
      <w:pPr>
        <w:ind w:left="120" w:hanging="104"/>
        <w:spacing w:after="0" w:line="279" w:lineRule="auto"/>
        <w:rPr>
          <w:sz w:val="20"/>
          <w:szCs w:val="20"/>
          <w:color w:val="auto"/>
        </w:rPr>
      </w:pPr>
      <w:r>
        <w:rPr>
          <w:rFonts w:ascii="Courier New" w:cs="Courier New" w:eastAsia="Courier New" w:hAnsi="Courier New"/>
          <w:sz w:val="16"/>
          <w:szCs w:val="16"/>
          <w:color w:val="auto"/>
        </w:rPr>
        <w:t>42, RUE SAINT-DOMINQUE PARIS, FRANCE 75007 (33-1) 4062-1000</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277 PARK AVENUE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NEW YORK, USA 10172</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(212) 350-9400</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PARKSTRAAT 83</w:t>
      </w:r>
    </w:p>
    <w:p>
      <w:pPr>
        <w:ind w:left="420"/>
        <w:spacing w:after="0" w:line="238" w:lineRule="auto"/>
        <w:rPr>
          <w:sz w:val="20"/>
          <w:szCs w:val="20"/>
          <w:color w:val="auto"/>
        </w:rPr>
      </w:pPr>
      <w:r>
        <w:rPr>
          <w:rFonts w:ascii="Courier New" w:cs="Courier New" w:eastAsia="Courier New" w:hAnsi="Courier New"/>
          <w:sz w:val="18"/>
          <w:szCs w:val="18"/>
          <w:color w:val="auto"/>
        </w:rPr>
        <w:t>THE HAGUE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THE NETHERLANDS</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2514 JG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(31-70) 310-5447</w:t>
      </w:r>
    </w:p>
    <w:p>
      <w:pPr>
        <w:spacing w:after="0" w:line="200" w:lineRule="exact"/>
        <w:rPr>
          <w:sz w:val="24"/>
          <w:szCs w:val="24"/>
          <w:color w:val="auto"/>
        </w:rPr>
      </w:pPr>
    </w:p>
    <w:p>
      <w:pPr>
        <w:sectPr>
          <w:pgSz w:w="11900" w:h="16838" w:orient="portrait"/>
          <w:cols w:equalWidth="0" w:num="3">
            <w:col w:w="2320" w:space="640"/>
            <w:col w:w="2940" w:space="320"/>
            <w:col w:w="3999"/>
          </w:cols>
          <w:pgMar w:left="240" w:top="655" w:right="1440" w:bottom="1440" w:gutter="0" w:footer="0" w:header="0"/>
          <w:type w:val="continuous"/>
        </w:sectPr>
      </w:pPr>
    </w:p>
    <w:p>
      <w:pPr>
        <w:spacing w:after="0" w:line="24" w:lineRule="exact"/>
        <w:rPr>
          <w:sz w:val="24"/>
          <w:szCs w:val="24"/>
          <w:color w:val="auto"/>
        </w:rPr>
      </w:pPr>
    </w:p>
    <w:p>
      <w:pPr>
        <w:ind w:left="1380" w:right="3359"/>
        <w:spacing w:after="0" w:line="290" w:lineRule="auto"/>
        <w:rPr>
          <w:sz w:val="20"/>
          <w:szCs w:val="20"/>
          <w:color w:val="auto"/>
        </w:rPr>
      </w:pPr>
      <w:r>
        <w:rPr>
          <w:rFonts w:ascii="Courier New" w:cs="Courier New" w:eastAsia="Courier New" w:hAnsi="Courier New"/>
          <w:sz w:val="16"/>
          <w:szCs w:val="16"/>
          <w:color w:val="auto"/>
        </w:rPr>
        <w:t>(Address, including Zip Code, and Telephone Number, Including Area Code, of Principal Executive Offices)</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August 31, 1998, Schlumberger Limited ("Schlumberger") completed the acquisition of Camco International Inc. ("Camco") pursuant to the Agreement and Plan of Merger dated as of June 18, 1998 among Schlumberger Technology Corporation, a Texas corporation and a wholly owned subsidiary of Schlumberger ("STC"), Schlumberger OFS, Inc., a Delaware corporation and a wholly owned subsidiary of STC ("Sub"), and Camco (the "Merger Agreement"). Pursuant to the Merger Agreement, Sub was merged (the "Merger") with and into Camco, with Camco surviving as a wholly owned subsidiary of STC. As a result of the Merger, each outstanding share of Camco common stock, par value $.01 per share ("Camco Common Stock"), has been converted into the right to receive 1.18 shares of Schlumberger common stock, par value $.01 per share ("Schlumberger Common Stock"). In addition, outstanding options to acquire shares of Camco Common Stock have been converted into options to acquire 1.18 times as many shares of Schlumberger Common Stock at an exercise price equal to the old exercise price divided by 1.18. In the aggregate, Schlumberger is issuing approximately 45.1 million shares of Schlumberger Common Stock and reserving for issuance an additional 2.1 million shares of Schlumberger Common Stock in exchange for the Camco Common Stock and outstanding Camco options. The exchange ratio of 1.18 resulted from arms-length negotiations among Schlumberger and Camco.</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Camco, the common stock of which was previously publicly traded, is one of the world's leading providers of oilfield equipment and services for numerous specialty applications in key phases of oil and gas drilling, completion and production. In particular, Camco is the leading world producer of gas lift systems. Camco also is one of the world's two leading providers of subsurface safety valve systems, synthetic diamond drill bits and electric submersible pump systems, is the world's third leading provider of roller cone drill bits and also operates a large fleet of coiled tubing units in the United States. Schlumberger currently intends to continue such business activities of Camco. There were no material relationships between Schlumberger and Camco prior to the consummation of the Merger.</w:t>
      </w:r>
    </w:p>
    <w:p>
      <w:pPr>
        <w:spacing w:after="0" w:line="216"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 copy of Schlumberger's August 31, 1998 press release that relates to the Merger is attached as Exhibit 99 hereto and incorporated herein by reference.</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7"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The following consolidated financial statements of Camco and independent auditors' report set forth in the Camco Annual Report on Form 10-K for the year ended December 31, 1997 are incorporated herein by reference:</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7"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Consolidated Statements of Operations for each of the three years in the period ended December 31, 1997.</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Consolidated Balance Sheets as of December 31, 1997 and 1996.</w:t>
      </w:r>
    </w:p>
    <w:p>
      <w:pPr>
        <w:spacing w:after="0" w:line="207" w:lineRule="exact"/>
        <w:rPr>
          <w:sz w:val="20"/>
          <w:szCs w:val="20"/>
          <w:color w:val="auto"/>
        </w:rPr>
      </w:pPr>
    </w:p>
    <w:p>
      <w:pPr>
        <w:ind w:left="1060" w:right="1879"/>
        <w:spacing w:after="0" w:line="235" w:lineRule="auto"/>
        <w:rPr>
          <w:sz w:val="20"/>
          <w:szCs w:val="20"/>
          <w:color w:val="auto"/>
        </w:rPr>
      </w:pPr>
      <w:r>
        <w:rPr>
          <w:rFonts w:ascii="Courier New" w:cs="Courier New" w:eastAsia="Courier New" w:hAnsi="Courier New"/>
          <w:sz w:val="18"/>
          <w:szCs w:val="18"/>
          <w:color w:val="auto"/>
        </w:rPr>
        <w:t>Consolidated Statements of Stockholders' Equity for each of the three years in the period ended December 31, 1997.</w:t>
      </w:r>
    </w:p>
    <w:p>
      <w:pPr>
        <w:spacing w:after="0" w:line="208"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Consolidated Statements of Cash Flows for each of the three years in the period ended December 31, 1997.</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The following unaudited consolidated condensed financial statements of Camco set forth in the Camco Form 10-Q for the quarterly period ended June 30, 1998 are incorporated herein by reference:</w:t>
      </w:r>
    </w:p>
    <w:p>
      <w:pPr>
        <w:spacing w:after="0" w:line="209"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Consolidated Condensed Statements of Income for the three months and six months ended June 30, 1998 and 1997.</w:t>
      </w:r>
    </w:p>
    <w:p>
      <w:pPr>
        <w:spacing w:after="0" w:line="208"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Consolidated Condensed Balance Sheets as of June 30, 1998 and December 31, 1997.</w:t>
      </w:r>
    </w:p>
    <w:p>
      <w:pPr>
        <w:spacing w:after="0" w:line="208" w:lineRule="exact"/>
        <w:rPr>
          <w:sz w:val="20"/>
          <w:szCs w:val="20"/>
          <w:color w:val="auto"/>
        </w:rPr>
      </w:pPr>
    </w:p>
    <w:p>
      <w:pPr>
        <w:ind w:left="1060" w:right="2199"/>
        <w:spacing w:after="0" w:line="235" w:lineRule="auto"/>
        <w:rPr>
          <w:sz w:val="20"/>
          <w:szCs w:val="20"/>
          <w:color w:val="auto"/>
        </w:rPr>
      </w:pPr>
      <w:r>
        <w:rPr>
          <w:rFonts w:ascii="Courier New" w:cs="Courier New" w:eastAsia="Courier New" w:hAnsi="Courier New"/>
          <w:sz w:val="18"/>
          <w:szCs w:val="18"/>
          <w:color w:val="auto"/>
        </w:rPr>
        <w:t>Consolidated Condensed Statements of Cash Flows for the six months ended June 30, 1998 and 1997.</w:t>
      </w:r>
    </w:p>
    <w:p>
      <w:pPr>
        <w:spacing w:after="0" w:line="208"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Consolidated Condensed Statements of Comprehensive Income for the three months and six months ended June 30, 1998 and 1997.</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1"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Provision of pro forma financial information for the Company which</w:t>
      </w:r>
    </w:p>
    <w:p>
      <w:pPr>
        <w:spacing w:after="0" w:line="238" w:lineRule="auto"/>
        <w:rPr>
          <w:sz w:val="20"/>
          <w:szCs w:val="20"/>
          <w:color w:val="auto"/>
        </w:rPr>
      </w:pPr>
      <w:r>
        <w:rPr>
          <w:rFonts w:ascii="Courier New" w:cs="Courier New" w:eastAsia="Courier New" w:hAnsi="Courier New"/>
          <w:sz w:val="18"/>
          <w:szCs w:val="18"/>
          <w:color w:val="auto"/>
        </w:rPr>
        <w:t>this item</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s>
        <w:rPr>
          <w:sz w:val="20"/>
          <w:szCs w:val="20"/>
          <w:color w:val="auto"/>
        </w:rPr>
      </w:pPr>
      <w:r>
        <w:rPr>
          <w:rFonts w:ascii="Courier New" w:cs="Courier New" w:eastAsia="Courier New" w:hAnsi="Courier New"/>
          <w:sz w:val="18"/>
          <w:szCs w:val="18"/>
          <w:color w:val="auto"/>
        </w:rPr>
        <w:t>requires is currently impracticable.</w:t>
      </w:r>
      <w:r>
        <w:rPr>
          <w:sz w:val="20"/>
          <w:szCs w:val="20"/>
          <w:color w:val="auto"/>
        </w:rPr>
        <w:tab/>
      </w:r>
      <w:r>
        <w:rPr>
          <w:rFonts w:ascii="Courier New" w:cs="Courier New" w:eastAsia="Courier New" w:hAnsi="Courier New"/>
          <w:sz w:val="16"/>
          <w:szCs w:val="16"/>
          <w:color w:val="auto"/>
        </w:rPr>
        <w:t>The Company will file that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information in an amendment to this Current Report as soon as practicable, but not later than 60 days after the required filing date hereof.</w:t>
      </w:r>
    </w:p>
    <w:p>
      <w:pPr>
        <w:spacing w:after="0" w:line="203"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060" w:right="1779" w:hanging="736"/>
        <w:spacing w:after="0" w:line="237" w:lineRule="auto"/>
        <w:tabs>
          <w:tab w:leader="none" w:pos="1040" w:val="left"/>
        </w:tabs>
        <w:rPr>
          <w:sz w:val="20"/>
          <w:szCs w:val="20"/>
          <w:color w:val="auto"/>
        </w:rPr>
      </w:pPr>
      <w:r>
        <w:rPr>
          <w:rFonts w:ascii="Courier New" w:cs="Courier New" w:eastAsia="Courier New" w:hAnsi="Courier New"/>
          <w:sz w:val="18"/>
          <w:szCs w:val="18"/>
          <w:color w:val="auto"/>
        </w:rPr>
        <w:t>2.1</w:t>
        <w:tab/>
        <w:t>- Agreement and Plan of Merger among Schlumberger Technology Corporation, a Texas corporation, Schlumberger OFS, Inc., a Delaware corporation, and Camco International Inc., a Delaware corporation, dated as of June 18, 1998 (incorporated by reference to Exhibit 2.1 to Schlumberger's Form 8-K dated June 18, 1998, File 001-04601).</w:t>
      </w:r>
    </w:p>
    <w:p>
      <w:pPr>
        <w:spacing w:after="0" w:line="209" w:lineRule="exact"/>
        <w:rPr>
          <w:sz w:val="20"/>
          <w:szCs w:val="20"/>
          <w:color w:val="auto"/>
        </w:rPr>
      </w:pPr>
    </w:p>
    <w:p>
      <w:pPr>
        <w:ind w:left="1280" w:right="2099" w:hanging="736"/>
        <w:spacing w:after="0" w:line="237" w:lineRule="auto"/>
        <w:rPr>
          <w:sz w:val="20"/>
          <w:szCs w:val="20"/>
          <w:color w:val="auto"/>
        </w:rPr>
      </w:pPr>
      <w:r>
        <w:rPr>
          <w:rFonts w:ascii="Courier New" w:cs="Courier New" w:eastAsia="Courier New" w:hAnsi="Courier New"/>
          <w:sz w:val="18"/>
          <w:szCs w:val="18"/>
          <w:color w:val="auto"/>
        </w:rPr>
        <w:t>10.1 - Transaction Agreement between Schlumberger Limited and Camco International Inc., a Delaware corporation, dated as of June 18, 1998 (incorporated by reference to Exhibit 10.1 to Schlumberger's Form 8-K dated June 18, 1998, File 001-04601).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13.1 - Portions of the Camco 1997 Annual Report to Shareholders.</w:t>
      </w:r>
    </w:p>
    <w:p>
      <w:pPr>
        <w:spacing w:after="0" w:line="207" w:lineRule="exact"/>
        <w:rPr>
          <w:sz w:val="20"/>
          <w:szCs w:val="20"/>
          <w:color w:val="auto"/>
        </w:rPr>
      </w:pPr>
    </w:p>
    <w:p>
      <w:pPr>
        <w:ind w:left="1280" w:right="2419" w:hanging="736"/>
        <w:spacing w:after="0" w:line="235" w:lineRule="auto"/>
        <w:rPr>
          <w:sz w:val="20"/>
          <w:szCs w:val="20"/>
          <w:color w:val="auto"/>
        </w:rPr>
      </w:pPr>
      <w:r>
        <w:rPr>
          <w:rFonts w:ascii="Courier New" w:cs="Courier New" w:eastAsia="Courier New" w:hAnsi="Courier New"/>
          <w:sz w:val="18"/>
          <w:szCs w:val="18"/>
          <w:color w:val="auto"/>
        </w:rPr>
        <w:t>13.2 - Portions of the Camco Form 10-Q for the quarterly period ended June 30, 1998.</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23.1 - Consent of Arthur Andersen LLP.</w:t>
      </w:r>
    </w:p>
    <w:p>
      <w:pPr>
        <w:spacing w:after="0" w:line="207" w:lineRule="exact"/>
        <w:rPr>
          <w:sz w:val="20"/>
          <w:szCs w:val="20"/>
          <w:color w:val="auto"/>
        </w:rPr>
      </w:pPr>
    </w:p>
    <w:p>
      <w:pPr>
        <w:ind w:left="1280" w:right="1999" w:hanging="736"/>
        <w:spacing w:after="0" w:line="235" w:lineRule="auto"/>
        <w:rPr>
          <w:sz w:val="20"/>
          <w:szCs w:val="20"/>
          <w:color w:val="auto"/>
        </w:rPr>
      </w:pPr>
      <w:r>
        <w:rPr>
          <w:rFonts w:ascii="Courier New" w:cs="Courier New" w:eastAsia="Courier New" w:hAnsi="Courier New"/>
          <w:sz w:val="18"/>
          <w:szCs w:val="18"/>
          <w:color w:val="auto"/>
        </w:rPr>
        <w:t>99.1 - Press Release dated August 31, 1998, announcing the closing of the Merger.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17"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N.V.</w:t>
      </w:r>
    </w:p>
    <w:p>
      <w:pPr>
        <w:ind w:left="316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David S. Browning</w:t>
      </w:r>
    </w:p>
    <w:p>
      <w:pPr>
        <w:spacing w:after="0"/>
        <w:tabs>
          <w:tab w:leader="none" w:pos="3140" w:val="left"/>
        </w:tabs>
        <w:rPr>
          <w:sz w:val="20"/>
          <w:szCs w:val="20"/>
          <w:color w:val="auto"/>
        </w:rPr>
      </w:pPr>
      <w:r>
        <w:rPr>
          <w:rFonts w:ascii="Courier New" w:cs="Courier New" w:eastAsia="Courier New" w:hAnsi="Courier New"/>
          <w:sz w:val="18"/>
          <w:szCs w:val="18"/>
          <w:color w:val="auto"/>
        </w:rPr>
        <w:t>Dated: August 31, 1998</w:t>
      </w:r>
      <w:r>
        <w:rPr>
          <w:sz w:val="20"/>
          <w:szCs w:val="20"/>
          <w:color w:val="auto"/>
        </w:rPr>
        <w:tab/>
      </w:r>
      <w:r>
        <w:rPr>
          <w:rFonts w:ascii="Courier New" w:cs="Courier New" w:eastAsia="Courier New" w:hAnsi="Courier New"/>
          <w:sz w:val="16"/>
          <w:szCs w:val="16"/>
          <w:color w:val="auto"/>
        </w:rPr>
        <w:t>----------------------------------------</w:t>
      </w:r>
    </w:p>
    <w:p>
      <w:pPr>
        <w:ind w:left="3580"/>
        <w:spacing w:after="0"/>
        <w:rPr>
          <w:sz w:val="20"/>
          <w:szCs w:val="20"/>
          <w:color w:val="auto"/>
        </w:rPr>
      </w:pPr>
      <w:r>
        <w:rPr>
          <w:rFonts w:ascii="Courier New" w:cs="Courier New" w:eastAsia="Courier New" w:hAnsi="Courier New"/>
          <w:sz w:val="18"/>
          <w:szCs w:val="18"/>
          <w:color w:val="auto"/>
        </w:rPr>
        <w:t>David S. Browning</w:t>
      </w:r>
    </w:p>
    <w:p>
      <w:pPr>
        <w:ind w:left="358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INDEX TO EXHIBITS</w:t>
            </w:r>
          </w:p>
        </w:tc>
      </w:tr>
      <w:tr>
        <w:trPr>
          <w:trHeight w:val="608"/>
        </w:trPr>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Number</w:t>
            </w:r>
          </w:p>
        </w:tc>
        <w:tc>
          <w:tcPr>
            <w:tcW w:w="2360" w:type="dxa"/>
            <w:vAlign w:val="bottom"/>
          </w:tcPr>
          <w:p>
            <w:pPr>
              <w:spacing w:after="0"/>
              <w:rPr>
                <w:sz w:val="24"/>
                <w:szCs w:val="24"/>
                <w:color w:val="auto"/>
              </w:rPr>
            </w:pPr>
          </w:p>
        </w:tc>
        <w:tc>
          <w:tcPr>
            <w:tcW w:w="5120" w:type="dxa"/>
            <w:vAlign w:val="bottom"/>
          </w:tcPr>
          <w:p>
            <w:pPr>
              <w:ind w:left="132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360" w:type="dxa"/>
            <w:vAlign w:val="bottom"/>
          </w:tcPr>
          <w:p>
            <w:pPr>
              <w:spacing w:after="0"/>
              <w:rPr>
                <w:sz w:val="17"/>
                <w:szCs w:val="17"/>
                <w:color w:val="auto"/>
              </w:rPr>
            </w:pPr>
          </w:p>
        </w:tc>
        <w:tc>
          <w:tcPr>
            <w:tcW w:w="512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w w:val="98"/>
              </w:rPr>
              <w:t>Agreement and Plan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Merger among Schlumberger Technology</w:t>
            </w:r>
          </w:p>
        </w:tc>
      </w:tr>
      <w:tr>
        <w:trPr>
          <w:trHeight w:val="203"/>
        </w:trPr>
        <w:tc>
          <w:tcPr>
            <w:tcW w:w="74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Corporation, a Texas corporation, Schlumberger OFS, Inc., a</w:t>
            </w:r>
          </w:p>
        </w:tc>
      </w:tr>
      <w:tr>
        <w:trPr>
          <w:trHeight w:val="203"/>
        </w:trPr>
        <w:tc>
          <w:tcPr>
            <w:tcW w:w="7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Delaware corporation,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Camco International, Inc., a Delaware</w:t>
            </w:r>
          </w:p>
        </w:tc>
      </w:tr>
      <w:tr>
        <w:trPr>
          <w:trHeight w:val="203"/>
        </w:trPr>
        <w:tc>
          <w:tcPr>
            <w:tcW w:w="7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corporation, dated as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June 18, 1998 (incorporated by reference to</w:t>
            </w:r>
          </w:p>
        </w:tc>
      </w:tr>
      <w:tr>
        <w:trPr>
          <w:trHeight w:val="203"/>
        </w:trPr>
        <w:tc>
          <w:tcPr>
            <w:tcW w:w="74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Exhibit 2.1 to Schlumberger's Form 8-K dated June 18, 1998, File</w:t>
            </w:r>
          </w:p>
        </w:tc>
      </w:tr>
      <w:tr>
        <w:trPr>
          <w:trHeight w:val="203"/>
        </w:trPr>
        <w:tc>
          <w:tcPr>
            <w:tcW w:w="7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001-04601).</w:t>
            </w:r>
          </w:p>
        </w:tc>
        <w:tc>
          <w:tcPr>
            <w:tcW w:w="5120" w:type="dxa"/>
            <w:vAlign w:val="bottom"/>
          </w:tcPr>
          <w:p>
            <w:pPr>
              <w:spacing w:after="0"/>
              <w:rPr>
                <w:sz w:val="17"/>
                <w:szCs w:val="17"/>
                <w:color w:val="auto"/>
              </w:rPr>
            </w:pP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w w:val="98"/>
              </w:rPr>
              <w:t>Transaction Agreement</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between Schlumberger Limited and Camco</w:t>
            </w:r>
          </w:p>
        </w:tc>
      </w:tr>
      <w:tr>
        <w:trPr>
          <w:trHeight w:val="203"/>
        </w:trPr>
        <w:tc>
          <w:tcPr>
            <w:tcW w:w="74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International, Inc., a Delaware corporation, dated as of June 18, 1998</w:t>
            </w:r>
          </w:p>
        </w:tc>
      </w:tr>
      <w:tr>
        <w:trPr>
          <w:trHeight w:val="203"/>
        </w:trPr>
        <w:tc>
          <w:tcPr>
            <w:tcW w:w="74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(incorporated by reference to Exhibit 10.1 to Schlumberger's Form</w:t>
            </w:r>
          </w:p>
        </w:tc>
      </w:tr>
      <w:tr>
        <w:trPr>
          <w:trHeight w:val="203"/>
        </w:trPr>
        <w:tc>
          <w:tcPr>
            <w:tcW w:w="74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8-K dated June 18, 1998, File 001-04601).</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13.1</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w w:val="98"/>
              </w:rPr>
              <w:t>Portions of the Camco</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1997 Annual Report to Shareholders.</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13.2</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w w:val="98"/>
              </w:rPr>
              <w:t>Portions of the Camco</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Form 10-Q for the quarterly period ended</w:t>
            </w:r>
          </w:p>
        </w:tc>
      </w:tr>
      <w:tr>
        <w:trPr>
          <w:trHeight w:val="203"/>
        </w:trPr>
        <w:tc>
          <w:tcPr>
            <w:tcW w:w="7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June 30, 1998.</w:t>
            </w:r>
          </w:p>
        </w:tc>
        <w:tc>
          <w:tcPr>
            <w:tcW w:w="5120" w:type="dxa"/>
            <w:vAlign w:val="bottom"/>
          </w:tcPr>
          <w:p>
            <w:pPr>
              <w:spacing w:after="0"/>
              <w:rPr>
                <w:sz w:val="17"/>
                <w:szCs w:val="17"/>
                <w:color w:val="auto"/>
              </w:rPr>
            </w:pP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23.1</w:t>
            </w: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Consent of Arthur Andersen LLP.</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99.1</w:t>
            </w: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Press Release dated August 31, 1998, announcing the closing of the</w:t>
            </w:r>
          </w:p>
        </w:tc>
      </w:tr>
      <w:tr>
        <w:trPr>
          <w:trHeight w:val="203"/>
        </w:trPr>
        <w:tc>
          <w:tcPr>
            <w:tcW w:w="7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Merger.</w:t>
            </w:r>
          </w:p>
        </w:tc>
        <w:tc>
          <w:tcPr>
            <w:tcW w:w="5120" w:type="dxa"/>
            <w:vAlign w:val="bottom"/>
          </w:tcPr>
          <w:p>
            <w:pPr>
              <w:spacing w:after="0"/>
              <w:rPr>
                <w:sz w:val="17"/>
                <w:szCs w:val="17"/>
                <w:color w:val="auto"/>
              </w:rPr>
            </w:pPr>
          </w:p>
        </w:tc>
      </w:tr>
    </w:tbl>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099"/>
          </w:cols>
          <w:pgMar w:left="36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Camco International Inc.:</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have audited the consolidated balance sheets of Camco International Inc. (a Delaware Corporation) and subsidiaries as of December 31, 1997 and 1996, and the related consolidated statements of operations, cash flows and stockholders' equity for each of the three years in the period ended December 31, 1997.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779" w:firstLine="211"/>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our opinion, the consolidated financial statements referred to above present fairly, in all material respects, the financial position of Camco International Inc. and subsidiaries as of December 31, 1997 and 1996, and the results of their operations and their cash flows for each of the three years in the period ended December 31, 1997, in conformity with generally accepted accounting principles.</w:t>
      </w:r>
    </w:p>
    <w:p>
      <w:pPr>
        <w:spacing w:after="0" w:line="210" w:lineRule="exact"/>
        <w:rPr>
          <w:sz w:val="20"/>
          <w:szCs w:val="20"/>
          <w:color w:val="auto"/>
        </w:rPr>
      </w:pPr>
    </w:p>
    <w:p>
      <w:pPr>
        <w:ind w:right="1779" w:firstLine="211"/>
        <w:spacing w:after="0" w:line="236" w:lineRule="auto"/>
        <w:rPr>
          <w:sz w:val="20"/>
          <w:szCs w:val="20"/>
          <w:color w:val="auto"/>
        </w:rPr>
      </w:pPr>
      <w:r>
        <w:rPr>
          <w:rFonts w:ascii="Courier New" w:cs="Courier New" w:eastAsia="Courier New" w:hAnsi="Courier New"/>
          <w:sz w:val="18"/>
          <w:szCs w:val="18"/>
          <w:color w:val="auto"/>
        </w:rPr>
        <w:t>As explained in Note 1 to the financial statements, effective November 20, 1997, the Company changed its method of accounting for costs of business process reengineering activities associated with systems development projects.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10, 1998</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tbl>
      <w:tblPr>
        <w:tblLayout w:type="fixed"/>
        <w:tblInd w:w="0" w:type="dxa"/>
        <w:tblCellMar>
          <w:top w:w="0" w:type="dxa"/>
          <w:left w:w="0" w:type="dxa"/>
          <w:bottom w:w="0" w:type="dxa"/>
          <w:right w:w="0" w:type="dxa"/>
        </w:tblCellMar>
      </w:tblPr>
      <w:tr>
        <w:trPr>
          <w:trHeight w:val="203"/>
        </w:trPr>
        <w:tc>
          <w:tcPr>
            <w:tcW w:w="6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5"/>
          </w:tcPr>
          <w:p>
            <w:pPr>
              <w:jc w:val="right"/>
              <w:ind w:right="43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6480" w:type="dxa"/>
            <w:vAlign w:val="bottom"/>
          </w:tcPr>
          <w:p>
            <w:pPr>
              <w:spacing w:after="0"/>
              <w:rPr>
                <w:sz w:val="17"/>
                <w:szCs w:val="17"/>
                <w:color w:val="auto"/>
              </w:rPr>
            </w:pPr>
          </w:p>
        </w:tc>
        <w:tc>
          <w:tcPr>
            <w:tcW w:w="364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1996</w:t>
            </w:r>
          </w:p>
        </w:tc>
        <w:tc>
          <w:tcPr>
            <w:tcW w:w="2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Sales......................................................</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$609,725</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$503,235</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$459,733</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304,116</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261,300</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208,199</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913,841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764,535</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667,932</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Cost of sales..............................................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313,551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270,712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253,268</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Cost of services...........................................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212,923</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188,394</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153,096</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526,474</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459,106</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406,364</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Gross margin..............................................</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387,367</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305,429</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261,568</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Selling, general and administrative expenses...............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219,510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191,706</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177,491</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Merger expenses............................................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12,500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Amortization of intangible assets..........................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8,604</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6,460</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6,022</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146,753</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107,263</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78,055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Interest expense...........................................</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8,473</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7,842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8,888</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(2,802)</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(3,303)</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(3,754)</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Income before provision for income taxes...................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141,082</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102,724</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72,921</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Provision for income taxes.................................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49,321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34,720</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22,626</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Income from continuing operations..........................</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91,761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68,004</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50,295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Loss from discontinued operation...........................</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(7,151)</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 net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benefit for income taxes...............................</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$ 88,852</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$ 68,004</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$ 43,144</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Loss from discontinued operation..........................</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37,386</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37,506</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37,257</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Loss from discontinued operation..........................</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Average common and common equivalent shares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outstanding..............................................</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38,481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38,230</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37,780</w:t>
            </w:r>
          </w:p>
        </w:tc>
      </w:tr>
      <w:tr>
        <w:trPr>
          <w:trHeight w:val="203"/>
        </w:trPr>
        <w:tc>
          <w:tcPr>
            <w:tcW w:w="648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accompanying notes are an integral part of these</w:t>
      </w:r>
    </w:p>
    <w:p>
      <w:pPr>
        <w:jc w:val="center"/>
        <w:ind w:right="19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180" w:type="dxa"/>
            <w:vAlign w:val="bottom"/>
          </w:tcPr>
          <w:p>
            <w:pPr>
              <w:spacing w:after="0"/>
              <w:rPr>
                <w:sz w:val="17"/>
                <w:szCs w:val="17"/>
                <w:color w:val="auto"/>
              </w:rPr>
            </w:pPr>
          </w:p>
        </w:tc>
        <w:tc>
          <w:tcPr>
            <w:tcW w:w="24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1997</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3652"/>
              <w:spacing w:after="0"/>
              <w:rPr>
                <w:sz w:val="20"/>
                <w:szCs w:val="20"/>
                <w:color w:val="auto"/>
              </w:rPr>
            </w:pPr>
            <w:r>
              <w:rPr>
                <w:rFonts w:ascii="Courier New" w:cs="Courier New" w:eastAsia="Courier New" w:hAnsi="Courier New"/>
                <w:sz w:val="18"/>
                <w:szCs w:val="18"/>
                <w:color w:val="auto"/>
              </w:rPr>
              <w:t>ASSETS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Cash and cash equivalents...............................</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57,255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$ 42,645</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net of allowances of $16,283 and</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$14,210................................................</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177,112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169,989</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Inventories.............................................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206,471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169,007</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Deferred income taxes...................................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44,088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27,031</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Prepaid expenses and other..............................</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21,575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19,320</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506,501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427,992</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PROPERTY, PLANT AND EQUIPMENT, net of depreciation.......</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353,312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308,762</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 of amortization of $66,448 and</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$57,844.................................................</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212,749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214,826</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45,278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20,125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$1,117,840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$971,705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Current maturities of long-term debt....................</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$ 10,345</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Accounts payable........................................</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57,765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47,595</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Accrued liabilities.....................................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159,085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134,583</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Income taxes payable....................................</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31,832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18,750</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248,802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211,273</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110,300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93,551</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28,690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24,742</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LONG-TERM LIABILITIES..............................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43,803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47,266</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431,595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376,832</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$.01 par value, 100,000,000 shares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authorized,   38,583,393 and 38,465,998 shares issued..</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525,662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518,856</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Retained earnings.......................................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203,911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117,364</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Cumulative translation adjustment.......................</w:t>
            </w:r>
          </w:p>
        </w:tc>
        <w:tc>
          <w:tcPr>
            <w:tcW w:w="4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(15,194)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(11,405)</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Treasury stock, 1,046,372 and 1,264,528 shares, at cost.</w:t>
            </w:r>
          </w:p>
        </w:tc>
        <w:tc>
          <w:tcPr>
            <w:tcW w:w="4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(28,520)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(30,327)</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686,245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594,873</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$1,117,840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$971,705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accompanying notes are an integral part of these</w:t>
      </w:r>
    </w:p>
    <w:p>
      <w:pPr>
        <w:jc w:val="center"/>
        <w:ind w:right="19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2520"/>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CONSOLIDATED STATEMENTS OF STOCKHOLDERS' EQUITY</w:t>
      </w:r>
    </w:p>
    <w:p>
      <w:pPr>
        <w:jc w:val="center"/>
        <w:ind w:right="262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ADDITIONAL</w:t>
            </w:r>
          </w:p>
        </w:tc>
        <w:tc>
          <w:tcPr>
            <w:tcW w:w="1280" w:type="dxa"/>
            <w:vAlign w:val="bottom"/>
          </w:tcPr>
          <w:p>
            <w:pPr>
              <w:spacing w:after="0"/>
              <w:rPr>
                <w:sz w:val="17"/>
                <w:szCs w:val="17"/>
                <w:color w:val="auto"/>
              </w:rPr>
            </w:pP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CUMULATIVE</w:t>
            </w:r>
          </w:p>
        </w:tc>
        <w:tc>
          <w:tcPr>
            <w:tcW w:w="11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PAID-IN</w:t>
            </w:r>
          </w:p>
        </w:tc>
        <w:tc>
          <w:tcPr>
            <w:tcW w:w="1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RETAINED</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TRANSLATION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TREASURY</w:t>
            </w:r>
          </w:p>
        </w:tc>
      </w:tr>
      <w:tr>
        <w:trPr>
          <w:trHeight w:val="203"/>
        </w:trPr>
        <w:tc>
          <w:tcPr>
            <w:tcW w:w="480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CAPITAL</w:t>
            </w:r>
          </w:p>
        </w:tc>
        <w:tc>
          <w:tcPr>
            <w:tcW w:w="1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EARNINGS</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ADJUSTMENT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4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8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7"/>
              </w:rPr>
              <w:t>BALANCE, December 31, 1994, as previously</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$436,892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$(35,871)</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$(19,049)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$(18,430)</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for pooling-of-interest........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76,211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57,362</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December 31, 1994..................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513,103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21,491</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(19,049)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(18,430)</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Net income.................................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43,144</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to stockholders ($.22 per</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(7,449)</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issued pursuant to</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employee stock plans......................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 related to</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ESOP......................................</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Currency translation adjustment............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December 31, 1995..................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515,863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57,226</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(18,576)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(18,430)</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Net income.................................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68,004</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Purchase of treasury stock.................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(13,413)</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to stockholders ($.22 per</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issued pursuant to</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employee stock plans......................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1,516</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 related to</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ESOP......................................</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Currency translation adjustment............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7,171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December 31, 1996..................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518,856</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117,364</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(11,405)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(30,327)</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Net income.................................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88,852</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Change in subsidiary year end..............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4,560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Dividends to stockholders ($.21 per share)..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(6,865)</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issued pursuant to</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employee stock plans......................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1,807</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 related to</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ESOP......................................</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1,186</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Currency translation adjustment............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December 31, 1997..................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$525,662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$203,911</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$(15,194)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$(28,520)</w:t>
            </w:r>
          </w:p>
        </w:tc>
      </w:tr>
      <w:tr>
        <w:trPr>
          <w:trHeight w:val="203"/>
        </w:trPr>
        <w:tc>
          <w:tcPr>
            <w:tcW w:w="4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The accompanying notes are an integral part of these</w:t>
      </w:r>
    </w:p>
    <w:p>
      <w:pPr>
        <w:jc w:val="center"/>
        <w:ind w:right="2620"/>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860"/>
          </w:cols>
          <w:pgMar w:left="240" w:top="717" w:right="799" w:bottom="1440" w:gutter="0" w:footer="0" w:header="0"/>
        </w:sectPr>
      </w:pPr>
    </w:p>
    <w:bookmarkStart w:id="10" w:name="page11"/>
    <w:bookmarkEnd w:id="10"/>
    <w:p>
      <w:pPr>
        <w:jc w:val="center"/>
        <w:ind w:right="1880"/>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98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6480" w:type="dxa"/>
            <w:vAlign w:val="bottom"/>
          </w:tcPr>
          <w:p>
            <w:pPr>
              <w:spacing w:after="0"/>
              <w:rPr>
                <w:sz w:val="17"/>
                <w:szCs w:val="17"/>
                <w:color w:val="auto"/>
              </w:rPr>
            </w:pPr>
          </w:p>
        </w:tc>
        <w:tc>
          <w:tcPr>
            <w:tcW w:w="37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480" w:type="dxa"/>
            <w:vAlign w:val="bottom"/>
          </w:tcPr>
          <w:p>
            <w:pPr>
              <w:spacing w:after="0"/>
              <w:rPr>
                <w:sz w:val="17"/>
                <w:szCs w:val="17"/>
                <w:color w:val="auto"/>
              </w:rPr>
            </w:pP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88,852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$ 68,004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$ 43,144</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3432"/>
              <w:spacing w:after="0" w:line="203" w:lineRule="exact"/>
              <w:rPr>
                <w:sz w:val="20"/>
                <w:szCs w:val="20"/>
                <w:color w:val="auto"/>
              </w:rPr>
            </w:pPr>
            <w:r>
              <w:rPr>
                <w:rFonts w:ascii="Courier New" w:cs="Courier New" w:eastAsia="Courier New" w:hAnsi="Courier New"/>
                <w:sz w:val="18"/>
                <w:szCs w:val="18"/>
                <w:color w:val="auto"/>
              </w:rPr>
              <w:t>by operating activities --</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Loss on discontinued operations............................</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6,702</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Cumulative effect of change in accounting principle........</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2,909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62,464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55,384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46,092</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Gain from sale of assets...................................</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(3,456)</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Provision (benefit) for deferred and other taxes...........</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(14,389)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(4,984)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(5,757)</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in accounts receivable............................</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(20,158)</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in inventories....................................</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(36,425)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(6,566)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(3,810)</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(decrease) in accounts payable....................</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11,405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in accrued liabilities............................</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31,807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27,614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8,662</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(decrease) in income taxes payable................</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14,065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5,341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(2,932)</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decrease in other, net..........................</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10,885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(2,195)</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156,685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147,665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65,763</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Capital expenditures.......................................</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(95,754)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(61,848)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(89,155)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Proceeds from sale of assets...............................</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14,343</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Business acquisitions......................................</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(14,503)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(46,373)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(5,750)</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Investment in joint venture................................</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(21,700)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Change in subsidiary year-end..............................</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Other......................................................</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(5,180)</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(143,128)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(95,677)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(85,742)</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in borrowings under revolving credit facility.....</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110,000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Decrease in borrowings under term loan.....................</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(50,000)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(decrease) in borrowings under revolving loan</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facility..................................................</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(30,000)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Increase (decrease) in other debt..........................</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(30,277)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(26,284)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37,213</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Dividends paid to stockholders.............................</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(6,865)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(7,449)</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Proceeds from exercise of stock options....................</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2,361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1,629</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Purchase of treasury stock.................................</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(13,413)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Change in subsidiary year-end and other....................</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6,158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Net cash provided by (used in) financing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activities..............................................</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(44,231)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16,461</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 CASH</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EQUIVALENTS................................................</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INCREASE (DECREASE) IN CASH AND CASH EQUIVALENTS........</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14,610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(3,733)</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YEAR..............</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42,645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33,275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37,008</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AND CASH EQUIVALENTS AT END OF YEAR....................</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$ 57,255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$ 42,645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$ 33,275</w:t>
            </w:r>
          </w:p>
        </w:tc>
      </w:tr>
      <w:tr>
        <w:trPr>
          <w:trHeight w:val="203"/>
        </w:trPr>
        <w:tc>
          <w:tcPr>
            <w:tcW w:w="6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DISCLOSURES OF CASH FLOW INFORMATION:</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Cash paid for interest.....................................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4,519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5,654</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Cash paid for income taxes.................................</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$ 51,580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$ 34,002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$ 31,389</w:t>
            </w:r>
          </w:p>
        </w:tc>
      </w:tr>
    </w:tbl>
    <w:p>
      <w:pPr>
        <w:spacing w:after="0" w:line="200" w:lineRule="exact"/>
        <w:rPr>
          <w:sz w:val="20"/>
          <w:szCs w:val="20"/>
          <w:color w:val="auto"/>
        </w:rPr>
      </w:pPr>
    </w:p>
    <w:p>
      <w:pPr>
        <w:spacing w:after="0" w:line="204" w:lineRule="exact"/>
        <w:rPr>
          <w:sz w:val="20"/>
          <w:szCs w:val="20"/>
          <w:color w:val="auto"/>
        </w:rPr>
      </w:pPr>
    </w:p>
    <w:p>
      <w:pPr>
        <w:jc w:val="center"/>
        <w:ind w:right="1980"/>
        <w:spacing w:after="0"/>
        <w:rPr>
          <w:sz w:val="20"/>
          <w:szCs w:val="20"/>
          <w:color w:val="auto"/>
        </w:rPr>
      </w:pPr>
      <w:r>
        <w:rPr>
          <w:rFonts w:ascii="Courier New" w:cs="Courier New" w:eastAsia="Courier New" w:hAnsi="Courier New"/>
          <w:sz w:val="18"/>
          <w:szCs w:val="18"/>
          <w:color w:val="auto"/>
        </w:rPr>
        <w:t>The accompanying notes are an integral part of these</w:t>
      </w:r>
    </w:p>
    <w:p>
      <w:pPr>
        <w:jc w:val="center"/>
        <w:ind w:right="1980"/>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20"/>
          </w:cols>
          <w:pgMar w:left="240" w:top="717" w:right="1439" w:bottom="564" w:gutter="0" w:footer="0" w:header="0"/>
        </w:sectPr>
      </w:pPr>
    </w:p>
    <w:bookmarkStart w:id="11" w:name="page12"/>
    <w:bookmarkEnd w:id="11"/>
    <w:p>
      <w:pPr>
        <w:ind w:left="2000"/>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right="547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Basis of Presentation</w:t>
      </w:r>
    </w:p>
    <w:p>
      <w:pPr>
        <w:spacing w:after="0" w:line="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Camco International Inc. and subsidiaries ("Camco" or the "Company") manufactures products and provides services to customers in the oil and gas drilling, completion and production sectors of the oilfield services industry. The consolidated financial statements include the accounts of the Company and all of its wholly owned and majority-owned subsidiaries. All significant intercompany accounts and transactions have been eliminated. Investments in 20% to 50% owned joint ventures where the Company exercises significant influence over operating and financial policies are accounted for by the equity method. All other investments are carried at cost, which does not exceed the estimated net realizable value of such investments.</w:t>
      </w:r>
    </w:p>
    <w:p>
      <w:pPr>
        <w:spacing w:after="0" w:line="215" w:lineRule="exact"/>
        <w:rPr>
          <w:sz w:val="20"/>
          <w:szCs w:val="20"/>
          <w:color w:val="auto"/>
        </w:rPr>
      </w:pPr>
    </w:p>
    <w:p>
      <w:pPr>
        <w:ind w:right="1779" w:firstLine="211"/>
        <w:spacing w:after="0" w:line="270" w:lineRule="auto"/>
        <w:rPr>
          <w:sz w:val="20"/>
          <w:szCs w:val="20"/>
          <w:color w:val="auto"/>
        </w:rPr>
      </w:pPr>
      <w:r>
        <w:rPr>
          <w:rFonts w:ascii="Courier New" w:cs="Courier New" w:eastAsia="Courier New" w:hAnsi="Courier New"/>
          <w:sz w:val="16"/>
          <w:szCs w:val="16"/>
          <w:color w:val="auto"/>
        </w:rPr>
        <w:t>On June 13, 1997, Camco, acquired Production Operators Corp. ("Production Operators") through a merger (the "Merger") of a wholly owned subsidiary of the Company with and into Production Operators. The Merger was effected pursuant to an Agreement and Plan of Merger dated February 27, 1997, by and among the Company, a wholly owned subsidiary of the Company, and Production Operators. A total of 13,300,404 shares of the Company's common stock was issued to the stockholders of Production Operators as consideration for the acquisition. The principle followed in fixing the exchange ratio in the Merger was based on negotiations between the parties. The business combination has been accounted for using the pooling-of-interests method of accounting. Accordingly, the financial statements have been prepared as if Camco and Production Operators were combined as of the beginning of the earliest period presented. All costs of the Merger, which were $12.5 million, or $8.6 million net of tax benefits ($.22 per share), were expensed during the second quarter of 1997.</w:t>
      </w:r>
    </w:p>
    <w:p>
      <w:pPr>
        <w:spacing w:after="0" w:line="388"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As a result of the differing year-ends of Camco and Production Operators, financial information for different period-ends have been combined. Camco's financial position, results of operations and cash flows as of and for the years ended December 31, 1996 and 1995, have been combined with Production Operators' financial position, results of operations and cash flows as of and for the years ended September 30, 1996 and 1995, respectively. Effective January 1, 1997, Production Operators' fiscal year-end was changed to conform to Camco's December 31 year-end. Financial information as of and for the year ended December 31, 1997, combines both Camco's and Production Operators' results of operations for comparable periods. Production Operators' unaudited revenues, net income and dividends on its common stock for the three-month period ended December 31, 1996, were $26.7 million, $5.3 million and $.7 million, respectively. Accordingly, adjustments are included in the consolidated statements of operations, stockholders' equity and cash flows for the activity attributed to the three-month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The preparation of these financial statements required the use of certain estimates by management in determining the Company's assets, liabilities, revenue and expenses. Actual results could differ from these estimates.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Company considers all highly liquid financial instruments purchased with original maturities of three months or less to be cash equivalents. The reported amounts of such investments approximate fair value.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Inventories, net of allowances, are valued at the lower of cost (first-in, first-out or last-in, first-out) or market. Inventory costs consist of materials, labor and plant overhead.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1779" w:firstLine="211"/>
        <w:spacing w:after="0" w:line="271" w:lineRule="auto"/>
        <w:rPr>
          <w:sz w:val="20"/>
          <w:szCs w:val="20"/>
          <w:color w:val="auto"/>
        </w:rPr>
      </w:pPr>
      <w:r>
        <w:rPr>
          <w:rFonts w:ascii="Courier New" w:cs="Courier New" w:eastAsia="Courier New" w:hAnsi="Courier New"/>
          <w:sz w:val="16"/>
          <w:szCs w:val="16"/>
          <w:color w:val="auto"/>
        </w:rPr>
        <w:t>Property, plant and equipment is recorded at cost and generally depreciated on a straight-line basis over the estimated useful lives of the assets. The estimated useful lives used in computing depreciation range from 10 to 30 years for buildings and 3 to 12 years for machinery and equipment, including service equipment. Expenditures for major additions and improvements are capitalized while minor replacements, maintenance and repairs are charged to expense as incurred. When property is retired or otherwise disposed of, the cost and accumulated depreciation are removed from the related accounts and any resulting gain or loss is included in the consolidated statements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Assets</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Intangible assets is comprised primarily of goodwill which is amortized over 20 to 40 years using the straight-line method. Camco's management periodically evaluates goodwill, net of accumulated amortization, for impairment based on the undiscounted cash flows associated with the asset compared to the carrying amount of that asset. Management believes that there have been no events or circumstances which warrant revision to the remaining useful life or affect the recoverability of goodwill in any of its business units.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accounts for income taxes in accordance with Statement of Financial Accounting Standards ("SFAS") No. 109, "Accounting for Income Taxes." This standard requires an asset and liability approach for financial accounting and income tax reporting based on enacted tax rates and laws in effect in the years in which differences are expected to reverse.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Company's revenues are composed of product sales and rental, service</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other revenues. The Company records product sales when the goods are sold to a customer. Rental, service and other revenues are recorded as the services are performed.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Translation</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Company's financial statements of foreign subsidiaries are reported in U.S. dollars based on the functional currency.</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Foreign subsidiaries using the U.S. dollar as their functional currency translate as follows: current assets (except inventories) and all liabilities (except minority interests) at the rates of exchange in effect at year-end, long-term assets and inventories at historical rates and minority interest at the rates in effect at the dates provided. Revenue and expense accounts are translated at the average rates of exchange in effect during the year, except for depreciation and cost of manufactured products sold, which are translated at historical rates. Translation adjustments are charged or credited directly to operations.</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Foreign subsidiaries using the local currency as their functional currency translate into U.S. dollars using the current rate method. Assets and liabilities are translated at the rates of exchange in effect at year-end, common stock and paid-in capital are translated using historical rates and revenue and expense accounts are translated at the average rates of exchange in effect during the year. Translation adjustments are recorded as a separate component of stockholders' equity rather than directly to operations.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Concentration of Credit Risk</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extends credit to various companies in the oil and gas industry which may be affected by changes in economic or other external conditions. The Company's policy is to manage its exposure to credit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risk through credit approvals and limits and, where appropriate, to be secured by collateral, and to provide an allowance for doubtful accounts for potential losses. Management does not believe the Company is exposed to concentrations of credit risk that are likely to have a material impact on the Company's financial position or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Expenditures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Liabilities for environmental expenditures are recorded when it is probable that obligations have been incurred and the costs can be reasonably estimated. Estimates are based on currently available facts and technology, presently enacted laws and regulations and the Company's prior experience in remediation of contaminated sites.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Accounting Principle</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FASB Emerging Issues Task Force Issue No. 97-13, "Accounting for Costs Incurred in Connection with a Consulting Contract or an Internal Project That Combines Business Process Reengineering and Information Technology Transformation," issued November 20, 1997, required the Company to expense certain costs that were previously capitalizable prior to this pronouncement. The cumulative effect of this accounting change decreased income by $4.5 million ($2.9 million, net of tax) for the year ended December 31, 1997.</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128, "Earnings Per Share," was adopted by the Company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fourth quarter of 1997 and all earnings per share previously reported have been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Basic earnings per share is computed by dividing net income by the</w:t>
      </w:r>
    </w:p>
    <w:p>
      <w:pPr>
        <w:spacing w:after="0" w:line="238" w:lineRule="auto"/>
        <w:rPr>
          <w:sz w:val="20"/>
          <w:szCs w:val="20"/>
          <w:color w:val="auto"/>
        </w:rPr>
      </w:pPr>
      <w:r>
        <w:rPr>
          <w:rFonts w:ascii="Courier New" w:cs="Courier New" w:eastAsia="Courier New" w:hAnsi="Courier New"/>
          <w:sz w:val="18"/>
          <w:szCs w:val="18"/>
          <w:color w:val="auto"/>
        </w:rPr>
        <w:t>weighted average common shares outstanding. Diluted earnings per share is</w:t>
      </w:r>
    </w:p>
    <w:p>
      <w:pPr>
        <w:spacing w:after="0"/>
        <w:rPr>
          <w:sz w:val="20"/>
          <w:szCs w:val="20"/>
          <w:color w:val="auto"/>
        </w:rPr>
      </w:pPr>
      <w:r>
        <w:rPr>
          <w:rFonts w:ascii="Courier New" w:cs="Courier New" w:eastAsia="Courier New" w:hAnsi="Courier New"/>
          <w:sz w:val="18"/>
          <w:szCs w:val="18"/>
          <w:color w:val="auto"/>
        </w:rPr>
        <w:t>computed by dividing net income by the weighted average number of common and</w:t>
      </w:r>
    </w:p>
    <w:p>
      <w:pPr>
        <w:spacing w:after="0" w:line="237" w:lineRule="auto"/>
        <w:rPr>
          <w:sz w:val="20"/>
          <w:szCs w:val="20"/>
          <w:color w:val="auto"/>
        </w:rPr>
      </w:pPr>
      <w:r>
        <w:rPr>
          <w:rFonts w:ascii="Courier New" w:cs="Courier New" w:eastAsia="Courier New" w:hAnsi="Courier New"/>
          <w:sz w:val="18"/>
          <w:szCs w:val="18"/>
          <w:color w:val="auto"/>
        </w:rPr>
        <w:t>common equivalent shares outstanding. The computation of diluted earnings per</w:t>
      </w:r>
    </w:p>
    <w:p>
      <w:pPr>
        <w:spacing w:after="0" w:line="238" w:lineRule="auto"/>
        <w:rPr>
          <w:sz w:val="20"/>
          <w:szCs w:val="20"/>
          <w:color w:val="auto"/>
        </w:rPr>
      </w:pPr>
      <w:r>
        <w:rPr>
          <w:rFonts w:ascii="Courier New" w:cs="Courier New" w:eastAsia="Courier New" w:hAnsi="Courier New"/>
          <w:sz w:val="18"/>
          <w:szCs w:val="18"/>
          <w:color w:val="auto"/>
        </w:rPr>
        <w:t>share includes the dilutive effects of options to purchase common stock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 grants which aggregated 1,095,000, 724,000 and 523,000 in 1997,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1996 and 1995, respectively.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Pending Accounting Pronouncements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130, "Reporting Comprehensive Income," was issued in June 1997.</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will adopt SFAS No. 130 in the first quarter of 1998. Had SFAS No. 130 been adopted in 1997, net income, as reported, would have been adjusted for changes in the cumulative translation for foreign currency.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ACQUISITIONS AND DIVESTITURES</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During 1997, the Company acquired gas lift valve businesses in the United States and Argentina for a total of $11.8 million in cash.</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September 1996, the Company acquired Lasalle Engineering Limited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 million in a cash transaction. In December 1996, the Company acquired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gas lift business of Halliburton, including their Venezuelan subsidiary, for</w:t>
      </w:r>
    </w:p>
    <w:p>
      <w:pPr>
        <w:spacing w:after="0" w:line="238" w:lineRule="auto"/>
        <w:rPr>
          <w:sz w:val="20"/>
          <w:szCs w:val="20"/>
          <w:color w:val="auto"/>
        </w:rPr>
      </w:pPr>
      <w:r>
        <w:rPr>
          <w:rFonts w:ascii="Courier New" w:cs="Courier New" w:eastAsia="Courier New" w:hAnsi="Courier New"/>
          <w:sz w:val="18"/>
          <w:szCs w:val="18"/>
          <w:color w:val="auto"/>
        </w:rPr>
        <w:t>$16.9 million in a cash transaction.</w:t>
      </w:r>
    </w:p>
    <w:p>
      <w:pPr>
        <w:spacing w:after="0" w:line="207"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In March 1995, the Company acquired Site Oil Tools, a Canadian manufacturer of completion equipment, for $5.8 million in a cash transaction. The Company sold the assets of its safety service business in March 1995. The Company recognized net income of $1.5 million, or 6 cents per share, on the disposal.</w:t>
      </w:r>
    </w:p>
    <w:p>
      <w:pPr>
        <w:spacing w:after="0" w:line="182"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acquisitions described above were accounted for using the purchase method of accounting.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acquisition of Production Operators in June 1997, which was accounted</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for using the pooling-of-interests method of accounting, is described in Note 1. Revenues and net income for the periods preceding the Merger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REVENUES</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NET INCOME</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Six months ended June 30, 1997 --</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Camco, as previously reported......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$366,092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$29,391</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Production Operators...............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56,537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14,791</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Merger expenses....................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(8,600)</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$422,629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$35,582</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1996 --</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Camco, as previously reported......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$672,732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$50,508</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Production Operators...............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91,803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17,496</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$764,535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$68,004</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1995 --</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Camco, as previously reported.......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$595,131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$36,318</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Production Operators................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72,801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6,826</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$667,932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$43,144</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INVENTORIES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 net of allowances, are summarized as follows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48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96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Raw materials.......................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$ 19,916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$ 18,405</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Parts and components................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69,656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54,786</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Work-in-process.....................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24,079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27,180</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Finished goods......................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92,820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68,636</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$206,471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$169,007</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Inventories determined using the --</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LIFO basis.........................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$ 43,661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$ 38,107</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FIFO basis.........................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162,810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130,900</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$206,471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$169,007</w:t>
            </w:r>
          </w:p>
        </w:tc>
      </w:tr>
      <w:tr>
        <w:trPr>
          <w:trHeight w:val="203"/>
        </w:trPr>
        <w:tc>
          <w:tcPr>
            <w:tcW w:w="3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Work-in-process and finished goods inventories include the cost of materials, labor and plant overhead. The excess of current costs, determined using the FIFO basis, over the carrying values of LIFO inventories was approximately $10.0 million and $11.9 million at December 31, 1997 and 1996, respectively.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PROPERTY, PLANT AND EQUIPMENT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w:t>
            </w:r>
          </w:p>
        </w:tc>
        <w:tc>
          <w:tcPr>
            <w:tcW w:w="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0" w:type="dxa"/>
            <w:vAlign w:val="bottom"/>
          </w:tcPr>
          <w:p>
            <w:pPr>
              <w:spacing w:after="0"/>
              <w:rPr>
                <w:sz w:val="17"/>
                <w:szCs w:val="17"/>
                <w:color w:val="auto"/>
              </w:rPr>
            </w:pPr>
          </w:p>
        </w:tc>
        <w:tc>
          <w:tcPr>
            <w:tcW w:w="24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5,120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4,327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77,279</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71,856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266,137</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234,803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 equipment...........................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366,732</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313,997</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715,268</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624,983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(361,956)</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(316,221)</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353,312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308,762</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ACCRUED LIABILITIES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Accrued liabilities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0" w:type="dxa"/>
            <w:vAlign w:val="bottom"/>
          </w:tcPr>
          <w:p>
            <w:pPr>
              <w:spacing w:after="0"/>
              <w:rPr>
                <w:sz w:val="17"/>
                <w:szCs w:val="17"/>
                <w:color w:val="auto"/>
              </w:rPr>
            </w:pPr>
          </w:p>
        </w:tc>
        <w:tc>
          <w:tcPr>
            <w:tcW w:w="2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related benefits........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45,626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42,979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insurance...........................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12,978</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13,451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taxes other than income.............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9,814</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11,117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90,667</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67,036</w:t>
            </w:r>
          </w:p>
        </w:tc>
      </w:tr>
      <w:tr>
        <w:trPr>
          <w:trHeight w:val="203"/>
        </w:trPr>
        <w:tc>
          <w:tcPr>
            <w:tcW w:w="48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159,085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$134,583</w:t>
            </w:r>
          </w:p>
        </w:tc>
      </w:tr>
      <w:tr>
        <w:trPr>
          <w:trHeight w:val="203"/>
        </w:trPr>
        <w:tc>
          <w:tcPr>
            <w:tcW w:w="48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DEBT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debt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0" w:type="dxa"/>
            <w:vAlign w:val="bottom"/>
          </w:tcPr>
          <w:p>
            <w:pPr>
              <w:spacing w:after="0"/>
              <w:rPr>
                <w:sz w:val="17"/>
                <w:szCs w:val="17"/>
                <w:color w:val="auto"/>
              </w:rPr>
            </w:pP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Revolving credit facility...................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Term loan...................................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Revolving loan facility.....................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23,896</w:t>
            </w:r>
          </w:p>
        </w:tc>
      </w:tr>
      <w:tr>
        <w:trPr>
          <w:trHeight w:val="203"/>
        </w:trPr>
        <w:tc>
          <w:tcPr>
            <w:tcW w:w="4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110,420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103,896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 Current portion of long-term debt...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10,345</w:t>
            </w:r>
          </w:p>
        </w:tc>
      </w:tr>
      <w:tr>
        <w:trPr>
          <w:trHeight w:val="203"/>
        </w:trPr>
        <w:tc>
          <w:tcPr>
            <w:tcW w:w="4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$110,300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93,551</w:t>
            </w:r>
          </w:p>
        </w:tc>
      </w:tr>
      <w:tr>
        <w:trPr>
          <w:trHeight w:val="203"/>
        </w:trPr>
        <w:tc>
          <w:tcPr>
            <w:tcW w:w="4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In October 1997, the Company refinanced its previously outstanding debt under a new $220 million unsecured revolving credit facility. Borrowings outstanding under the revolving credit facility are due October 2002 and interest rates on borrowings are LIBOR based. The weighted average interest rate for borrowings outstanding under the revolving credit facility was 6.2% for 1997. The maximum and average borrowings were $120.0 million and $107.0 million, respectively. The Company had $110.0 million of unused borrowing availability as of December 31, 1997.</w:t>
      </w:r>
    </w:p>
    <w:p>
      <w:pPr>
        <w:spacing w:after="0" w:line="212"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In addition to customary representations, warranties, borrowing conditions, affirmative covenants and events of default, the revolving credit facility includes financial covenants, with which Camco is in compliance,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362" w:gutter="0" w:footer="0" w:header="0"/>
        </w:sectPr>
      </w:pPr>
    </w:p>
    <w:bookmarkStart w:id="16" w:name="page17"/>
    <w:bookmarkEnd w:id="16"/>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relating to maintenance of a minimum level of net worth, maintenance of a minimum interest coverage ratio, a maximum ratio of funded debt to total capital and limitations on payment of dividends, sales of assets, pledges of assets, subsidiary indebtedness, mergers, consolidations and transactions with affiliates.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Maturities of the Company's long-term debt at December 31, 1997, are as</w:t>
      </w: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follows (in thousands):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6220" w:type="dxa"/>
            <w:vAlign w:val="bottom"/>
          </w:tcPr>
          <w:p>
            <w:pPr>
              <w:spacing w:after="0"/>
              <w:rPr>
                <w:sz w:val="20"/>
                <w:szCs w:val="20"/>
                <w:color w:val="auto"/>
              </w:rPr>
            </w:pPr>
            <w:r>
              <w:rPr>
                <w:rFonts w:ascii="Courier New" w:cs="Courier New" w:eastAsia="Courier New" w:hAnsi="Courier New"/>
                <w:sz w:val="18"/>
                <w:szCs w:val="18"/>
                <w:color w:val="auto"/>
                <w:w w:val="98"/>
              </w:rPr>
              <w:t>1998......................................................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120</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1999......................................................</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2000......................................................</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2002......................................................</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110,000</w:t>
            </w:r>
          </w:p>
        </w:tc>
      </w:tr>
      <w:tr>
        <w:trPr>
          <w:trHeight w:val="203"/>
        </w:trPr>
        <w:tc>
          <w:tcPr>
            <w:tcW w:w="622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$110,420</w:t>
            </w:r>
          </w:p>
        </w:tc>
      </w:tr>
      <w:tr>
        <w:trPr>
          <w:trHeight w:val="203"/>
        </w:trPr>
        <w:tc>
          <w:tcPr>
            <w:tcW w:w="622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weighted average interest rate for the Company's previously outstanding loans was 6.4% during 1997, 6.2% during 1996 and 6.5% during 1995.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INCOME TAXES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Income before provision for income taxes and provision (benefit) for income taxes is composed of the following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United States.............................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$ 37,519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$ 24,815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$30,504</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Non-United States.........................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103,563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77,909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42,417</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$141,082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$102,724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$72,921</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United States............................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$ 27,400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$ 18,604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$18,497</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Non-United States........................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36,310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19,065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11,873</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63,710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37,669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30,370</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United States............................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(14,276)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(9,268)</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Non-United States........................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2,451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1,524</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(14,389)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(7,744)</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$ 49,321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$ 34,720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$22,626</w:t>
            </w:r>
          </w:p>
        </w:tc>
      </w:tr>
      <w:tr>
        <w:trPr>
          <w:trHeight w:val="203"/>
        </w:trPr>
        <w:tc>
          <w:tcPr>
            <w:tcW w:w="470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199" w:firstLine="211"/>
        <w:spacing w:after="0" w:line="235" w:lineRule="auto"/>
        <w:rPr>
          <w:sz w:val="20"/>
          <w:szCs w:val="20"/>
          <w:color w:val="auto"/>
        </w:rPr>
      </w:pPr>
      <w:r>
        <w:rPr>
          <w:rFonts w:ascii="Courier New" w:cs="Courier New" w:eastAsia="Courier New" w:hAnsi="Courier New"/>
          <w:sz w:val="18"/>
          <w:szCs w:val="18"/>
          <w:color w:val="auto"/>
        </w:rPr>
        <w:t>The table above excludes a tax benefit of $1.6 million recorded in 1997 in connection with the accounting change described in Note 1.</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Deferred income taxes in 1997 and 1996 reflect the impact of temporary differences between the amount of assets and liabilities for financial reporting purposes and such amounts as measured by tax laws and regulations. The components of the net deferred tax asset (liability)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4"/>
              </w:rPr>
              <w:t>DECEMBER</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31</w:t>
            </w:r>
          </w:p>
        </w:tc>
      </w:tr>
      <w:tr>
        <w:trPr>
          <w:trHeight w:val="203"/>
        </w:trPr>
        <w:tc>
          <w:tcPr>
            <w:tcW w:w="4380" w:type="dxa"/>
            <w:vAlign w:val="bottom"/>
          </w:tcPr>
          <w:p>
            <w:pPr>
              <w:spacing w:after="0"/>
              <w:rPr>
                <w:sz w:val="17"/>
                <w:szCs w:val="17"/>
                <w:color w:val="auto"/>
              </w:rPr>
            </w:pPr>
          </w:p>
        </w:tc>
        <w:tc>
          <w:tcPr>
            <w:tcW w:w="406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380" w:type="dxa"/>
            <w:vAlign w:val="bottom"/>
          </w:tcPr>
          <w:p>
            <w:pPr>
              <w:spacing w:after="0"/>
              <w:rPr>
                <w:sz w:val="17"/>
                <w:szCs w:val="17"/>
                <w:color w:val="auto"/>
              </w:rPr>
            </w:pPr>
          </w:p>
        </w:tc>
        <w:tc>
          <w:tcPr>
            <w:tcW w:w="13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Accruals and reserves..................</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31,487</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254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24,813</w:t>
            </w: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Compensation and benefits..............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11,619</w:t>
            </w:r>
          </w:p>
        </w:tc>
        <w:tc>
          <w:tcPr>
            <w:tcW w:w="160" w:type="dxa"/>
            <w:vAlign w:val="bottom"/>
          </w:tcPr>
          <w:p>
            <w:pPr>
              <w:spacing w:after="0"/>
              <w:rPr>
                <w:sz w:val="17"/>
                <w:szCs w:val="17"/>
                <w:color w:val="auto"/>
              </w:rPr>
            </w:pPr>
          </w:p>
        </w:tc>
        <w:tc>
          <w:tcPr>
            <w:tcW w:w="254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11,873</w:t>
            </w: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Other..................................</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12,366</w:t>
            </w:r>
          </w:p>
        </w:tc>
        <w:tc>
          <w:tcPr>
            <w:tcW w:w="160" w:type="dxa"/>
            <w:vAlign w:val="bottom"/>
          </w:tcPr>
          <w:p>
            <w:pPr>
              <w:spacing w:after="0"/>
              <w:rPr>
                <w:sz w:val="17"/>
                <w:szCs w:val="17"/>
                <w:color w:val="auto"/>
              </w:rPr>
            </w:pPr>
          </w:p>
        </w:tc>
        <w:tc>
          <w:tcPr>
            <w:tcW w:w="254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10,005</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55,472</w:t>
            </w:r>
          </w:p>
        </w:tc>
        <w:tc>
          <w:tcPr>
            <w:tcW w:w="160" w:type="dxa"/>
            <w:vAlign w:val="bottom"/>
          </w:tcPr>
          <w:p>
            <w:pPr>
              <w:spacing w:after="0"/>
              <w:rPr>
                <w:sz w:val="17"/>
                <w:szCs w:val="17"/>
                <w:color w:val="auto"/>
              </w:rPr>
            </w:pPr>
          </w:p>
        </w:tc>
        <w:tc>
          <w:tcPr>
            <w:tcW w:w="254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46,691</w:t>
            </w: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Valuation allowance....................</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(11,384)</w:t>
            </w:r>
          </w:p>
        </w:tc>
        <w:tc>
          <w:tcPr>
            <w:tcW w:w="160" w:type="dxa"/>
            <w:vAlign w:val="bottom"/>
          </w:tcPr>
          <w:p>
            <w:pPr>
              <w:spacing w:after="0"/>
              <w:rPr>
                <w:sz w:val="17"/>
                <w:szCs w:val="17"/>
                <w:color w:val="auto"/>
              </w:rPr>
            </w:pPr>
          </w:p>
        </w:tc>
        <w:tc>
          <w:tcPr>
            <w:tcW w:w="254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w w:val="94"/>
              </w:rPr>
              <w:t>(19,660)</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44,088</w:t>
            </w:r>
          </w:p>
        </w:tc>
        <w:tc>
          <w:tcPr>
            <w:tcW w:w="160" w:type="dxa"/>
            <w:vAlign w:val="bottom"/>
          </w:tcPr>
          <w:p>
            <w:pPr>
              <w:spacing w:after="0"/>
              <w:rPr>
                <w:sz w:val="17"/>
                <w:szCs w:val="17"/>
                <w:color w:val="auto"/>
              </w:rPr>
            </w:pPr>
          </w:p>
        </w:tc>
        <w:tc>
          <w:tcPr>
            <w:tcW w:w="254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27,031</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Excess of tax over book depreciation...</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(28,649)</w:t>
            </w:r>
          </w:p>
        </w:tc>
        <w:tc>
          <w:tcPr>
            <w:tcW w:w="160" w:type="dxa"/>
            <w:vAlign w:val="bottom"/>
          </w:tcPr>
          <w:p>
            <w:pPr>
              <w:spacing w:after="0"/>
              <w:rPr>
                <w:sz w:val="17"/>
                <w:szCs w:val="17"/>
                <w:color w:val="auto"/>
              </w:rPr>
            </w:pPr>
          </w:p>
        </w:tc>
        <w:tc>
          <w:tcPr>
            <w:tcW w:w="254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w w:val="94"/>
              </w:rPr>
              <w:t>(24,619)</w:t>
            </w: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Other..................................</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160" w:type="dxa"/>
            <w:vAlign w:val="bottom"/>
          </w:tcPr>
          <w:p>
            <w:pPr>
              <w:spacing w:after="0"/>
              <w:rPr>
                <w:sz w:val="17"/>
                <w:szCs w:val="17"/>
                <w:color w:val="auto"/>
              </w:rPr>
            </w:pPr>
          </w:p>
        </w:tc>
        <w:tc>
          <w:tcPr>
            <w:tcW w:w="254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(28,690)</w:t>
            </w:r>
          </w:p>
        </w:tc>
        <w:tc>
          <w:tcPr>
            <w:tcW w:w="160" w:type="dxa"/>
            <w:vAlign w:val="bottom"/>
          </w:tcPr>
          <w:p>
            <w:pPr>
              <w:spacing w:after="0"/>
              <w:rPr>
                <w:sz w:val="17"/>
                <w:szCs w:val="17"/>
                <w:color w:val="auto"/>
              </w:rPr>
            </w:pPr>
          </w:p>
        </w:tc>
        <w:tc>
          <w:tcPr>
            <w:tcW w:w="254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w w:val="94"/>
              </w:rPr>
              <w:t>(24,742)</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15,398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254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2,289</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40" w:type="dxa"/>
            <w:vAlign w:val="bottom"/>
            <w:gridSpan w:val="5"/>
          </w:tcPr>
          <w:p>
            <w:pPr>
              <w:jc w:val="right"/>
              <w:ind w:right="752"/>
              <w:spacing w:after="0"/>
              <w:rPr>
                <w:sz w:val="20"/>
                <w:szCs w:val="20"/>
                <w:color w:val="auto"/>
              </w:rPr>
            </w:pPr>
            <w:r>
              <w:rPr>
                <w:rFonts w:ascii="Courier New" w:cs="Courier New" w:eastAsia="Courier New" w:hAnsi="Courier New"/>
                <w:sz w:val="18"/>
                <w:szCs w:val="18"/>
                <w:color w:val="auto"/>
              </w:rPr>
              <w:t>The consolidated provision for income taxes differs from the provision</w:t>
            </w:r>
          </w:p>
        </w:tc>
      </w:tr>
      <w:tr>
        <w:trPr>
          <w:trHeight w:val="203"/>
        </w:trPr>
        <w:tc>
          <w:tcPr>
            <w:tcW w:w="5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computed at the statutory U.S. Federal income tax rate</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for the following reasons</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0"/>
                <w:szCs w:val="20"/>
                <w:color w:val="auto"/>
              </w:rPr>
            </w:pPr>
            <w:r>
              <w:rPr>
                <w:rFonts w:ascii="Courier New" w:cs="Courier New" w:eastAsia="Courier New" w:hAnsi="Courier New"/>
                <w:sz w:val="18"/>
                <w:szCs w:val="18"/>
                <w:color w:val="auto"/>
                <w:w w:val="99"/>
              </w:rPr>
              <w:t>Expected tax provision at U.S. statutory rate........</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$49,379</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$35,953</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$25,522</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Non-U.S. income, taxed at less than U.S. statutory</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rate................................................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Change in valuation allowance........................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(8,276)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Expenses for which no tax benefit was received.......</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11,408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$49,321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$22,626</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SFAS No. 109 requires that deferred tax assets be reduced by a valuation allowance if it is more likely than not that some portion or all of the deferred tax asset will not be realized. During 1997, the net decrease in the valuation allowance was $8.3 million in connection with the disallowance of a portion of the previously reserved deferred tax assets.</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Undistributed earnings of non-U.S. subsidiaries included in consolidated retained earnings amounted to $177.8 million at December 31, 1997. It is the Company's policy that these earnings, which reflect full provision for non-U.S. income taxes, have no additional provision for U.S. taxes on foreign subsidiaries earnings which are expected to be reinvested indefinitely. However, additional income taxes have been provided on planned repatriations of foreign earnings after taking into account tax-exempt earnings and applicable foreign tax credits.</w:t>
      </w:r>
    </w:p>
    <w:p>
      <w:pPr>
        <w:spacing w:after="0" w:line="212" w:lineRule="exact"/>
        <w:rPr>
          <w:sz w:val="20"/>
          <w:szCs w:val="20"/>
          <w:color w:val="auto"/>
        </w:rPr>
      </w:pPr>
    </w:p>
    <w:p>
      <w:pPr>
        <w:ind w:right="5999" w:firstLine="8"/>
        <w:spacing w:after="0" w:line="470"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AND EMPLOYEE BENEFIT PLANS Retirement Plans</w:t>
      </w:r>
    </w:p>
    <w:p>
      <w:pPr>
        <w:spacing w:after="0" w:line="12" w:lineRule="exact"/>
        <w:rPr>
          <w:sz w:val="20"/>
          <w:szCs w:val="20"/>
          <w:color w:val="auto"/>
        </w:rPr>
      </w:pPr>
    </w:p>
    <w:p>
      <w:pPr>
        <w:ind w:right="1779" w:firstLine="211"/>
        <w:spacing w:after="0" w:line="236" w:lineRule="auto"/>
        <w:rPr>
          <w:sz w:val="20"/>
          <w:szCs w:val="20"/>
          <w:color w:val="auto"/>
        </w:rPr>
      </w:pPr>
      <w:r>
        <w:rPr>
          <w:rFonts w:ascii="Courier New" w:cs="Courier New" w:eastAsia="Courier New" w:hAnsi="Courier New"/>
          <w:sz w:val="18"/>
          <w:szCs w:val="18"/>
          <w:color w:val="auto"/>
        </w:rPr>
        <w:t>The Company and its subsidiaries have defined benefit retirement plans covering substantially all employees. The total cost of all plans for 1997, 1996 and 1995 was $6.0 million, $5.4 million and $5.2 million,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0" w:gutter="0" w:footer="0" w:header="0"/>
        </w:sectPr>
      </w:pPr>
    </w:p>
    <w:bookmarkStart w:id="18" w:name="page19"/>
    <w:bookmarkEnd w:id="18"/>
    <w:p>
      <w:pPr>
        <w:jc w:val="center"/>
        <w:ind w:right="2100"/>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20" w:firstLine="211"/>
        <w:spacing w:after="0" w:line="273" w:lineRule="auto"/>
        <w:rPr>
          <w:sz w:val="20"/>
          <w:szCs w:val="20"/>
          <w:color w:val="auto"/>
        </w:rPr>
      </w:pPr>
      <w:r>
        <w:rPr>
          <w:rFonts w:ascii="Courier New" w:cs="Courier New" w:eastAsia="Courier New" w:hAnsi="Courier New"/>
          <w:sz w:val="16"/>
          <w:szCs w:val="16"/>
          <w:color w:val="auto"/>
        </w:rPr>
        <w:t>Annual cost is determined using the projected unit credit actuarial method. Prior service cost is amortized on a straight-line basis over the average remaining service period of employees expected to receive benefits. An assumption is made for modified career average plans such that the average earnings base period will be updated to the years prior to retirement.</w:t>
      </w:r>
    </w:p>
    <w:p>
      <w:pPr>
        <w:spacing w:after="0" w:line="185" w:lineRule="exact"/>
        <w:rPr>
          <w:sz w:val="20"/>
          <w:szCs w:val="20"/>
          <w:color w:val="auto"/>
        </w:rPr>
      </w:pPr>
    </w:p>
    <w:p>
      <w:pPr>
        <w:ind w:right="2100" w:firstLine="211"/>
        <w:spacing w:after="0" w:line="237" w:lineRule="auto"/>
        <w:rPr>
          <w:sz w:val="20"/>
          <w:szCs w:val="20"/>
          <w:color w:val="auto"/>
        </w:rPr>
      </w:pPr>
      <w:r>
        <w:rPr>
          <w:rFonts w:ascii="Courier New" w:cs="Courier New" w:eastAsia="Courier New" w:hAnsi="Courier New"/>
          <w:sz w:val="18"/>
          <w:szCs w:val="18"/>
          <w:color w:val="auto"/>
        </w:rPr>
        <w:t>It is the Company's practice to fund amounts for pensions sufficient to meet the minimum requirements set forth in applicable employee benefit and tax laws and such additional amounts as the Company may determine to be appropriate from time to time. The assets of the various plans include corporate equities, government securities and corporate debt securities.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funded status at December 31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252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U.S. PLANS</w:t>
            </w:r>
          </w:p>
        </w:tc>
        <w:tc>
          <w:tcPr>
            <w:tcW w:w="19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NON-U.S. PLANS</w:t>
            </w:r>
          </w:p>
        </w:tc>
      </w:tr>
      <w:tr>
        <w:trPr>
          <w:trHeight w:val="203"/>
        </w:trPr>
        <w:tc>
          <w:tcPr>
            <w:tcW w:w="4800" w:type="dxa"/>
            <w:vAlign w:val="bottom"/>
          </w:tcPr>
          <w:p>
            <w:pPr>
              <w:spacing w:after="0"/>
              <w:rPr>
                <w:sz w:val="17"/>
                <w:szCs w:val="17"/>
                <w:color w:val="auto"/>
              </w:rPr>
            </w:pPr>
          </w:p>
        </w:tc>
        <w:tc>
          <w:tcPr>
            <w:tcW w:w="2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Actuarial present value of benefit</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800" w:type="dxa"/>
            <w:vAlign w:val="bottom"/>
          </w:tcPr>
          <w:p>
            <w:pPr>
              <w:jc w:val="right"/>
              <w:ind w:right="3432"/>
              <w:spacing w:after="0" w:line="203" w:lineRule="exact"/>
              <w:rPr>
                <w:sz w:val="20"/>
                <w:szCs w:val="20"/>
                <w:color w:val="auto"/>
              </w:rPr>
            </w:pPr>
            <w:r>
              <w:rPr>
                <w:rFonts w:ascii="Courier New" w:cs="Courier New" w:eastAsia="Courier New" w:hAnsi="Courier New"/>
                <w:sz w:val="18"/>
                <w:szCs w:val="18"/>
                <w:color w:val="auto"/>
              </w:rPr>
              <w:t>obligations</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Vested benefit obligation..................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$ 64,446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$ 58,839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$ 9,754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$5,550</w:t>
            </w:r>
          </w:p>
        </w:tc>
      </w:tr>
      <w:tr>
        <w:trPr>
          <w:trHeight w:val="203"/>
        </w:trPr>
        <w:tc>
          <w:tcPr>
            <w:tcW w:w="48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Accumulated benefit obligation.............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$ 67,118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$ 61,285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$10,332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$5,804</w:t>
            </w:r>
          </w:p>
        </w:tc>
      </w:tr>
      <w:tr>
        <w:trPr>
          <w:trHeight w:val="203"/>
        </w:trPr>
        <w:tc>
          <w:tcPr>
            <w:tcW w:w="48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Projected benefit obligation...............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$ 82,121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$ 75,626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$13,126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$7,642</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Plan assets at fair value...................</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65,024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63,936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11,670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8,182</w:t>
            </w:r>
          </w:p>
        </w:tc>
      </w:tr>
      <w:tr>
        <w:trPr>
          <w:trHeight w:val="203"/>
        </w:trPr>
        <w:tc>
          <w:tcPr>
            <w:tcW w:w="48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Projected benefit obligation in excess of</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plan assets................................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(17,097)</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(11,690)</w:t>
            </w:r>
          </w:p>
        </w:tc>
        <w:tc>
          <w:tcPr>
            <w:tcW w:w="11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(1,456)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Unrecognized net loss.......................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2,284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2,774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Unrecognized prior service cost.............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3,951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Additional liability........................</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(3,032)</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prepaid pension cost recognized</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in the consolidated balance sheets.........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$(12,124)</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 (8,935)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$ 1,318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591</w:t>
            </w:r>
          </w:p>
        </w:tc>
      </w:tr>
      <w:tr>
        <w:trPr>
          <w:trHeight w:val="203"/>
        </w:trPr>
        <w:tc>
          <w:tcPr>
            <w:tcW w:w="48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840" w:firstLine="211"/>
        <w:spacing w:after="0" w:line="235" w:lineRule="auto"/>
        <w:rPr>
          <w:sz w:val="20"/>
          <w:szCs w:val="20"/>
          <w:color w:val="auto"/>
        </w:rPr>
      </w:pPr>
      <w:r>
        <w:rPr>
          <w:rFonts w:ascii="Courier New" w:cs="Courier New" w:eastAsia="Courier New" w:hAnsi="Courier New"/>
          <w:sz w:val="18"/>
          <w:szCs w:val="18"/>
          <w:color w:val="auto"/>
        </w:rPr>
        <w:t>Net periodic pension cost for the years ended December 31 included the following components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U.S. PLANS</w:t>
            </w:r>
          </w:p>
        </w:tc>
        <w:tc>
          <w:tcPr>
            <w:tcW w:w="1120" w:type="dxa"/>
            <w:vAlign w:val="bottom"/>
          </w:tcPr>
          <w:p>
            <w:pPr>
              <w:spacing w:after="0"/>
              <w:rPr>
                <w:sz w:val="17"/>
                <w:szCs w:val="17"/>
                <w:color w:val="auto"/>
              </w:rPr>
            </w:pPr>
          </w:p>
        </w:tc>
        <w:tc>
          <w:tcPr>
            <w:tcW w:w="268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NON-U.S. PLANS</w:t>
            </w:r>
          </w:p>
        </w:tc>
      </w:tr>
      <w:tr>
        <w:trPr>
          <w:trHeight w:val="203"/>
        </w:trPr>
        <w:tc>
          <w:tcPr>
            <w:tcW w:w="428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Courier New" w:cs="Courier New" w:eastAsia="Courier New" w:hAnsi="Courier New"/>
                <w:sz w:val="7"/>
                <w:szCs w:val="7"/>
                <w:color w:val="auto"/>
                <w:w w:val="72"/>
              </w:rPr>
              <w:t>------------------------------</w:t>
            </w: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280" w:type="dxa"/>
            <w:vAlign w:val="bottom"/>
          </w:tcPr>
          <w:p>
            <w:pPr>
              <w:spacing w:after="0"/>
              <w:rPr>
                <w:sz w:val="17"/>
                <w:szCs w:val="17"/>
                <w:color w:val="auto"/>
              </w:rPr>
            </w:pP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Service cost, benefits earned during</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the period............................</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3,742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$ 3,695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$ 3,573</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$ 976</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$ 793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$ 677</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the projected</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benefit obligation....................</w:t>
            </w:r>
          </w:p>
        </w:tc>
        <w:tc>
          <w:tcPr>
            <w:tcW w:w="2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5,916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5,341</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4,747</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657</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w:t>
            </w:r>
          </w:p>
        </w:tc>
      </w:tr>
      <w:tr>
        <w:trPr>
          <w:trHeight w:val="203"/>
        </w:trPr>
        <w:tc>
          <w:tcPr>
            <w:tcW w:w="4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Actual return on plan assets...........</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(5,509)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(5,272)</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4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amortization.......................</w:t>
            </w:r>
          </w:p>
        </w:tc>
        <w:tc>
          <w:tcPr>
            <w:tcW w:w="2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periodic pension cost..............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$ 4,654</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$ 4,613</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$ 845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$ 776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$ 631</w:t>
            </w:r>
          </w:p>
        </w:tc>
      </w:tr>
      <w:tr>
        <w:trPr>
          <w:trHeight w:val="203"/>
        </w:trPr>
        <w:tc>
          <w:tcPr>
            <w:tcW w:w="4280" w:type="dxa"/>
            <w:vAlign w:val="bottom"/>
          </w:tcPr>
          <w:p>
            <w:pPr>
              <w:spacing w:after="0"/>
              <w:rPr>
                <w:sz w:val="17"/>
                <w:szCs w:val="17"/>
                <w:color w:val="auto"/>
              </w:rPr>
            </w:pP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00" w:firstLine="211"/>
        <w:spacing w:after="0" w:line="237" w:lineRule="auto"/>
        <w:rPr>
          <w:sz w:val="20"/>
          <w:szCs w:val="20"/>
          <w:color w:val="auto"/>
        </w:rPr>
      </w:pPr>
      <w:r>
        <w:rPr>
          <w:rFonts w:ascii="Courier New" w:cs="Courier New" w:eastAsia="Courier New" w:hAnsi="Courier New"/>
          <w:sz w:val="18"/>
          <w:szCs w:val="18"/>
          <w:color w:val="auto"/>
        </w:rPr>
        <w:t>All defined benefit pension plans sponsored by the Company are funded to the extent required by Federal regulation in each of the years ended December 31, 1997, 1996 and 1995. The assumed long-term rate of return on plan assets was 9.0%, the discount rate used in estimating benefit obligations was 8.0% and the rate of compensation increase assumed for salary-related plans was 6.5%.</w:t>
      </w:r>
    </w:p>
    <w:p>
      <w:pPr>
        <w:spacing w:after="0" w:line="209" w:lineRule="exact"/>
        <w:rPr>
          <w:sz w:val="20"/>
          <w:szCs w:val="20"/>
          <w:color w:val="auto"/>
        </w:rPr>
      </w:pPr>
    </w:p>
    <w:p>
      <w:pPr>
        <w:ind w:right="2000" w:firstLine="211"/>
        <w:spacing w:after="0" w:line="275" w:lineRule="auto"/>
        <w:rPr>
          <w:sz w:val="20"/>
          <w:szCs w:val="20"/>
          <w:color w:val="auto"/>
        </w:rPr>
      </w:pPr>
      <w:r>
        <w:rPr>
          <w:rFonts w:ascii="Courier New" w:cs="Courier New" w:eastAsia="Courier New" w:hAnsi="Courier New"/>
          <w:sz w:val="16"/>
          <w:szCs w:val="16"/>
          <w:color w:val="auto"/>
        </w:rPr>
        <w:t>Included in the above tables is the funded status and net periodic pension cost of Camco's deferred compensation plan (the "DC Plan"). Under the DC Plan, certain officers and selected key management personnel of the Company may receive an amount upon retirement at age 65 equal to (x) an award level for such</w:t>
      </w:r>
    </w:p>
    <w:p>
      <w:pPr>
        <w:sectPr>
          <w:pgSz w:w="11900" w:h="16838" w:orient="portrait"/>
          <w:cols w:equalWidth="0" w:num="1">
            <w:col w:w="10440"/>
          </w:cols>
          <w:pgMar w:left="240" w:top="717" w:right="1219" w:bottom="0" w:gutter="0" w:footer="0" w:header="0"/>
        </w:sectPr>
      </w:pPr>
    </w:p>
    <w:bookmarkStart w:id="19" w:name="page20"/>
    <w:bookmarkEnd w:id="19"/>
    <w:p>
      <w:pPr>
        <w:ind w:right="1779"/>
        <w:spacing w:after="0" w:line="235" w:lineRule="auto"/>
        <w:rPr>
          <w:sz w:val="20"/>
          <w:szCs w:val="20"/>
          <w:color w:val="auto"/>
        </w:rPr>
      </w:pPr>
      <w:r>
        <w:rPr>
          <w:rFonts w:ascii="Courier New" w:cs="Courier New" w:eastAsia="Courier New" w:hAnsi="Courier New"/>
          <w:sz w:val="18"/>
          <w:szCs w:val="18"/>
          <w:color w:val="auto"/>
        </w:rPr>
        <w:t>individual as determined by the Board (up to a maximum of 60%) multiplied by the average of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individual's highest five consecutive years earnings (including bonuses up to a maximum of 20% of base pay each year) out of the last ten consecutive years before retirement minus (y) the sum of the individual's benefits under the pension plan and other tax-qualified plans sponsored by the individual's former employers. An individual's benefits under the DC Plan vest on the earliest of the date the individual completes ten years of service, the individual's death or age 65. Benefits are subject to adjustment for early retirement (before age 65).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Thrift Plans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U.S. employees are eligible to participate in the Company-sponsored thrift plans. The plan allows eligible employees to contribute a percentage of compensation, subject to IRS and plan limitations. The plans provide for matching contributions which amounted to annual expense recognized by the Company of $2.6 million, $2.3 million and $1.9 million in 1997, 1996 and 1995,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Nonpension Postretirement Benefits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offers a postretirement medical plan to substantially all employees in the United States over age 60 who qualify for retirement and, on the last day of active employment, are enrolled as participants in Company medical plans for active employees. Participants under age 65 are required to pay the full average actual cost of providing benefits to active and retired employees. Participants age 65 and older contribute approximately 30% of the actual cost of providing benefits to active and retired employees. Total benefits provided over the lifetime of participants after they reach age 65 are limited to $100,000 per participant.</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expected cost of providing nonpension postretirement benefits is accrued during the years employees render service. The discount rate used in determining costs and future obligations was 8.0% in 1997, 1996 and 1995. The assumed health care cost trend rate was 10.0% in 1995, 9.0% in 1996 and 8.0% in 1997, scaling to 6.0% over six years. A one percent increase in the trend rate for health care costs would increase the accumulated postretirement benefit obligation by approximately 6.5% and the service and interest cost by approximately 7.0%. The Company is not required to fund its future obligation under the plan and does not intend to, unless favorable tax treatment becomes available.</w:t>
      </w:r>
    </w:p>
    <w:p>
      <w:pPr>
        <w:spacing w:after="0" w:line="215" w:lineRule="exact"/>
        <w:rPr>
          <w:sz w:val="20"/>
          <w:szCs w:val="20"/>
          <w:color w:val="auto"/>
        </w:rPr>
      </w:pPr>
    </w:p>
    <w:p>
      <w:pPr>
        <w:ind w:right="1779" w:firstLine="211"/>
        <w:spacing w:after="0" w:line="236" w:lineRule="auto"/>
        <w:rPr>
          <w:sz w:val="20"/>
          <w:szCs w:val="20"/>
          <w:color w:val="auto"/>
        </w:rPr>
      </w:pPr>
      <w:r>
        <w:rPr>
          <w:rFonts w:ascii="Courier New" w:cs="Courier New" w:eastAsia="Courier New" w:hAnsi="Courier New"/>
          <w:sz w:val="18"/>
          <w:szCs w:val="18"/>
          <w:color w:val="auto"/>
        </w:rPr>
        <w:t>Accumulated postretirement benefit obligations in excess of plan assets is classified in the accompanying balance sheets as other long-term liabilities and consists of the following as of December 31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w:t>
            </w:r>
          </w:p>
        </w:tc>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w:t>
            </w:r>
          </w:p>
        </w:tc>
      </w:tr>
      <w:tr>
        <w:trPr>
          <w:trHeight w:val="203"/>
        </w:trPr>
        <w:tc>
          <w:tcPr>
            <w:tcW w:w="3320" w:type="dxa"/>
            <w:vAlign w:val="bottom"/>
          </w:tcPr>
          <w:p>
            <w:pPr>
              <w:spacing w:after="0"/>
              <w:rPr>
                <w:sz w:val="17"/>
                <w:szCs w:val="17"/>
                <w:color w:val="auto"/>
              </w:rPr>
            </w:pPr>
          </w:p>
        </w:tc>
        <w:tc>
          <w:tcPr>
            <w:tcW w:w="1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1997</w:t>
            </w:r>
          </w:p>
        </w:tc>
        <w:tc>
          <w:tcPr>
            <w:tcW w:w="2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33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Retirees and beneficiaries....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4,669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6,421</w:t>
            </w:r>
          </w:p>
        </w:tc>
      </w:tr>
      <w:tr>
        <w:trPr>
          <w:trHeight w:val="203"/>
        </w:trPr>
        <w:tc>
          <w:tcPr>
            <w:tcW w:w="3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Fully eligible participants...</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1,172</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w:t>
            </w:r>
          </w:p>
        </w:tc>
      </w:tr>
      <w:tr>
        <w:trPr>
          <w:trHeight w:val="203"/>
        </w:trPr>
        <w:tc>
          <w:tcPr>
            <w:tcW w:w="3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Other active participants.....</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2,421</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3,339</w:t>
            </w:r>
          </w:p>
        </w:tc>
      </w:tr>
      <w:tr>
        <w:trPr>
          <w:trHeight w:val="203"/>
        </w:trPr>
        <w:tc>
          <w:tcPr>
            <w:tcW w:w="3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Unrecognized net gain.........</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9,611</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6,158</w:t>
            </w:r>
          </w:p>
        </w:tc>
      </w:tr>
      <w:tr>
        <w:trPr>
          <w:trHeight w:val="203"/>
        </w:trPr>
        <w:tc>
          <w:tcPr>
            <w:tcW w:w="33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17,873</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$18,460</w:t>
            </w:r>
          </w:p>
        </w:tc>
      </w:tr>
      <w:tr>
        <w:trPr>
          <w:trHeight w:val="203"/>
        </w:trPr>
        <w:tc>
          <w:tcPr>
            <w:tcW w:w="33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Net periodic postretirement cost for the years ended December 31,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DECEMBER 31</w:t>
            </w:r>
          </w:p>
        </w:tc>
        <w:tc>
          <w:tcPr>
            <w:tcW w:w="68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Service cost........................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$ 214</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$ 314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375</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Interest cost.......................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Amortization of unrecognized gain...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Total..............................</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$ 782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$1,712</w:t>
            </w:r>
          </w:p>
        </w:tc>
      </w:tr>
      <w:tr>
        <w:trPr>
          <w:trHeight w:val="203"/>
        </w:trPr>
        <w:tc>
          <w:tcPr>
            <w:tcW w:w="39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4"/>
                <w:szCs w:val="24"/>
                <w:color w:val="auto"/>
              </w:rPr>
            </w:pPr>
          </w:p>
        </w:tc>
        <w:tc>
          <w:tcPr>
            <w:tcW w:w="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717" w:right="1440" w:bottom="159" w:gutter="0" w:footer="0" w:header="0"/>
        </w:sectPr>
      </w:pPr>
    </w:p>
    <w:bookmarkStart w:id="21" w:name="page22"/>
    <w:bookmarkEnd w:id="21"/>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Incentive Programs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has an incentive bonus plan in which selected key employees, including executive officers, are eligible to receive cash bonus payments based on measures of profitability and cash flow of the Company and various units of the Company which are established and approved by the Board of Directors for each participant in the program at the beginning of each year. A minimum performance level must be achieved by the Company or a particular unit of the Company before any bonus may be earned.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Plans</w:t>
      </w:r>
    </w:p>
    <w:p>
      <w:pPr>
        <w:spacing w:after="0" w:line="207"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The Company has two plans currently in effect under which future stock option grants may be issued: the 1997 Long-Term Incentive Plan (the "1997 Incentive Plan") and the Non-Employee Directors Stock Option Plan (the "Directors' Plan").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1997 Incentive Plan provides for the granting of options to officers and key employees at an option price greater than or equal to the fair market value of a Company share on the date of grant. The term of each option is ten years and the options are generally exercisable in either three or four equal annual installments beginning one year after the date of grant. Initially, 1,500,000 shares of the Company's common stock were reserved for issuance under the 1997 Incentive Plan.</w:t>
      </w:r>
    </w:p>
    <w:p>
      <w:pPr>
        <w:spacing w:after="0" w:line="211" w:lineRule="exact"/>
        <w:rPr>
          <w:sz w:val="20"/>
          <w:szCs w:val="20"/>
          <w:color w:val="auto"/>
        </w:rPr>
      </w:pPr>
    </w:p>
    <w:p>
      <w:pPr>
        <w:ind w:right="1779" w:firstLine="211"/>
        <w:spacing w:after="0" w:line="272" w:lineRule="auto"/>
        <w:rPr>
          <w:sz w:val="20"/>
          <w:szCs w:val="20"/>
          <w:color w:val="auto"/>
        </w:rPr>
      </w:pPr>
      <w:r>
        <w:rPr>
          <w:rFonts w:ascii="Courier New" w:cs="Courier New" w:eastAsia="Courier New" w:hAnsi="Courier New"/>
          <w:sz w:val="16"/>
          <w:szCs w:val="16"/>
          <w:color w:val="auto"/>
        </w:rPr>
        <w:t>The Directors' Plan provides for the granting of options to non-employee directors at an option price greater than or equal to the fair market value of a Company share on the date of grant. The term of each option is ten years and the options are generally exercisable in three equal annual installments beginning one year after the date of grant. Two hundred and fifty thousand shares of the Company's common stock were reserved for issuance under the Directors' Plan.</w:t>
      </w:r>
    </w:p>
    <w:p>
      <w:pPr>
        <w:spacing w:after="0" w:line="186" w:lineRule="exact"/>
        <w:rPr>
          <w:sz w:val="20"/>
          <w:szCs w:val="20"/>
          <w:color w:val="auto"/>
        </w:rPr>
      </w:pPr>
    </w:p>
    <w:p>
      <w:pPr>
        <w:ind w:right="3159" w:firstLine="211"/>
        <w:spacing w:after="0" w:line="235" w:lineRule="auto"/>
        <w:rPr>
          <w:sz w:val="20"/>
          <w:szCs w:val="20"/>
          <w:color w:val="auto"/>
        </w:rPr>
      </w:pPr>
      <w:r>
        <w:rPr>
          <w:rFonts w:ascii="Courier New" w:cs="Courier New" w:eastAsia="Courier New" w:hAnsi="Courier New"/>
          <w:sz w:val="18"/>
          <w:szCs w:val="18"/>
          <w:color w:val="auto"/>
        </w:rPr>
        <w:t>Information regarding the Company's stock option plans, including predecessor plans, is summarized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WEIGHTED</w:t>
            </w:r>
          </w:p>
        </w:tc>
        <w:tc>
          <w:tcPr>
            <w:tcW w:w="14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SHARES UNDER</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AVERAGE</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w:t>
            </w:r>
          </w:p>
        </w:tc>
      </w:tr>
      <w:tr>
        <w:trPr>
          <w:trHeight w:val="203"/>
        </w:trPr>
        <w:tc>
          <w:tcPr>
            <w:tcW w:w="344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OPTION</w:t>
            </w: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 PRICE</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RANGE</w:t>
            </w:r>
          </w:p>
        </w:tc>
      </w:tr>
      <w:tr>
        <w:trPr>
          <w:trHeight w:val="203"/>
        </w:trPr>
        <w:tc>
          <w:tcPr>
            <w:tcW w:w="3440" w:type="dxa"/>
            <w:vAlign w:val="bottom"/>
          </w:tcPr>
          <w:p>
            <w:pPr>
              <w:spacing w:after="0"/>
              <w:rPr>
                <w:sz w:val="17"/>
                <w:szCs w:val="17"/>
                <w:color w:val="auto"/>
              </w:rPr>
            </w:pP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at December 31, 1994...</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1,359,468</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$14.86</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$3.37-$19.75</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Granted.......................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141,218</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19.31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18.37-23.94</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(200,041)</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11.41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3.37-15.00</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Canceled......................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(58,000)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16.09</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15.00-22.75</w:t>
            </w:r>
          </w:p>
        </w:tc>
      </w:tr>
      <w:tr>
        <w:trPr>
          <w:trHeight w:val="203"/>
        </w:trPr>
        <w:tc>
          <w:tcPr>
            <w:tcW w:w="344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at December 31, 1995...</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1,242,645</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15.86</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3.37-23.94</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Granted.......................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552,918</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28.88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24.14-36.94</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(177,105)</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14.49</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4.81-22.63</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Canceled......................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(4,875)</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17.45</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18.00-22.63</w:t>
            </w:r>
          </w:p>
        </w:tc>
      </w:tr>
      <w:tr>
        <w:trPr>
          <w:trHeight w:val="203"/>
        </w:trPr>
        <w:tc>
          <w:tcPr>
            <w:tcW w:w="344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at December 31, 1996...</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1,613,583</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20.47</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3.37-36.94</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Granted.......................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563,372</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49.20</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27.89-60.81</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(382,256)</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18.52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3.37-28.63</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Canceled......................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(30,273)</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29.05</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15.00-49.06</w:t>
            </w:r>
          </w:p>
        </w:tc>
      </w:tr>
      <w:tr>
        <w:trPr>
          <w:trHeight w:val="203"/>
        </w:trPr>
        <w:tc>
          <w:tcPr>
            <w:tcW w:w="344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 at December 31, 1997...</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1,764,426</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$29.67</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$3.37-$60.81</w:t>
            </w:r>
          </w:p>
        </w:tc>
      </w:tr>
      <w:tr>
        <w:trPr>
          <w:trHeight w:val="203"/>
        </w:trPr>
        <w:tc>
          <w:tcPr>
            <w:tcW w:w="344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Available for grant at</w:t>
            </w: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December 31, 1997.............</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1,288,070</w:t>
            </w: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exercisable at</w:t>
            </w: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December 31, 1997.............</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733,045</w:t>
            </w: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Company has adopted the disclosure-only provisions of SFAS No. 123, "Accounting for Stock-Based Compensation." Accordingly, no compensation cost has been recognized for the stock option plans. Had compensation cost for the Company's stock option plans been determined based on the fair value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767" w:gutter="0" w:footer="0" w:header="0"/>
        </w:sectPr>
      </w:pPr>
    </w:p>
    <w:bookmarkStart w:id="22" w:name="page23"/>
    <w:bookmarkEnd w:id="22"/>
    <w:p>
      <w:pPr>
        <w:jc w:val="center"/>
        <w:ind w:right="2200"/>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at the grant date for awards in 1997, 1996 and 1995 consistent with the provisions of SFAS No. 123, the Company's net income and earnings per share would have been reduced to the pro forma amounts indicated below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1997</w:t>
            </w:r>
          </w:p>
        </w:tc>
        <w:tc>
          <w:tcPr>
            <w:tcW w:w="26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1996</w:t>
            </w:r>
          </w:p>
        </w:tc>
        <w:tc>
          <w:tcPr>
            <w:tcW w:w="280" w:type="dxa"/>
            <w:vAlign w:val="bottom"/>
          </w:tcPr>
          <w:p>
            <w:pPr>
              <w:spacing w:after="0"/>
              <w:rPr>
                <w:sz w:val="17"/>
                <w:szCs w:val="17"/>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1995</w:t>
            </w:r>
          </w:p>
        </w:tc>
      </w:tr>
      <w:tr>
        <w:trPr>
          <w:trHeight w:val="203"/>
        </w:trPr>
        <w:tc>
          <w:tcPr>
            <w:tcW w:w="1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 as</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reported...................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88,852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68,004</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43,144</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 -- pro forma.....................</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83,999</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65,925</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42,843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Diluted earnings</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share -- as reported...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Diluted earnings</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share -- pro forma.....</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w:t>
            </w:r>
          </w:p>
        </w:tc>
        <w:tc>
          <w:tcPr>
            <w:tcW w:w="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bl>
    <w:p>
      <w:pPr>
        <w:spacing w:after="0" w:line="207" w:lineRule="exact"/>
        <w:rPr>
          <w:sz w:val="20"/>
          <w:szCs w:val="20"/>
          <w:color w:val="auto"/>
        </w:rPr>
      </w:pPr>
    </w:p>
    <w:p>
      <w:pPr>
        <w:ind w:right="2100" w:firstLine="211"/>
        <w:spacing w:after="0" w:line="237" w:lineRule="auto"/>
        <w:rPr>
          <w:sz w:val="20"/>
          <w:szCs w:val="20"/>
          <w:color w:val="auto"/>
        </w:rPr>
      </w:pPr>
      <w:r>
        <w:rPr>
          <w:rFonts w:ascii="Courier New" w:cs="Courier New" w:eastAsia="Courier New" w:hAnsi="Courier New"/>
          <w:sz w:val="18"/>
          <w:szCs w:val="18"/>
          <w:color w:val="auto"/>
        </w:rPr>
        <w:t>The effects of applying SFAS No. 123 in this pro forma disclosure are not indicative of future amounts. SFAS No. 123 does not apply to awards prior to 1995, and additional awards in future years are anticipated. The fair value of each option grant is estimated on the date of grant using the Black-Scholes option-pricing model with the following assumptions: expected dividend yield of 0.4% to 0.8%; expected stock price volatility range of 27.6% to 35.9%; risk-free interest rate range of 6.1% to 7.2%; and expected life of 10 years.</w:t>
      </w:r>
    </w:p>
    <w:p>
      <w:pPr>
        <w:spacing w:after="0" w:line="211"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The ranges of option fair values granted during 1997, 1996 and 1995 are from $19.59 to $32.21 and from $12.61 to $18.39 and $10.01 to $11.54, respectively. The weighted average of these fair values are $25.77, $14.30 and $10.29, respectively.</w:t>
      </w:r>
    </w:p>
    <w:p>
      <w:pPr>
        <w:spacing w:after="0" w:line="207" w:lineRule="exact"/>
        <w:rPr>
          <w:sz w:val="20"/>
          <w:szCs w:val="20"/>
          <w:color w:val="auto"/>
        </w:rPr>
      </w:pPr>
    </w:p>
    <w:p>
      <w:pPr>
        <w:ind w:right="2840" w:firstLine="211"/>
        <w:spacing w:after="0" w:line="235" w:lineRule="auto"/>
        <w:rPr>
          <w:sz w:val="20"/>
          <w:szCs w:val="20"/>
          <w:color w:val="auto"/>
        </w:rPr>
      </w:pPr>
      <w:r>
        <w:rPr>
          <w:rFonts w:ascii="Courier New" w:cs="Courier New" w:eastAsia="Courier New" w:hAnsi="Courier New"/>
          <w:sz w:val="18"/>
          <w:szCs w:val="18"/>
          <w:color w:val="auto"/>
        </w:rPr>
        <w:t>Information with respect to stock options outstanding and stock options exercisable as of December 31, 1997,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OPTIONS OUTSTANDING</w:t>
            </w:r>
          </w:p>
        </w:tc>
        <w:tc>
          <w:tcPr>
            <w:tcW w:w="14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OPTIONS EXERCISABLE</w:t>
            </w:r>
          </w:p>
        </w:tc>
      </w:tr>
      <w:tr>
        <w:trPr>
          <w:trHeight w:val="203"/>
        </w:trPr>
        <w:tc>
          <w:tcPr>
            <w:tcW w:w="3020" w:type="dxa"/>
            <w:vAlign w:val="bottom"/>
          </w:tcPr>
          <w:p>
            <w:pPr>
              <w:spacing w:after="0"/>
              <w:rPr>
                <w:sz w:val="17"/>
                <w:szCs w:val="17"/>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4"/>
              </w:rPr>
              <w:t>------------------------------------------------</w:t>
            </w: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WEIGHTED</w:t>
            </w:r>
          </w:p>
        </w:tc>
        <w:tc>
          <w:tcPr>
            <w:tcW w:w="14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WEIGHTED</w:t>
            </w:r>
          </w:p>
        </w:tc>
      </w:tr>
      <w:tr>
        <w:trPr>
          <w:trHeight w:val="203"/>
        </w:trPr>
        <w:tc>
          <w:tcPr>
            <w:tcW w:w="3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REMAINING</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AVERAGE</w:t>
            </w:r>
          </w:p>
        </w:tc>
        <w:tc>
          <w:tcPr>
            <w:tcW w:w="14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3020" w:type="dxa"/>
            <w:vAlign w:val="bottom"/>
          </w:tcPr>
          <w:p>
            <w:pPr>
              <w:spacing w:after="0"/>
              <w:rPr>
                <w:sz w:val="17"/>
                <w:szCs w:val="17"/>
                <w:color w:val="auto"/>
              </w:rPr>
            </w:pPr>
          </w:p>
        </w:tc>
        <w:tc>
          <w:tcPr>
            <w:tcW w:w="162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OPTIONS</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LIFE</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EXERCISE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RANGE OF EXERCISE PRICE</w:t>
            </w: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OUTSTANDING</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(YEARS)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EXERCISABLE</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3020" w:type="dxa"/>
            <w:vAlign w:val="bottom"/>
          </w:tcPr>
          <w:p>
            <w:pPr>
              <w:spacing w:after="0"/>
              <w:rPr>
                <w:sz w:val="17"/>
                <w:szCs w:val="17"/>
                <w:color w:val="auto"/>
              </w:rPr>
            </w:pPr>
          </w:p>
        </w:tc>
        <w:tc>
          <w:tcPr>
            <w:tcW w:w="1620" w:type="dxa"/>
            <w:vAlign w:val="bottom"/>
          </w:tcPr>
          <w:p>
            <w:pPr>
              <w:jc w:val="right"/>
              <w:ind w:right="235"/>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$3.37-$19.75...............</w:t>
            </w:r>
          </w:p>
        </w:tc>
        <w:tc>
          <w:tcPr>
            <w:tcW w:w="1620" w:type="dxa"/>
            <w:vAlign w:val="bottom"/>
          </w:tcPr>
          <w:p>
            <w:pPr>
              <w:jc w:val="right"/>
              <w:ind w:right="235"/>
              <w:spacing w:after="0"/>
              <w:rPr>
                <w:sz w:val="20"/>
                <w:szCs w:val="20"/>
                <w:color w:val="auto"/>
              </w:rPr>
            </w:pPr>
            <w:r>
              <w:rPr>
                <w:rFonts w:ascii="Courier New" w:cs="Courier New" w:eastAsia="Courier New" w:hAnsi="Courier New"/>
                <w:sz w:val="18"/>
                <w:szCs w:val="18"/>
                <w:color w:val="auto"/>
              </w:rPr>
              <w:t>703,846</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5.78</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$15.58</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500,774</w:t>
            </w:r>
          </w:p>
        </w:tc>
        <w:tc>
          <w:tcPr>
            <w:tcW w:w="2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$15.20</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$21.54-$36.94..............</w:t>
            </w:r>
          </w:p>
        </w:tc>
        <w:tc>
          <w:tcPr>
            <w:tcW w:w="1620" w:type="dxa"/>
            <w:vAlign w:val="bottom"/>
          </w:tcPr>
          <w:p>
            <w:pPr>
              <w:jc w:val="right"/>
              <w:ind w:right="235"/>
              <w:spacing w:after="0" w:line="203" w:lineRule="exact"/>
              <w:rPr>
                <w:sz w:val="20"/>
                <w:szCs w:val="20"/>
                <w:color w:val="auto"/>
              </w:rPr>
            </w:pPr>
            <w:r>
              <w:rPr>
                <w:rFonts w:ascii="Courier New" w:cs="Courier New" w:eastAsia="Courier New" w:hAnsi="Courier New"/>
                <w:sz w:val="18"/>
                <w:szCs w:val="18"/>
                <w:color w:val="auto"/>
              </w:rPr>
              <w:t>557,080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29.22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232,271</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29.64</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$49.06-$60.81..............</w:t>
            </w:r>
          </w:p>
        </w:tc>
        <w:tc>
          <w:tcPr>
            <w:tcW w:w="1620" w:type="dxa"/>
            <w:vAlign w:val="bottom"/>
          </w:tcPr>
          <w:p>
            <w:pPr>
              <w:jc w:val="right"/>
              <w:ind w:right="235"/>
              <w:spacing w:after="0" w:line="203" w:lineRule="exact"/>
              <w:rPr>
                <w:sz w:val="20"/>
                <w:szCs w:val="20"/>
                <w:color w:val="auto"/>
              </w:rPr>
            </w:pPr>
            <w:r>
              <w:rPr>
                <w:rFonts w:ascii="Courier New" w:cs="Courier New" w:eastAsia="Courier New" w:hAnsi="Courier New"/>
                <w:sz w:val="18"/>
                <w:szCs w:val="18"/>
                <w:color w:val="auto"/>
              </w:rPr>
              <w:t>503,499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49.89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1620" w:type="dxa"/>
            <w:vAlign w:val="bottom"/>
          </w:tcPr>
          <w:p>
            <w:pPr>
              <w:jc w:val="right"/>
              <w:ind w:right="235"/>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1620" w:type="dxa"/>
            <w:vAlign w:val="bottom"/>
          </w:tcPr>
          <w:p>
            <w:pPr>
              <w:jc w:val="right"/>
              <w:ind w:right="235"/>
              <w:spacing w:after="0" w:line="203" w:lineRule="exact"/>
              <w:rPr>
                <w:sz w:val="20"/>
                <w:szCs w:val="20"/>
                <w:color w:val="auto"/>
              </w:rPr>
            </w:pPr>
            <w:r>
              <w:rPr>
                <w:rFonts w:ascii="Courier New" w:cs="Courier New" w:eastAsia="Courier New" w:hAnsi="Courier New"/>
                <w:sz w:val="18"/>
                <w:szCs w:val="18"/>
                <w:color w:val="auto"/>
              </w:rPr>
              <w:t>1,764,426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733,045</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$19.77</w:t>
            </w:r>
          </w:p>
        </w:tc>
      </w:tr>
      <w:tr>
        <w:trPr>
          <w:trHeight w:val="203"/>
        </w:trPr>
        <w:tc>
          <w:tcPr>
            <w:tcW w:w="3020" w:type="dxa"/>
            <w:vAlign w:val="bottom"/>
          </w:tcPr>
          <w:p>
            <w:pPr>
              <w:spacing w:after="0"/>
              <w:rPr>
                <w:sz w:val="17"/>
                <w:szCs w:val="17"/>
                <w:color w:val="auto"/>
              </w:rPr>
            </w:pPr>
          </w:p>
        </w:tc>
        <w:tc>
          <w:tcPr>
            <w:tcW w:w="1620" w:type="dxa"/>
            <w:vAlign w:val="bottom"/>
          </w:tcPr>
          <w:p>
            <w:pPr>
              <w:jc w:val="right"/>
              <w:ind w:right="235"/>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200" w:firstLine="211"/>
        <w:spacing w:after="0" w:line="237" w:lineRule="auto"/>
        <w:rPr>
          <w:sz w:val="20"/>
          <w:szCs w:val="20"/>
          <w:color w:val="auto"/>
        </w:rPr>
      </w:pPr>
      <w:r>
        <w:rPr>
          <w:rFonts w:ascii="Courier New" w:cs="Courier New" w:eastAsia="Courier New" w:hAnsi="Courier New"/>
          <w:sz w:val="18"/>
          <w:szCs w:val="18"/>
          <w:color w:val="auto"/>
        </w:rPr>
        <w:t>The Company's 1997 Incentive Plan also authorizes the granting of restricted stock awards. Under this and previous plans, 158,750 shares of restricted stock were awarded to Company executive officers and other key employees that will vest over periods ranging from three to five years based upon the completion of specified periods of future service with the Company. In addition, 135,000 restricted shares of Common Stock were awarded to executive officers and other key employees and approximately 119,000 shares have been earned based upon the attainment of specified performance objectives. Compensation is charged to income over the vesting period for these awards which resulted in expense recognition of $4.5 million, $2.3 million and $1.7 million in 1997, 1996 and 1995, respectively.</w:t>
      </w:r>
    </w:p>
    <w:p>
      <w:pPr>
        <w:spacing w:after="0" w:line="216" w:lineRule="exact"/>
        <w:rPr>
          <w:sz w:val="20"/>
          <w:szCs w:val="20"/>
          <w:color w:val="auto"/>
        </w:rPr>
      </w:pPr>
    </w:p>
    <w:p>
      <w:pPr>
        <w:ind w:right="2200" w:firstLine="211"/>
        <w:spacing w:after="0" w:line="237" w:lineRule="auto"/>
        <w:rPr>
          <w:sz w:val="20"/>
          <w:szCs w:val="20"/>
          <w:color w:val="auto"/>
        </w:rPr>
      </w:pPr>
      <w:r>
        <w:rPr>
          <w:rFonts w:ascii="Courier New" w:cs="Courier New" w:eastAsia="Courier New" w:hAnsi="Courier New"/>
          <w:sz w:val="18"/>
          <w:szCs w:val="18"/>
          <w:color w:val="auto"/>
        </w:rPr>
        <w:t>The Company's ESOP covers all full-time domestic employees of Production Operators. ESOP contributions are made at the discretion of the Company's Board of Directors. Contributions to the ESOP by the Company for the years ended December 31, 1997, 1996 and 1995, were $925,000, $891,000 and $818,000, respectively. Dividends received by the ESOP Trust and applied to reduction of the ESOP term loan were $65,000, $126,000 and $119,000 in 1997, 1996 and 1995, respectively.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540"/>
          </w:cols>
          <w:pgMar w:left="240" w:top="717" w:right="1119" w:bottom="767" w:gutter="0" w:footer="0" w:header="0"/>
        </w:sectPr>
      </w:pPr>
    </w:p>
    <w:bookmarkStart w:id="23" w:name="page24"/>
    <w:bookmarkEnd w:id="23"/>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683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 Operating Leases</w:t>
      </w:r>
    </w:p>
    <w:p>
      <w:pPr>
        <w:spacing w:after="0" w:line="1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Aggregate minimum rental commitments under noncancelable operating leases with lease terms in excess of one year as of December 31, 1997,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20"/>
                <w:szCs w:val="20"/>
                <w:color w:val="auto"/>
              </w:rPr>
            </w:pPr>
            <w:r>
              <w:rPr>
                <w:rFonts w:ascii="Courier New" w:cs="Courier New" w:eastAsia="Courier New" w:hAnsi="Courier New"/>
                <w:sz w:val="18"/>
                <w:szCs w:val="18"/>
                <w:color w:val="auto"/>
                <w:w w:val="98"/>
              </w:rPr>
              <w:t>1998.......................................................</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$ 6,375</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1999.......................................................</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4,066</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2,784</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2,141</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2002.......................................................</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1,516</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Thereafter.................................................</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12,834</w:t>
            </w:r>
          </w:p>
        </w:tc>
      </w:tr>
      <w:tr>
        <w:trPr>
          <w:trHeight w:val="203"/>
        </w:trPr>
        <w:tc>
          <w:tcPr>
            <w:tcW w:w="63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440"/>
        <w:spacing w:after="0" w:line="238" w:lineRule="auto"/>
        <w:rPr>
          <w:sz w:val="20"/>
          <w:szCs w:val="20"/>
          <w:color w:val="auto"/>
        </w:rPr>
      </w:pPr>
      <w:r>
        <w:rPr>
          <w:rFonts w:ascii="Courier New" w:cs="Courier New" w:eastAsia="Courier New" w:hAnsi="Courier New"/>
          <w:sz w:val="18"/>
          <w:szCs w:val="18"/>
          <w:color w:val="auto"/>
        </w:rPr>
        <w:t>$29,716</w:t>
      </w:r>
    </w:p>
    <w:p>
      <w:pPr>
        <w:ind w:left="64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The Company incurred total rental expense of approximately $10.4 million, $10.0 million and $9.3 million in 1997, 1996 and 1995,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Construction Commitment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is committed to provide up to $40.0 million in additional funding to its Venezuelan joint venture to fund progress payments on the construction of contract gas compression equipment and facilities. The venture expects to obtain project financing upon completion of construction and repay all advances.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is involved in certain lawsuits and claims, including claims by federal and local authorities under various environmental protection laws, arising in the normal course of business. In the opinion of management, uninsured losses, if any, resulting from the ultimate resolution of these matters will not have a material adverse effect on the financial position or results of operations of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Exchange Contracts</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Camco enters into a variety of foreign exchange contracts to manage its exposure to fluctuations in foreign currency exchange rates. These contracts generally involve the exchange of one currency for another at a future date. The carrying value of these contracts at December 31, 1997 and 1996, approximated fair value based on exchange rates and quoted market prices at December 31, 1997 and 1996, for comparable contracts and was not significant.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Standby Letters of Credit</w:t>
      </w:r>
    </w:p>
    <w:p>
      <w:pPr>
        <w:spacing w:after="0" w:line="207"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As of December 31, 1997, the Company has $16.1 million of standby letters of credit outstanding under various unsecured credit arrangements.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Rights Agreement</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Company has a Stockholder Rights Agreement to protect against coercive or unfair takeover tactics. Under the terms of the agreement, the Company distributed to its stockholders one right for each share of Common Stock held.</w:t>
      </w:r>
    </w:p>
    <w:p>
      <w:pPr>
        <w:spacing w:after="0" w:line="17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Each right, as amended, entitles the holder to purchase one share of Common Stock for $250 per share, subject to adjustment or, under certain circumstances, to purchase stock of the Company or of the acquiring entity for one half of the market value. The rights are exercisable only if a person or group acquires 15%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4" w:name="page25"/>
    <w:bookmarkEnd w:id="24"/>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more of the Company's Common Stock or makes a tender offer for 15 percent or more of the Common Stock. The rights expire on December 15,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Repurchase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1996, the Board of Directors authorized a stock repurchase program for</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up to $20 million of the Company's Common Stock. Shares of the Company's Common Stock purchased pursuant to the program are reserved and used exclusively for employee benefit plans. During 1996, the Company purchased 342,600 shares of the Company's stock for an aggregate amount of $13.4 million.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SEGMENT INFORMATION</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Company is a diversified international energy service and manufacturing company that provides a variety of services and equipment to the oil and gas industry.</w:t>
      </w:r>
    </w:p>
    <w:p>
      <w:pPr>
        <w:spacing w:after="0" w:line="209"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Revenues by industry segment and geographic area include both revenues from unaffiliated customers and intercompany revenues from related companies. The price at which intercompany sales are made is generally based on the selling price to unaffiliated customers, less a discount, or the direct product cost plus a markup.</w:t>
      </w:r>
    </w:p>
    <w:p>
      <w:pPr>
        <w:spacing w:after="0" w:line="209" w:lineRule="exact"/>
        <w:rPr>
          <w:sz w:val="20"/>
          <w:szCs w:val="20"/>
          <w:color w:val="auto"/>
        </w:rPr>
      </w:pPr>
    </w:p>
    <w:p>
      <w:pPr>
        <w:jc w:val="both"/>
        <w:ind w:right="2419" w:firstLine="211"/>
        <w:spacing w:after="0" w:line="290" w:lineRule="auto"/>
        <w:rPr>
          <w:sz w:val="20"/>
          <w:szCs w:val="20"/>
          <w:color w:val="auto"/>
        </w:rPr>
      </w:pPr>
      <w:r>
        <w:rPr>
          <w:rFonts w:ascii="Courier New" w:cs="Courier New" w:eastAsia="Courier New" w:hAnsi="Courier New"/>
          <w:sz w:val="16"/>
          <w:szCs w:val="16"/>
          <w:color w:val="auto"/>
        </w:rPr>
        <w:t>Export sales from the United States to other geographic areas, including intercompany sales to foreign subsidiaries, are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02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Europe (including Former Soviet Union)</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52,137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$ 43,218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$ 33,519</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Mexico and Central and South America.....</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56,149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79,978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86,857</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Far East.................................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32,827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30,002</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Middle East and Africa...................</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25,474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17,670</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Canada...................................</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16,120</w:t>
            </w:r>
          </w:p>
        </w:tc>
      </w:tr>
      <w:tr>
        <w:trPr>
          <w:trHeight w:val="203"/>
        </w:trPr>
        <w:tc>
          <w:tcPr>
            <w:tcW w:w="402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188,185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$196,973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$184,168</w:t>
            </w:r>
          </w:p>
        </w:tc>
      </w:tr>
      <w:tr>
        <w:trPr>
          <w:trHeight w:val="203"/>
        </w:trPr>
        <w:tc>
          <w:tcPr>
            <w:tcW w:w="402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4"/>
                <w:szCs w:val="24"/>
                <w:color w:val="auto"/>
              </w:rPr>
            </w:pPr>
          </w:p>
        </w:tc>
        <w:tc>
          <w:tcPr>
            <w:tcW w:w="7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83"/>
              </w:rPr>
              <w:t>18</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5" w:name="page26"/>
    <w:bookmarkEnd w:id="25"/>
    <w:p>
      <w:pPr>
        <w:jc w:val="center"/>
        <w:ind w:right="1880"/>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100" w:firstLine="211"/>
        <w:spacing w:after="0" w:line="236" w:lineRule="auto"/>
        <w:rPr>
          <w:sz w:val="20"/>
          <w:szCs w:val="20"/>
          <w:color w:val="auto"/>
        </w:rPr>
      </w:pPr>
      <w:r>
        <w:rPr>
          <w:rFonts w:ascii="Courier New" w:cs="Courier New" w:eastAsia="Courier New" w:hAnsi="Courier New"/>
          <w:sz w:val="18"/>
          <w:szCs w:val="18"/>
          <w:color w:val="auto"/>
        </w:rPr>
        <w:t>The following financial information by geographic region for the years ended December 31, 1997, 1996 and 1995, is based on the source from which the equipment and services originate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6"/>
              </w:rPr>
              <w:t>ADDITIONAL</w:t>
            </w: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1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OUTSIDE</w:t>
            </w:r>
          </w:p>
        </w:tc>
        <w:tc>
          <w:tcPr>
            <w:tcW w:w="17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INTERCOMPANY</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OPERATING</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IDENTIFIABLE</w:t>
            </w:r>
          </w:p>
        </w:tc>
      </w:tr>
      <w:tr>
        <w:trPr>
          <w:trHeight w:val="203"/>
        </w:trPr>
        <w:tc>
          <w:tcPr>
            <w:tcW w:w="4600" w:type="dxa"/>
            <w:vAlign w:val="bottom"/>
          </w:tcPr>
          <w:p>
            <w:pPr>
              <w:spacing w:after="0"/>
              <w:rPr>
                <w:sz w:val="17"/>
                <w:szCs w:val="17"/>
                <w:color w:val="auto"/>
              </w:rPr>
            </w:pPr>
          </w:p>
        </w:tc>
        <w:tc>
          <w:tcPr>
            <w:tcW w:w="11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REVENUES</w:t>
            </w:r>
          </w:p>
        </w:tc>
        <w:tc>
          <w:tcPr>
            <w:tcW w:w="17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REVENUES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INCOME</w:t>
            </w:r>
          </w:p>
        </w:tc>
        <w:tc>
          <w:tcPr>
            <w:tcW w:w="4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ASSETS</w:t>
            </w:r>
          </w:p>
        </w:tc>
      </w:tr>
      <w:tr>
        <w:trPr>
          <w:trHeight w:val="203"/>
        </w:trPr>
        <w:tc>
          <w:tcPr>
            <w:tcW w:w="460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jc w:val="right"/>
              <w:ind w:right="4092"/>
              <w:spacing w:after="0"/>
              <w:rPr>
                <w:sz w:val="20"/>
                <w:szCs w:val="20"/>
                <w:color w:val="auto"/>
              </w:rPr>
            </w:pPr>
            <w:r>
              <w:rPr>
                <w:rFonts w:ascii="Courier New" w:cs="Courier New" w:eastAsia="Courier New" w:hAnsi="Courier New"/>
                <w:sz w:val="18"/>
                <w:szCs w:val="18"/>
                <w:color w:val="auto"/>
                <w:w w:val="92"/>
              </w:rPr>
              <w:t>1997</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USA and Canada...........................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$506,725</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$ 157,881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$ 71,853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641,407</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Europe (including Former Soviet Union)...</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106,876</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34,055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36,285</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152,494</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Middle East and Africa...................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22,104</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884</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11,852</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Mexico and Central and South America.....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110,502</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13,656</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101,516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Far East.................................</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167,634</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75,004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38,800</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210,571</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Eliminations.............................</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(267,670)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(14,725)</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Consolidated............................</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$913,841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$146,753</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$1,117,840</w:t>
            </w:r>
          </w:p>
        </w:tc>
      </w:tr>
      <w:tr>
        <w:trPr>
          <w:trHeight w:val="203"/>
        </w:trPr>
        <w:tc>
          <w:tcPr>
            <w:tcW w:w="460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4092"/>
              <w:spacing w:after="0" w:line="203" w:lineRule="exact"/>
              <w:rPr>
                <w:sz w:val="20"/>
                <w:szCs w:val="20"/>
                <w:color w:val="auto"/>
              </w:rPr>
            </w:pPr>
            <w:r>
              <w:rPr>
                <w:rFonts w:ascii="Courier New" w:cs="Courier New" w:eastAsia="Courier New" w:hAnsi="Courier New"/>
                <w:sz w:val="18"/>
                <w:szCs w:val="18"/>
                <w:color w:val="auto"/>
                <w:w w:val="92"/>
              </w:rPr>
              <w:t>1996</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USA and Canada...........................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$432,923</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$ 114,950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$ 47,757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517,645</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Europe (including Former Soviet Union)...</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136,851</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27,182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21,148</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134,036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Middle East and Africa...................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14,541</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3,705</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18,092</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Mexico and Central and South America.....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79,406</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11,961</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94,576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Far East.................................</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100,814</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53,300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32,761</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207,356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Eliminations.............................</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(195,639)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(10,069)</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Consolidated............................</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$764,535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$107,263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971,705</w:t>
            </w:r>
          </w:p>
        </w:tc>
      </w:tr>
      <w:tr>
        <w:trPr>
          <w:trHeight w:val="203"/>
        </w:trPr>
        <w:tc>
          <w:tcPr>
            <w:tcW w:w="460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4092"/>
              <w:spacing w:after="0" w:line="203" w:lineRule="exact"/>
              <w:rPr>
                <w:sz w:val="20"/>
                <w:szCs w:val="20"/>
                <w:color w:val="auto"/>
              </w:rPr>
            </w:pPr>
            <w:r>
              <w:rPr>
                <w:rFonts w:ascii="Courier New" w:cs="Courier New" w:eastAsia="Courier New" w:hAnsi="Courier New"/>
                <w:sz w:val="18"/>
                <w:szCs w:val="18"/>
                <w:color w:val="auto"/>
                <w:w w:val="92"/>
              </w:rPr>
              <w:t>1995</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USA and Canada...........................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$377,709</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$ 110,397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$ 46,241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488,424</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Europe (including Former Soviet Union)...</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103,361</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17,002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6,988</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84,478</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Middle East and Africa...................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10,833</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1,667</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14,807</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Mexico and Central and South America.....</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75,063</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3,777</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75,896</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Far East.................................</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100,966</w:t>
            </w:r>
          </w:p>
        </w:tc>
        <w:tc>
          <w:tcPr>
            <w:tcW w:w="58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37,070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22,552</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217,894</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Eliminations.............................</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(164,469)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(3,170)</w:t>
            </w: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Consolidated............................</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$667,932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$ 78,055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881,499</w:t>
            </w:r>
          </w:p>
        </w:tc>
      </w:tr>
      <w:tr>
        <w:trPr>
          <w:trHeight w:val="203"/>
        </w:trPr>
        <w:tc>
          <w:tcPr>
            <w:tcW w:w="460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0"/>
          </w:cols>
          <w:pgMar w:left="240" w:top="717" w:right="1439" w:bottom="1440" w:gutter="0" w:footer="0" w:header="0"/>
        </w:sectPr>
      </w:pPr>
    </w:p>
    <w:bookmarkStart w:id="26" w:name="page27"/>
    <w:bookmarkEnd w:id="26"/>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Information for industry segments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DEPRECIATION</w:t>
            </w:r>
          </w:p>
        </w:tc>
        <w:tc>
          <w:tcPr>
            <w:tcW w:w="14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OUTSIDE</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OPERATING</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IDENTIFIABLE</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AND</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CAPITAL</w:t>
            </w:r>
          </w:p>
        </w:tc>
      </w:tr>
      <w:tr>
        <w:trPr>
          <w:trHeight w:val="203"/>
        </w:trPr>
        <w:tc>
          <w:tcPr>
            <w:tcW w:w="248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REVENUES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INCOME</w:t>
            </w:r>
          </w:p>
        </w:tc>
        <w:tc>
          <w:tcPr>
            <w:tcW w:w="48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ASSETS</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AMORTIZATION</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EXPENDITURES</w:t>
            </w:r>
          </w:p>
        </w:tc>
      </w:tr>
      <w:tr>
        <w:trPr>
          <w:trHeight w:val="203"/>
        </w:trPr>
        <w:tc>
          <w:tcPr>
            <w:tcW w:w="24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jc w:val="right"/>
              <w:ind w:right="1972"/>
              <w:spacing w:after="0"/>
              <w:rPr>
                <w:sz w:val="20"/>
                <w:szCs w:val="20"/>
                <w:color w:val="auto"/>
              </w:rPr>
            </w:pPr>
            <w:r>
              <w:rPr>
                <w:rFonts w:ascii="Courier New" w:cs="Courier New" w:eastAsia="Courier New" w:hAnsi="Courier New"/>
                <w:sz w:val="18"/>
                <w:szCs w:val="18"/>
                <w:color w:val="auto"/>
                <w:w w:val="92"/>
              </w:rPr>
              <w:t>1997</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Oilfield equipment...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$697,015</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$125,904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696,494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$34,927</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$37,303</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Oilfield services....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216,826</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48,404</w:t>
            </w:r>
          </w:p>
        </w:tc>
        <w:tc>
          <w:tcPr>
            <w:tcW w:w="4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318,835</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26,620</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57,943</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(27,555)(a)</w:t>
            </w:r>
          </w:p>
        </w:tc>
        <w:tc>
          <w:tcPr>
            <w:tcW w:w="4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102,511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917</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w:t>
            </w:r>
          </w:p>
        </w:tc>
      </w:tr>
      <w:tr>
        <w:trPr>
          <w:trHeight w:val="203"/>
        </w:trPr>
        <w:tc>
          <w:tcPr>
            <w:tcW w:w="24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$913,841</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$146,753</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$1,117,840</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$62,464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$95,754</w:t>
            </w:r>
          </w:p>
        </w:tc>
      </w:tr>
      <w:tr>
        <w:trPr>
          <w:trHeight w:val="203"/>
        </w:trPr>
        <w:tc>
          <w:tcPr>
            <w:tcW w:w="24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w w:val="92"/>
              </w:rPr>
              <w:t>1996</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Oilfield equipment...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$568,314</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$ 87,893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616,404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$31,473</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$28,001</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Oilfield services....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196,221</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40,121</w:t>
            </w:r>
          </w:p>
        </w:tc>
        <w:tc>
          <w:tcPr>
            <w:tcW w:w="4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270,816</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23,003</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33,685</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(20,751)</w:t>
            </w:r>
          </w:p>
        </w:tc>
        <w:tc>
          <w:tcPr>
            <w:tcW w:w="4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84,485</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908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24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$764,535</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$107,263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971,705</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$55,384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$61,848</w:t>
            </w:r>
          </w:p>
        </w:tc>
      </w:tr>
      <w:tr>
        <w:trPr>
          <w:trHeight w:val="203"/>
        </w:trPr>
        <w:tc>
          <w:tcPr>
            <w:tcW w:w="24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w w:val="92"/>
              </w:rPr>
              <w:t>1995</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Oilfield equipment...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$493,397</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$ 62,209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532,981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$23,574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$20,766</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Oilfield services....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174,535</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29,321</w:t>
            </w:r>
          </w:p>
        </w:tc>
        <w:tc>
          <w:tcPr>
            <w:tcW w:w="4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272,189</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21,906</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68,074</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(13,475)</w:t>
            </w:r>
          </w:p>
        </w:tc>
        <w:tc>
          <w:tcPr>
            <w:tcW w:w="4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76,329</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24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$667,932</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$ 78,055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881,499</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$46,092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$89,155</w:t>
            </w:r>
          </w:p>
        </w:tc>
      </w:tr>
      <w:tr>
        <w:trPr>
          <w:trHeight w:val="203"/>
        </w:trPr>
        <w:tc>
          <w:tcPr>
            <w:tcW w:w="24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99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merger expenses of $12.5 million incurred in connection with the merger between Camco and Production Operators.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DISCONTINUED OPERATIONS</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oil and gas production activities of Production Operators were discontinued in 1995 with a $6.7 million provision, net of tax, recorded related to the disposal of assets and $.5 million loss, net of tax, recorded related to operations. The discontinued operation's revenues, operating loss, tax benefit and loss after tax in 1995 were $9.2 million, $.7 million, $.2 million and $.5 million, respectively.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w w:val="97"/>
              </w:rPr>
              <w:t>12. UNAUDITED QUARTERLY FINANCIAL DATA</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FIRST</w:t>
            </w:r>
          </w:p>
        </w:tc>
        <w:tc>
          <w:tcPr>
            <w:tcW w:w="26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SECOND</w:t>
            </w:r>
          </w:p>
        </w:tc>
        <w:tc>
          <w:tcPr>
            <w:tcW w:w="1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THIRD</w:t>
            </w:r>
          </w:p>
        </w:tc>
        <w:tc>
          <w:tcPr>
            <w:tcW w:w="1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FOURTH</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5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QUARTER</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QUARTER</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QUARTER</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QUARTER</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TOTAL</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380" w:type="dxa"/>
            <w:vAlign w:val="bottom"/>
            <w:gridSpan w:val="9"/>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Revenues...............................</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$195,484</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$227,145</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$239,058</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$252,154</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$913,841</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Gross margin...........................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82,246</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96,113</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99,649</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109,359</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387,367</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provision for income</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taxes.................................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30,189</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24,453</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41,579</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44,861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141,082</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19,810</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15,772</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27,023</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29,156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91,761</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19,810</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15,772</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27,023</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26,247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88,852</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principle...........................</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Net income...........................</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 --</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principle...........................</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Net income...........................</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Revenues...............................</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$167,648</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$185,283</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$190,171</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$221,433</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$764,535</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67,763</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74,507</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75,508</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87,651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305,429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21,280</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23,495</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26,538</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31,411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102,724</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14,288</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15,593</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17,452</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20,671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Net income............................</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Net income............................</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402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EXHIBIT 13.2</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7020" w:type="dxa"/>
            <w:vAlign w:val="bottom"/>
            <w:gridSpan w:val="3"/>
          </w:tcPr>
          <w:p>
            <w:pPr>
              <w:jc w:val="center"/>
              <w:ind w:left="1212"/>
              <w:spacing w:after="0"/>
              <w:rPr>
                <w:sz w:val="20"/>
                <w:szCs w:val="20"/>
                <w:color w:val="auto"/>
              </w:rPr>
            </w:pPr>
            <w:r>
              <w:rPr>
                <w:rFonts w:ascii="Courier New" w:cs="Courier New" w:eastAsia="Courier New" w:hAnsi="Courier New"/>
                <w:sz w:val="18"/>
                <w:szCs w:val="18"/>
                <w:color w:val="auto"/>
                <w:w w:val="97"/>
              </w:rPr>
              <w:t>CAMCO INTERNATIONAL INC. AND SUBSIDIARIES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020" w:type="dxa"/>
            <w:vAlign w:val="bottom"/>
            <w:gridSpan w:val="3"/>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CONSOLIDATED CONDENSED STATEMENTS OF INCOME</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120" w:type="dxa"/>
            <w:vAlign w:val="bottom"/>
            <w:gridSpan w:val="2"/>
          </w:tcPr>
          <w:p>
            <w:pPr>
              <w:jc w:val="center"/>
              <w:ind w:left="213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8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5280" w:type="dxa"/>
            <w:vAlign w:val="bottom"/>
          </w:tcPr>
          <w:p>
            <w:pPr>
              <w:spacing w:after="0"/>
              <w:rPr>
                <w:sz w:val="24"/>
                <w:szCs w:val="24"/>
                <w:color w:val="auto"/>
              </w:rPr>
            </w:pPr>
          </w:p>
        </w:tc>
        <w:tc>
          <w:tcPr>
            <w:tcW w:w="326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rPr>
              <w:t>Three Months Ended June 30</w:t>
            </w:r>
          </w:p>
        </w:tc>
        <w:tc>
          <w:tcPr>
            <w:tcW w:w="26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Six Months Ended June 30</w:t>
            </w:r>
          </w:p>
        </w:tc>
      </w:tr>
      <w:tr>
        <w:trPr>
          <w:trHeight w:val="203"/>
        </w:trPr>
        <w:tc>
          <w:tcPr>
            <w:tcW w:w="5280" w:type="dxa"/>
            <w:vAlign w:val="bottom"/>
          </w:tcPr>
          <w:p>
            <w:pPr>
              <w:spacing w:after="0"/>
              <w:rPr>
                <w:sz w:val="17"/>
                <w:szCs w:val="17"/>
                <w:color w:val="auto"/>
              </w:rPr>
            </w:pPr>
          </w:p>
        </w:tc>
        <w:tc>
          <w:tcPr>
            <w:tcW w:w="3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7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1998</w:t>
            </w:r>
          </w:p>
        </w:tc>
        <w:tc>
          <w:tcPr>
            <w:tcW w:w="15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$151,813</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$156,319</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$303,092</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$279,751</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83,290</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70,826</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160,078</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142,878</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235,103</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227,145</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463,170</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422,629</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76,837</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82,228</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151,222</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144,451</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services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57,651</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48,804</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111,722</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99,819</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134,488</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131,032</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262,944</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244,270</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Gross margin</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100,615</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96,113</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200,226</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178,359</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53,090</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55,476</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105,930</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104,185</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Merger expenses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2,403</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2,178</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4,573</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4,072</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Operating income</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45,122</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25,959</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89,723</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57,602</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2,175</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1,506</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3,768</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2,960</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42,947</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24,453</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85,955</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54,642</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14,801</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8,681</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30,214</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19,060</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income</w:t>
            </w: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$ 28,146</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$ 15,772</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$ 55,741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$ 35,582</w:t>
            </w:r>
          </w:p>
        </w:tc>
      </w:tr>
      <w:tr>
        <w:trPr>
          <w:trHeight w:val="203"/>
        </w:trPr>
        <w:tc>
          <w:tcPr>
            <w:tcW w:w="5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37,887</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37,320</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37,780</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37,300</w:t>
            </w:r>
          </w:p>
        </w:tc>
      </w:tr>
      <w:tr>
        <w:trPr>
          <w:trHeight w:val="405"/>
        </w:trPr>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Diluted-</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w:t>
            </w:r>
          </w:p>
        </w:tc>
        <w:tc>
          <w:tcPr>
            <w:tcW w:w="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 common and common</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equivalent shares outstanding</w:t>
            </w:r>
          </w:p>
        </w:tc>
        <w:tc>
          <w:tcPr>
            <w:tcW w:w="8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38,745</w:t>
            </w:r>
          </w:p>
        </w:tc>
        <w:tc>
          <w:tcPr>
            <w:tcW w:w="5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38,348</w:t>
            </w: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38,638</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38,325</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dividends per common share</w:t>
            </w:r>
          </w:p>
        </w:tc>
        <w:tc>
          <w:tcPr>
            <w:tcW w:w="840" w:type="dxa"/>
            <w:vAlign w:val="bottom"/>
          </w:tcPr>
          <w:p>
            <w:pPr>
              <w:ind w:left="74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w:t>
            </w:r>
          </w:p>
        </w:tc>
        <w:tc>
          <w:tcPr>
            <w:tcW w:w="580" w:type="dxa"/>
            <w:vAlign w:val="bottom"/>
          </w:tcPr>
          <w:p>
            <w:pPr>
              <w:ind w:left="460"/>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.05</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bl>
    <w:p>
      <w:pPr>
        <w:spacing w:after="0" w:line="200" w:lineRule="exact"/>
        <w:rPr>
          <w:sz w:val="20"/>
          <w:szCs w:val="20"/>
          <w:color w:val="auto"/>
        </w:rPr>
      </w:pPr>
    </w:p>
    <w:p>
      <w:pPr>
        <w:spacing w:after="0" w:line="204"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The accompanying notes are an integral part of these</w:t>
      </w:r>
    </w:p>
    <w:p>
      <w:pPr>
        <w:jc w:val="center"/>
        <w:ind w:right="2940"/>
        <w:spacing w:after="0" w:line="238" w:lineRule="auto"/>
        <w:rPr>
          <w:sz w:val="20"/>
          <w:szCs w:val="20"/>
          <w:color w:val="auto"/>
        </w:rPr>
      </w:pPr>
      <w:r>
        <w:rPr>
          <w:rFonts w:ascii="Courier New" w:cs="Courier New" w:eastAsia="Courier New" w:hAnsi="Courier New"/>
          <w:sz w:val="18"/>
          <w:szCs w:val="18"/>
          <w:color w:val="auto"/>
        </w:rPr>
        <w:t>consolidated condensed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1180"/>
          </w:cols>
          <w:pgMar w:left="240" w:top="541" w:right="479" w:bottom="1440" w:gutter="0" w:footer="0" w:header="0"/>
        </w:sectPr>
      </w:pPr>
    </w:p>
    <w:bookmarkStart w:id="29" w:name="page30"/>
    <w:bookmarkEnd w:id="29"/>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jc w:val="center"/>
        <w:ind w:right="1879"/>
        <w:spacing w:after="0"/>
        <w:rPr>
          <w:sz w:val="20"/>
          <w:szCs w:val="20"/>
          <w:color w:val="auto"/>
        </w:rPr>
      </w:pPr>
      <w:r>
        <w:rPr>
          <w:rFonts w:ascii="Courier New" w:cs="Courier New" w:eastAsia="Courier New" w:hAnsi="Courier New"/>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22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June 30, 1998</w:t>
            </w:r>
          </w:p>
        </w:tc>
        <w:tc>
          <w:tcPr>
            <w:tcW w:w="2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 1997</w:t>
            </w:r>
          </w:p>
        </w:tc>
      </w:tr>
      <w:tr>
        <w:trPr>
          <w:trHeight w:val="203"/>
        </w:trPr>
        <w:tc>
          <w:tcPr>
            <w:tcW w:w="5160" w:type="dxa"/>
            <w:vAlign w:val="bottom"/>
          </w:tcPr>
          <w:p>
            <w:pPr>
              <w:spacing w:after="0"/>
              <w:rPr>
                <w:sz w:val="17"/>
                <w:szCs w:val="17"/>
                <w:color w:val="auto"/>
              </w:rPr>
            </w:pPr>
          </w:p>
        </w:tc>
        <w:tc>
          <w:tcPr>
            <w:tcW w:w="2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5160" w:type="dxa"/>
            <w:vAlign w:val="bottom"/>
          </w:tcPr>
          <w:p>
            <w:pPr>
              <w:ind w:left="2860"/>
              <w:spacing w:after="0"/>
              <w:rPr>
                <w:sz w:val="20"/>
                <w:szCs w:val="20"/>
                <w:color w:val="auto"/>
              </w:rPr>
            </w:pPr>
            <w:r>
              <w:rPr>
                <w:rFonts w:ascii="Courier New" w:cs="Courier New" w:eastAsia="Courier New" w:hAnsi="Courier New"/>
                <w:sz w:val="18"/>
                <w:szCs w:val="18"/>
                <w:color w:val="auto"/>
              </w:rPr>
              <w:t>ASSETS</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69,231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57,255</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194,823</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177,112</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225,808</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206,471</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71,670</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65,663</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561,532</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506,501</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Land</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5,708</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5,120</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Buildings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78,275</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77,279</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279,800</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266,137</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 equipment</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397,564</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366,732</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761,347</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715,268</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64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(387,850)</w:t>
            </w:r>
          </w:p>
        </w:tc>
        <w:tc>
          <w:tcPr>
            <w:tcW w:w="68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(361,956)</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373,497</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353,312</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223,058</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212,749</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79,930</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45,278</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$1,238,017</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$1,117,840</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320"/>
              <w:spacing w:after="0"/>
              <w:rPr>
                <w:sz w:val="20"/>
                <w:szCs w:val="20"/>
                <w:color w:val="auto"/>
              </w:rPr>
            </w:pPr>
            <w:r>
              <w:rPr>
                <w:rFonts w:ascii="Courier New" w:cs="Courier New" w:eastAsia="Courier New" w:hAnsi="Courier New"/>
                <w:sz w:val="18"/>
                <w:szCs w:val="18"/>
                <w:color w:val="auto"/>
              </w:rPr>
              <w:t>LIABILITIES AND STOCKHOLDERS' EQUITY</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60,115</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57,765</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151,726</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159,085</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29,429</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31,832</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241,390</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248,802</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170,300</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110,300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32,213</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28,690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45,064</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43,803</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488,967</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431,595</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$.01 par value, 100,000,000</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authorized, 38,763,668 and</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38,583,393 shares issued</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388</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386</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533,576</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525,662</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255,875</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203,911</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64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(15,966)</w:t>
            </w:r>
          </w:p>
        </w:tc>
        <w:tc>
          <w:tcPr>
            <w:tcW w:w="68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(15,194)</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799,989 and 1,046,372</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at cost</w:t>
            </w:r>
          </w:p>
        </w:tc>
        <w:tc>
          <w:tcPr>
            <w:tcW w:w="64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(24,823)</w:t>
            </w:r>
          </w:p>
        </w:tc>
        <w:tc>
          <w:tcPr>
            <w:tcW w:w="68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(28,520)</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64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749,050</w:t>
            </w:r>
          </w:p>
        </w:tc>
        <w:tc>
          <w:tcPr>
            <w:tcW w:w="6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686,245</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$1,238,017</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$1,117,840</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accompanying notes are an integral part of these</w:t>
      </w:r>
    </w:p>
    <w:p>
      <w:pPr>
        <w:jc w:val="center"/>
        <w:ind w:right="1979"/>
        <w:spacing w:after="0" w:line="238" w:lineRule="auto"/>
        <w:rPr>
          <w:sz w:val="20"/>
          <w:szCs w:val="20"/>
          <w:color w:val="auto"/>
        </w:rPr>
      </w:pPr>
      <w:r>
        <w:rPr>
          <w:rFonts w:ascii="Courier New" w:cs="Courier New" w:eastAsia="Courier New" w:hAnsi="Courier New"/>
          <w:sz w:val="18"/>
          <w:szCs w:val="18"/>
          <w:color w:val="auto"/>
        </w:rPr>
        <w:t>consolidated condensed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0" w:gutter="0" w:footer="0" w:header="0"/>
        </w:sectPr>
      </w:pPr>
    </w:p>
    <w:bookmarkStart w:id="30" w:name="page31"/>
    <w:bookmarkEnd w:id="30"/>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p>
      <w:pPr>
        <w:jc w:val="center"/>
        <w:ind w:right="1979"/>
        <w:spacing w:after="0"/>
        <w:rPr>
          <w:sz w:val="20"/>
          <w:szCs w:val="20"/>
          <w:color w:val="auto"/>
        </w:rPr>
      </w:pPr>
      <w:r>
        <w:rPr>
          <w:rFonts w:ascii="Courier New" w:cs="Courier New" w:eastAsia="Courier New" w:hAnsi="Courier New"/>
          <w:sz w:val="18"/>
          <w:szCs w:val="18"/>
          <w:color w:val="auto"/>
        </w:rPr>
        <w:t>(In thousands)</w:t>
      </w:r>
    </w:p>
    <w:p>
      <w:pPr>
        <w:ind w:left="35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29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Six Months Ended June 30</w:t>
            </w:r>
          </w:p>
        </w:tc>
      </w:tr>
      <w:tr>
        <w:trPr>
          <w:trHeight w:val="203"/>
        </w:trPr>
        <w:tc>
          <w:tcPr>
            <w:tcW w:w="6540" w:type="dxa"/>
            <w:vAlign w:val="bottom"/>
          </w:tcPr>
          <w:p>
            <w:pPr>
              <w:spacing w:after="0"/>
              <w:rPr>
                <w:sz w:val="17"/>
                <w:szCs w:val="17"/>
                <w:color w:val="auto"/>
              </w:rPr>
            </w:pP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$ 55,741</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$ 35,582</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 net of</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effects of acquisitions -</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from sale of assets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(687)</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35,476</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30,444</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Provision for deferred and other taxes</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3,539</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7,102</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accounts receivable</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(20,776)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(16,402)</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(14,686)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(24,051)</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accounts payable</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4,104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4,753</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(decrease) in accrued liabilities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(7,685)</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24,201</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income taxes payable</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(2,010)</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(11,776)</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other, net</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3,158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2,310</w:t>
            </w:r>
          </w:p>
        </w:tc>
      </w:tr>
      <w:tr>
        <w:trPr>
          <w:trHeight w:val="203"/>
        </w:trPr>
        <w:tc>
          <w:tcPr>
            <w:tcW w:w="6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56,174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52,024</w:t>
            </w:r>
          </w:p>
        </w:tc>
      </w:tr>
      <w:tr>
        <w:trPr>
          <w:trHeight w:val="203"/>
        </w:trPr>
        <w:tc>
          <w:tcPr>
            <w:tcW w:w="6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(50,954)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(44,407)</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 property, plant and equipment</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Business acquisitions, net of cash acquired</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(19,496)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(11,753)</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joint venture</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(37,288)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 in subsidiary year-end</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(6,496)</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(107,004)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(62,433)</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borrowings under revolving credit facility</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other debt</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4,996</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paid to stockholders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(3,777)</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(3,122)</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6,752</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864</w:t>
            </w:r>
          </w:p>
        </w:tc>
      </w:tr>
      <w:tr>
        <w:trPr>
          <w:trHeight w:val="203"/>
        </w:trPr>
        <w:tc>
          <w:tcPr>
            <w:tcW w:w="6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 in subsidiary year-end and other</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6,158</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62,975</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8,896</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 CASH EQUIVALENTS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11,976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(1,730)</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 PERIOD</w:t>
            </w:r>
          </w:p>
        </w:tc>
        <w:tc>
          <w:tcPr>
            <w:tcW w:w="52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57,255</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42,645</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69,231</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$ 40,915</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DISCLOSURES OF CASH FLOW INFORMATION:</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interest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3,930</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2,981</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23,779</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$ 23,596</w:t>
            </w:r>
          </w:p>
        </w:tc>
      </w:tr>
    </w:tbl>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accompanying notes are an integral part of these</w:t>
      </w:r>
    </w:p>
    <w:p>
      <w:pPr>
        <w:jc w:val="center"/>
        <w:ind w:right="1979"/>
        <w:spacing w:after="0" w:line="238" w:lineRule="auto"/>
        <w:rPr>
          <w:sz w:val="20"/>
          <w:szCs w:val="20"/>
          <w:color w:val="auto"/>
        </w:rPr>
      </w:pPr>
      <w:r>
        <w:rPr>
          <w:rFonts w:ascii="Courier New" w:cs="Courier New" w:eastAsia="Courier New" w:hAnsi="Courier New"/>
          <w:sz w:val="18"/>
          <w:szCs w:val="18"/>
          <w:color w:val="auto"/>
        </w:rPr>
        <w:t>consolidated condensed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1" w:name="page32"/>
    <w:bookmarkEnd w:id="31"/>
    <w:p>
      <w:pPr>
        <w:ind w:left="2000"/>
        <w:spacing w:after="0"/>
        <w:rPr>
          <w:sz w:val="20"/>
          <w:szCs w:val="20"/>
          <w:color w:val="auto"/>
        </w:rPr>
      </w:pPr>
      <w:r>
        <w:rPr>
          <w:rFonts w:ascii="Courier New" w:cs="Courier New" w:eastAsia="Courier New" w:hAnsi="Courier New"/>
          <w:sz w:val="18"/>
          <w:szCs w:val="18"/>
          <w:color w:val="auto"/>
        </w:rPr>
        <w:t>CAMCO INTERNATIONAL INC. AND SUBSIDIARIES</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CONSOLIDATED CONDENSED STATEMENTS OF COMPREHENSIVE INCOME</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 thousands)</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1180"/>
          </w:cols>
          <w:pgMar w:left="240" w:top="7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Three Months Ended June 30</w:t>
      </w:r>
    </w:p>
    <w:p>
      <w:pPr>
        <w:spacing w:after="0" w:line="21"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4940"/>
        <w:spacing w:after="0"/>
        <w:tabs>
          <w:tab w:leader="none" w:pos="14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jc w:val="center"/>
        <w:ind w:left="4740"/>
        <w:spacing w:after="0" w:line="238" w:lineRule="auto"/>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spacing w:after="0" w:line="275" w:lineRule="auto"/>
        <w:rPr>
          <w:sz w:val="20"/>
          <w:szCs w:val="20"/>
          <w:color w:val="auto"/>
        </w:rPr>
      </w:pPr>
      <w:r>
        <w:rPr>
          <w:rFonts w:ascii="Courier New" w:cs="Courier New" w:eastAsia="Courier New" w:hAnsi="Courier New"/>
          <w:sz w:val="16"/>
          <w:szCs w:val="16"/>
          <w:color w:val="auto"/>
        </w:rPr>
        <w:t>Six Months Ended June 30 ------------------------ 1998          1997 --------       ---------</w:t>
      </w:r>
    </w:p>
    <w:p>
      <w:pPr>
        <w:spacing w:after="0" w:line="182" w:lineRule="exact"/>
        <w:rPr>
          <w:sz w:val="20"/>
          <w:szCs w:val="20"/>
          <w:color w:val="auto"/>
        </w:rPr>
      </w:pPr>
    </w:p>
    <w:p>
      <w:pPr>
        <w:sectPr>
          <w:pgSz w:w="11900" w:h="16838" w:orient="portrait"/>
          <w:cols w:equalWidth="0" w:num="2">
            <w:col w:w="7920" w:space="720"/>
            <w:col w:w="2540"/>
          </w:cols>
          <w:pgMar w:left="240" w:top="717" w:right="47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$28,146</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$15,772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$55,741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$35,582</w:t>
      </w:r>
    </w:p>
    <w:p>
      <w:pPr>
        <w:spacing w:after="0" w:line="200" w:lineRule="exact"/>
        <w:rPr>
          <w:sz w:val="20"/>
          <w:szCs w:val="20"/>
          <w:color w:val="auto"/>
        </w:rPr>
      </w:pPr>
    </w:p>
    <w:p>
      <w:pPr>
        <w:sectPr>
          <w:pgSz w:w="11900" w:h="16838" w:orient="portrait"/>
          <w:cols w:equalWidth="0" w:num="5">
            <w:col w:w="4340" w:space="720"/>
            <w:col w:w="1080" w:space="720"/>
            <w:col w:w="1180" w:space="720"/>
            <w:col w:w="860" w:space="720"/>
            <w:col w:w="840"/>
          </w:cols>
          <w:pgMar w:left="240" w:top="717" w:right="4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comprehensive income:</w:t>
      </w:r>
    </w:p>
    <w:p>
      <w:pPr>
        <w:sectPr>
          <w:pgSz w:w="11900" w:h="16838" w:orient="portrait"/>
          <w:cols w:equalWidth="0" w:num="1">
            <w:col w:w="11180"/>
          </w:cols>
          <w:pgMar w:left="240" w:top="717" w:right="47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(2,630)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1,915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8"/>
          <w:szCs w:val="18"/>
          <w:color w:val="auto"/>
        </w:rPr>
        <w:t>(772)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(3,035)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5">
            <w:col w:w="4340" w:space="720"/>
            <w:col w:w="1080" w:space="720"/>
            <w:col w:w="1180" w:space="720"/>
            <w:col w:w="860" w:space="720"/>
            <w:col w:w="840"/>
          </w:cols>
          <w:pgMar w:left="240" w:top="717" w:right="479"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Comprehensive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$25,516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$17,687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$54,969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$32,547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4340" w:space="720"/>
            <w:col w:w="1080" w:space="720"/>
            <w:col w:w="1180" w:space="720"/>
            <w:col w:w="860" w:space="720"/>
            <w:col w:w="840"/>
          </w:cols>
          <w:pgMar w:left="240" w:top="717" w:right="479" w:bottom="1440" w:gutter="0" w:footer="0" w:header="0"/>
          <w:type w:val="continuous"/>
        </w:sectPr>
      </w:pPr>
    </w:p>
    <w:p>
      <w:pPr>
        <w:spacing w:after="0" w:line="24"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The accompanying notes are an integral part of these</w:t>
      </w:r>
    </w:p>
    <w:p>
      <w:pPr>
        <w:spacing w:after="0" w:line="16"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consolidated condensed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1180"/>
          </w:cols>
          <w:pgMar w:left="240" w:top="717" w:right="479" w:bottom="1440" w:gutter="0" w:footer="0" w:header="0"/>
          <w:type w:val="continuous"/>
        </w:sectPr>
      </w:pPr>
    </w:p>
    <w:bookmarkStart w:id="32" w:name="page33"/>
    <w:bookmarkEnd w:id="32"/>
    <w:p>
      <w:pPr>
        <w:ind w:left="2000"/>
        <w:spacing w:after="0"/>
        <w:rPr>
          <w:sz w:val="20"/>
          <w:szCs w:val="20"/>
          <w:color w:val="auto"/>
        </w:rPr>
      </w:pPr>
      <w:r>
        <w:rPr>
          <w:rFonts w:ascii="Courier New" w:cs="Courier New" w:eastAsia="Courier New" w:hAnsi="Courier New"/>
          <w:sz w:val="18"/>
          <w:szCs w:val="18"/>
          <w:color w:val="auto"/>
        </w:rPr>
        <w:t>CAMCO INTERNATIONAL INC. AND SUBSIDIARIES</w:t>
      </w:r>
    </w:p>
    <w:p>
      <w:pPr>
        <w:ind w:left="1380"/>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the opinion of Camco International Inc. and subsidiaries ("Camco" or the "Company") management, the accompanying unaudited consolidated condensed financial statements include all adjustments necessary to present fairly the Company's financial position as of June 30, 1998, and its results of operations and cash flows for the three months and six months ended June 30, 1998 and 1997. Although the Company believes that the disclosures are adequate to make the information presented not misleading, certain information and footnote disclosures normally included in annual consolidated financial statements prepared in accordance with generally accepted accounting principles have been condensed or omitted pursuant to the rules and regulations of the Securities and Exchange Commission. These consolidated condensed financial statements should be read in conjunction with the Company's Annual Report on Form 10-K for the year ended December 31, 1997. The results of operations for the three months and six months ended June 30, 1998 may not be indicative of the results for the full year.</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Merger with Production Operators Corp</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June 13, 1997, Camco acquired Production Operators Corp ("Production Operators"), a market leader in total responsibility gas compression services. The business combination was accounted for using the pooling-of-interests method of accounting. Accordingly, these financial statements have been prepared as if Camco and Production Operators were combined as of the beginning of the earliest period presented.</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Comprehensive Income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adopted Statement of Financial Accounting Standards ("SFAS") No. 130, "Reporting Comprehensive Income," in the first quarter of 1998. The only current difference between net income and comprehensive income is the change in the cumulative translation adjustment for foreign currency, a separate component of stockholders' equity in the accompanying consolidated condensed balance sheets.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SFAS No. 128, "Earnings Per Share," was adopted by the Company in the fourth quarter of 1997 and all earnings per share previously reported have been restated. Basic earnings per share is computed by dividing net income by the weighted average common shares outstanding. Diluted earnings per share is computed by dividing net income by the weighted average number of common and common equivalent shares outstanding. The computation of diluted earnings per share includes the dilutive effects of options to purchase common stock and restricted stock grants, which aggregated 858,000 and 1,028,000 for the three months ended June 30, 1998 and 1997, respectively, and 858,000 and 1,025,000 for the six months ended June 30, 1998 and 1997, respectively.</w:t>
      </w:r>
    </w:p>
    <w:p>
      <w:pPr>
        <w:spacing w:after="0" w:line="209"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MERGER WITH SCHLUMBERGER LIMITED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June 18, 1998, Camco entered into an Agreement and Plan of Merger</w:t>
      </w:r>
    </w:p>
    <w:p>
      <w:pPr>
        <w:spacing w:after="0" w:line="238" w:lineRule="auto"/>
        <w:rPr>
          <w:sz w:val="20"/>
          <w:szCs w:val="20"/>
          <w:color w:val="auto"/>
        </w:rPr>
      </w:pPr>
      <w:r>
        <w:rPr>
          <w:rFonts w:ascii="Courier New" w:cs="Courier New" w:eastAsia="Courier New" w:hAnsi="Courier New"/>
          <w:sz w:val="18"/>
          <w:szCs w:val="18"/>
          <w:color w:val="auto"/>
        </w:rPr>
        <w:t>(the "Merger Agreement") with Schlumberger Technology Corporation ("STC"),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OFS, Inc., a wholly-owned subsidiary of STC ("Sub"), providing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of Sub with and into Camco, with Camco surviving as a wholly-owned</w:t>
      </w:r>
    </w:p>
    <w:p>
      <w:pPr>
        <w:spacing w:after="0" w:line="238" w:lineRule="auto"/>
        <w:rPr>
          <w:sz w:val="20"/>
          <w:szCs w:val="20"/>
          <w:color w:val="auto"/>
        </w:rPr>
      </w:pPr>
      <w:r>
        <w:rPr>
          <w:rFonts w:ascii="Courier New" w:cs="Courier New" w:eastAsia="Courier New" w:hAnsi="Courier New"/>
          <w:sz w:val="18"/>
          <w:szCs w:val="18"/>
          <w:color w:val="auto"/>
        </w:rPr>
        <w:t>subsidiary of STC (the "Merger"). STC is a wholly-owned subsidiary of</w:t>
      </w:r>
    </w:p>
    <w:p>
      <w:pPr>
        <w:spacing w:after="0"/>
        <w:rPr>
          <w:sz w:val="20"/>
          <w:szCs w:val="20"/>
          <w:color w:val="auto"/>
        </w:rPr>
      </w:pPr>
      <w:r>
        <w:rPr>
          <w:rFonts w:ascii="Courier New" w:cs="Courier New" w:eastAsia="Courier New" w:hAnsi="Courier New"/>
          <w:sz w:val="18"/>
          <w:szCs w:val="18"/>
          <w:color w:val="auto"/>
        </w:rPr>
        <w:t>Schlumberger Limited, a publicly traded Netherlands Antilles corporation</w:t>
      </w:r>
    </w:p>
    <w:p>
      <w:pPr>
        <w:spacing w:after="0" w:line="237" w:lineRule="auto"/>
        <w:rPr>
          <w:sz w:val="20"/>
          <w:szCs w:val="20"/>
          <w:color w:val="auto"/>
        </w:rPr>
      </w:pPr>
      <w:r>
        <w:rPr>
          <w:rFonts w:ascii="Courier New" w:cs="Courier New" w:eastAsia="Courier New" w:hAnsi="Courier New"/>
          <w:sz w:val="18"/>
          <w:szCs w:val="18"/>
          <w:color w:val="auto"/>
        </w:rPr>
        <w:t>("Schlumberger"). Pursuant to the Merger Agreement, the stockholders of Camco</w:t>
      </w:r>
    </w:p>
    <w:p>
      <w:pPr>
        <w:spacing w:after="0" w:line="238" w:lineRule="auto"/>
        <w:rPr>
          <w:sz w:val="20"/>
          <w:szCs w:val="20"/>
          <w:color w:val="auto"/>
        </w:rPr>
      </w:pPr>
      <w:r>
        <w:rPr>
          <w:rFonts w:ascii="Courier New" w:cs="Courier New" w:eastAsia="Courier New" w:hAnsi="Courier New"/>
          <w:sz w:val="18"/>
          <w:szCs w:val="18"/>
          <w:color w:val="auto"/>
        </w:rPr>
        <w:t>will receive 1.18 shares of common stock of Schlumberger ("Schlumberger Common</w:t>
      </w:r>
    </w:p>
    <w:p>
      <w:pPr>
        <w:spacing w:after="0"/>
        <w:rPr>
          <w:sz w:val="20"/>
          <w:szCs w:val="20"/>
          <w:color w:val="auto"/>
        </w:rPr>
      </w:pPr>
      <w:r>
        <w:rPr>
          <w:rFonts w:ascii="Courier New" w:cs="Courier New" w:eastAsia="Courier New" w:hAnsi="Courier New"/>
          <w:sz w:val="18"/>
          <w:szCs w:val="18"/>
          <w:color w:val="auto"/>
        </w:rPr>
        <w:t>Stock") for each share of common stock of Camco ("Camco Common Stock"). In</w:t>
      </w:r>
    </w:p>
    <w:p>
      <w:pPr>
        <w:spacing w:after="0" w:line="237" w:lineRule="auto"/>
        <w:rPr>
          <w:sz w:val="20"/>
          <w:szCs w:val="20"/>
          <w:color w:val="auto"/>
        </w:rPr>
      </w:pPr>
      <w:r>
        <w:rPr>
          <w:rFonts w:ascii="Courier New" w:cs="Courier New" w:eastAsia="Courier New" w:hAnsi="Courier New"/>
          <w:sz w:val="18"/>
          <w:szCs w:val="18"/>
          <w:color w:val="auto"/>
        </w:rPr>
        <w:t>addition, outstanding options to acquire shares of Camco Common Stock will be</w:t>
      </w:r>
    </w:p>
    <w:p>
      <w:pPr>
        <w:spacing w:after="0"/>
        <w:rPr>
          <w:sz w:val="20"/>
          <w:szCs w:val="20"/>
          <w:color w:val="auto"/>
        </w:rPr>
      </w:pPr>
      <w:r>
        <w:rPr>
          <w:rFonts w:ascii="Courier New" w:cs="Courier New" w:eastAsia="Courier New" w:hAnsi="Courier New"/>
          <w:sz w:val="18"/>
          <w:szCs w:val="18"/>
          <w:color w:val="auto"/>
        </w:rPr>
        <w:t>converted into options to acquire 1.18 times as many shares of Schlumberger</w:t>
      </w:r>
    </w:p>
    <w:p>
      <w:pPr>
        <w:spacing w:after="0" w:line="237" w:lineRule="auto"/>
        <w:rPr>
          <w:sz w:val="20"/>
          <w:szCs w:val="20"/>
          <w:color w:val="auto"/>
        </w:rPr>
      </w:pPr>
      <w:r>
        <w:rPr>
          <w:rFonts w:ascii="Courier New" w:cs="Courier New" w:eastAsia="Courier New" w:hAnsi="Courier New"/>
          <w:sz w:val="18"/>
          <w:szCs w:val="18"/>
          <w:color w:val="auto"/>
        </w:rPr>
        <w:t>Common Stock at an exercise price per share equal to the former exercise price</w:t>
      </w:r>
    </w:p>
    <w:p>
      <w:pPr>
        <w:spacing w:after="0"/>
        <w:rPr>
          <w:sz w:val="20"/>
          <w:szCs w:val="20"/>
          <w:color w:val="auto"/>
        </w:rPr>
      </w:pPr>
      <w:r>
        <w:rPr>
          <w:rFonts w:ascii="Courier New" w:cs="Courier New" w:eastAsia="Courier New" w:hAnsi="Courier New"/>
          <w:sz w:val="18"/>
          <w:szCs w:val="18"/>
          <w:color w:val="auto"/>
        </w:rPr>
        <w:t>per share divided by 1.18.</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33" w:name="page34"/>
    <w:bookmarkEnd w:id="33"/>
    <w:p>
      <w:pPr>
        <w:jc w:val="center"/>
        <w:ind w:right="1879"/>
        <w:spacing w:after="0"/>
        <w:rPr>
          <w:sz w:val="20"/>
          <w:szCs w:val="20"/>
          <w:color w:val="auto"/>
        </w:rPr>
      </w:pPr>
      <w:r>
        <w:rPr>
          <w:rFonts w:ascii="Courier New" w:cs="Courier New" w:eastAsia="Courier New" w:hAnsi="Courier New"/>
          <w:sz w:val="18"/>
          <w:szCs w:val="18"/>
          <w:color w:val="auto"/>
        </w:rPr>
        <w:t>CAMCO INTERNATIONAL INC. AND SUBSIDIARIES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 (Continued)</w:t>
      </w:r>
    </w:p>
    <w:p>
      <w:pPr>
        <w:spacing w:after="0" w:line="207"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Closing under the Merger Agreement is conditioned on, among other things, approval by Camco's stockholders and receipt of all regulatory approvals. It is intended that the Merger qualify as a tax-free reorganization for federal income tax purposes and as a pooling-of-interests for accounting purposes. Camco and STC anticipate closing the transaction on August 31, 1998.</w:t>
      </w:r>
    </w:p>
    <w:p>
      <w:pPr>
        <w:spacing w:after="0" w:line="185"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Under the Merger Agreement, Camco must pay a termination fee of $90 million if (1) Camco receives a Superior Proposal (as defined in the Merger Agreement) prior to approval of the Merger by the Camco stockholders and elects to terminate the agreement, (2) the Camco Board of Directors recommends or proposes to recommend an alternate proposal and STC exercises its right to terminate the agreement, (3) the Camco Board of Directors withdraws, terminates or modifies its recommendation of the agreement in an adverse manner, STC terminates the agreement and Camco consummates an alternative transaction on or before September 30, 1999 or (4) an alternate acquisition proposal is made and publicly announced, the Camco stockholders do not approve the Merger and Camco consummates an alternative proposal on or before September 30, 1999.</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Pursuant to a related Transaction Agreement, Schlumberger agreed to</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sell to STC such number of shares of Schlumberger Common Stock as are required to be delivered to stockholders of Camco under the Merger Agreement and to register those shares with the Securities and Exchange Commission.</w:t>
      </w:r>
    </w:p>
    <w:p>
      <w:pPr>
        <w:spacing w:after="0" w:line="203"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ACQUISITIONS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first six months of 1998, the Company acquired two well</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service businesses in the United States, an electric submersible pump business in Argentina and the remaining interest in an electric submersible pump business in Colombia for $19.5 million in cash. The results of operations of these businesses are included in the accompanying financial statements from the dates of acquisition.</w:t>
      </w:r>
    </w:p>
    <w:p>
      <w:pPr>
        <w:spacing w:after="0" w:line="203"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spacing w:after="0" w:line="206" w:lineRule="exact"/>
        <w:rPr>
          <w:rFonts w:ascii="Courier New" w:cs="Courier New" w:eastAsia="Courier New" w:hAnsi="Courier New"/>
          <w:sz w:val="18"/>
          <w:szCs w:val="18"/>
          <w:color w:val="auto"/>
        </w:rPr>
      </w:pPr>
    </w:p>
    <w:p>
      <w:pPr>
        <w:ind w:left="42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inventories, net of allowances, are summarized as follows (in thousands):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June 30,</w:t>
            </w:r>
          </w:p>
        </w:tc>
        <w:tc>
          <w:tcPr>
            <w:tcW w:w="15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242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15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1997</w:t>
            </w:r>
          </w:p>
        </w:tc>
      </w:tr>
      <w:tr>
        <w:trPr>
          <w:trHeight w:val="203"/>
        </w:trPr>
        <w:tc>
          <w:tcPr>
            <w:tcW w:w="24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520" w:type="dxa"/>
            <w:vAlign w:val="bottom"/>
          </w:tcPr>
          <w:p>
            <w:pPr>
              <w:spacing w:after="0"/>
              <w:rPr>
                <w:sz w:val="17"/>
                <w:szCs w:val="17"/>
                <w:color w:val="auto"/>
              </w:rPr>
            </w:pPr>
          </w:p>
        </w:tc>
      </w:tr>
      <w:tr>
        <w:trPr>
          <w:trHeight w:val="405"/>
        </w:trPr>
        <w:tc>
          <w:tcPr>
            <w:tcW w:w="242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$ 22,969</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$ 19,916</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Parts and components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64,185</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69,656</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Work-in-process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25,149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24,079</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113,505</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92,820</w:t>
            </w:r>
          </w:p>
        </w:tc>
      </w:tr>
      <w:tr>
        <w:trPr>
          <w:trHeight w:val="203"/>
        </w:trPr>
        <w:tc>
          <w:tcPr>
            <w:tcW w:w="242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2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$225,808</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$206,471</w:t>
            </w:r>
          </w:p>
        </w:tc>
      </w:tr>
      <w:tr>
        <w:trPr>
          <w:trHeight w:val="203"/>
        </w:trPr>
        <w:tc>
          <w:tcPr>
            <w:tcW w:w="242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Work-in-process and finished goods inventories include the cost of materials, labor and plant overhead. The excess of current costs, determined using the first-in, first-out basis, over the carrying values of those inventories accounted for on a last-in, first-out basis was approximately $7.8 million and $10.0 million at June 30, 1998 and December 31, 1997, respectively.</w:t>
      </w:r>
    </w:p>
    <w:p>
      <w:pPr>
        <w:spacing w:after="0" w:line="179"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 - LEGAL PROCEEDINGS</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The Company is involved in certain lawsuits and claims arising in the normal course of business, including claims by federal and local authorities under various environmental protection laws. In the opinion of management, uninsured losses, if any, resulting from the ultimate resolution of these matters will not have a material adverse effect on the financial position or results of operations of the Company.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Current Report on Form 8-K, in Registration Statement No. 333-59961 on Form S-4, as amended by Registration Statement No. 333-62443 on Form S-4 filed pursuant to Rule 462(b) of the Securities Act of 1933, as amended, and in Registration Statement No. 333-62545 on Form S-8 of our report dated February 10, 1998 included in Camco International Inc.'s Form 10-K for the year ended December 31, 1997, and to all references to our Firm included in such documents.</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September 15, 1998</w:t>
      </w:r>
    </w:p>
    <w:p>
      <w:pPr>
        <w:sectPr>
          <w:pgSz w:w="11900" w:h="16838" w:orient="portrait"/>
          <w:cols w:equalWidth="0" w:num="1">
            <w:col w:w="10219"/>
          </w:cols>
          <w:pgMar w:left="240" w:top="339" w:right="1440" w:bottom="14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 Monday August 31,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AND CAMCO MERGER COMPLETED</w:t>
      </w:r>
    </w:p>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NEW YORK, August 31 -- Schlumberger Limited (NYSE: SLB) announced that the merger of Schlumberger Technology Corporation, a wholly owned subsidiary of Schlumberger, and Camco International, Inc. (NYSE: CAM), has been completed following today's approval by the stockholders of Camco.</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terms of the merger agreement, approximately 38.2 million shares of Camco common stock will be exchanged for 45.1 million shares of Schlumberger common stock at the exchange rate of 1.18 shares of Schlumberger stock for each share of Camco. Based on the Schlumberger closing price of $48-7/8 on Friday, August 28, the transaction is valued at $2.2 billion, and the combined market capitalization of the two companies is $26.6 billion.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Camco will be operated as a subsidiary of Schlumberger Technology Corporation within the Schlumberger Oilfield Services group. Rene Huck is appointed President of Camco, reporting to Victor Grijalva, Vice Chairman of Schlumberger Limited. Rene Huck was previously the Oilfield Services Solutions President for Europe and the Former Soviet Union area.</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merger further enhances the capability of Schlumberger to offer premium reservoir optimization solutions and systems to our customers worldwide. Schlumberger and Camco have historically been the most profitable companies in their peer group. Both companies have extensive international experience, exhibit an excellent cultural fit and share strengths in relationships with customers, governments and suppliers. This combination reinforces the leadership position of Schlumberger in products and services that improve the productivity of its customers.</w:t>
      </w:r>
    </w:p>
    <w:p>
      <w:pPr>
        <w:spacing w:after="0" w:line="212"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Schlumberger is a worldwide leader in technical services with 65,000 employees and operations in over 100 countries. In 1997, revenue was $10.65 billion.</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about this release contact:</w:t>
      </w:r>
    </w:p>
    <w:p>
      <w:pPr>
        <w:sectPr>
          <w:pgSz w:w="11900" w:h="16838" w:orient="portrait"/>
          <w:cols w:equalWidth="0" w:num="1">
            <w:col w:w="10219"/>
          </w:cols>
          <w:pgMar w:left="240" w:top="54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Simone Crook</w:t>
      </w:r>
    </w:p>
    <w:p>
      <w:pPr>
        <w:spacing w:after="0" w:line="238" w:lineRule="auto"/>
        <w:rPr>
          <w:sz w:val="20"/>
          <w:szCs w:val="20"/>
          <w:color w:val="auto"/>
        </w:rPr>
      </w:pPr>
      <w:r>
        <w:rPr>
          <w:rFonts w:ascii="Courier New" w:cs="Courier New" w:eastAsia="Courier New" w:hAnsi="Courier New"/>
          <w:sz w:val="18"/>
          <w:szCs w:val="18"/>
          <w:color w:val="auto"/>
        </w:rPr>
        <w:t>Director Investor Relations</w:t>
      </w:r>
    </w:p>
    <w:p>
      <w:pPr>
        <w:ind w:left="220"/>
        <w:spacing w:after="0"/>
        <w:rPr>
          <w:sz w:val="20"/>
          <w:szCs w:val="20"/>
          <w:color w:val="auto"/>
        </w:rPr>
      </w:pPr>
      <w:r>
        <w:rPr>
          <w:rFonts w:ascii="Courier New" w:cs="Courier New" w:eastAsia="Courier New" w:hAnsi="Courier New"/>
          <w:sz w:val="18"/>
          <w:szCs w:val="18"/>
          <w:color w:val="auto"/>
        </w:rPr>
        <w:t>&amp; Communications</w:t>
      </w:r>
    </w:p>
    <w:p>
      <w:pPr>
        <w:spacing w:after="0" w:line="237" w:lineRule="auto"/>
        <w:rPr>
          <w:sz w:val="20"/>
          <w:szCs w:val="20"/>
          <w:color w:val="auto"/>
        </w:rPr>
      </w:pPr>
      <w:r>
        <w:rPr>
          <w:rFonts w:ascii="Courier New" w:cs="Courier New" w:eastAsia="Courier New" w:hAnsi="Courier New"/>
          <w:sz w:val="18"/>
          <w:szCs w:val="18"/>
          <w:color w:val="auto"/>
        </w:rPr>
        <w:t>Schlumberger Limited New York</w:t>
      </w:r>
    </w:p>
    <w:p>
      <w:pPr>
        <w:spacing w:after="0" w:line="238" w:lineRule="auto"/>
        <w:rPr>
          <w:sz w:val="20"/>
          <w:szCs w:val="20"/>
          <w:color w:val="auto"/>
        </w:rPr>
      </w:pPr>
      <w:r>
        <w:rPr>
          <w:rFonts w:ascii="Courier New" w:cs="Courier New" w:eastAsia="Courier New" w:hAnsi="Courier New"/>
          <w:sz w:val="18"/>
          <w:szCs w:val="18"/>
          <w:color w:val="auto"/>
        </w:rPr>
        <w:t>Phone: (1-212) 350-9432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Email: crook@new-york.sl.slb.com</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Longaker</w:t>
      </w:r>
    </w:p>
    <w:p>
      <w:pPr>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Camco International,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w:t>
      </w:r>
    </w:p>
    <w:p>
      <w:pPr>
        <w:spacing w:after="0" w:line="238" w:lineRule="auto"/>
        <w:rPr>
          <w:sz w:val="20"/>
          <w:szCs w:val="20"/>
          <w:color w:val="auto"/>
        </w:rPr>
      </w:pPr>
      <w:r>
        <w:rPr>
          <w:rFonts w:ascii="Courier New" w:cs="Courier New" w:eastAsia="Courier New" w:hAnsi="Courier New"/>
          <w:sz w:val="18"/>
          <w:szCs w:val="18"/>
          <w:color w:val="auto"/>
        </w:rPr>
        <w:t>Phone: (1-713) 747-4000</w:t>
      </w:r>
    </w:p>
    <w:sectPr>
      <w:pgSz w:w="11900" w:h="16838" w:orient="portrait"/>
      <w:cols w:equalWidth="0" w:num="2">
        <w:col w:w="3920" w:space="720"/>
        <w:col w:w="557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lowerLetter"/>
      <w:start w:val="2"/>
    </w:lvl>
  </w:abstractNum>
  <w:abstractNum w:abstractNumId="2">
    <w:nsid w:val="79E2A9E3"/>
    <w:multiLevelType w:val="hybridMultilevel"/>
    <w:lvl w:ilvl="0">
      <w:lvlJc w:val="left"/>
      <w:lvlText w:val="(%1)"/>
      <w:numFmt w:val="lowerLetter"/>
      <w:start w:val="3"/>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3"/>
    </w:lvl>
  </w:abstractNum>
  <w:abstractNum w:abstractNumId="10">
    <w:nsid w:val="1190CDE7"/>
    <w:multiLevelType w:val="hybridMultilevel"/>
    <w:lvl w:ilvl="0">
      <w:lvlJc w:val="left"/>
      <w:lvlText w:val="%1."/>
      <w:numFmt w:val="decimal"/>
      <w:start w:val="4"/>
    </w:lvl>
  </w:abstractNum>
  <w:abstractNum w:abstractNumId="11">
    <w:nsid w:val="66EF438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2019-12-13T06:31:37Z</dcterms:created>
  <dcterms:modified xsi:type="dcterms:W3CDTF">2019-12-13T06:31:37Z</dcterms:modified>
</cp:coreProperties>
</file>