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2193d8k.htm"/>
      <w:bookmarkStart w:id="1" w:name="ksd12219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Arial" w:hAnsi="Arial"/>
          <w:b/>
          <w:sz w:val="36"/>
        </w:rPr>
      </w:pPr>
      <w:r>
        <w:rPr>
          <w:rFonts w:ascii="Arial" w:hAnsi="Arial"/>
          <w:b/>
          <w:sz w:val="36"/>
        </w:rPr>
        <w:t>UNITED STATES</w:t>
      </w:r>
    </w:p>
    <w:p>
      <w:pPr>
        <w:pStyle w:val="TextBody"/>
        <w:bidi w:val="0"/>
        <w:spacing w:before="0" w:after="0"/>
        <w:jc w:val="center"/>
        <w:rPr>
          <w:rFonts w:ascii="Arial" w:hAnsi="Arial"/>
          <w:b/>
          <w:sz w:val="36"/>
        </w:rPr>
      </w:pPr>
      <w:r>
        <w:rPr>
          <w:rFonts w:ascii="Arial" w:hAnsi="Arial"/>
          <w:b/>
          <w:sz w:val="36"/>
        </w:rPr>
        <w:t>SECURITIES AND EXCHANGE COMMISSION</w:t>
      </w:r>
    </w:p>
    <w:p>
      <w:pPr>
        <w:pStyle w:val="TextBody"/>
        <w:bidi w:val="0"/>
        <w:spacing w:before="0" w:after="0"/>
        <w:jc w:val="center"/>
        <w:rPr>
          <w:rFonts w:ascii="Arial" w:hAnsi="Arial"/>
          <w:b/>
          <w:sz w:val="24"/>
        </w:rPr>
      </w:pPr>
      <w:r>
        <w:rPr>
          <w:rFonts w:ascii="Arial" w:hAnsi="Arial"/>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Arial" w:hAnsi="Arial"/>
          <w:b/>
          <w:sz w:val="36"/>
        </w:rPr>
      </w:pPr>
      <w:r>
        <w:rPr>
          <w:rFonts w:ascii="Arial" w:hAnsi="Arial"/>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Arial" w:hAnsi="Arial"/>
          <w:b/>
          <w:sz w:val="24"/>
        </w:rPr>
      </w:pPr>
      <w:r>
        <w:rPr>
          <w:rFonts w:ascii="Arial" w:hAnsi="Arial"/>
          <w:b/>
          <w:sz w:val="24"/>
        </w:rPr>
        <w:t>CURRENT REPORT</w:t>
      </w:r>
    </w:p>
    <w:p>
      <w:pPr>
        <w:pStyle w:val="TextBody"/>
        <w:bidi w:val="0"/>
        <w:spacing w:before="0" w:after="0"/>
        <w:jc w:val="center"/>
        <w:rPr>
          <w:rFonts w:ascii="Arial" w:hAnsi="Arial"/>
          <w:b/>
          <w:sz w:val="24"/>
        </w:rPr>
      </w:pPr>
      <w:r>
        <w:rPr>
          <w:rFonts w:ascii="Arial" w:hAnsi="Arial"/>
          <w:b/>
          <w:sz w:val="24"/>
        </w:rPr>
        <w:t>Pursuant to Section 13 or 15(d)</w:t>
      </w:r>
    </w:p>
    <w:p>
      <w:pPr>
        <w:pStyle w:val="TextBody"/>
        <w:bidi w:val="0"/>
        <w:spacing w:before="0" w:after="0"/>
        <w:jc w:val="center"/>
        <w:rPr>
          <w:rFonts w:ascii="Arial" w:hAnsi="Arial"/>
          <w:b/>
          <w:sz w:val="24"/>
        </w:rPr>
      </w:pPr>
      <w:r>
        <w:rPr>
          <w:rFonts w:ascii="Arial" w:hAnsi="Arial"/>
          <w:b/>
          <w:sz w:val="24"/>
        </w:rPr>
        <w:t>of the Securities Exchange Act of 1934</w:t>
      </w:r>
    </w:p>
    <w:p>
      <w:pPr>
        <w:pStyle w:val="TextBody"/>
        <w:bidi w:val="0"/>
        <w:spacing w:before="200" w:after="0"/>
        <w:jc w:val="center"/>
        <w:rPr>
          <w:rFonts w:ascii="Arial" w:hAnsi="Arial"/>
          <w:b/>
          <w:sz w:val="24"/>
        </w:rPr>
      </w:pPr>
      <w:r>
        <w:rPr>
          <w:rFonts w:ascii="Arial" w:hAnsi="Arial"/>
          <w:b/>
          <w:sz w:val="24"/>
        </w:rPr>
        <w:t>Date of Report (Date of earliest event reported): July 24,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Arial" w:hAnsi="Arial"/>
          <w:b/>
          <w:sz w:val="48"/>
        </w:rPr>
      </w:pPr>
      <w:r>
        <w:rPr>
          <w:rFonts w:ascii="Arial" w:hAnsi="Arial"/>
          <w:b/>
          <w:sz w:val="48"/>
        </w:rPr>
        <w:t xml:space="preserve">SLB N.V. (SLB LIMITED) </w:t>
      </w:r>
    </w:p>
    <w:p>
      <w:pPr>
        <w:pStyle w:val="TextBody"/>
        <w:bidi w:val="0"/>
        <w:spacing w:before="0" w:after="0"/>
        <w:jc w:val="center"/>
        <w:rPr>
          <w:rFonts w:ascii="Arial" w:hAnsi="Arial"/>
          <w:b/>
          <w:sz w:val="20"/>
        </w:rPr>
      </w:pPr>
      <w:r>
        <w:rPr>
          <w:rFonts w:ascii="Arial" w:hAnsi="Arial"/>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785" w:type="dxa"/>
        <w:jc w:val="left"/>
        <w:tblInd w:w="0" w:type="dxa"/>
        <w:tblLayout w:type="fixed"/>
        <w:tblCellMar>
          <w:top w:w="0" w:type="dxa"/>
          <w:left w:w="0" w:type="dxa"/>
          <w:bottom w:w="0" w:type="dxa"/>
          <w:right w:w="0" w:type="dxa"/>
        </w:tblCellMar>
      </w:tblPr>
      <w:tblGrid>
        <w:gridCol w:w="2120"/>
        <w:gridCol w:w="60"/>
        <w:gridCol w:w="1085"/>
        <w:gridCol w:w="60"/>
        <w:gridCol w:w="1460"/>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center"/>
              <w:rPr>
                <w:b/>
              </w:rPr>
            </w:pPr>
            <w:r>
              <w:rPr>
                <w:b/>
              </w:rPr>
              <w:t xml:space="preserve">Curaçao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r>
              <w:rPr>
                <w:b/>
              </w:rPr>
              <w:t>1-4601</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b/>
              </w:rPr>
            </w:pPr>
            <w:r>
              <w:rPr>
                <w:b/>
              </w:rPr>
              <w:t>52-0684746</w:t>
            </w:r>
          </w:p>
        </w:tc>
      </w:tr>
      <w:tr>
        <w:trPr/>
        <w:tc>
          <w:tcPr>
            <w:tcW w:w="2120" w:type="dxa"/>
            <w:tcBorders/>
            <w:vAlign w:val="center"/>
          </w:tcPr>
          <w:p>
            <w:pPr>
              <w:pStyle w:val="TableContents"/>
              <w:bidi w:val="0"/>
              <w:spacing w:before="0" w:after="0"/>
              <w:jc w:val="center"/>
              <w:rPr>
                <w:rFonts w:ascii="Arial" w:hAnsi="Arial"/>
                <w:b/>
                <w:sz w:val="16"/>
              </w:rPr>
            </w:pPr>
            <w:r>
              <w:rPr>
                <w:rFonts w:ascii="Arial" w:hAnsi="Arial"/>
                <w:b/>
                <w:sz w:val="16"/>
              </w:rPr>
              <w:t>(State or other jurisdiction</w:t>
            </w:r>
          </w:p>
          <w:p>
            <w:pPr>
              <w:pStyle w:val="TableContents"/>
              <w:bidi w:val="0"/>
              <w:spacing w:before="0" w:after="20"/>
              <w:jc w:val="center"/>
              <w:rPr>
                <w:rFonts w:ascii="Arial" w:hAnsi="Arial"/>
                <w:b/>
                <w:sz w:val="16"/>
              </w:rPr>
            </w:pPr>
            <w:r>
              <w:rPr>
                <w:rFonts w:ascii="Arial" w:hAnsi="Arial"/>
                <w:b/>
                <w:sz w:val="16"/>
              </w:rPr>
              <w:t>of incorporation)</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center"/>
              <w:rPr>
                <w:rFonts w:ascii="Arial" w:hAnsi="Arial"/>
                <w:b/>
                <w:sz w:val="16"/>
              </w:rPr>
            </w:pPr>
            <w:r>
              <w:rPr>
                <w:rFonts w:ascii="Arial" w:hAnsi="Arial"/>
                <w:b/>
                <w:sz w:val="16"/>
              </w:rPr>
              <w:t>(Commission</w:t>
            </w:r>
          </w:p>
          <w:p>
            <w:pPr>
              <w:pStyle w:val="TableContents"/>
              <w:bidi w:val="0"/>
              <w:spacing w:before="0" w:after="20"/>
              <w:jc w:val="center"/>
              <w:rPr>
                <w:rFonts w:ascii="Arial" w:hAnsi="Arial"/>
                <w:b/>
                <w:sz w:val="16"/>
              </w:rPr>
            </w:pPr>
            <w:r>
              <w:rPr>
                <w:rFonts w:ascii="Arial" w:hAnsi="Arial"/>
                <w:b/>
                <w:sz w:val="16"/>
              </w:rPr>
              <w:t>File Number)</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rFonts w:ascii="Arial" w:hAnsi="Arial"/>
                <w:b/>
                <w:sz w:val="16"/>
              </w:rPr>
            </w:pPr>
            <w:r>
              <w:rPr>
                <w:rFonts w:ascii="Arial" w:hAnsi="Arial"/>
                <w:b/>
                <w:sz w:val="16"/>
              </w:rPr>
              <w:t>(IRS Employer</w:t>
            </w:r>
          </w:p>
          <w:p>
            <w:pPr>
              <w:pStyle w:val="TableContents"/>
              <w:bidi w:val="0"/>
              <w:spacing w:before="0" w:after="20"/>
              <w:jc w:val="center"/>
              <w:rPr>
                <w:rFonts w:ascii="Arial" w:hAnsi="Arial"/>
                <w:b/>
                <w:sz w:val="16"/>
              </w:rPr>
            </w:pPr>
            <w:r>
              <w:rPr>
                <w:rFonts w:ascii="Arial" w:hAnsi="Arial"/>
                <w:b/>
                <w:sz w:val="16"/>
              </w:rPr>
              <w:t>Identification No.)</w:t>
            </w:r>
          </w:p>
        </w:tc>
      </w:tr>
    </w:tbl>
    <w:p>
      <w:pPr>
        <w:pStyle w:val="TextBody"/>
        <w:bidi w:val="0"/>
        <w:spacing w:before="200" w:after="0"/>
        <w:jc w:val="center"/>
        <w:rPr>
          <w:rFonts w:ascii="Arial" w:hAnsi="Arial"/>
          <w:b/>
          <w:sz w:val="20"/>
        </w:rPr>
      </w:pPr>
      <w:r>
        <w:rPr>
          <w:rFonts w:ascii="Arial" w:hAnsi="Arial"/>
          <w:b/>
          <w:sz w:val="20"/>
        </w:rPr>
        <w:t>42 rue Saint-Dominique, Paris, France 75007</w:t>
      </w:r>
    </w:p>
    <w:tbl>
      <w:tblPr>
        <w:tblW w:w="4370" w:type="dxa"/>
        <w:jc w:val="left"/>
        <w:tblInd w:w="0" w:type="dxa"/>
        <w:tblLayout w:type="fixed"/>
        <w:tblCellMar>
          <w:top w:w="0" w:type="dxa"/>
          <w:left w:w="0" w:type="dxa"/>
          <w:bottom w:w="0" w:type="dxa"/>
          <w:right w:w="0" w:type="dxa"/>
        </w:tblCellMar>
      </w:tblPr>
      <w:tblGrid>
        <w:gridCol w:w="4370"/>
      </w:tblGrid>
      <w:tr>
        <w:trPr/>
        <w:tc>
          <w:tcPr>
            <w:tcW w:w="4370" w:type="dxa"/>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0"/>
              <w:jc w:val="center"/>
              <w:rPr>
                <w:rFonts w:ascii="Arial" w:hAnsi="Arial"/>
                <w:b/>
                <w:sz w:val="20"/>
              </w:rPr>
            </w:pPr>
            <w:r>
              <w:rPr>
                <w:rFonts w:ascii="Arial" w:hAnsi="Arial"/>
                <w:b/>
                <w:sz w:val="20"/>
              </w:rPr>
              <w:t>5599 San Felipe, Houston, Texas, U.S.A. 77056</w:t>
            </w:r>
          </w:p>
          <w:p>
            <w:pPr>
              <w:pStyle w:val="TableContents"/>
              <w:bidi w:val="0"/>
              <w:spacing w:before="0" w:after="0"/>
              <w:jc w:val="center"/>
              <w:rPr>
                <w:rFonts w:ascii="Arial" w:hAnsi="Arial"/>
                <w:color w:val="FFFFFF"/>
                <w:sz w:val="2"/>
              </w:rPr>
            </w:pPr>
            <w:r>
              <w:rPr>
                <w:rFonts w:ascii="Arial" w:hAnsi="Arial"/>
                <w:color w:val="FFFFFF"/>
                <w:sz w:val="2"/>
              </w:rPr>
              <w:t>(Addresses)</w:t>
            </w:r>
          </w:p>
        </w:tc>
      </w:tr>
    </w:tbl>
    <w:p>
      <w:pPr>
        <w:pStyle w:val="TextBody"/>
        <w:bidi w:val="0"/>
        <w:spacing w:before="0" w:after="0"/>
        <w:jc w:val="center"/>
        <w:rPr>
          <w:rFonts w:ascii="Arial" w:hAnsi="Arial"/>
          <w:b/>
          <w:sz w:val="20"/>
        </w:rPr>
      </w:pPr>
      <w:r>
        <w:rPr>
          <w:rFonts w:ascii="Arial" w:hAnsi="Arial"/>
          <w:b/>
          <w:sz w:val="20"/>
        </w:rPr>
        <w:t>Parkstraat 83, The Hague, The Netherlands 2514 JG</w:t>
      </w:r>
    </w:p>
    <w:p>
      <w:pPr>
        <w:pStyle w:val="TextBody"/>
        <w:bidi w:val="0"/>
        <w:spacing w:before="0" w:after="0"/>
        <w:jc w:val="center"/>
        <w:rPr>
          <w:rFonts w:ascii="Arial" w:hAnsi="Arial"/>
          <w:b/>
          <w:sz w:val="16"/>
        </w:rPr>
      </w:pPr>
      <w:r>
        <w:rPr>
          <w:rFonts w:ascii="Arial" w:hAnsi="Arial"/>
          <w:b/>
          <w:sz w:val="16"/>
        </w:rPr>
        <w:t>(Addresses of principal executive offices and zip or postal codes)</w:t>
      </w:r>
    </w:p>
    <w:p>
      <w:pPr>
        <w:pStyle w:val="TextBody"/>
        <w:bidi w:val="0"/>
        <w:spacing w:before="200" w:after="0"/>
        <w:jc w:val="center"/>
        <w:rPr>
          <w:rFonts w:ascii="Arial" w:hAnsi="Arial"/>
          <w:b/>
          <w:sz w:val="20"/>
        </w:rPr>
      </w:pPr>
      <w:r>
        <w:rPr>
          <w:rFonts w:ascii="Arial" w:hAnsi="Arial"/>
          <w:b/>
          <w:sz w:val="20"/>
        </w:rPr>
        <w:t>Registrant’s telephone number in the United States, including area code: (713) 513-2000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Arial" w:hAnsi="Arial"/>
          <w:sz w:val="20"/>
        </w:rPr>
      </w:pPr>
      <w:r>
        <w:rPr>
          <w:rFonts w:ascii="Arial" w:hAnsi="Arial"/>
          <w:sz w:val="20"/>
        </w:rPr>
        <w:t>Check the appropriate box below if the Form 8-K filing is intended to simultaneously satisfy the filing obligation of the registrant under any of the following provisions (</w:t>
      </w:r>
      <w:r>
        <w:rPr>
          <w:rFonts w:ascii="Arial" w:hAnsi="Arial"/>
          <w:i/>
          <w:sz w:val="20"/>
        </w:rPr>
        <w:t>see</w:t>
      </w:r>
      <w:r>
        <w:rPr>
          <w:rFonts w:ascii="Arial" w:hAnsi="Arial"/>
          <w:sz w:val="20"/>
        </w:rPr>
        <w:t> General Instruction A.2. below):</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245"/>
        <w:gridCol w:w="7745"/>
      </w:tblGrid>
      <w:tr>
        <w:trPr/>
        <w:tc>
          <w:tcPr>
            <w:tcW w:w="245"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0"/>
              <w:jc w:val="left"/>
              <w:rPr>
                <w:rFonts w:ascii="Arial" w:hAnsi="Arial"/>
                <w:sz w:val="20"/>
              </w:rPr>
            </w:pPr>
            <w:r>
              <w:rPr>
                <w:rFonts w:ascii="Arial" w:hAnsi="Arial"/>
                <w:sz w:val="20"/>
              </w:rPr>
              <w:t>Written communications pursuant to Rule 425 under the Securities Act (17 CFR 230.425)</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245"/>
        <w:gridCol w:w="7730"/>
      </w:tblGrid>
      <w:tr>
        <w:trPr/>
        <w:tc>
          <w:tcPr>
            <w:tcW w:w="245"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0"/>
              <w:jc w:val="left"/>
              <w:rPr>
                <w:rFonts w:ascii="Arial" w:hAnsi="Arial"/>
                <w:sz w:val="20"/>
              </w:rPr>
            </w:pPr>
            <w:r>
              <w:rPr>
                <w:rFonts w:ascii="Arial" w:hAnsi="Arial"/>
                <w:sz w:val="20"/>
              </w:rPr>
              <w:t>Soliciting material pursuant to Rule 14a-12 under the Exchange Act (17 CFR 240.14a-12)</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14d-2(b) under the Exchange Act (17 CFR 240.14d-2(b))</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13e-4(c) under the Exchange Act (17 CFR 240.13e-4(c))</w:t>
            </w:r>
          </w:p>
        </w:tc>
      </w:tr>
    </w:tbl>
    <w:p>
      <w:pPr>
        <w:pStyle w:val="TextBody"/>
        <w:bidi w:val="0"/>
        <w:spacing w:before="200" w:after="0"/>
        <w:jc w:val="left"/>
        <w:rPr>
          <w:rFonts w:ascii="Arial" w:hAnsi="Arial"/>
          <w:sz w:val="20"/>
        </w:rPr>
      </w:pPr>
      <w:r>
        <w:rPr>
          <w:rFonts w:ascii="Arial" w:hAnsi="Arial"/>
          <w:sz w:val="20"/>
        </w:rPr>
        <w:t>Securities registered pursuant to Section 12(b) of the Act:</w:t>
      </w:r>
    </w:p>
    <w:p>
      <w:pPr>
        <w:pStyle w:val="TextBody"/>
        <w:bidi w:val="0"/>
        <w:spacing w:before="0" w:after="0"/>
        <w:jc w:val="left"/>
        <w:rPr/>
      </w:pPr>
      <w:r>
        <w:rPr/>
        <w:t> </w:t>
      </w:r>
    </w:p>
    <w:tbl>
      <w:tblPr>
        <w:tblW w:w="7530" w:type="dxa"/>
        <w:jc w:val="left"/>
        <w:tblInd w:w="0" w:type="dxa"/>
        <w:tblLayout w:type="fixed"/>
        <w:tblCellMar>
          <w:top w:w="0" w:type="dxa"/>
          <w:left w:w="0" w:type="dxa"/>
          <w:bottom w:w="0" w:type="dxa"/>
          <w:right w:w="0" w:type="dxa"/>
        </w:tblCellMar>
      </w:tblPr>
      <w:tblGrid>
        <w:gridCol w:w="3920"/>
        <w:gridCol w:w="60"/>
        <w:gridCol w:w="830"/>
        <w:gridCol w:w="60"/>
        <w:gridCol w:w="2660"/>
      </w:tblGrid>
      <w:tr>
        <w:trPr/>
        <w:tc>
          <w:tcPr>
            <w:tcW w:w="3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92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Title of each class</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Trading</w:t>
            </w:r>
          </w:p>
          <w:p>
            <w:pPr>
              <w:pStyle w:val="TableContents"/>
              <w:bidi w:val="0"/>
              <w:spacing w:before="0" w:after="20"/>
              <w:jc w:val="center"/>
              <w:rPr>
                <w:rFonts w:ascii="Arial" w:hAnsi="Arial"/>
                <w:b/>
                <w:sz w:val="16"/>
              </w:rPr>
            </w:pPr>
            <w:r>
              <w:rPr>
                <w:rFonts w:ascii="Arial" w:hAnsi="Arial"/>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Name of each exchange</w:t>
            </w:r>
          </w:p>
          <w:p>
            <w:pPr>
              <w:pStyle w:val="TableContents"/>
              <w:bidi w:val="0"/>
              <w:spacing w:before="0" w:after="20"/>
              <w:jc w:val="center"/>
              <w:rPr>
                <w:rFonts w:ascii="Arial" w:hAnsi="Arial"/>
                <w:b/>
                <w:sz w:val="16"/>
              </w:rPr>
            </w:pPr>
            <w:r>
              <w:rPr>
                <w:rFonts w:ascii="Arial" w:hAnsi="Arial"/>
                <w:b/>
                <w:sz w:val="16"/>
              </w:rPr>
              <w:t>on which registered</w:t>
            </w:r>
          </w:p>
        </w:tc>
      </w:tr>
      <w:tr>
        <w:trPr/>
        <w:tc>
          <w:tcPr>
            <w:tcW w:w="3920"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SLB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Arial" w:hAnsi="Arial"/>
          <w:sz w:val="20"/>
        </w:rPr>
      </w:pPr>
      <w:r>
        <w:rPr>
          <w:rFonts w:ascii="Arial" w:hAnsi="Arial"/>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Arial" w:hAnsi="Arial"/>
          <w:sz w:val="20"/>
        </w:rPr>
      </w:pPr>
      <w:r>
        <w:rPr>
          <w:rFonts w:ascii="Arial" w:hAnsi="Arial"/>
          <w:sz w:val="20"/>
        </w:rPr>
        <w:t>Emerging growth company ☐</w:t>
      </w:r>
    </w:p>
    <w:p>
      <w:pPr>
        <w:pStyle w:val="TextBody"/>
        <w:bidi w:val="0"/>
        <w:spacing w:before="200" w:after="0"/>
        <w:jc w:val="left"/>
        <w:rPr>
          <w:rFonts w:ascii="Arial" w:hAnsi="Arial"/>
          <w:sz w:val="20"/>
        </w:rPr>
      </w:pPr>
      <w:r>
        <w:rPr>
          <w:rFonts w:ascii="Arial" w:hAnsi="Arial"/>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425" w:type="dxa"/>
        <w:jc w:val="left"/>
        <w:tblInd w:w="0" w:type="dxa"/>
        <w:tblLayout w:type="fixed"/>
        <w:tblCellMar>
          <w:top w:w="0" w:type="dxa"/>
          <w:left w:w="0" w:type="dxa"/>
          <w:bottom w:w="0" w:type="dxa"/>
          <w:right w:w="0" w:type="dxa"/>
        </w:tblCellMar>
      </w:tblPr>
      <w:tblGrid>
        <w:gridCol w:w="965"/>
        <w:gridCol w:w="4460"/>
      </w:tblGrid>
      <w:tr>
        <w:trPr/>
        <w:tc>
          <w:tcPr>
            <w:tcW w:w="965" w:type="dxa"/>
            <w:tcBorders/>
            <w:vAlign w:val="center"/>
          </w:tcPr>
          <w:p>
            <w:pPr>
              <w:pStyle w:val="TableContents"/>
              <w:bidi w:val="0"/>
              <w:spacing w:before="0" w:after="283"/>
              <w:jc w:val="left"/>
              <w:rPr>
                <w:b/>
              </w:rPr>
            </w:pPr>
            <w:r>
              <w:rPr>
                <w:b/>
              </w:rPr>
              <w:t>Item 2.02</w:t>
            </w:r>
          </w:p>
        </w:tc>
        <w:tc>
          <w:tcPr>
            <w:tcW w:w="4460" w:type="dxa"/>
            <w:tcBorders/>
            <w:vAlign w:val="center"/>
          </w:tcPr>
          <w:p>
            <w:pPr>
              <w:pStyle w:val="TableContents"/>
              <w:bidi w:val="0"/>
              <w:spacing w:before="0" w:after="0"/>
              <w:jc w:val="left"/>
              <w:rPr>
                <w:rFonts w:ascii="Arial" w:hAnsi="Arial"/>
                <w:b/>
                <w:sz w:val="20"/>
              </w:rPr>
            </w:pPr>
            <w:r>
              <w:rPr>
                <w:rFonts w:ascii="Arial" w:hAnsi="Arial"/>
                <w:b/>
                <w:sz w:val="20"/>
              </w:rPr>
              <w:t xml:space="preserve">Results of Operations and Financial Condition. </w:t>
            </w:r>
          </w:p>
        </w:tc>
      </w:tr>
    </w:tbl>
    <w:p>
      <w:pPr>
        <w:pStyle w:val="TextBody"/>
        <w:bidi w:val="0"/>
        <w:spacing w:before="120" w:after="0"/>
        <w:jc w:val="left"/>
        <w:rPr>
          <w:rFonts w:ascii="Arial" w:hAnsi="Arial"/>
          <w:sz w:val="20"/>
        </w:rPr>
      </w:pPr>
      <w:r>
        <w:rPr>
          <w:rFonts w:ascii="Arial" w:hAnsi="Arial"/>
          <w:sz w:val="20"/>
        </w:rPr>
        <w:t>The Second-Quarter 2026 Earnings Release furnished as Exhibit 99 hereto, which is incorporated by reference into this Item 2.02, was posted on the SLB internet website (</w:t>
      </w:r>
      <w:r>
        <w:rPr>
          <w:rFonts w:ascii="Arial" w:hAnsi="Arial"/>
          <w:sz w:val="20"/>
          <w:u w:val="single"/>
        </w:rPr>
        <w:t>https://investorcenter.slb.com/financial-information/quarterly-results</w:t>
      </w:r>
      <w:r>
        <w:rPr>
          <w:rFonts w:ascii="Arial" w:hAnsi="Arial"/>
          <w:sz w:val="20"/>
        </w:rPr>
        <w:t xml:space="preserve">) on July 24, 2026.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965"/>
        <w:gridCol w:w="2525"/>
      </w:tblGrid>
      <w:tr>
        <w:trPr/>
        <w:tc>
          <w:tcPr>
            <w:tcW w:w="965" w:type="dxa"/>
            <w:tcBorders/>
            <w:vAlign w:val="center"/>
          </w:tcPr>
          <w:p>
            <w:pPr>
              <w:pStyle w:val="TableContents"/>
              <w:bidi w:val="0"/>
              <w:spacing w:before="0" w:after="283"/>
              <w:jc w:val="left"/>
              <w:rPr>
                <w:b/>
              </w:rPr>
            </w:pPr>
            <w:r>
              <w:rPr>
                <w:b/>
              </w:rPr>
              <w:t>Item 7.01</w:t>
            </w:r>
          </w:p>
        </w:tc>
        <w:tc>
          <w:tcPr>
            <w:tcW w:w="2525" w:type="dxa"/>
            <w:tcBorders/>
            <w:vAlign w:val="center"/>
          </w:tcPr>
          <w:p>
            <w:pPr>
              <w:pStyle w:val="TableContents"/>
              <w:bidi w:val="0"/>
              <w:spacing w:before="0" w:after="0"/>
              <w:jc w:val="left"/>
              <w:rPr>
                <w:rFonts w:ascii="Arial" w:hAnsi="Arial"/>
                <w:b/>
                <w:sz w:val="20"/>
              </w:rPr>
            </w:pPr>
            <w:r>
              <w:rPr>
                <w:rFonts w:ascii="Arial" w:hAnsi="Arial"/>
                <w:b/>
                <w:sz w:val="20"/>
              </w:rPr>
              <w:t xml:space="preserve">Regulation FD Disclosure. </w:t>
            </w:r>
          </w:p>
        </w:tc>
      </w:tr>
    </w:tbl>
    <w:p>
      <w:pPr>
        <w:pStyle w:val="TextBody"/>
        <w:bidi w:val="0"/>
        <w:spacing w:before="120" w:after="0"/>
        <w:jc w:val="left"/>
        <w:rPr>
          <w:rFonts w:ascii="Arial" w:hAnsi="Arial"/>
          <w:sz w:val="20"/>
        </w:rPr>
      </w:pPr>
      <w:r>
        <w:rPr>
          <w:rFonts w:ascii="Arial" w:hAnsi="Arial"/>
          <w:sz w:val="20"/>
        </w:rPr>
        <w:t xml:space="preserve">On July 24, 2026, SLB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 </w:t>
      </w:r>
    </w:p>
    <w:p>
      <w:pPr>
        <w:pStyle w:val="TextBody"/>
        <w:bidi w:val="0"/>
        <w:spacing w:before="240" w:after="0"/>
        <w:jc w:val="left"/>
        <w:rPr>
          <w:rFonts w:ascii="Arial" w:hAnsi="Arial"/>
          <w:sz w:val="20"/>
        </w:rPr>
      </w:pPr>
      <w:r>
        <w:rPr>
          <w:rFonts w:ascii="Arial" w:hAnsi="Arial"/>
          <w:sz w:val="20"/>
        </w:rPr>
        <w:t xml:space="preserve">Also, see Item 2.02, “Results of Operations and Financial Condition.” </w:t>
      </w:r>
    </w:p>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965"/>
        <w:gridCol w:w="3335"/>
      </w:tblGrid>
      <w:tr>
        <w:trPr/>
        <w:tc>
          <w:tcPr>
            <w:tcW w:w="965" w:type="dxa"/>
            <w:tcBorders/>
            <w:vAlign w:val="center"/>
          </w:tcPr>
          <w:p>
            <w:pPr>
              <w:pStyle w:val="TableContents"/>
              <w:bidi w:val="0"/>
              <w:spacing w:before="0" w:after="283"/>
              <w:jc w:val="left"/>
              <w:rPr>
                <w:b/>
              </w:rPr>
            </w:pPr>
            <w:r>
              <w:rPr>
                <w:b/>
              </w:rPr>
              <w:t>Item 9.01</w:t>
            </w:r>
          </w:p>
        </w:tc>
        <w:tc>
          <w:tcPr>
            <w:tcW w:w="3335" w:type="dxa"/>
            <w:tcBorders/>
            <w:vAlign w:val="center"/>
          </w:tcPr>
          <w:p>
            <w:pPr>
              <w:pStyle w:val="TableContents"/>
              <w:bidi w:val="0"/>
              <w:spacing w:before="0" w:after="0"/>
              <w:jc w:val="left"/>
              <w:rPr>
                <w:rFonts w:ascii="Arial" w:hAnsi="Arial"/>
                <w:b/>
                <w:sz w:val="20"/>
              </w:rPr>
            </w:pPr>
            <w:r>
              <w:rPr>
                <w:rFonts w:ascii="Arial" w:hAnsi="Arial"/>
                <w:b/>
                <w:sz w:val="20"/>
              </w:rPr>
              <w:t xml:space="preserve">Financial Statements and Exhibits. </w:t>
            </w:r>
          </w:p>
        </w:tc>
      </w:tr>
    </w:tbl>
    <w:p>
      <w:pPr>
        <w:pStyle w:val="TextBody"/>
        <w:bidi w:val="0"/>
        <w:spacing w:before="0" w:after="0"/>
        <w:jc w:val="left"/>
        <w:rPr/>
      </w:pPr>
      <w:r>
        <w:rPr/>
        <w:t> </w:t>
      </w:r>
    </w:p>
    <w:tbl>
      <w:tblPr>
        <w:tblW w:w="1105" w:type="dxa"/>
        <w:jc w:val="left"/>
        <w:tblInd w:w="0" w:type="dxa"/>
        <w:tblLayout w:type="fixed"/>
        <w:tblCellMar>
          <w:top w:w="0" w:type="dxa"/>
          <w:left w:w="0" w:type="dxa"/>
          <w:bottom w:w="0" w:type="dxa"/>
          <w:right w:w="0" w:type="dxa"/>
        </w:tblCellMar>
      </w:tblPr>
      <w:tblGrid>
        <w:gridCol w:w="305"/>
        <w:gridCol w:w="800"/>
      </w:tblGrid>
      <w:tr>
        <w:trPr/>
        <w:tc>
          <w:tcPr>
            <w:tcW w:w="305" w:type="dxa"/>
            <w:tcBorders/>
            <w:vAlign w:val="center"/>
          </w:tcPr>
          <w:p>
            <w:pPr>
              <w:pStyle w:val="TableContents"/>
              <w:bidi w:val="0"/>
              <w:spacing w:before="0" w:after="283"/>
              <w:jc w:val="left"/>
              <w:rPr/>
            </w:pPr>
            <w:r>
              <w:rPr/>
              <w:t>(d)</w:t>
            </w:r>
          </w:p>
        </w:tc>
        <w:tc>
          <w:tcPr>
            <w:tcW w:w="800" w:type="dxa"/>
            <w:tcBorders/>
            <w:vAlign w:val="center"/>
          </w:tcPr>
          <w:p>
            <w:pPr>
              <w:pStyle w:val="TableContents"/>
              <w:bidi w:val="0"/>
              <w:spacing w:before="0" w:after="0"/>
              <w:jc w:val="left"/>
              <w:rPr>
                <w:rFonts w:ascii="Arial" w:hAnsi="Arial"/>
                <w:sz w:val="20"/>
              </w:rPr>
            </w:pPr>
            <w:r>
              <w:rPr>
                <w:rFonts w:ascii="Arial" w:hAnsi="Arial"/>
                <w:sz w:val="20"/>
              </w:rPr>
              <w:t xml:space="preserve">Exhibits </w:t>
            </w:r>
          </w:p>
        </w:tc>
      </w:tr>
    </w:tbl>
    <w:p>
      <w:pPr>
        <w:pStyle w:val="TextBody"/>
        <w:bidi w:val="0"/>
        <w:spacing w:before="120" w:after="0"/>
        <w:jc w:val="left"/>
        <w:rPr>
          <w:rFonts w:ascii="Arial" w:hAnsi="Arial"/>
          <w:sz w:val="20"/>
        </w:rPr>
      </w:pPr>
      <w:r>
        <w:rPr>
          <w:rFonts w:ascii="Arial" w:hAnsi="Arial"/>
          <w:sz w:val="20"/>
        </w:rPr>
        <w:t xml:space="preserve">The exhibit listed below is furnished pursuant to Item 9.01 of this Form 8-K. </w:t>
      </w:r>
    </w:p>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395"/>
        <w:gridCol w:w="60"/>
        <w:gridCol w:w="7685"/>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99</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22193dex99.htm">
              <w:r>
                <w:rPr>
                  <w:rStyle w:val="InternetLink"/>
                </w:rPr>
                <w:t xml:space="preserve">Second-Quarter 2026 Earnings Release. </w:t>
              </w:r>
            </w:hyperlink>
          </w:p>
        </w:tc>
      </w:tr>
      <w:tr>
        <w:trPr/>
        <w:tc>
          <w:tcPr>
            <w:tcW w:w="39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Arial" w:hAnsi="Arial"/>
          <w:b/>
          <w:sz w:val="20"/>
        </w:rPr>
      </w:pPr>
      <w:r>
        <w:rPr>
          <w:rFonts w:ascii="Arial" w:hAnsi="Arial"/>
          <w:b/>
          <w:sz w:val="20"/>
        </w:rPr>
        <w:t xml:space="preserve">SIGNATURES </w:t>
      </w:r>
    </w:p>
    <w:p>
      <w:pPr>
        <w:pStyle w:val="TextBody"/>
        <w:bidi w:val="0"/>
        <w:spacing w:before="240" w:after="0"/>
        <w:jc w:val="left"/>
        <w:rPr>
          <w:rFonts w:ascii="Arial" w:hAnsi="Arial"/>
          <w:sz w:val="20"/>
        </w:rPr>
      </w:pPr>
      <w:r>
        <w:rPr>
          <w:rFonts w:ascii="Arial" w:hAnsi="Arial"/>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480" w:type="dxa"/>
        <w:jc w:val="left"/>
        <w:tblInd w:w="0" w:type="dxa"/>
        <w:tblLayout w:type="fixed"/>
        <w:tblCellMar>
          <w:top w:w="0" w:type="dxa"/>
          <w:left w:w="0" w:type="dxa"/>
          <w:bottom w:w="0" w:type="dxa"/>
          <w:right w:w="0" w:type="dxa"/>
        </w:tblCellMar>
      </w:tblPr>
      <w:tblGrid>
        <w:gridCol w:w="2480"/>
      </w:tblGrid>
      <w:tr>
        <w:trPr/>
        <w:tc>
          <w:tcPr>
            <w:tcW w:w="2480"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b/>
              </w:rPr>
            </w:pPr>
            <w:r>
              <w:rPr>
                <w:b/>
              </w:rPr>
              <w:t>SLB LIMITED</w:t>
            </w:r>
          </w:p>
        </w:tc>
      </w:tr>
      <w:tr>
        <w:trPr/>
        <w:tc>
          <w:tcPr>
            <w:tcW w:w="2480"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pBdr>
                <w:bottom w:val="single" w:sz="2" w:space="1" w:color="000000"/>
              </w:pBdr>
              <w:bidi w:val="0"/>
              <w:spacing w:before="0" w:after="20"/>
              <w:jc w:val="left"/>
              <w:rPr>
                <w:rFonts w:ascii="Arial" w:hAnsi="Arial"/>
                <w:sz w:val="20"/>
              </w:rPr>
            </w:pPr>
            <w:r>
              <w:rPr>
                <w:rFonts w:ascii="Arial" w:hAnsi="Arial"/>
                <w:sz w:val="20"/>
              </w:rPr>
              <w:t>/s/ Howard Guild</w:t>
            </w:r>
          </w:p>
        </w:tc>
      </w:tr>
      <w:tr>
        <w:trPr/>
        <w:tc>
          <w:tcPr>
            <w:tcW w:w="2480" w:type="dxa"/>
            <w:tcBorders/>
            <w:vAlign w:val="center"/>
          </w:tcPr>
          <w:p>
            <w:pPr>
              <w:pStyle w:val="TableContents"/>
              <w:bidi w:val="0"/>
              <w:spacing w:before="0" w:after="283"/>
              <w:jc w:val="left"/>
              <w:rPr/>
            </w:pPr>
            <w:r>
              <w:rPr/>
              <w:t>Howard Guild</w:t>
            </w:r>
          </w:p>
        </w:tc>
      </w:tr>
      <w:tr>
        <w:trPr/>
        <w:tc>
          <w:tcPr>
            <w:tcW w:w="2480" w:type="dxa"/>
            <w:tcBorders/>
            <w:vAlign w:val="center"/>
          </w:tcPr>
          <w:p>
            <w:pPr>
              <w:pStyle w:val="TableContents"/>
              <w:bidi w:val="0"/>
              <w:spacing w:before="0" w:after="283"/>
              <w:jc w:val="left"/>
              <w:rPr/>
            </w:pPr>
            <w:r>
              <w:rPr/>
              <w:t>Chief Accounting Officer</w:t>
            </w:r>
          </w:p>
        </w:tc>
      </w:tr>
      <w:tr>
        <w:trPr/>
        <w:tc>
          <w:tcPr>
            <w:tcW w:w="2480"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pPr>
            <w:r>
              <w:rPr/>
              <w:t>Date: July 24, 2026</w:t>
            </w:r>
          </w:p>
        </w:tc>
      </w:tr>
    </w:tbl>
    <w:p>
      <w:pPr>
        <w:pStyle w:val="TextBody"/>
        <w:bidi w:val="0"/>
        <w:spacing w:before="0" w:after="0"/>
        <w:jc w:val="right"/>
        <w:rPr>
          <w:rFonts w:ascii="Arial" w:hAnsi="Arial"/>
          <w:b/>
          <w:sz w:val="20"/>
        </w:rPr>
      </w:pPr>
      <w:bookmarkStart w:id="2" w:name="d122193dex99.htm"/>
      <w:bookmarkStart w:id="3" w:name="ksd122193dex99"/>
      <w:bookmarkEnd w:id="2"/>
      <w:bookmarkEnd w:id="3"/>
      <w:r>
        <w:rPr>
          <w:rFonts w:ascii="Arial" w:hAnsi="Arial"/>
          <w:b/>
          <w:sz w:val="20"/>
        </w:rPr>
        <w:t xml:space="preserve">Exhibit 99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97"/>
        <w:gridCol w:w="123"/>
        <w:gridCol w:w="4985"/>
      </w:tblGrid>
      <w:tr>
        <w:trPr/>
        <w:tc>
          <w:tcPr>
            <w:tcW w:w="509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85" w:type="dxa"/>
            <w:tcBorders/>
            <w:vAlign w:val="center"/>
          </w:tcPr>
          <w:p>
            <w:pPr>
              <w:pStyle w:val="TableContents"/>
              <w:bidi w:val="0"/>
              <w:spacing w:before="0" w:after="283"/>
              <w:jc w:val="left"/>
              <w:rPr>
                <w:sz w:val="4"/>
                <w:szCs w:val="4"/>
              </w:rPr>
            </w:pPr>
            <w:r>
              <w:rPr>
                <w:sz w:val="4"/>
                <w:szCs w:val="4"/>
              </w:rPr>
            </w:r>
          </w:p>
        </w:tc>
      </w:tr>
      <w:tr>
        <w:trPr/>
        <w:tc>
          <w:tcPr>
            <w:tcW w:w="5097" w:type="dxa"/>
            <w:tcBorders/>
          </w:tcPr>
          <w:p>
            <w:pPr>
              <w:pStyle w:val="TableContents"/>
              <w:bidi w:val="0"/>
              <w:spacing w:before="0" w:after="283"/>
              <w:jc w:val="left"/>
              <w:rPr>
                <w:b/>
              </w:rPr>
            </w:pPr>
            <w:r>
              <w:rPr>
                <w:b/>
              </w:rPr>
              <w:t>News Release</w:t>
            </w:r>
          </w:p>
        </w:tc>
        <w:tc>
          <w:tcPr>
            <w:tcW w:w="123" w:type="dxa"/>
            <w:tcBorders/>
            <w:vAlign w:val="bottom"/>
          </w:tcPr>
          <w:p>
            <w:pPr>
              <w:pStyle w:val="TableContents"/>
              <w:bidi w:val="0"/>
              <w:spacing w:before="0" w:after="283"/>
              <w:jc w:val="left"/>
              <w:rPr/>
            </w:pPr>
            <w:r>
              <w:rPr/>
              <w:t>  </w:t>
            </w:r>
          </w:p>
        </w:tc>
        <w:tc>
          <w:tcPr>
            <w:tcW w:w="4985" w:type="dxa"/>
            <w:tcBorders/>
          </w:tcPr>
          <w:p>
            <w:pPr>
              <w:pStyle w:val="TableContents"/>
              <w:bidi w:val="0"/>
              <w:spacing w:before="0" w:after="283"/>
              <w:jc w:val="right"/>
              <w:rPr/>
            </w:pPr>
            <w:r>
              <w:rPr/>
              <w:drawing>
                <wp:inline distT="0" distB="0" distL="0" distR="0">
                  <wp:extent cx="100012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0125" cy="657225"/>
                          </a:xfrm>
                          <a:prstGeom prst="rect">
                            <a:avLst/>
                          </a:prstGeom>
                        </pic:spPr>
                      </pic:pic>
                    </a:graphicData>
                  </a:graphic>
                </wp:inline>
              </w:drawing>
            </w:r>
            <w:r>
              <w:rPr/>
              <w:t xml:space="preserve"> </w:t>
            </w:r>
          </w:p>
        </w:tc>
      </w:tr>
    </w:tbl>
    <w:p>
      <w:pPr>
        <w:pStyle w:val="TextBody"/>
        <w:bidi w:val="0"/>
        <w:spacing w:before="240" w:after="0"/>
        <w:jc w:val="left"/>
        <w:rPr>
          <w:rFonts w:ascii="Arial" w:hAnsi="Arial"/>
          <w:b/>
          <w:sz w:val="20"/>
        </w:rPr>
      </w:pPr>
      <w:r>
        <w:rPr>
          <w:rFonts w:ascii="Arial" w:hAnsi="Arial"/>
          <w:b/>
          <w:sz w:val="20"/>
        </w:rPr>
        <w:t xml:space="preserve">SLB Announces Second-Quarter 2026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Revenue of $8.97 billion increased 3% sequentially and 5% year on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GAAP EPS of $0.52 increased 4% sequentially and decreased 30% year on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EPS, excluding charges and credits, of $0.55 increased 6% sequentially and decreased 26% year on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Net income attributable to SLB of $786 million increased 5% sequentially and decreased 22% year on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Adjusted EBITDA of $1.90 billion increased 7% sequentially and decreased 7% year on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Cash flow from operations was $1.36 billion and free cash flow was $716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Board approved quarterly cash dividend of $0.295 per share </w:t>
            </w:r>
          </w:p>
        </w:tc>
      </w:tr>
    </w:tbl>
    <w:p>
      <w:pPr>
        <w:pStyle w:val="TextBody"/>
        <w:bidi w:val="0"/>
        <w:spacing w:before="240" w:after="0"/>
        <w:jc w:val="left"/>
        <w:rPr>
          <w:rFonts w:ascii="Arial" w:hAnsi="Arial"/>
          <w:sz w:val="20"/>
        </w:rPr>
      </w:pPr>
      <w:r>
        <w:rPr>
          <w:rFonts w:ascii="Arial" w:hAnsi="Arial"/>
          <w:b/>
          <w:sz w:val="20"/>
        </w:rPr>
        <w:t>LONDON, July</w:t>
      </w:r>
      <w:r>
        <w:rPr>
          <w:rFonts w:ascii="Arial" w:hAnsi="Arial"/>
          <w:sz w:val="20"/>
        </w:rPr>
        <w:t> </w:t>
      </w:r>
      <w:r>
        <w:rPr>
          <w:rFonts w:ascii="Arial" w:hAnsi="Arial"/>
          <w:b/>
          <w:sz w:val="20"/>
        </w:rPr>
        <w:t xml:space="preserve">24, 2026 — </w:t>
      </w:r>
      <w:r>
        <w:rPr>
          <w:rFonts w:ascii="Arial" w:hAnsi="Arial"/>
          <w:sz w:val="20"/>
        </w:rPr>
        <w:t xml:space="preserve">SLB (NYSE: SLB) today announced results for the second-quarter 2026. </w:t>
      </w:r>
    </w:p>
    <w:p>
      <w:pPr>
        <w:pStyle w:val="TextBody"/>
        <w:bidi w:val="0"/>
        <w:spacing w:before="360" w:after="0"/>
        <w:jc w:val="left"/>
        <w:rPr>
          <w:rFonts w:ascii="Arial" w:hAnsi="Arial"/>
          <w:b/>
          <w:sz w:val="20"/>
        </w:rPr>
      </w:pPr>
      <w:r>
        <w:rPr>
          <w:rFonts w:ascii="Arial" w:hAnsi="Arial"/>
          <w:b/>
          <w:sz w:val="20"/>
        </w:rPr>
        <w:t xml:space="preserve">Second-Quarter Results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36"/>
        <w:gridCol w:w="188"/>
        <w:gridCol w:w="140"/>
        <w:gridCol w:w="574"/>
        <w:gridCol w:w="326"/>
        <w:gridCol w:w="129"/>
        <w:gridCol w:w="140"/>
        <w:gridCol w:w="574"/>
        <w:gridCol w:w="275"/>
        <w:gridCol w:w="129"/>
        <w:gridCol w:w="140"/>
        <w:gridCol w:w="560"/>
        <w:gridCol w:w="275"/>
        <w:gridCol w:w="129"/>
        <w:gridCol w:w="1931"/>
        <w:gridCol w:w="172"/>
        <w:gridCol w:w="2287"/>
      </w:tblGrid>
      <w:tr>
        <w:trPr/>
        <w:tc>
          <w:tcPr>
            <w:tcW w:w="2236"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r>
      <w:tr>
        <w:trPr/>
        <w:tc>
          <w:tcPr>
            <w:tcW w:w="223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98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390" w:type="dxa"/>
            <w:gridSpan w:val="3"/>
            <w:tcBorders>
              <w:bottom w:val="single" w:sz="8" w:space="0" w:color="000000"/>
            </w:tcBorders>
            <w:tcMar>
              <w:bottom w:w="28" w:type="dxa"/>
            </w:tcMar>
            <w:vAlign w:val="bottom"/>
          </w:tcPr>
          <w:p>
            <w:pPr>
              <w:pStyle w:val="TableContents"/>
              <w:bidi w:val="0"/>
              <w:jc w:val="right"/>
              <w:rPr/>
            </w:pPr>
            <w:r>
              <w:rPr/>
              <w:t>(Stated in millions, except per share amounts)</w:t>
            </w:r>
          </w:p>
          <w:p>
            <w:pPr>
              <w:pStyle w:val="TableContents"/>
              <w:bidi w:val="0"/>
              <w:spacing w:before="0" w:after="0"/>
              <w:jc w:val="center"/>
              <w:rPr>
                <w:rFonts w:ascii="Arial" w:hAnsi="Arial"/>
                <w:b/>
                <w:sz w:val="16"/>
              </w:rPr>
            </w:pPr>
            <w:r>
              <w:rPr>
                <w:rFonts w:ascii="Arial" w:hAnsi="Arial"/>
                <w:b/>
                <w:sz w:val="16"/>
              </w:rPr>
              <w:t>Change</w:t>
            </w:r>
          </w:p>
        </w:tc>
      </w:tr>
      <w:tr>
        <w:trPr/>
        <w:tc>
          <w:tcPr>
            <w:tcW w:w="223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2026</w:t>
            </w:r>
          </w:p>
        </w:tc>
        <w:tc>
          <w:tcPr>
            <w:tcW w:w="326"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14" w:type="dxa"/>
            <w:gridSpan w:val="2"/>
            <w:tcBorders>
              <w:bottom w:val="single" w:sz="8" w:space="0" w:color="000000"/>
            </w:tcBorders>
            <w:tcMar>
              <w:bottom w:w="28" w:type="dxa"/>
            </w:tcMar>
            <w:vAlign w:val="bottom"/>
          </w:tcPr>
          <w:p>
            <w:pPr>
              <w:pStyle w:val="TableContents"/>
              <w:bidi w:val="0"/>
              <w:spacing w:before="0" w:after="283"/>
              <w:jc w:val="center"/>
              <w:rPr/>
            </w:pPr>
            <w:r>
              <w:rPr/>
              <w:t>Mar. 31,</w:t>
              <w:br/>
              <w:t>2026</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2025</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31" w:type="dxa"/>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172" w:type="dxa"/>
            <w:tcBorders/>
            <w:vAlign w:val="bottom"/>
          </w:tcPr>
          <w:p>
            <w:pPr>
              <w:pStyle w:val="TableContents"/>
              <w:bidi w:val="0"/>
              <w:spacing w:before="0" w:after="283"/>
              <w:jc w:val="left"/>
              <w:rPr/>
            </w:pPr>
            <w:r>
              <w:rPr/>
              <w:t> </w:t>
            </w:r>
          </w:p>
        </w:tc>
        <w:tc>
          <w:tcPr>
            <w:tcW w:w="2287" w:type="dxa"/>
            <w:tcBorders>
              <w:bottom w:val="single" w:sz="8" w:space="0" w:color="000000"/>
            </w:tcBorders>
            <w:tcMar>
              <w:bottom w:w="28" w:type="dxa"/>
            </w:tcMar>
            <w:vAlign w:val="bottom"/>
          </w:tcPr>
          <w:p>
            <w:pPr>
              <w:pStyle w:val="TableContents"/>
              <w:bidi w:val="0"/>
              <w:spacing w:before="0" w:after="283"/>
              <w:jc w:val="center"/>
              <w:rPr/>
            </w:pPr>
            <w:r>
              <w:rPr/>
              <w:t>Year-on-year</w:t>
            </w:r>
          </w:p>
        </w:tc>
      </w:tr>
      <w:tr>
        <w:trPr/>
        <w:tc>
          <w:tcPr>
            <w:tcW w:w="2236"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74" w:type="dxa"/>
            <w:tcBorders/>
            <w:shd w:fill="CCEEFF" w:val="clear"/>
            <w:vAlign w:val="bottom"/>
          </w:tcPr>
          <w:p>
            <w:pPr>
              <w:pStyle w:val="TableContents"/>
              <w:bidi w:val="0"/>
              <w:spacing w:before="0" w:after="283"/>
              <w:jc w:val="right"/>
              <w:rPr>
                <w:b/>
              </w:rPr>
            </w:pPr>
            <w:r>
              <w:rPr>
                <w:b/>
              </w:rPr>
              <w:t>8,972</w:t>
            </w:r>
          </w:p>
        </w:tc>
        <w:tc>
          <w:tcPr>
            <w:tcW w:w="326"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8,721</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8,546</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931" w:type="dxa"/>
            <w:tcBorders/>
            <w:shd w:fill="CCEEFF" w:val="clear"/>
            <w:vAlign w:val="bottom"/>
          </w:tcPr>
          <w:p>
            <w:pPr>
              <w:pStyle w:val="TableContents"/>
              <w:bidi w:val="0"/>
              <w:spacing w:before="0" w:after="283"/>
              <w:jc w:val="center"/>
              <w:rPr>
                <w:b/>
              </w:rPr>
            </w:pPr>
            <w:r>
              <w:rPr>
                <w:b/>
              </w:rPr>
              <w:t>3%</w:t>
            </w:r>
          </w:p>
        </w:tc>
        <w:tc>
          <w:tcPr>
            <w:tcW w:w="172" w:type="dxa"/>
            <w:tcBorders/>
            <w:shd w:fill="CCEEFF" w:val="clear"/>
            <w:vAlign w:val="bottom"/>
          </w:tcPr>
          <w:p>
            <w:pPr>
              <w:pStyle w:val="TableContents"/>
              <w:bidi w:val="0"/>
              <w:spacing w:before="0" w:after="283"/>
              <w:jc w:val="left"/>
              <w:rPr/>
            </w:pPr>
            <w:r>
              <w:rPr/>
              <w:t> </w:t>
            </w:r>
          </w:p>
        </w:tc>
        <w:tc>
          <w:tcPr>
            <w:tcW w:w="2287" w:type="dxa"/>
            <w:tcBorders/>
            <w:shd w:fill="CCEEFF" w:val="clear"/>
            <w:vAlign w:val="bottom"/>
          </w:tcPr>
          <w:p>
            <w:pPr>
              <w:pStyle w:val="TableContents"/>
              <w:bidi w:val="0"/>
              <w:spacing w:before="0" w:after="283"/>
              <w:jc w:val="center"/>
              <w:rPr/>
            </w:pPr>
            <w:r>
              <w:rPr/>
              <w:t>5%</w:t>
            </w:r>
          </w:p>
        </w:tc>
      </w:tr>
      <w:tr>
        <w:trPr/>
        <w:tc>
          <w:tcPr>
            <w:tcW w:w="2236" w:type="dxa"/>
            <w:tcBorders/>
          </w:tcPr>
          <w:p>
            <w:pPr>
              <w:pStyle w:val="TableContents"/>
              <w:bidi w:val="0"/>
              <w:spacing w:before="0" w:after="0"/>
              <w:jc w:val="left"/>
              <w:rPr>
                <w:rFonts w:ascii="Arial" w:hAnsi="Arial"/>
                <w:sz w:val="20"/>
              </w:rPr>
            </w:pPr>
            <w:r>
              <w:rPr>
                <w:rFonts w:ascii="Arial" w:hAnsi="Arial"/>
                <w:sz w:val="20"/>
              </w:rPr>
              <w:t>Income before taxes - GAAP basis</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74" w:type="dxa"/>
            <w:tcBorders/>
            <w:vAlign w:val="bottom"/>
          </w:tcPr>
          <w:p>
            <w:pPr>
              <w:pStyle w:val="TableContents"/>
              <w:bidi w:val="0"/>
              <w:spacing w:before="0" w:after="283"/>
              <w:jc w:val="right"/>
              <w:rPr>
                <w:b/>
              </w:rPr>
            </w:pPr>
            <w:r>
              <w:rPr>
                <w:b/>
              </w:rPr>
              <w:t>1,018</w:t>
            </w:r>
          </w:p>
        </w:tc>
        <w:tc>
          <w:tcPr>
            <w:tcW w:w="326"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956</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1,285</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31" w:type="dxa"/>
            <w:tcBorders/>
            <w:vAlign w:val="bottom"/>
          </w:tcPr>
          <w:p>
            <w:pPr>
              <w:pStyle w:val="TableContents"/>
              <w:bidi w:val="0"/>
              <w:spacing w:before="0" w:after="283"/>
              <w:jc w:val="center"/>
              <w:rPr>
                <w:b/>
              </w:rPr>
            </w:pPr>
            <w:r>
              <w:rPr>
                <w:b/>
              </w:rPr>
              <w:t>6%</w:t>
            </w:r>
          </w:p>
        </w:tc>
        <w:tc>
          <w:tcPr>
            <w:tcW w:w="172" w:type="dxa"/>
            <w:tcBorders/>
            <w:vAlign w:val="bottom"/>
          </w:tcPr>
          <w:p>
            <w:pPr>
              <w:pStyle w:val="TableContents"/>
              <w:bidi w:val="0"/>
              <w:spacing w:before="0" w:after="283"/>
              <w:jc w:val="left"/>
              <w:rPr/>
            </w:pPr>
            <w:r>
              <w:rPr/>
              <w:t> </w:t>
            </w:r>
          </w:p>
        </w:tc>
        <w:tc>
          <w:tcPr>
            <w:tcW w:w="2287" w:type="dxa"/>
            <w:tcBorders/>
            <w:vAlign w:val="bottom"/>
          </w:tcPr>
          <w:p>
            <w:pPr>
              <w:pStyle w:val="TableContents"/>
              <w:bidi w:val="0"/>
              <w:spacing w:before="0" w:after="283"/>
              <w:jc w:val="center"/>
              <w:rPr/>
            </w:pPr>
            <w:r>
              <w:rPr/>
              <w:t>-21%</w:t>
            </w:r>
          </w:p>
        </w:tc>
      </w:tr>
      <w:tr>
        <w:trPr/>
        <w:tc>
          <w:tcPr>
            <w:tcW w:w="2236" w:type="dxa"/>
            <w:tcBorders/>
            <w:shd w:fill="CCEEFF" w:val="clear"/>
          </w:tcPr>
          <w:p>
            <w:pPr>
              <w:pStyle w:val="TableContents"/>
              <w:bidi w:val="0"/>
              <w:spacing w:before="0" w:after="0"/>
              <w:jc w:val="left"/>
              <w:rPr>
                <w:rFonts w:ascii="Arial" w:hAnsi="Arial"/>
                <w:sz w:val="20"/>
              </w:rPr>
            </w:pPr>
            <w:r>
              <w:rPr>
                <w:rFonts w:ascii="Arial" w:hAnsi="Arial"/>
                <w:sz w:val="20"/>
              </w:rPr>
              <w:t>Income before taxes margin - GAAP basis</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b/>
              </w:rPr>
            </w:pPr>
            <w:r>
              <w:rPr>
                <w:b/>
              </w:rPr>
              <w:t>11.3</w:t>
            </w:r>
          </w:p>
        </w:tc>
        <w:tc>
          <w:tcPr>
            <w:tcW w:w="326" w:type="dxa"/>
            <w:tcBorders/>
            <w:shd w:fill="CCEEFF" w:val="clear"/>
            <w:vAlign w:val="bottom"/>
          </w:tcPr>
          <w:p>
            <w:pPr>
              <w:pStyle w:val="TableContents"/>
              <w:bidi w:val="0"/>
              <w:spacing w:before="0" w:after="283"/>
              <w:jc w:val="left"/>
              <w:rPr>
                <w:b/>
              </w:rPr>
            </w:pPr>
            <w:r>
              <w:rPr>
                <w:b/>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11.0</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15.0</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931" w:type="dxa"/>
            <w:tcBorders/>
            <w:shd w:fill="CCEEFF" w:val="clear"/>
            <w:vAlign w:val="bottom"/>
          </w:tcPr>
          <w:p>
            <w:pPr>
              <w:pStyle w:val="TableContents"/>
              <w:bidi w:val="0"/>
              <w:spacing w:before="0" w:after="283"/>
              <w:jc w:val="center"/>
              <w:rPr>
                <w:b/>
              </w:rPr>
            </w:pPr>
            <w:r>
              <w:rPr>
                <w:b/>
              </w:rPr>
              <w:t>38 bps</w:t>
            </w:r>
          </w:p>
        </w:tc>
        <w:tc>
          <w:tcPr>
            <w:tcW w:w="172" w:type="dxa"/>
            <w:tcBorders/>
            <w:shd w:fill="CCEEFF" w:val="clear"/>
            <w:vAlign w:val="bottom"/>
          </w:tcPr>
          <w:p>
            <w:pPr>
              <w:pStyle w:val="TableContents"/>
              <w:bidi w:val="0"/>
              <w:spacing w:before="0" w:after="283"/>
              <w:jc w:val="left"/>
              <w:rPr/>
            </w:pPr>
            <w:r>
              <w:rPr/>
              <w:t> </w:t>
            </w:r>
          </w:p>
        </w:tc>
        <w:tc>
          <w:tcPr>
            <w:tcW w:w="2287" w:type="dxa"/>
            <w:tcBorders/>
            <w:shd w:fill="CCEEFF" w:val="clear"/>
            <w:vAlign w:val="bottom"/>
          </w:tcPr>
          <w:p>
            <w:pPr>
              <w:pStyle w:val="TableContents"/>
              <w:bidi w:val="0"/>
              <w:spacing w:before="0" w:after="283"/>
              <w:jc w:val="center"/>
              <w:rPr/>
            </w:pPr>
            <w:r>
              <w:rPr/>
              <w:t>-369 bps</w:t>
            </w:r>
          </w:p>
        </w:tc>
      </w:tr>
      <w:tr>
        <w:trPr/>
        <w:tc>
          <w:tcPr>
            <w:tcW w:w="2236" w:type="dxa"/>
            <w:tcBorders/>
          </w:tcPr>
          <w:p>
            <w:pPr>
              <w:pStyle w:val="TableContents"/>
              <w:bidi w:val="0"/>
              <w:spacing w:before="0" w:after="0"/>
              <w:jc w:val="left"/>
              <w:rPr>
                <w:rFonts w:ascii="Arial" w:hAnsi="Arial"/>
                <w:sz w:val="20"/>
              </w:rPr>
            </w:pPr>
            <w:r>
              <w:rPr>
                <w:rFonts w:ascii="Arial" w:hAnsi="Arial"/>
                <w:sz w:val="20"/>
              </w:rPr>
              <w:t>Net income attributable to SLB - GAAP basis</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74" w:type="dxa"/>
            <w:tcBorders/>
            <w:vAlign w:val="bottom"/>
          </w:tcPr>
          <w:p>
            <w:pPr>
              <w:pStyle w:val="TableContents"/>
              <w:bidi w:val="0"/>
              <w:spacing w:before="0" w:after="283"/>
              <w:jc w:val="right"/>
              <w:rPr>
                <w:b/>
              </w:rPr>
            </w:pPr>
            <w:r>
              <w:rPr>
                <w:b/>
              </w:rPr>
              <w:t>786</w:t>
            </w:r>
          </w:p>
        </w:tc>
        <w:tc>
          <w:tcPr>
            <w:tcW w:w="326"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752</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1,014</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31" w:type="dxa"/>
            <w:tcBorders/>
            <w:vAlign w:val="bottom"/>
          </w:tcPr>
          <w:p>
            <w:pPr>
              <w:pStyle w:val="TableContents"/>
              <w:bidi w:val="0"/>
              <w:spacing w:before="0" w:after="283"/>
              <w:jc w:val="center"/>
              <w:rPr>
                <w:b/>
              </w:rPr>
            </w:pPr>
            <w:r>
              <w:rPr>
                <w:b/>
              </w:rPr>
              <w:t>5%</w:t>
            </w:r>
          </w:p>
        </w:tc>
        <w:tc>
          <w:tcPr>
            <w:tcW w:w="172" w:type="dxa"/>
            <w:tcBorders/>
            <w:vAlign w:val="bottom"/>
          </w:tcPr>
          <w:p>
            <w:pPr>
              <w:pStyle w:val="TableContents"/>
              <w:bidi w:val="0"/>
              <w:spacing w:before="0" w:after="283"/>
              <w:jc w:val="left"/>
              <w:rPr/>
            </w:pPr>
            <w:r>
              <w:rPr/>
              <w:t> </w:t>
            </w:r>
          </w:p>
        </w:tc>
        <w:tc>
          <w:tcPr>
            <w:tcW w:w="2287" w:type="dxa"/>
            <w:tcBorders/>
            <w:vAlign w:val="bottom"/>
          </w:tcPr>
          <w:p>
            <w:pPr>
              <w:pStyle w:val="TableContents"/>
              <w:bidi w:val="0"/>
              <w:spacing w:before="0" w:after="283"/>
              <w:jc w:val="center"/>
              <w:rPr/>
            </w:pPr>
            <w:r>
              <w:rPr/>
              <w:t>-22%</w:t>
            </w:r>
          </w:p>
        </w:tc>
      </w:tr>
      <w:tr>
        <w:trPr/>
        <w:tc>
          <w:tcPr>
            <w:tcW w:w="2236" w:type="dxa"/>
            <w:tcBorders/>
            <w:shd w:fill="CCEEFF" w:val="clear"/>
          </w:tcPr>
          <w:p>
            <w:pPr>
              <w:pStyle w:val="TableContents"/>
              <w:bidi w:val="0"/>
              <w:spacing w:before="0" w:after="0"/>
              <w:jc w:val="left"/>
              <w:rPr>
                <w:rFonts w:ascii="Arial" w:hAnsi="Arial"/>
                <w:sz w:val="20"/>
              </w:rPr>
            </w:pPr>
            <w:r>
              <w:rPr>
                <w:rFonts w:ascii="Arial" w:hAnsi="Arial"/>
                <w:sz w:val="20"/>
              </w:rPr>
              <w:t>Diluted EPS - GAAP basis</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74" w:type="dxa"/>
            <w:tcBorders/>
            <w:shd w:fill="CCEEFF" w:val="clear"/>
            <w:vAlign w:val="bottom"/>
          </w:tcPr>
          <w:p>
            <w:pPr>
              <w:pStyle w:val="TableContents"/>
              <w:bidi w:val="0"/>
              <w:spacing w:before="0" w:after="283"/>
              <w:jc w:val="right"/>
              <w:rPr>
                <w:b/>
              </w:rPr>
            </w:pPr>
            <w:r>
              <w:rPr>
                <w:b/>
              </w:rPr>
              <w:t>0.52</w:t>
            </w:r>
          </w:p>
        </w:tc>
        <w:tc>
          <w:tcPr>
            <w:tcW w:w="326"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0.50</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0.74</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931" w:type="dxa"/>
            <w:tcBorders/>
            <w:shd w:fill="CCEEFF" w:val="clear"/>
            <w:vAlign w:val="bottom"/>
          </w:tcPr>
          <w:p>
            <w:pPr>
              <w:pStyle w:val="TableContents"/>
              <w:bidi w:val="0"/>
              <w:spacing w:before="0" w:after="283"/>
              <w:jc w:val="center"/>
              <w:rPr>
                <w:b/>
              </w:rPr>
            </w:pPr>
            <w:r>
              <w:rPr>
                <w:b/>
              </w:rPr>
              <w:t>4%</w:t>
            </w:r>
          </w:p>
        </w:tc>
        <w:tc>
          <w:tcPr>
            <w:tcW w:w="172" w:type="dxa"/>
            <w:tcBorders/>
            <w:shd w:fill="CCEEFF" w:val="clear"/>
            <w:vAlign w:val="bottom"/>
          </w:tcPr>
          <w:p>
            <w:pPr>
              <w:pStyle w:val="TableContents"/>
              <w:bidi w:val="0"/>
              <w:spacing w:before="0" w:after="283"/>
              <w:jc w:val="left"/>
              <w:rPr/>
            </w:pPr>
            <w:r>
              <w:rPr/>
              <w:t> </w:t>
            </w:r>
          </w:p>
        </w:tc>
        <w:tc>
          <w:tcPr>
            <w:tcW w:w="2287" w:type="dxa"/>
            <w:tcBorders/>
            <w:shd w:fill="CCEEFF" w:val="clear"/>
            <w:vAlign w:val="bottom"/>
          </w:tcPr>
          <w:p>
            <w:pPr>
              <w:pStyle w:val="TableContents"/>
              <w:bidi w:val="0"/>
              <w:spacing w:before="0" w:after="283"/>
              <w:jc w:val="center"/>
              <w:rPr/>
            </w:pPr>
            <w:r>
              <w:rPr/>
              <w:t>-30%</w:t>
            </w:r>
          </w:p>
        </w:tc>
      </w:tr>
      <w:tr>
        <w:trPr>
          <w:trHeight w:val="120" w:hRule="atLeast"/>
        </w:trPr>
        <w:tc>
          <w:tcPr>
            <w:tcW w:w="2236" w:type="dxa"/>
            <w:tcBorders/>
            <w:vAlign w:val="center"/>
          </w:tcPr>
          <w:p>
            <w:pPr>
              <w:pStyle w:val="TableContents"/>
              <w:bidi w:val="0"/>
              <w:spacing w:before="0" w:after="283"/>
              <w:jc w:val="left"/>
              <w:rPr>
                <w:sz w:val="4"/>
                <w:szCs w:val="4"/>
              </w:rPr>
            </w:pPr>
            <w:r>
              <w:rPr>
                <w:sz w:val="4"/>
                <w:szCs w:val="4"/>
              </w:rPr>
            </w:r>
          </w:p>
        </w:tc>
        <w:tc>
          <w:tcPr>
            <w:tcW w:w="1228" w:type="dxa"/>
            <w:gridSpan w:val="4"/>
            <w:tcBorders/>
            <w:vAlign w:val="center"/>
          </w:tcPr>
          <w:p>
            <w:pPr>
              <w:pStyle w:val="TableContents"/>
              <w:bidi w:val="0"/>
              <w:spacing w:before="0" w:after="283"/>
              <w:jc w:val="left"/>
              <w:rPr>
                <w:sz w:val="4"/>
                <w:szCs w:val="4"/>
              </w:rPr>
            </w:pPr>
            <w:r>
              <w:rPr>
                <w:sz w:val="4"/>
                <w:szCs w:val="4"/>
              </w:rPr>
            </w:r>
          </w:p>
        </w:tc>
        <w:tc>
          <w:tcPr>
            <w:tcW w:w="1118" w:type="dxa"/>
            <w:gridSpan w:val="4"/>
            <w:tcBorders/>
            <w:vAlign w:val="center"/>
          </w:tcPr>
          <w:p>
            <w:pPr>
              <w:pStyle w:val="TableContents"/>
              <w:bidi w:val="0"/>
              <w:spacing w:before="0" w:after="283"/>
              <w:jc w:val="left"/>
              <w:rPr>
                <w:sz w:val="4"/>
                <w:szCs w:val="4"/>
              </w:rPr>
            </w:pPr>
            <w:r>
              <w:rPr>
                <w:sz w:val="4"/>
                <w:szCs w:val="4"/>
              </w:rPr>
            </w:r>
          </w:p>
        </w:tc>
        <w:tc>
          <w:tcPr>
            <w:tcW w:w="1104" w:type="dxa"/>
            <w:gridSpan w:val="4"/>
            <w:tcBorders/>
            <w:vAlign w:val="center"/>
          </w:tcPr>
          <w:p>
            <w:pPr>
              <w:pStyle w:val="TableContents"/>
              <w:bidi w:val="0"/>
              <w:spacing w:before="0" w:after="283"/>
              <w:jc w:val="left"/>
              <w:rPr>
                <w:sz w:val="4"/>
                <w:szCs w:val="4"/>
              </w:rPr>
            </w:pPr>
            <w:r>
              <w:rPr>
                <w:sz w:val="4"/>
                <w:szCs w:val="4"/>
              </w:rPr>
            </w:r>
          </w:p>
        </w:tc>
        <w:tc>
          <w:tcPr>
            <w:tcW w:w="2060" w:type="dxa"/>
            <w:gridSpan w:val="2"/>
            <w:tcBorders/>
            <w:vAlign w:val="center"/>
          </w:tcPr>
          <w:p>
            <w:pPr>
              <w:pStyle w:val="TableContents"/>
              <w:bidi w:val="0"/>
              <w:spacing w:before="0" w:after="283"/>
              <w:jc w:val="left"/>
              <w:rPr>
                <w:sz w:val="4"/>
                <w:szCs w:val="4"/>
              </w:rPr>
            </w:pPr>
            <w:r>
              <w:rPr>
                <w:sz w:val="4"/>
                <w:szCs w:val="4"/>
              </w:rPr>
            </w:r>
          </w:p>
        </w:tc>
        <w:tc>
          <w:tcPr>
            <w:tcW w:w="2459" w:type="dxa"/>
            <w:gridSpan w:val="2"/>
            <w:tcBorders/>
            <w:vAlign w:val="center"/>
          </w:tcPr>
          <w:p>
            <w:pPr>
              <w:pStyle w:val="TableContents"/>
              <w:bidi w:val="0"/>
              <w:spacing w:before="0" w:after="283"/>
              <w:jc w:val="left"/>
              <w:rPr>
                <w:sz w:val="4"/>
                <w:szCs w:val="4"/>
              </w:rPr>
            </w:pPr>
            <w:r>
              <w:rPr>
                <w:sz w:val="4"/>
                <w:szCs w:val="4"/>
              </w:rPr>
            </w:r>
          </w:p>
        </w:tc>
      </w:tr>
      <w:tr>
        <w:trPr/>
        <w:tc>
          <w:tcPr>
            <w:tcW w:w="2236" w:type="dxa"/>
            <w:tcBorders/>
          </w:tcPr>
          <w:p>
            <w:pPr>
              <w:pStyle w:val="TableContents"/>
              <w:bidi w:val="0"/>
              <w:spacing w:before="0" w:after="0"/>
              <w:jc w:val="left"/>
              <w:rPr>
                <w:rFonts w:ascii="Arial" w:hAnsi="Arial"/>
                <w:sz w:val="20"/>
              </w:rPr>
            </w:pPr>
            <w:r>
              <w:rPr>
                <w:rFonts w:ascii="Arial" w:hAnsi="Arial"/>
                <w:sz w:val="20"/>
              </w:rPr>
              <w:t>Adjusted EBITDA*</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74" w:type="dxa"/>
            <w:tcBorders/>
            <w:vAlign w:val="bottom"/>
          </w:tcPr>
          <w:p>
            <w:pPr>
              <w:pStyle w:val="TableContents"/>
              <w:bidi w:val="0"/>
              <w:spacing w:before="0" w:after="283"/>
              <w:jc w:val="right"/>
              <w:rPr>
                <w:b/>
              </w:rPr>
            </w:pPr>
            <w:r>
              <w:rPr>
                <w:b/>
              </w:rPr>
              <w:t>1,899</w:t>
            </w:r>
          </w:p>
        </w:tc>
        <w:tc>
          <w:tcPr>
            <w:tcW w:w="326"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1,773</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2,051</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31" w:type="dxa"/>
            <w:tcBorders/>
            <w:vAlign w:val="bottom"/>
          </w:tcPr>
          <w:p>
            <w:pPr>
              <w:pStyle w:val="TableContents"/>
              <w:bidi w:val="0"/>
              <w:spacing w:before="0" w:after="283"/>
              <w:jc w:val="center"/>
              <w:rPr>
                <w:b/>
              </w:rPr>
            </w:pPr>
            <w:r>
              <w:rPr>
                <w:b/>
              </w:rPr>
              <w:t>7%</w:t>
            </w:r>
          </w:p>
        </w:tc>
        <w:tc>
          <w:tcPr>
            <w:tcW w:w="172" w:type="dxa"/>
            <w:tcBorders/>
            <w:vAlign w:val="bottom"/>
          </w:tcPr>
          <w:p>
            <w:pPr>
              <w:pStyle w:val="TableContents"/>
              <w:bidi w:val="0"/>
              <w:spacing w:before="0" w:after="283"/>
              <w:jc w:val="left"/>
              <w:rPr/>
            </w:pPr>
            <w:r>
              <w:rPr/>
              <w:t> </w:t>
            </w:r>
          </w:p>
        </w:tc>
        <w:tc>
          <w:tcPr>
            <w:tcW w:w="2287" w:type="dxa"/>
            <w:tcBorders/>
            <w:vAlign w:val="bottom"/>
          </w:tcPr>
          <w:p>
            <w:pPr>
              <w:pStyle w:val="TableContents"/>
              <w:bidi w:val="0"/>
              <w:spacing w:before="0" w:after="283"/>
              <w:jc w:val="center"/>
              <w:rPr/>
            </w:pPr>
            <w:r>
              <w:rPr/>
              <w:t>-7%</w:t>
            </w:r>
          </w:p>
        </w:tc>
      </w:tr>
      <w:tr>
        <w:trPr/>
        <w:tc>
          <w:tcPr>
            <w:tcW w:w="2236" w:type="dxa"/>
            <w:tcBorders/>
            <w:shd w:fill="CCEEFF" w:val="clear"/>
          </w:tcPr>
          <w:p>
            <w:pPr>
              <w:pStyle w:val="TableContents"/>
              <w:bidi w:val="0"/>
              <w:spacing w:before="0" w:after="0"/>
              <w:jc w:val="left"/>
              <w:rPr>
                <w:rFonts w:ascii="Arial" w:hAnsi="Arial"/>
                <w:sz w:val="20"/>
              </w:rPr>
            </w:pPr>
            <w:r>
              <w:rPr>
                <w:rFonts w:ascii="Arial" w:hAnsi="Arial"/>
                <w:sz w:val="20"/>
              </w:rPr>
              <w:t>Adjusted EBITDA margin*</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b/>
              </w:rPr>
            </w:pPr>
            <w:r>
              <w:rPr>
                <w:b/>
              </w:rPr>
              <w:t>21.2</w:t>
            </w:r>
          </w:p>
        </w:tc>
        <w:tc>
          <w:tcPr>
            <w:tcW w:w="326" w:type="dxa"/>
            <w:tcBorders/>
            <w:shd w:fill="CCEEFF" w:val="clear"/>
            <w:vAlign w:val="bottom"/>
          </w:tcPr>
          <w:p>
            <w:pPr>
              <w:pStyle w:val="TableContents"/>
              <w:bidi w:val="0"/>
              <w:spacing w:before="0" w:after="283"/>
              <w:jc w:val="left"/>
              <w:rPr>
                <w:b/>
              </w:rPr>
            </w:pPr>
            <w:r>
              <w:rPr>
                <w:b/>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20.3</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24.0</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931" w:type="dxa"/>
            <w:tcBorders/>
            <w:shd w:fill="CCEEFF" w:val="clear"/>
            <w:vAlign w:val="bottom"/>
          </w:tcPr>
          <w:p>
            <w:pPr>
              <w:pStyle w:val="TableContents"/>
              <w:bidi w:val="0"/>
              <w:spacing w:before="0" w:after="283"/>
              <w:jc w:val="center"/>
              <w:rPr>
                <w:b/>
              </w:rPr>
            </w:pPr>
            <w:r>
              <w:rPr>
                <w:b/>
              </w:rPr>
              <w:t>83 bps</w:t>
            </w:r>
          </w:p>
        </w:tc>
        <w:tc>
          <w:tcPr>
            <w:tcW w:w="172" w:type="dxa"/>
            <w:tcBorders/>
            <w:shd w:fill="CCEEFF" w:val="clear"/>
            <w:vAlign w:val="bottom"/>
          </w:tcPr>
          <w:p>
            <w:pPr>
              <w:pStyle w:val="TableContents"/>
              <w:bidi w:val="0"/>
              <w:spacing w:before="0" w:after="283"/>
              <w:jc w:val="left"/>
              <w:rPr/>
            </w:pPr>
            <w:r>
              <w:rPr/>
              <w:t> </w:t>
            </w:r>
          </w:p>
        </w:tc>
        <w:tc>
          <w:tcPr>
            <w:tcW w:w="2287" w:type="dxa"/>
            <w:tcBorders/>
            <w:shd w:fill="CCEEFF" w:val="clear"/>
            <w:vAlign w:val="bottom"/>
          </w:tcPr>
          <w:p>
            <w:pPr>
              <w:pStyle w:val="TableContents"/>
              <w:bidi w:val="0"/>
              <w:spacing w:before="0" w:after="283"/>
              <w:jc w:val="center"/>
              <w:rPr/>
            </w:pPr>
            <w:r>
              <w:rPr/>
              <w:t>-284 bps</w:t>
            </w:r>
          </w:p>
        </w:tc>
      </w:tr>
      <w:tr>
        <w:trPr/>
        <w:tc>
          <w:tcPr>
            <w:tcW w:w="2236" w:type="dxa"/>
            <w:tcBorders/>
          </w:tcPr>
          <w:p>
            <w:pPr>
              <w:pStyle w:val="TableContents"/>
              <w:bidi w:val="0"/>
              <w:spacing w:before="0" w:after="0"/>
              <w:jc w:val="left"/>
              <w:rPr>
                <w:rFonts w:ascii="Arial" w:hAnsi="Arial"/>
                <w:sz w:val="20"/>
              </w:rPr>
            </w:pPr>
            <w:r>
              <w:rPr>
                <w:rFonts w:ascii="Arial" w:hAnsi="Arial"/>
                <w:sz w:val="20"/>
              </w:rPr>
              <w:t>Pretax segment operating income*</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74" w:type="dxa"/>
            <w:tcBorders/>
            <w:vAlign w:val="bottom"/>
          </w:tcPr>
          <w:p>
            <w:pPr>
              <w:pStyle w:val="TableContents"/>
              <w:bidi w:val="0"/>
              <w:spacing w:before="0" w:after="283"/>
              <w:jc w:val="right"/>
              <w:rPr>
                <w:b/>
              </w:rPr>
            </w:pPr>
            <w:r>
              <w:rPr>
                <w:b/>
              </w:rPr>
              <w:t>1,404</w:t>
            </w:r>
          </w:p>
        </w:tc>
        <w:tc>
          <w:tcPr>
            <w:tcW w:w="326"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1,321</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1,584</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31" w:type="dxa"/>
            <w:tcBorders/>
            <w:vAlign w:val="bottom"/>
          </w:tcPr>
          <w:p>
            <w:pPr>
              <w:pStyle w:val="TableContents"/>
              <w:bidi w:val="0"/>
              <w:spacing w:before="0" w:after="283"/>
              <w:jc w:val="center"/>
              <w:rPr>
                <w:b/>
              </w:rPr>
            </w:pPr>
            <w:r>
              <w:rPr>
                <w:b/>
              </w:rPr>
              <w:t>6%</w:t>
            </w:r>
          </w:p>
        </w:tc>
        <w:tc>
          <w:tcPr>
            <w:tcW w:w="172" w:type="dxa"/>
            <w:tcBorders/>
            <w:vAlign w:val="bottom"/>
          </w:tcPr>
          <w:p>
            <w:pPr>
              <w:pStyle w:val="TableContents"/>
              <w:bidi w:val="0"/>
              <w:spacing w:before="0" w:after="283"/>
              <w:jc w:val="left"/>
              <w:rPr/>
            </w:pPr>
            <w:r>
              <w:rPr/>
              <w:t> </w:t>
            </w:r>
          </w:p>
        </w:tc>
        <w:tc>
          <w:tcPr>
            <w:tcW w:w="2287" w:type="dxa"/>
            <w:tcBorders/>
            <w:vAlign w:val="bottom"/>
          </w:tcPr>
          <w:p>
            <w:pPr>
              <w:pStyle w:val="TableContents"/>
              <w:bidi w:val="0"/>
              <w:spacing w:before="0" w:after="283"/>
              <w:jc w:val="center"/>
              <w:rPr/>
            </w:pPr>
            <w:r>
              <w:rPr/>
              <w:t>-11%</w:t>
            </w:r>
          </w:p>
        </w:tc>
      </w:tr>
      <w:tr>
        <w:trPr/>
        <w:tc>
          <w:tcPr>
            <w:tcW w:w="2236" w:type="dxa"/>
            <w:tcBorders/>
            <w:shd w:fill="CCEEFF" w:val="clear"/>
          </w:tcPr>
          <w:p>
            <w:pPr>
              <w:pStyle w:val="TableContents"/>
              <w:bidi w:val="0"/>
              <w:spacing w:before="0" w:after="0"/>
              <w:jc w:val="left"/>
              <w:rPr>
                <w:rFonts w:ascii="Arial" w:hAnsi="Arial"/>
                <w:sz w:val="20"/>
              </w:rPr>
            </w:pPr>
            <w:r>
              <w:rPr>
                <w:rFonts w:ascii="Arial" w:hAnsi="Arial"/>
                <w:sz w:val="20"/>
              </w:rPr>
              <w:t>Pretax segment operating margin*</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b/>
              </w:rPr>
            </w:pPr>
            <w:r>
              <w:rPr>
                <w:b/>
              </w:rPr>
              <w:t>15.6</w:t>
            </w:r>
          </w:p>
        </w:tc>
        <w:tc>
          <w:tcPr>
            <w:tcW w:w="326" w:type="dxa"/>
            <w:tcBorders/>
            <w:shd w:fill="CCEEFF" w:val="clear"/>
            <w:vAlign w:val="bottom"/>
          </w:tcPr>
          <w:p>
            <w:pPr>
              <w:pStyle w:val="TableContents"/>
              <w:bidi w:val="0"/>
              <w:spacing w:before="0" w:after="283"/>
              <w:jc w:val="left"/>
              <w:rPr>
                <w:b/>
              </w:rPr>
            </w:pPr>
            <w:r>
              <w:rPr>
                <w:b/>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15.2</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18.5</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931" w:type="dxa"/>
            <w:tcBorders/>
            <w:shd w:fill="CCEEFF" w:val="clear"/>
            <w:vAlign w:val="bottom"/>
          </w:tcPr>
          <w:p>
            <w:pPr>
              <w:pStyle w:val="TableContents"/>
              <w:bidi w:val="0"/>
              <w:spacing w:before="0" w:after="283"/>
              <w:jc w:val="center"/>
              <w:rPr>
                <w:b/>
              </w:rPr>
            </w:pPr>
            <w:r>
              <w:rPr>
                <w:b/>
              </w:rPr>
              <w:t>49 bps</w:t>
            </w:r>
          </w:p>
        </w:tc>
        <w:tc>
          <w:tcPr>
            <w:tcW w:w="172" w:type="dxa"/>
            <w:tcBorders/>
            <w:shd w:fill="CCEEFF" w:val="clear"/>
            <w:vAlign w:val="bottom"/>
          </w:tcPr>
          <w:p>
            <w:pPr>
              <w:pStyle w:val="TableContents"/>
              <w:bidi w:val="0"/>
              <w:spacing w:before="0" w:after="283"/>
              <w:jc w:val="left"/>
              <w:rPr/>
            </w:pPr>
            <w:r>
              <w:rPr/>
              <w:t> </w:t>
            </w:r>
          </w:p>
        </w:tc>
        <w:tc>
          <w:tcPr>
            <w:tcW w:w="2287" w:type="dxa"/>
            <w:tcBorders/>
            <w:shd w:fill="CCEEFF" w:val="clear"/>
            <w:vAlign w:val="bottom"/>
          </w:tcPr>
          <w:p>
            <w:pPr>
              <w:pStyle w:val="TableContents"/>
              <w:bidi w:val="0"/>
              <w:spacing w:before="0" w:after="283"/>
              <w:jc w:val="center"/>
              <w:rPr/>
            </w:pPr>
            <w:r>
              <w:rPr/>
              <w:t>-289 bps</w:t>
            </w:r>
          </w:p>
        </w:tc>
      </w:tr>
      <w:tr>
        <w:trPr/>
        <w:tc>
          <w:tcPr>
            <w:tcW w:w="2236" w:type="dxa"/>
            <w:tcBorders/>
          </w:tcPr>
          <w:p>
            <w:pPr>
              <w:pStyle w:val="TableContents"/>
              <w:bidi w:val="0"/>
              <w:spacing w:before="0" w:after="0"/>
              <w:jc w:val="left"/>
              <w:rPr>
                <w:rFonts w:ascii="Arial" w:hAnsi="Arial"/>
                <w:sz w:val="20"/>
              </w:rPr>
            </w:pPr>
            <w:r>
              <w:rPr>
                <w:rFonts w:ascii="Arial" w:hAnsi="Arial"/>
                <w:sz w:val="20"/>
              </w:rPr>
              <w:t>Net income attributable to SLB, excluding charges &amp; credits*</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74" w:type="dxa"/>
            <w:tcBorders/>
            <w:vAlign w:val="bottom"/>
          </w:tcPr>
          <w:p>
            <w:pPr>
              <w:pStyle w:val="TableContents"/>
              <w:bidi w:val="0"/>
              <w:spacing w:before="0" w:after="283"/>
              <w:jc w:val="right"/>
              <w:rPr>
                <w:b/>
              </w:rPr>
            </w:pPr>
            <w:r>
              <w:rPr>
                <w:b/>
              </w:rPr>
              <w:t>833</w:t>
            </w:r>
          </w:p>
        </w:tc>
        <w:tc>
          <w:tcPr>
            <w:tcW w:w="326"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783</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1,016</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31" w:type="dxa"/>
            <w:tcBorders/>
            <w:vAlign w:val="bottom"/>
          </w:tcPr>
          <w:p>
            <w:pPr>
              <w:pStyle w:val="TableContents"/>
              <w:bidi w:val="0"/>
              <w:spacing w:before="0" w:after="283"/>
              <w:jc w:val="center"/>
              <w:rPr>
                <w:b/>
              </w:rPr>
            </w:pPr>
            <w:r>
              <w:rPr>
                <w:b/>
              </w:rPr>
              <w:t>6%</w:t>
            </w:r>
          </w:p>
        </w:tc>
        <w:tc>
          <w:tcPr>
            <w:tcW w:w="172" w:type="dxa"/>
            <w:tcBorders/>
            <w:vAlign w:val="bottom"/>
          </w:tcPr>
          <w:p>
            <w:pPr>
              <w:pStyle w:val="TableContents"/>
              <w:bidi w:val="0"/>
              <w:spacing w:before="0" w:after="283"/>
              <w:jc w:val="left"/>
              <w:rPr/>
            </w:pPr>
            <w:r>
              <w:rPr/>
              <w:t> </w:t>
            </w:r>
          </w:p>
        </w:tc>
        <w:tc>
          <w:tcPr>
            <w:tcW w:w="2287" w:type="dxa"/>
            <w:tcBorders/>
            <w:vAlign w:val="bottom"/>
          </w:tcPr>
          <w:p>
            <w:pPr>
              <w:pStyle w:val="TableContents"/>
              <w:bidi w:val="0"/>
              <w:spacing w:before="0" w:after="283"/>
              <w:jc w:val="center"/>
              <w:rPr/>
            </w:pPr>
            <w:r>
              <w:rPr/>
              <w:t>-18%</w:t>
            </w:r>
          </w:p>
        </w:tc>
      </w:tr>
      <w:tr>
        <w:trPr/>
        <w:tc>
          <w:tcPr>
            <w:tcW w:w="2236" w:type="dxa"/>
            <w:tcBorders/>
            <w:shd w:fill="CCEEFF" w:val="clear"/>
          </w:tcPr>
          <w:p>
            <w:pPr>
              <w:pStyle w:val="TableContents"/>
              <w:bidi w:val="0"/>
              <w:spacing w:before="0" w:after="0"/>
              <w:jc w:val="left"/>
              <w:rPr>
                <w:rFonts w:ascii="Arial" w:hAnsi="Arial"/>
                <w:sz w:val="20"/>
              </w:rPr>
            </w:pPr>
            <w:r>
              <w:rPr>
                <w:rFonts w:ascii="Arial" w:hAnsi="Arial"/>
                <w:sz w:val="20"/>
              </w:rPr>
              <w:t>Diluted EPS, excluding charges &amp; credits*</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74" w:type="dxa"/>
            <w:tcBorders/>
            <w:shd w:fill="CCEEFF" w:val="clear"/>
            <w:vAlign w:val="bottom"/>
          </w:tcPr>
          <w:p>
            <w:pPr>
              <w:pStyle w:val="TableContents"/>
              <w:bidi w:val="0"/>
              <w:spacing w:before="0" w:after="283"/>
              <w:jc w:val="right"/>
              <w:rPr>
                <w:b/>
              </w:rPr>
            </w:pPr>
            <w:r>
              <w:rPr>
                <w:b/>
              </w:rPr>
              <w:t>0.55</w:t>
            </w:r>
          </w:p>
        </w:tc>
        <w:tc>
          <w:tcPr>
            <w:tcW w:w="326"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0.52</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0.74</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931" w:type="dxa"/>
            <w:tcBorders/>
            <w:shd w:fill="CCEEFF" w:val="clear"/>
            <w:vAlign w:val="bottom"/>
          </w:tcPr>
          <w:p>
            <w:pPr>
              <w:pStyle w:val="TableContents"/>
              <w:bidi w:val="0"/>
              <w:spacing w:before="0" w:after="283"/>
              <w:jc w:val="center"/>
              <w:rPr>
                <w:b/>
              </w:rPr>
            </w:pPr>
            <w:r>
              <w:rPr>
                <w:b/>
              </w:rPr>
              <w:t>6%</w:t>
            </w:r>
          </w:p>
        </w:tc>
        <w:tc>
          <w:tcPr>
            <w:tcW w:w="172" w:type="dxa"/>
            <w:tcBorders/>
            <w:shd w:fill="CCEEFF" w:val="clear"/>
            <w:vAlign w:val="bottom"/>
          </w:tcPr>
          <w:p>
            <w:pPr>
              <w:pStyle w:val="TableContents"/>
              <w:bidi w:val="0"/>
              <w:spacing w:before="0" w:after="283"/>
              <w:jc w:val="left"/>
              <w:rPr/>
            </w:pPr>
            <w:r>
              <w:rPr/>
              <w:t> </w:t>
            </w:r>
          </w:p>
        </w:tc>
        <w:tc>
          <w:tcPr>
            <w:tcW w:w="2287" w:type="dxa"/>
            <w:tcBorders/>
            <w:shd w:fill="CCEEFF" w:val="clear"/>
            <w:vAlign w:val="bottom"/>
          </w:tcPr>
          <w:p>
            <w:pPr>
              <w:pStyle w:val="TableContents"/>
              <w:bidi w:val="0"/>
              <w:spacing w:before="0" w:after="283"/>
              <w:jc w:val="center"/>
              <w:rPr/>
            </w:pPr>
            <w:r>
              <w:rPr/>
              <w:t>-26%</w:t>
            </w:r>
          </w:p>
        </w:tc>
      </w:tr>
      <w:tr>
        <w:trPr>
          <w:trHeight w:val="120" w:hRule="atLeast"/>
        </w:trPr>
        <w:tc>
          <w:tcPr>
            <w:tcW w:w="2236" w:type="dxa"/>
            <w:tcBorders/>
            <w:vAlign w:val="center"/>
          </w:tcPr>
          <w:p>
            <w:pPr>
              <w:pStyle w:val="TableContents"/>
              <w:bidi w:val="0"/>
              <w:spacing w:before="0" w:after="283"/>
              <w:jc w:val="left"/>
              <w:rPr>
                <w:sz w:val="4"/>
                <w:szCs w:val="4"/>
              </w:rPr>
            </w:pPr>
            <w:r>
              <w:rPr>
                <w:sz w:val="4"/>
                <w:szCs w:val="4"/>
              </w:rPr>
            </w:r>
          </w:p>
        </w:tc>
        <w:tc>
          <w:tcPr>
            <w:tcW w:w="1228" w:type="dxa"/>
            <w:gridSpan w:val="4"/>
            <w:tcBorders/>
            <w:vAlign w:val="center"/>
          </w:tcPr>
          <w:p>
            <w:pPr>
              <w:pStyle w:val="TableContents"/>
              <w:bidi w:val="0"/>
              <w:spacing w:before="0" w:after="283"/>
              <w:jc w:val="left"/>
              <w:rPr>
                <w:sz w:val="4"/>
                <w:szCs w:val="4"/>
              </w:rPr>
            </w:pPr>
            <w:r>
              <w:rPr>
                <w:sz w:val="4"/>
                <w:szCs w:val="4"/>
              </w:rPr>
            </w:r>
          </w:p>
        </w:tc>
        <w:tc>
          <w:tcPr>
            <w:tcW w:w="1118" w:type="dxa"/>
            <w:gridSpan w:val="4"/>
            <w:tcBorders/>
            <w:vAlign w:val="center"/>
          </w:tcPr>
          <w:p>
            <w:pPr>
              <w:pStyle w:val="TableContents"/>
              <w:bidi w:val="0"/>
              <w:spacing w:before="0" w:after="283"/>
              <w:jc w:val="left"/>
              <w:rPr>
                <w:sz w:val="4"/>
                <w:szCs w:val="4"/>
              </w:rPr>
            </w:pPr>
            <w:r>
              <w:rPr>
                <w:sz w:val="4"/>
                <w:szCs w:val="4"/>
              </w:rPr>
            </w:r>
          </w:p>
        </w:tc>
        <w:tc>
          <w:tcPr>
            <w:tcW w:w="1104" w:type="dxa"/>
            <w:gridSpan w:val="4"/>
            <w:tcBorders/>
            <w:vAlign w:val="center"/>
          </w:tcPr>
          <w:p>
            <w:pPr>
              <w:pStyle w:val="TableContents"/>
              <w:bidi w:val="0"/>
              <w:spacing w:before="0" w:after="283"/>
              <w:jc w:val="left"/>
              <w:rPr>
                <w:sz w:val="4"/>
                <w:szCs w:val="4"/>
              </w:rPr>
            </w:pPr>
            <w:r>
              <w:rPr>
                <w:sz w:val="4"/>
                <w:szCs w:val="4"/>
              </w:rPr>
            </w:r>
          </w:p>
        </w:tc>
        <w:tc>
          <w:tcPr>
            <w:tcW w:w="2060" w:type="dxa"/>
            <w:gridSpan w:val="2"/>
            <w:tcBorders/>
            <w:vAlign w:val="center"/>
          </w:tcPr>
          <w:p>
            <w:pPr>
              <w:pStyle w:val="TableContents"/>
              <w:bidi w:val="0"/>
              <w:spacing w:before="0" w:after="283"/>
              <w:jc w:val="left"/>
              <w:rPr>
                <w:sz w:val="4"/>
                <w:szCs w:val="4"/>
              </w:rPr>
            </w:pPr>
            <w:r>
              <w:rPr>
                <w:sz w:val="4"/>
                <w:szCs w:val="4"/>
              </w:rPr>
            </w:r>
          </w:p>
        </w:tc>
        <w:tc>
          <w:tcPr>
            <w:tcW w:w="2459" w:type="dxa"/>
            <w:gridSpan w:val="2"/>
            <w:tcBorders/>
            <w:vAlign w:val="center"/>
          </w:tcPr>
          <w:p>
            <w:pPr>
              <w:pStyle w:val="TableContents"/>
              <w:bidi w:val="0"/>
              <w:spacing w:before="0" w:after="283"/>
              <w:jc w:val="left"/>
              <w:rPr>
                <w:sz w:val="4"/>
                <w:szCs w:val="4"/>
              </w:rPr>
            </w:pPr>
            <w:r>
              <w:rPr>
                <w:sz w:val="4"/>
                <w:szCs w:val="4"/>
              </w:rPr>
            </w:r>
          </w:p>
        </w:tc>
      </w:tr>
      <w:tr>
        <w:trPr/>
        <w:tc>
          <w:tcPr>
            <w:tcW w:w="2236" w:type="dxa"/>
            <w:tcBorders/>
          </w:tcPr>
          <w:p>
            <w:pPr>
              <w:pStyle w:val="TableContents"/>
              <w:bidi w:val="0"/>
              <w:spacing w:before="0" w:after="0"/>
              <w:jc w:val="left"/>
              <w:rPr>
                <w:rFonts w:ascii="Arial" w:hAnsi="Arial"/>
                <w:b/>
                <w:sz w:val="20"/>
              </w:rPr>
            </w:pPr>
            <w:r>
              <w:rPr>
                <w:rFonts w:ascii="Arial" w:hAnsi="Arial"/>
                <w:b/>
                <w:sz w:val="20"/>
              </w:rPr>
              <w:t>Revenue by Geography</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4"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931"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2287" w:type="dxa"/>
            <w:tcBorders/>
            <w:vAlign w:val="bottom"/>
          </w:tcPr>
          <w:p>
            <w:pPr>
              <w:pStyle w:val="TableContents"/>
              <w:bidi w:val="0"/>
              <w:spacing w:before="0" w:after="283"/>
              <w:jc w:val="left"/>
              <w:rPr>
                <w:sz w:val="4"/>
                <w:szCs w:val="4"/>
              </w:rPr>
            </w:pPr>
            <w:r>
              <w:rPr>
                <w:sz w:val="4"/>
                <w:szCs w:val="4"/>
              </w:rPr>
            </w:r>
          </w:p>
        </w:tc>
      </w:tr>
      <w:tr>
        <w:trPr/>
        <w:tc>
          <w:tcPr>
            <w:tcW w:w="2236" w:type="dxa"/>
            <w:tcBorders/>
            <w:shd w:fill="CCEEFF" w:val="clear"/>
          </w:tcPr>
          <w:p>
            <w:pPr>
              <w:pStyle w:val="TableContents"/>
              <w:bidi w:val="0"/>
              <w:spacing w:before="0" w:after="0"/>
              <w:jc w:val="left"/>
              <w:rPr>
                <w:rFonts w:ascii="Arial" w:hAnsi="Arial"/>
                <w:sz w:val="20"/>
              </w:rPr>
            </w:pPr>
            <w:r>
              <w:rPr>
                <w:rFonts w:ascii="Arial" w:hAnsi="Arial"/>
                <w:sz w:val="20"/>
              </w:rPr>
              <w:t>International</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74" w:type="dxa"/>
            <w:tcBorders/>
            <w:shd w:fill="CCEEFF" w:val="clear"/>
            <w:vAlign w:val="bottom"/>
          </w:tcPr>
          <w:p>
            <w:pPr>
              <w:pStyle w:val="TableContents"/>
              <w:bidi w:val="0"/>
              <w:spacing w:before="0" w:after="283"/>
              <w:jc w:val="right"/>
              <w:rPr>
                <w:b/>
              </w:rPr>
            </w:pPr>
            <w:r>
              <w:rPr>
                <w:b/>
              </w:rPr>
              <w:t>6,671</w:t>
            </w:r>
          </w:p>
        </w:tc>
        <w:tc>
          <w:tcPr>
            <w:tcW w:w="326"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6,471</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6,847</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931" w:type="dxa"/>
            <w:tcBorders/>
            <w:shd w:fill="CCEEFF" w:val="clear"/>
            <w:vAlign w:val="bottom"/>
          </w:tcPr>
          <w:p>
            <w:pPr>
              <w:pStyle w:val="TableContents"/>
              <w:bidi w:val="0"/>
              <w:spacing w:before="0" w:after="283"/>
              <w:jc w:val="center"/>
              <w:rPr>
                <w:b/>
              </w:rPr>
            </w:pPr>
            <w:r>
              <w:rPr>
                <w:b/>
              </w:rPr>
              <w:t>3%</w:t>
            </w:r>
          </w:p>
        </w:tc>
        <w:tc>
          <w:tcPr>
            <w:tcW w:w="172" w:type="dxa"/>
            <w:tcBorders/>
            <w:shd w:fill="CCEEFF" w:val="clear"/>
            <w:vAlign w:val="bottom"/>
          </w:tcPr>
          <w:p>
            <w:pPr>
              <w:pStyle w:val="TableContents"/>
              <w:bidi w:val="0"/>
              <w:spacing w:before="0" w:after="283"/>
              <w:jc w:val="left"/>
              <w:rPr/>
            </w:pPr>
            <w:r>
              <w:rPr/>
              <w:t> </w:t>
            </w:r>
          </w:p>
        </w:tc>
        <w:tc>
          <w:tcPr>
            <w:tcW w:w="2287" w:type="dxa"/>
            <w:tcBorders/>
            <w:shd w:fill="CCEEFF" w:val="clear"/>
            <w:vAlign w:val="bottom"/>
          </w:tcPr>
          <w:p>
            <w:pPr>
              <w:pStyle w:val="TableContents"/>
              <w:bidi w:val="0"/>
              <w:spacing w:before="0" w:after="283"/>
              <w:jc w:val="center"/>
              <w:rPr/>
            </w:pPr>
            <w:r>
              <w:rPr/>
              <w:t>-3%</w:t>
            </w:r>
          </w:p>
        </w:tc>
      </w:tr>
      <w:tr>
        <w:trPr/>
        <w:tc>
          <w:tcPr>
            <w:tcW w:w="2236" w:type="dxa"/>
            <w:tcBorders/>
          </w:tcPr>
          <w:p>
            <w:pPr>
              <w:pStyle w:val="TableContents"/>
              <w:bidi w:val="0"/>
              <w:spacing w:before="0" w:after="0"/>
              <w:jc w:val="left"/>
              <w:rPr>
                <w:rFonts w:ascii="Arial" w:hAnsi="Arial"/>
                <w:sz w:val="20"/>
              </w:rPr>
            </w:pPr>
            <w:r>
              <w:rPr>
                <w:rFonts w:ascii="Arial" w:hAnsi="Arial"/>
                <w:sz w:val="20"/>
              </w:rPr>
              <w:t>North America</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b/>
              </w:rPr>
            </w:pPr>
            <w:r>
              <w:rPr>
                <w:b/>
              </w:rPr>
              <w:t>2,244</w:t>
            </w:r>
          </w:p>
        </w:tc>
        <w:tc>
          <w:tcPr>
            <w:tcW w:w="326"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2,167</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1,655</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31" w:type="dxa"/>
            <w:tcBorders/>
            <w:vAlign w:val="bottom"/>
          </w:tcPr>
          <w:p>
            <w:pPr>
              <w:pStyle w:val="TableContents"/>
              <w:bidi w:val="0"/>
              <w:spacing w:before="0" w:after="283"/>
              <w:jc w:val="center"/>
              <w:rPr>
                <w:b/>
              </w:rPr>
            </w:pPr>
            <w:r>
              <w:rPr>
                <w:b/>
              </w:rPr>
              <w:t>4%</w:t>
            </w:r>
          </w:p>
        </w:tc>
        <w:tc>
          <w:tcPr>
            <w:tcW w:w="172" w:type="dxa"/>
            <w:tcBorders/>
            <w:vAlign w:val="bottom"/>
          </w:tcPr>
          <w:p>
            <w:pPr>
              <w:pStyle w:val="TableContents"/>
              <w:bidi w:val="0"/>
              <w:spacing w:before="0" w:after="283"/>
              <w:jc w:val="left"/>
              <w:rPr/>
            </w:pPr>
            <w:r>
              <w:rPr/>
              <w:t> </w:t>
            </w:r>
          </w:p>
        </w:tc>
        <w:tc>
          <w:tcPr>
            <w:tcW w:w="2287" w:type="dxa"/>
            <w:tcBorders/>
            <w:vAlign w:val="bottom"/>
          </w:tcPr>
          <w:p>
            <w:pPr>
              <w:pStyle w:val="TableContents"/>
              <w:bidi w:val="0"/>
              <w:spacing w:before="0" w:after="283"/>
              <w:jc w:val="center"/>
              <w:rPr/>
            </w:pPr>
            <w:r>
              <w:rPr/>
              <w:t>36%</w:t>
            </w:r>
          </w:p>
        </w:tc>
      </w:tr>
      <w:tr>
        <w:trPr/>
        <w:tc>
          <w:tcPr>
            <w:tcW w:w="2236" w:type="dxa"/>
            <w:tcBorders/>
            <w:shd w:fill="CCEEFF" w:val="clear"/>
          </w:tcPr>
          <w:p>
            <w:pPr>
              <w:pStyle w:val="TableContents"/>
              <w:bidi w:val="0"/>
              <w:spacing w:before="0" w:after="0"/>
              <w:jc w:val="left"/>
              <w:rPr>
                <w:rFonts w:ascii="Arial" w:hAnsi="Arial"/>
                <w:sz w:val="20"/>
              </w:rPr>
            </w:pPr>
            <w:r>
              <w:rPr>
                <w:rFonts w:ascii="Arial" w:hAnsi="Arial"/>
                <w:sz w:val="20"/>
              </w:rPr>
              <w:t>Other</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b/>
              </w:rPr>
            </w:pPr>
            <w:r>
              <w:rPr>
                <w:b/>
              </w:rPr>
              <w:t>57</w:t>
            </w:r>
          </w:p>
        </w:tc>
        <w:tc>
          <w:tcPr>
            <w:tcW w:w="326"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83</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44</w:t>
            </w:r>
          </w:p>
        </w:tc>
        <w:tc>
          <w:tcPr>
            <w:tcW w:w="27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931" w:type="dxa"/>
            <w:tcBorders/>
            <w:shd w:fill="CCEEFF" w:val="clear"/>
            <w:vAlign w:val="bottom"/>
          </w:tcPr>
          <w:p>
            <w:pPr>
              <w:pStyle w:val="TableContents"/>
              <w:bidi w:val="0"/>
              <w:spacing w:before="0" w:after="283"/>
              <w:jc w:val="center"/>
              <w:rPr>
                <w:b/>
              </w:rPr>
            </w:pPr>
            <w:r>
              <w:rPr>
                <w:b/>
              </w:rPr>
              <w:t>n/m</w:t>
            </w:r>
          </w:p>
        </w:tc>
        <w:tc>
          <w:tcPr>
            <w:tcW w:w="172" w:type="dxa"/>
            <w:tcBorders/>
            <w:shd w:fill="CCEEFF" w:val="clear"/>
            <w:vAlign w:val="bottom"/>
          </w:tcPr>
          <w:p>
            <w:pPr>
              <w:pStyle w:val="TableContents"/>
              <w:bidi w:val="0"/>
              <w:spacing w:before="0" w:after="283"/>
              <w:jc w:val="left"/>
              <w:rPr/>
            </w:pPr>
            <w:r>
              <w:rPr/>
              <w:t> </w:t>
            </w:r>
          </w:p>
        </w:tc>
        <w:tc>
          <w:tcPr>
            <w:tcW w:w="2287" w:type="dxa"/>
            <w:tcBorders/>
            <w:shd w:fill="CCEEFF" w:val="clear"/>
            <w:vAlign w:val="bottom"/>
          </w:tcPr>
          <w:p>
            <w:pPr>
              <w:pStyle w:val="TableContents"/>
              <w:bidi w:val="0"/>
              <w:spacing w:before="0" w:after="283"/>
              <w:jc w:val="center"/>
              <w:rPr/>
            </w:pPr>
            <w:r>
              <w:rPr/>
              <w:t>n/m</w:t>
            </w:r>
          </w:p>
        </w:tc>
      </w:tr>
      <w:tr>
        <w:trPr/>
        <w:tc>
          <w:tcPr>
            <w:tcW w:w="2236"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31" w:type="dxa"/>
            <w:tcBorders/>
            <w:vAlign w:val="bottom"/>
          </w:tcPr>
          <w:p>
            <w:pPr>
              <w:pStyle w:val="TableContents"/>
              <w:pBdr>
                <w:top w:val="single" w:sz="2" w:space="1" w:color="000000"/>
              </w:pBdr>
              <w:bidi w:val="0"/>
              <w:spacing w:before="0" w:after="0"/>
              <w:jc w:val="left"/>
              <w:rPr/>
            </w:pPr>
            <w:r>
              <w:rPr/>
              <w:t> </w:t>
            </w:r>
          </w:p>
        </w:tc>
        <w:tc>
          <w:tcPr>
            <w:tcW w:w="172" w:type="dxa"/>
            <w:tcBorders/>
            <w:vAlign w:val="bottom"/>
          </w:tcPr>
          <w:p>
            <w:pPr>
              <w:pStyle w:val="TableContents"/>
              <w:bidi w:val="0"/>
              <w:spacing w:before="0" w:after="283"/>
              <w:jc w:val="left"/>
              <w:rPr/>
            </w:pPr>
            <w:r>
              <w:rPr/>
              <w:t> </w:t>
            </w:r>
          </w:p>
        </w:tc>
        <w:tc>
          <w:tcPr>
            <w:tcW w:w="2287" w:type="dxa"/>
            <w:tcBorders/>
            <w:vAlign w:val="bottom"/>
          </w:tcPr>
          <w:p>
            <w:pPr>
              <w:pStyle w:val="TableContents"/>
              <w:pBdr>
                <w:top w:val="single" w:sz="2" w:space="1" w:color="000000"/>
              </w:pBdr>
              <w:bidi w:val="0"/>
              <w:spacing w:before="0" w:after="0"/>
              <w:jc w:val="left"/>
              <w:rPr/>
            </w:pPr>
            <w:r>
              <w:rPr/>
              <w:t> </w:t>
            </w:r>
          </w:p>
        </w:tc>
      </w:tr>
      <w:tr>
        <w:trPr/>
        <w:tc>
          <w:tcPr>
            <w:tcW w:w="2236"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74" w:type="dxa"/>
            <w:tcBorders/>
            <w:vAlign w:val="bottom"/>
          </w:tcPr>
          <w:p>
            <w:pPr>
              <w:pStyle w:val="TableContents"/>
              <w:bidi w:val="0"/>
              <w:spacing w:before="0" w:after="283"/>
              <w:jc w:val="right"/>
              <w:rPr>
                <w:b/>
              </w:rPr>
            </w:pPr>
            <w:r>
              <w:rPr>
                <w:b/>
              </w:rPr>
              <w:t>8,972</w:t>
            </w:r>
          </w:p>
        </w:tc>
        <w:tc>
          <w:tcPr>
            <w:tcW w:w="326"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8,721</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8,546</w:t>
            </w:r>
          </w:p>
        </w:tc>
        <w:tc>
          <w:tcPr>
            <w:tcW w:w="27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31" w:type="dxa"/>
            <w:tcBorders/>
            <w:vAlign w:val="bottom"/>
          </w:tcPr>
          <w:p>
            <w:pPr>
              <w:pStyle w:val="TableContents"/>
              <w:bidi w:val="0"/>
              <w:spacing w:before="0" w:after="283"/>
              <w:jc w:val="center"/>
              <w:rPr>
                <w:b/>
              </w:rPr>
            </w:pPr>
            <w:r>
              <w:rPr>
                <w:b/>
              </w:rPr>
              <w:t>3%</w:t>
            </w:r>
          </w:p>
        </w:tc>
        <w:tc>
          <w:tcPr>
            <w:tcW w:w="172" w:type="dxa"/>
            <w:tcBorders/>
            <w:vAlign w:val="bottom"/>
          </w:tcPr>
          <w:p>
            <w:pPr>
              <w:pStyle w:val="TableContents"/>
              <w:bidi w:val="0"/>
              <w:spacing w:before="0" w:after="283"/>
              <w:jc w:val="left"/>
              <w:rPr/>
            </w:pPr>
            <w:r>
              <w:rPr/>
              <w:t> </w:t>
            </w:r>
          </w:p>
        </w:tc>
        <w:tc>
          <w:tcPr>
            <w:tcW w:w="2287" w:type="dxa"/>
            <w:tcBorders/>
            <w:vAlign w:val="bottom"/>
          </w:tcPr>
          <w:p>
            <w:pPr>
              <w:pStyle w:val="TableContents"/>
              <w:bidi w:val="0"/>
              <w:spacing w:before="0" w:after="283"/>
              <w:jc w:val="center"/>
              <w:rPr/>
            </w:pPr>
            <w:r>
              <w:rPr/>
              <w:t>5%</w:t>
            </w:r>
          </w:p>
        </w:tc>
      </w:tr>
      <w:tr>
        <w:trPr/>
        <w:tc>
          <w:tcPr>
            <w:tcW w:w="2236"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31" w:type="dxa"/>
            <w:tcBorders/>
            <w:vAlign w:val="bottom"/>
          </w:tcPr>
          <w:p>
            <w:pPr>
              <w:pStyle w:val="TableContents"/>
              <w:pBdr>
                <w:top w:val="double" w:sz="6" w:space="1" w:color="000000"/>
              </w:pBdr>
              <w:bidi w:val="0"/>
              <w:spacing w:before="0" w:after="0"/>
              <w:jc w:val="left"/>
              <w:rPr/>
            </w:pPr>
            <w:r>
              <w:rPr/>
              <w:t> </w:t>
            </w:r>
          </w:p>
        </w:tc>
        <w:tc>
          <w:tcPr>
            <w:tcW w:w="172" w:type="dxa"/>
            <w:tcBorders/>
            <w:vAlign w:val="bottom"/>
          </w:tcPr>
          <w:p>
            <w:pPr>
              <w:pStyle w:val="TableContents"/>
              <w:bidi w:val="0"/>
              <w:spacing w:before="0" w:after="283"/>
              <w:jc w:val="left"/>
              <w:rPr/>
            </w:pPr>
            <w:r>
              <w:rPr/>
              <w:t> </w:t>
            </w:r>
          </w:p>
        </w:tc>
        <w:tc>
          <w:tcPr>
            <w:tcW w:w="2287"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240" w:after="0"/>
        <w:jc w:val="left"/>
        <w:rPr>
          <w:rFonts w:ascii="Arial" w:hAnsi="Arial"/>
          <w:sz w:val="20"/>
        </w:rPr>
      </w:pPr>
      <w:r>
        <w:rPr>
          <w:rFonts w:ascii="Arial" w:hAnsi="Arial"/>
          <w:sz w:val="20"/>
        </w:rPr>
        <w:t xml:space="preserve">SLB acquired ChampionX during the third quarter of 2025. The acquired ChampionX businesses contributed $870 million of revenue, $207 million of adjusted EBITDA and $158 million of pretax segment operating income in the second quarter of 2026. Excluding the impact of this acquisition, SLB’s second-quarter 2026 global revenue decreased 5% year on year; international second-quarter 2026 revenue decreased 6% year on year; and North America second-quarter 2026 revenue decreased 1% year on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These are non-GAAP financial measures. See sections titled “Charges &amp; Credits”, “Divisions” and “Supplementary Information” for details. </w:t>
            </w:r>
          </w:p>
        </w:tc>
      </w:tr>
    </w:tbl>
    <w:p>
      <w:pPr>
        <w:pStyle w:val="TextBody"/>
        <w:bidi w:val="0"/>
        <w:spacing w:before="240" w:after="0"/>
        <w:jc w:val="left"/>
        <w:rPr>
          <w:rFonts w:ascii="Arial" w:hAnsi="Arial"/>
          <w:sz w:val="20"/>
        </w:rPr>
      </w:pPr>
      <w:r>
        <w:rPr>
          <w:rFonts w:ascii="Arial" w:hAnsi="Arial"/>
          <w:sz w:val="20"/>
        </w:rPr>
        <w:t xml:space="preserve">n/m = not meaningful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910"/>
        <w:gridCol w:w="184"/>
        <w:gridCol w:w="140"/>
        <w:gridCol w:w="569"/>
        <w:gridCol w:w="320"/>
        <w:gridCol w:w="132"/>
        <w:gridCol w:w="140"/>
        <w:gridCol w:w="569"/>
        <w:gridCol w:w="280"/>
        <w:gridCol w:w="132"/>
        <w:gridCol w:w="140"/>
        <w:gridCol w:w="569"/>
        <w:gridCol w:w="280"/>
        <w:gridCol w:w="132"/>
        <w:gridCol w:w="69"/>
        <w:gridCol w:w="1048"/>
        <w:gridCol w:w="60"/>
        <w:gridCol w:w="132"/>
        <w:gridCol w:w="83"/>
        <w:gridCol w:w="1246"/>
        <w:gridCol w:w="70"/>
      </w:tblGrid>
      <w:tr>
        <w:trPr/>
        <w:tc>
          <w:tcPr>
            <w:tcW w:w="3910"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91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41" w:type="dxa"/>
            <w:gridSpan w:val="18"/>
            <w:tcBorders/>
            <w:vAlign w:val="bottom"/>
          </w:tcPr>
          <w:p>
            <w:pPr>
              <w:pStyle w:val="TableContents"/>
              <w:bidi w:val="0"/>
              <w:spacing w:before="0" w:after="283"/>
              <w:jc w:val="right"/>
              <w:rPr/>
            </w:pPr>
            <w:r>
              <w:rPr/>
              <w:t>(Stated in millions)</w:t>
            </w:r>
          </w:p>
        </w:tc>
        <w:tc>
          <w:tcPr>
            <w:tcW w:w="70" w:type="dxa"/>
            <w:tcBorders/>
            <w:vAlign w:val="bottom"/>
          </w:tcPr>
          <w:p>
            <w:pPr>
              <w:pStyle w:val="TableContents"/>
              <w:bidi w:val="0"/>
              <w:spacing w:before="0" w:after="283"/>
              <w:jc w:val="left"/>
              <w:rPr/>
            </w:pPr>
            <w:r>
              <w:rPr/>
              <w:t> </w:t>
            </w:r>
          </w:p>
        </w:tc>
      </w:tr>
      <w:tr>
        <w:trPr/>
        <w:tc>
          <w:tcPr>
            <w:tcW w:w="391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99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6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70" w:type="dxa"/>
            <w:tcBorders/>
            <w:vAlign w:val="bottom"/>
          </w:tcPr>
          <w:p>
            <w:pPr>
              <w:pStyle w:val="TableContents"/>
              <w:bidi w:val="0"/>
              <w:spacing w:before="0" w:after="283"/>
              <w:jc w:val="left"/>
              <w:rPr/>
            </w:pPr>
            <w:r>
              <w:rPr/>
              <w:t> </w:t>
            </w:r>
          </w:p>
        </w:tc>
      </w:tr>
      <w:tr>
        <w:trPr/>
        <w:tc>
          <w:tcPr>
            <w:tcW w:w="391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2026</w:t>
            </w:r>
          </w:p>
        </w:tc>
        <w:tc>
          <w:tcPr>
            <w:tcW w:w="3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pPr>
            <w:r>
              <w:rPr/>
              <w:t>Mar. 31,</w:t>
              <w:br/>
              <w:t>2026</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2025</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70"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Arial" w:hAnsi="Arial"/>
                <w:b/>
                <w:sz w:val="20"/>
              </w:rPr>
            </w:pPr>
            <w:r>
              <w:rPr>
                <w:rFonts w:ascii="Arial" w:hAnsi="Arial"/>
                <w:b/>
                <w:sz w:val="20"/>
              </w:rPr>
              <w:t>Revenue by Division</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910" w:type="dxa"/>
            <w:tcBorders/>
          </w:tcPr>
          <w:p>
            <w:pPr>
              <w:pStyle w:val="TableContents"/>
              <w:bidi w:val="0"/>
              <w:spacing w:before="0" w:after="0"/>
              <w:jc w:val="left"/>
              <w:rPr>
                <w:rFonts w:ascii="Arial" w:hAnsi="Arial"/>
                <w:sz w:val="20"/>
              </w:rPr>
            </w:pPr>
            <w:r>
              <w:rPr>
                <w:rFonts w:ascii="Arial" w:hAnsi="Arial"/>
                <w:sz w:val="20"/>
              </w:rPr>
              <w:t>Digital</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9" w:type="dxa"/>
            <w:tcBorders/>
            <w:vAlign w:val="bottom"/>
          </w:tcPr>
          <w:p>
            <w:pPr>
              <w:pStyle w:val="TableContents"/>
              <w:bidi w:val="0"/>
              <w:spacing w:before="0" w:after="283"/>
              <w:jc w:val="right"/>
              <w:rPr>
                <w:b/>
              </w:rPr>
            </w:pPr>
            <w:r>
              <w:rPr>
                <w:b/>
              </w:rPr>
              <w:t>697</w:t>
            </w:r>
          </w:p>
        </w:tc>
        <w:tc>
          <w:tcPr>
            <w:tcW w:w="3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640</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591</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center"/>
              <w:rPr>
                <w:b/>
              </w:rPr>
            </w:pPr>
            <w:r>
              <w:rPr>
                <w:b/>
              </w:rPr>
              <w:t>9%</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center"/>
              <w:rPr/>
            </w:pPr>
            <w:r>
              <w:rPr/>
              <w:t>18%</w:t>
            </w:r>
          </w:p>
        </w:tc>
        <w:tc>
          <w:tcPr>
            <w:tcW w:w="70"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Arial" w:hAnsi="Arial"/>
                <w:sz w:val="20"/>
              </w:rPr>
            </w:pPr>
            <w:r>
              <w:rPr>
                <w:rFonts w:ascii="Arial" w:hAnsi="Arial"/>
                <w:sz w:val="20"/>
              </w:rPr>
              <w:t>Reservoir Performance</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1,556</w:t>
            </w:r>
          </w:p>
        </w:tc>
        <w:tc>
          <w:tcPr>
            <w:tcW w:w="3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1,594</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1,691</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center"/>
              <w:rPr>
                <w:b/>
              </w:rPr>
            </w:pPr>
            <w:r>
              <w:rPr>
                <w:b/>
              </w:rPr>
              <w:t>-2%</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center"/>
              <w:rPr/>
            </w:pPr>
            <w:r>
              <w:rPr/>
              <w:t>-8%</w:t>
            </w:r>
          </w:p>
        </w:tc>
        <w:tc>
          <w:tcPr>
            <w:tcW w:w="70" w:type="dxa"/>
            <w:tcBorders/>
            <w:shd w:fill="CCEEFF" w:val="clear"/>
            <w:vAlign w:val="bottom"/>
          </w:tcPr>
          <w:p>
            <w:pPr>
              <w:pStyle w:val="TableContents"/>
              <w:bidi w:val="0"/>
              <w:spacing w:before="0" w:after="283"/>
              <w:jc w:val="left"/>
              <w:rPr/>
            </w:pPr>
            <w:r>
              <w:rPr/>
              <w:t> </w:t>
            </w:r>
          </w:p>
        </w:tc>
      </w:tr>
      <w:tr>
        <w:trPr/>
        <w:tc>
          <w:tcPr>
            <w:tcW w:w="3910" w:type="dxa"/>
            <w:tcBorders/>
          </w:tcPr>
          <w:p>
            <w:pPr>
              <w:pStyle w:val="TableContents"/>
              <w:bidi w:val="0"/>
              <w:spacing w:before="0" w:after="0"/>
              <w:jc w:val="left"/>
              <w:rPr>
                <w:rFonts w:ascii="Arial" w:hAnsi="Arial"/>
                <w:sz w:val="20"/>
              </w:rPr>
            </w:pPr>
            <w:r>
              <w:rPr>
                <w:rFonts w:ascii="Arial" w:hAnsi="Arial"/>
                <w:sz w:val="20"/>
              </w:rPr>
              <w:t>Well Construction</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b/>
              </w:rPr>
            </w:pPr>
            <w:r>
              <w:rPr>
                <w:b/>
              </w:rPr>
              <w:t>2,742</w:t>
            </w:r>
          </w:p>
        </w:tc>
        <w:tc>
          <w:tcPr>
            <w:tcW w:w="3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2,797</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2,963</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center"/>
              <w:rPr>
                <w:b/>
              </w:rPr>
            </w:pPr>
            <w:r>
              <w:rPr>
                <w:b/>
              </w:rPr>
              <w:t>-2%</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center"/>
              <w:rPr/>
            </w:pPr>
            <w:r>
              <w:rPr/>
              <w:t>-7%</w:t>
            </w:r>
          </w:p>
        </w:tc>
        <w:tc>
          <w:tcPr>
            <w:tcW w:w="70"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Arial" w:hAnsi="Arial"/>
                <w:sz w:val="20"/>
              </w:rPr>
            </w:pPr>
            <w:r>
              <w:rPr>
                <w:rFonts w:ascii="Arial" w:hAnsi="Arial"/>
                <w:sz w:val="20"/>
              </w:rPr>
              <w:t>Production Systems</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3,771</w:t>
            </w:r>
          </w:p>
        </w:tc>
        <w:tc>
          <w:tcPr>
            <w:tcW w:w="3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3,508</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2,932</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center"/>
              <w:rPr>
                <w:b/>
              </w:rPr>
            </w:pPr>
            <w:r>
              <w:rPr>
                <w:b/>
              </w:rPr>
              <w:t>7%</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center"/>
              <w:rPr/>
            </w:pPr>
            <w:r>
              <w:rPr/>
              <w:t>29%</w:t>
            </w:r>
          </w:p>
        </w:tc>
        <w:tc>
          <w:tcPr>
            <w:tcW w:w="70" w:type="dxa"/>
            <w:tcBorders/>
            <w:shd w:fill="CCEEFF" w:val="clear"/>
            <w:vAlign w:val="bottom"/>
          </w:tcPr>
          <w:p>
            <w:pPr>
              <w:pStyle w:val="TableContents"/>
              <w:bidi w:val="0"/>
              <w:spacing w:before="0" w:after="283"/>
              <w:jc w:val="left"/>
              <w:rPr/>
            </w:pPr>
            <w:r>
              <w:rPr/>
              <w:t> </w:t>
            </w:r>
          </w:p>
        </w:tc>
      </w:tr>
      <w:tr>
        <w:trPr/>
        <w:tc>
          <w:tcPr>
            <w:tcW w:w="3910" w:type="dxa"/>
            <w:tcBorders/>
          </w:tcPr>
          <w:p>
            <w:pPr>
              <w:pStyle w:val="TableContents"/>
              <w:bidi w:val="0"/>
              <w:spacing w:before="0" w:after="0"/>
              <w:jc w:val="left"/>
              <w:rPr>
                <w:rFonts w:ascii="Arial" w:hAnsi="Arial"/>
                <w:sz w:val="20"/>
              </w:rPr>
            </w:pPr>
            <w:r>
              <w:rPr>
                <w:rFonts w:ascii="Arial" w:hAnsi="Arial"/>
                <w:sz w:val="20"/>
              </w:rPr>
              <w:t>All Other</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b/>
              </w:rPr>
            </w:pPr>
            <w:r>
              <w:rPr>
                <w:b/>
              </w:rPr>
              <w:t>505</w:t>
            </w:r>
          </w:p>
        </w:tc>
        <w:tc>
          <w:tcPr>
            <w:tcW w:w="3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443</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583</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center"/>
              <w:rPr>
                <w:b/>
              </w:rPr>
            </w:pPr>
            <w:r>
              <w:rPr>
                <w:b/>
              </w:rPr>
              <w:t>14%</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center"/>
              <w:rPr/>
            </w:pPr>
            <w:r>
              <w:rPr/>
              <w:t>-13%</w:t>
            </w:r>
          </w:p>
        </w:tc>
        <w:tc>
          <w:tcPr>
            <w:tcW w:w="70"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Arial" w:hAnsi="Arial"/>
                <w:sz w:val="20"/>
              </w:rPr>
            </w:pPr>
            <w:r>
              <w:rPr>
                <w:rFonts w:ascii="Arial" w:hAnsi="Arial"/>
                <w:sz w:val="20"/>
              </w:rPr>
              <w:t>Eliminations</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(299</w:t>
            </w:r>
          </w:p>
        </w:tc>
        <w:tc>
          <w:tcPr>
            <w:tcW w:w="320" w:type="dxa"/>
            <w:tcBorders/>
            <w:shd w:fill="CCEEFF" w:val="clear"/>
            <w:vAlign w:val="bottom"/>
          </w:tcPr>
          <w:p>
            <w:pPr>
              <w:pStyle w:val="TableContents"/>
              <w:bidi w:val="0"/>
              <w:spacing w:before="0" w:after="283"/>
              <w:jc w:val="left"/>
              <w:rPr>
                <w:b/>
              </w:rPr>
            </w:pPr>
            <w:r>
              <w:rPr>
                <w:b/>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(261</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(214</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center"/>
              <w:rPr>
                <w:b/>
              </w:rPr>
            </w:pPr>
            <w:r>
              <w:rPr>
                <w:b/>
              </w:rPr>
              <w:t>n/m</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center"/>
              <w:rPr/>
            </w:pPr>
            <w:r>
              <w:rPr/>
              <w:t>n/m</w:t>
            </w:r>
          </w:p>
        </w:tc>
        <w:tc>
          <w:tcPr>
            <w:tcW w:w="70" w:type="dxa"/>
            <w:tcBorders/>
            <w:shd w:fill="CCEEFF" w:val="clear"/>
            <w:vAlign w:val="bottom"/>
          </w:tcPr>
          <w:p>
            <w:pPr>
              <w:pStyle w:val="TableContents"/>
              <w:bidi w:val="0"/>
              <w:spacing w:before="0" w:after="283"/>
              <w:jc w:val="left"/>
              <w:rPr/>
            </w:pPr>
            <w:r>
              <w:rPr/>
              <w:t> </w:t>
            </w:r>
          </w:p>
        </w:tc>
      </w:tr>
      <w:tr>
        <w:trPr/>
        <w:tc>
          <w:tcPr>
            <w:tcW w:w="3910"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910" w:type="dxa"/>
            <w:tcBorders/>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9" w:type="dxa"/>
            <w:tcBorders/>
            <w:vAlign w:val="bottom"/>
          </w:tcPr>
          <w:p>
            <w:pPr>
              <w:pStyle w:val="TableContents"/>
              <w:bidi w:val="0"/>
              <w:spacing w:before="0" w:after="283"/>
              <w:jc w:val="right"/>
              <w:rPr>
                <w:b/>
              </w:rPr>
            </w:pPr>
            <w:r>
              <w:rPr>
                <w:b/>
              </w:rPr>
              <w:t>8,972</w:t>
            </w:r>
          </w:p>
        </w:tc>
        <w:tc>
          <w:tcPr>
            <w:tcW w:w="3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8,721</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8,546</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center"/>
              <w:rPr>
                <w:b/>
              </w:rPr>
            </w:pPr>
            <w:r>
              <w:rPr>
                <w:b/>
              </w:rPr>
              <w:t>3%</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center"/>
              <w:rPr/>
            </w:pPr>
            <w:r>
              <w:rPr/>
              <w:t>5%</w:t>
            </w:r>
          </w:p>
        </w:tc>
        <w:tc>
          <w:tcPr>
            <w:tcW w:w="70" w:type="dxa"/>
            <w:tcBorders/>
            <w:vAlign w:val="bottom"/>
          </w:tcPr>
          <w:p>
            <w:pPr>
              <w:pStyle w:val="TableContents"/>
              <w:bidi w:val="0"/>
              <w:spacing w:before="0" w:after="283"/>
              <w:jc w:val="left"/>
              <w:rPr/>
            </w:pPr>
            <w:r>
              <w:rPr/>
              <w:t> </w:t>
            </w:r>
          </w:p>
        </w:tc>
      </w:tr>
      <w:tr>
        <w:trPr/>
        <w:tc>
          <w:tcPr>
            <w:tcW w:w="3910"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10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Arial" w:hAnsi="Arial"/>
                <w:b/>
                <w:sz w:val="20"/>
              </w:rPr>
            </w:pPr>
            <w:r>
              <w:rPr>
                <w:rFonts w:ascii="Arial" w:hAnsi="Arial"/>
                <w:b/>
                <w:sz w:val="20"/>
              </w:rPr>
              <w:t>Pretax segment operating income</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910" w:type="dxa"/>
            <w:tcBorders/>
          </w:tcPr>
          <w:p>
            <w:pPr>
              <w:pStyle w:val="TableContents"/>
              <w:bidi w:val="0"/>
              <w:spacing w:before="0" w:after="0"/>
              <w:jc w:val="left"/>
              <w:rPr>
                <w:rFonts w:ascii="Arial" w:hAnsi="Arial"/>
                <w:sz w:val="20"/>
              </w:rPr>
            </w:pPr>
            <w:r>
              <w:rPr>
                <w:rFonts w:ascii="Arial" w:hAnsi="Arial"/>
                <w:sz w:val="20"/>
              </w:rPr>
              <w:t>Digital</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9" w:type="dxa"/>
            <w:tcBorders/>
            <w:vAlign w:val="bottom"/>
          </w:tcPr>
          <w:p>
            <w:pPr>
              <w:pStyle w:val="TableContents"/>
              <w:bidi w:val="0"/>
              <w:spacing w:before="0" w:after="283"/>
              <w:jc w:val="right"/>
              <w:rPr>
                <w:b/>
              </w:rPr>
            </w:pPr>
            <w:r>
              <w:rPr>
                <w:b/>
              </w:rPr>
              <w:t>194</w:t>
            </w:r>
          </w:p>
        </w:tc>
        <w:tc>
          <w:tcPr>
            <w:tcW w:w="3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134</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153</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center"/>
              <w:rPr>
                <w:b/>
              </w:rPr>
            </w:pPr>
            <w:r>
              <w:rPr>
                <w:b/>
              </w:rPr>
              <w:t>44%</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center"/>
              <w:rPr/>
            </w:pPr>
            <w:r>
              <w:rPr/>
              <w:t>27%</w:t>
            </w:r>
          </w:p>
        </w:tc>
        <w:tc>
          <w:tcPr>
            <w:tcW w:w="70"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Arial" w:hAnsi="Arial"/>
                <w:sz w:val="20"/>
              </w:rPr>
            </w:pPr>
            <w:r>
              <w:rPr>
                <w:rFonts w:ascii="Arial" w:hAnsi="Arial"/>
                <w:sz w:val="20"/>
              </w:rPr>
              <w:t>Reservoir Performance</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232</w:t>
            </w:r>
          </w:p>
        </w:tc>
        <w:tc>
          <w:tcPr>
            <w:tcW w:w="3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257</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314</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center"/>
              <w:rPr>
                <w:b/>
              </w:rPr>
            </w:pPr>
            <w:r>
              <w:rPr>
                <w:b/>
              </w:rPr>
              <w:t>-10%</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center"/>
              <w:rPr/>
            </w:pPr>
            <w:r>
              <w:rPr/>
              <w:t>-26%</w:t>
            </w:r>
          </w:p>
        </w:tc>
        <w:tc>
          <w:tcPr>
            <w:tcW w:w="70" w:type="dxa"/>
            <w:tcBorders/>
            <w:shd w:fill="CCEEFF" w:val="clear"/>
            <w:vAlign w:val="bottom"/>
          </w:tcPr>
          <w:p>
            <w:pPr>
              <w:pStyle w:val="TableContents"/>
              <w:bidi w:val="0"/>
              <w:spacing w:before="0" w:after="283"/>
              <w:jc w:val="left"/>
              <w:rPr/>
            </w:pPr>
            <w:r>
              <w:rPr/>
              <w:t> </w:t>
            </w:r>
          </w:p>
        </w:tc>
      </w:tr>
      <w:tr>
        <w:trPr/>
        <w:tc>
          <w:tcPr>
            <w:tcW w:w="3910" w:type="dxa"/>
            <w:tcBorders/>
          </w:tcPr>
          <w:p>
            <w:pPr>
              <w:pStyle w:val="TableContents"/>
              <w:bidi w:val="0"/>
              <w:spacing w:before="0" w:after="0"/>
              <w:jc w:val="left"/>
              <w:rPr>
                <w:rFonts w:ascii="Arial" w:hAnsi="Arial"/>
                <w:sz w:val="20"/>
              </w:rPr>
            </w:pPr>
            <w:r>
              <w:rPr>
                <w:rFonts w:ascii="Arial" w:hAnsi="Arial"/>
                <w:sz w:val="20"/>
              </w:rPr>
              <w:t>Well Construction</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b/>
              </w:rPr>
            </w:pPr>
            <w:r>
              <w:rPr>
                <w:b/>
              </w:rPr>
              <w:t>417</w:t>
            </w:r>
          </w:p>
        </w:tc>
        <w:tc>
          <w:tcPr>
            <w:tcW w:w="3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424</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551</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center"/>
              <w:rPr>
                <w:b/>
              </w:rPr>
            </w:pPr>
            <w:r>
              <w:rPr>
                <w:b/>
              </w:rPr>
              <w:t>-2%</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center"/>
              <w:rPr/>
            </w:pPr>
            <w:r>
              <w:rPr/>
              <w:t>-24%</w:t>
            </w:r>
          </w:p>
        </w:tc>
        <w:tc>
          <w:tcPr>
            <w:tcW w:w="70"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Arial" w:hAnsi="Arial"/>
                <w:sz w:val="20"/>
              </w:rPr>
            </w:pPr>
            <w:r>
              <w:rPr>
                <w:rFonts w:ascii="Arial" w:hAnsi="Arial"/>
                <w:sz w:val="20"/>
              </w:rPr>
              <w:t>Production Systems</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586</w:t>
            </w:r>
          </w:p>
        </w:tc>
        <w:tc>
          <w:tcPr>
            <w:tcW w:w="3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497</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491</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center"/>
              <w:rPr>
                <w:b/>
              </w:rPr>
            </w:pPr>
            <w:r>
              <w:rPr>
                <w:b/>
              </w:rPr>
              <w:t>18%</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center"/>
              <w:rPr/>
            </w:pPr>
            <w:r>
              <w:rPr/>
              <w:t>19%</w:t>
            </w:r>
          </w:p>
        </w:tc>
        <w:tc>
          <w:tcPr>
            <w:tcW w:w="70" w:type="dxa"/>
            <w:tcBorders/>
            <w:shd w:fill="CCEEFF" w:val="clear"/>
            <w:vAlign w:val="bottom"/>
          </w:tcPr>
          <w:p>
            <w:pPr>
              <w:pStyle w:val="TableContents"/>
              <w:bidi w:val="0"/>
              <w:spacing w:before="0" w:after="283"/>
              <w:jc w:val="left"/>
              <w:rPr/>
            </w:pPr>
            <w:r>
              <w:rPr/>
              <w:t> </w:t>
            </w:r>
          </w:p>
        </w:tc>
      </w:tr>
      <w:tr>
        <w:trPr/>
        <w:tc>
          <w:tcPr>
            <w:tcW w:w="3910" w:type="dxa"/>
            <w:tcBorders/>
          </w:tcPr>
          <w:p>
            <w:pPr>
              <w:pStyle w:val="TableContents"/>
              <w:bidi w:val="0"/>
              <w:spacing w:before="0" w:after="0"/>
              <w:jc w:val="left"/>
              <w:rPr>
                <w:rFonts w:ascii="Arial" w:hAnsi="Arial"/>
                <w:sz w:val="20"/>
              </w:rPr>
            </w:pPr>
            <w:r>
              <w:rPr>
                <w:rFonts w:ascii="Arial" w:hAnsi="Arial"/>
                <w:sz w:val="20"/>
              </w:rPr>
              <w:t>All Other</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b/>
              </w:rPr>
            </w:pPr>
            <w:r>
              <w:rPr>
                <w:b/>
              </w:rPr>
              <w:t>142</w:t>
            </w:r>
          </w:p>
        </w:tc>
        <w:tc>
          <w:tcPr>
            <w:tcW w:w="3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113</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155</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center"/>
              <w:rPr>
                <w:b/>
              </w:rPr>
            </w:pPr>
            <w:r>
              <w:rPr>
                <w:b/>
              </w:rPr>
              <w:t>26%</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center"/>
              <w:rPr/>
            </w:pPr>
            <w:r>
              <w:rPr/>
              <w:t>-8%</w:t>
            </w:r>
          </w:p>
        </w:tc>
        <w:tc>
          <w:tcPr>
            <w:tcW w:w="70"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Arial" w:hAnsi="Arial"/>
                <w:sz w:val="20"/>
              </w:rPr>
            </w:pPr>
            <w:r>
              <w:rPr>
                <w:rFonts w:ascii="Arial" w:hAnsi="Arial"/>
                <w:sz w:val="20"/>
              </w:rPr>
              <w:t>Eliminations</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(167</w:t>
            </w:r>
          </w:p>
        </w:tc>
        <w:tc>
          <w:tcPr>
            <w:tcW w:w="320" w:type="dxa"/>
            <w:tcBorders/>
            <w:shd w:fill="CCEEFF" w:val="clear"/>
            <w:vAlign w:val="bottom"/>
          </w:tcPr>
          <w:p>
            <w:pPr>
              <w:pStyle w:val="TableContents"/>
              <w:bidi w:val="0"/>
              <w:spacing w:before="0" w:after="283"/>
              <w:jc w:val="left"/>
              <w:rPr>
                <w:b/>
              </w:rPr>
            </w:pPr>
            <w:r>
              <w:rPr>
                <w:b/>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(104</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(80</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center"/>
              <w:rPr>
                <w:b/>
              </w:rPr>
            </w:pPr>
            <w:r>
              <w:rPr>
                <w:b/>
              </w:rPr>
              <w:t>n/m</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center"/>
              <w:rPr/>
            </w:pPr>
            <w:r>
              <w:rPr/>
              <w:t>n/m</w:t>
            </w:r>
          </w:p>
        </w:tc>
        <w:tc>
          <w:tcPr>
            <w:tcW w:w="70" w:type="dxa"/>
            <w:tcBorders/>
            <w:shd w:fill="CCEEFF" w:val="clear"/>
            <w:vAlign w:val="bottom"/>
          </w:tcPr>
          <w:p>
            <w:pPr>
              <w:pStyle w:val="TableContents"/>
              <w:bidi w:val="0"/>
              <w:spacing w:before="0" w:after="283"/>
              <w:jc w:val="left"/>
              <w:rPr/>
            </w:pPr>
            <w:r>
              <w:rPr/>
              <w:t> </w:t>
            </w:r>
          </w:p>
        </w:tc>
      </w:tr>
      <w:tr>
        <w:trPr/>
        <w:tc>
          <w:tcPr>
            <w:tcW w:w="3910"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910" w:type="dxa"/>
            <w:tcBorders/>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9" w:type="dxa"/>
            <w:tcBorders/>
            <w:vAlign w:val="bottom"/>
          </w:tcPr>
          <w:p>
            <w:pPr>
              <w:pStyle w:val="TableContents"/>
              <w:bidi w:val="0"/>
              <w:spacing w:before="0" w:after="283"/>
              <w:jc w:val="right"/>
              <w:rPr>
                <w:b/>
              </w:rPr>
            </w:pPr>
            <w:r>
              <w:rPr>
                <w:b/>
              </w:rPr>
              <w:t>1,404</w:t>
            </w:r>
          </w:p>
        </w:tc>
        <w:tc>
          <w:tcPr>
            <w:tcW w:w="3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1,321</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1,584</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center"/>
              <w:rPr>
                <w:b/>
              </w:rPr>
            </w:pPr>
            <w:r>
              <w:rPr>
                <w:b/>
              </w:rPr>
              <w:t>6%</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center"/>
              <w:rPr/>
            </w:pPr>
            <w:r>
              <w:rPr/>
              <w:t>-11%</w:t>
            </w:r>
          </w:p>
        </w:tc>
        <w:tc>
          <w:tcPr>
            <w:tcW w:w="70" w:type="dxa"/>
            <w:tcBorders/>
            <w:vAlign w:val="bottom"/>
          </w:tcPr>
          <w:p>
            <w:pPr>
              <w:pStyle w:val="TableContents"/>
              <w:bidi w:val="0"/>
              <w:spacing w:before="0" w:after="283"/>
              <w:jc w:val="left"/>
              <w:rPr/>
            </w:pPr>
            <w:r>
              <w:rPr/>
              <w:t> </w:t>
            </w:r>
          </w:p>
        </w:tc>
      </w:tr>
      <w:tr>
        <w:trPr/>
        <w:tc>
          <w:tcPr>
            <w:tcW w:w="3910"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10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Arial" w:hAnsi="Arial"/>
                <w:b/>
                <w:sz w:val="20"/>
              </w:rPr>
            </w:pPr>
            <w:r>
              <w:rPr>
                <w:rFonts w:ascii="Arial" w:hAnsi="Arial"/>
                <w:b/>
                <w:sz w:val="20"/>
              </w:rPr>
              <w:t>Pretax segment operating margin</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910" w:type="dxa"/>
            <w:tcBorders/>
          </w:tcPr>
          <w:p>
            <w:pPr>
              <w:pStyle w:val="TableContents"/>
              <w:bidi w:val="0"/>
              <w:spacing w:before="0" w:after="0"/>
              <w:jc w:val="left"/>
              <w:rPr>
                <w:rFonts w:ascii="Arial" w:hAnsi="Arial"/>
                <w:sz w:val="20"/>
              </w:rPr>
            </w:pPr>
            <w:r>
              <w:rPr>
                <w:rFonts w:ascii="Arial" w:hAnsi="Arial"/>
                <w:sz w:val="20"/>
              </w:rPr>
              <w:t>Digital</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b/>
              </w:rPr>
            </w:pPr>
            <w:r>
              <w:rPr>
                <w:b/>
              </w:rPr>
              <w:t>27.8</w:t>
            </w:r>
          </w:p>
        </w:tc>
        <w:tc>
          <w:tcPr>
            <w:tcW w:w="320" w:type="dxa"/>
            <w:tcBorders/>
            <w:vAlign w:val="bottom"/>
          </w:tcPr>
          <w:p>
            <w:pPr>
              <w:pStyle w:val="TableContents"/>
              <w:bidi w:val="0"/>
              <w:spacing w:before="0" w:after="283"/>
              <w:jc w:val="left"/>
              <w:rPr>
                <w:b/>
              </w:rPr>
            </w:pPr>
            <w:r>
              <w:rPr>
                <w:b/>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20.9</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25.9</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center"/>
              <w:rPr>
                <w:b/>
              </w:rPr>
            </w:pPr>
            <w:r>
              <w:rPr>
                <w:b/>
              </w:rPr>
              <w:t>683 bps</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center"/>
              <w:rPr/>
            </w:pPr>
            <w:r>
              <w:rPr/>
              <w:t>187 bps</w:t>
            </w:r>
          </w:p>
        </w:tc>
        <w:tc>
          <w:tcPr>
            <w:tcW w:w="70"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Arial" w:hAnsi="Arial"/>
                <w:sz w:val="20"/>
              </w:rPr>
            </w:pPr>
            <w:r>
              <w:rPr>
                <w:rFonts w:ascii="Arial" w:hAnsi="Arial"/>
                <w:sz w:val="20"/>
              </w:rPr>
              <w:t>Reservoir Performance</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14.9</w:t>
            </w:r>
          </w:p>
        </w:tc>
        <w:tc>
          <w:tcPr>
            <w:tcW w:w="320" w:type="dxa"/>
            <w:tcBorders/>
            <w:shd w:fill="CCEEFF" w:val="clear"/>
            <w:vAlign w:val="bottom"/>
          </w:tcPr>
          <w:p>
            <w:pPr>
              <w:pStyle w:val="TableContents"/>
              <w:bidi w:val="0"/>
              <w:spacing w:before="0" w:after="283"/>
              <w:jc w:val="left"/>
              <w:rPr>
                <w:b/>
              </w:rPr>
            </w:pPr>
            <w:r>
              <w:rPr>
                <w:b/>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16.1</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18.6</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center"/>
              <w:rPr>
                <w:b/>
              </w:rPr>
            </w:pPr>
            <w:r>
              <w:rPr>
                <w:b/>
              </w:rPr>
              <w:t>-121 bps</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center"/>
              <w:rPr/>
            </w:pPr>
            <w:r>
              <w:rPr/>
              <w:t>-370 bps</w:t>
            </w:r>
          </w:p>
        </w:tc>
        <w:tc>
          <w:tcPr>
            <w:tcW w:w="70" w:type="dxa"/>
            <w:tcBorders/>
            <w:shd w:fill="CCEEFF" w:val="clear"/>
            <w:vAlign w:val="bottom"/>
          </w:tcPr>
          <w:p>
            <w:pPr>
              <w:pStyle w:val="TableContents"/>
              <w:bidi w:val="0"/>
              <w:spacing w:before="0" w:after="283"/>
              <w:jc w:val="left"/>
              <w:rPr/>
            </w:pPr>
            <w:r>
              <w:rPr/>
              <w:t> </w:t>
            </w:r>
          </w:p>
        </w:tc>
      </w:tr>
      <w:tr>
        <w:trPr/>
        <w:tc>
          <w:tcPr>
            <w:tcW w:w="3910" w:type="dxa"/>
            <w:tcBorders/>
          </w:tcPr>
          <w:p>
            <w:pPr>
              <w:pStyle w:val="TableContents"/>
              <w:bidi w:val="0"/>
              <w:spacing w:before="0" w:after="0"/>
              <w:jc w:val="left"/>
              <w:rPr>
                <w:rFonts w:ascii="Arial" w:hAnsi="Arial"/>
                <w:sz w:val="20"/>
              </w:rPr>
            </w:pPr>
            <w:r>
              <w:rPr>
                <w:rFonts w:ascii="Arial" w:hAnsi="Arial"/>
                <w:sz w:val="20"/>
              </w:rPr>
              <w:t>Well Construction</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b/>
              </w:rPr>
            </w:pPr>
            <w:r>
              <w:rPr>
                <w:b/>
              </w:rPr>
              <w:t>15.2</w:t>
            </w:r>
          </w:p>
        </w:tc>
        <w:tc>
          <w:tcPr>
            <w:tcW w:w="320" w:type="dxa"/>
            <w:tcBorders/>
            <w:vAlign w:val="bottom"/>
          </w:tcPr>
          <w:p>
            <w:pPr>
              <w:pStyle w:val="TableContents"/>
              <w:bidi w:val="0"/>
              <w:spacing w:before="0" w:after="283"/>
              <w:jc w:val="left"/>
              <w:rPr>
                <w:b/>
              </w:rPr>
            </w:pPr>
            <w:r>
              <w:rPr>
                <w:b/>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15.2</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18.6</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center"/>
              <w:rPr>
                <w:b/>
              </w:rPr>
            </w:pPr>
            <w:r>
              <w:rPr>
                <w:b/>
              </w:rPr>
              <w:t>6 bps</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center"/>
              <w:rPr/>
            </w:pPr>
            <w:r>
              <w:rPr/>
              <w:t>-338 bps</w:t>
            </w:r>
          </w:p>
        </w:tc>
        <w:tc>
          <w:tcPr>
            <w:tcW w:w="70"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Arial" w:hAnsi="Arial"/>
                <w:sz w:val="20"/>
              </w:rPr>
            </w:pPr>
            <w:r>
              <w:rPr>
                <w:rFonts w:ascii="Arial" w:hAnsi="Arial"/>
                <w:sz w:val="20"/>
              </w:rPr>
              <w:t>Production Systems</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15.5</w:t>
            </w:r>
          </w:p>
        </w:tc>
        <w:tc>
          <w:tcPr>
            <w:tcW w:w="320" w:type="dxa"/>
            <w:tcBorders/>
            <w:shd w:fill="CCEEFF" w:val="clear"/>
            <w:vAlign w:val="bottom"/>
          </w:tcPr>
          <w:p>
            <w:pPr>
              <w:pStyle w:val="TableContents"/>
              <w:bidi w:val="0"/>
              <w:spacing w:before="0" w:after="283"/>
              <w:jc w:val="left"/>
              <w:rPr>
                <w:b/>
              </w:rPr>
            </w:pPr>
            <w:r>
              <w:rPr>
                <w:b/>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14.2</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16.7</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center"/>
              <w:rPr>
                <w:b/>
              </w:rPr>
            </w:pPr>
            <w:r>
              <w:rPr>
                <w:b/>
              </w:rPr>
              <w:t>138 bps</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center"/>
              <w:rPr/>
            </w:pPr>
            <w:r>
              <w:rPr/>
              <w:t>-120 bps</w:t>
            </w:r>
          </w:p>
        </w:tc>
        <w:tc>
          <w:tcPr>
            <w:tcW w:w="70" w:type="dxa"/>
            <w:tcBorders/>
            <w:shd w:fill="CCEEFF" w:val="clear"/>
            <w:vAlign w:val="bottom"/>
          </w:tcPr>
          <w:p>
            <w:pPr>
              <w:pStyle w:val="TableContents"/>
              <w:bidi w:val="0"/>
              <w:spacing w:before="0" w:after="283"/>
              <w:jc w:val="left"/>
              <w:rPr/>
            </w:pPr>
            <w:r>
              <w:rPr/>
              <w:t> </w:t>
            </w:r>
          </w:p>
        </w:tc>
      </w:tr>
      <w:tr>
        <w:trPr/>
        <w:tc>
          <w:tcPr>
            <w:tcW w:w="3910" w:type="dxa"/>
            <w:tcBorders/>
          </w:tcPr>
          <w:p>
            <w:pPr>
              <w:pStyle w:val="TableContents"/>
              <w:bidi w:val="0"/>
              <w:spacing w:before="0" w:after="0"/>
              <w:jc w:val="left"/>
              <w:rPr>
                <w:rFonts w:ascii="Arial" w:hAnsi="Arial"/>
                <w:sz w:val="20"/>
              </w:rPr>
            </w:pPr>
            <w:r>
              <w:rPr>
                <w:rFonts w:ascii="Arial" w:hAnsi="Arial"/>
                <w:sz w:val="20"/>
              </w:rPr>
              <w:t>All Other</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b/>
              </w:rPr>
            </w:pPr>
            <w:r>
              <w:rPr>
                <w:b/>
              </w:rPr>
              <w:t>28.2</w:t>
            </w:r>
          </w:p>
        </w:tc>
        <w:tc>
          <w:tcPr>
            <w:tcW w:w="320" w:type="dxa"/>
            <w:tcBorders/>
            <w:vAlign w:val="bottom"/>
          </w:tcPr>
          <w:p>
            <w:pPr>
              <w:pStyle w:val="TableContents"/>
              <w:bidi w:val="0"/>
              <w:spacing w:before="0" w:after="283"/>
              <w:jc w:val="left"/>
              <w:rPr>
                <w:b/>
              </w:rPr>
            </w:pPr>
            <w:r>
              <w:rPr>
                <w:b/>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25.5</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26.7</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center"/>
              <w:rPr>
                <w:b/>
              </w:rPr>
            </w:pPr>
            <w:r>
              <w:rPr>
                <w:b/>
              </w:rPr>
              <w:t>267 bps</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center"/>
              <w:rPr/>
            </w:pPr>
            <w:r>
              <w:rPr/>
              <w:t>151 bps</w:t>
            </w:r>
          </w:p>
        </w:tc>
        <w:tc>
          <w:tcPr>
            <w:tcW w:w="70"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Arial" w:hAnsi="Arial"/>
                <w:sz w:val="20"/>
              </w:rPr>
            </w:pPr>
            <w:r>
              <w:rPr>
                <w:rFonts w:ascii="Arial" w:hAnsi="Arial"/>
                <w:sz w:val="20"/>
              </w:rPr>
              <w:t>Eliminations</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n/m</w:t>
            </w:r>
          </w:p>
        </w:tc>
        <w:tc>
          <w:tcPr>
            <w:tcW w:w="3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n/m</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n/m</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center"/>
              <w:rPr>
                <w:b/>
              </w:rPr>
            </w:pPr>
            <w:r>
              <w:rPr>
                <w:b/>
              </w:rPr>
              <w:t>n/m</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center"/>
              <w:rPr/>
            </w:pPr>
            <w:r>
              <w:rPr/>
              <w:t>n/m</w:t>
            </w:r>
          </w:p>
        </w:tc>
        <w:tc>
          <w:tcPr>
            <w:tcW w:w="70" w:type="dxa"/>
            <w:tcBorders/>
            <w:shd w:fill="CCEEFF" w:val="clear"/>
            <w:vAlign w:val="bottom"/>
          </w:tcPr>
          <w:p>
            <w:pPr>
              <w:pStyle w:val="TableContents"/>
              <w:bidi w:val="0"/>
              <w:spacing w:before="0" w:after="283"/>
              <w:jc w:val="left"/>
              <w:rPr/>
            </w:pPr>
            <w:r>
              <w:rPr/>
              <w:t> </w:t>
            </w:r>
          </w:p>
        </w:tc>
      </w:tr>
      <w:tr>
        <w:trPr/>
        <w:tc>
          <w:tcPr>
            <w:tcW w:w="3910"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910" w:type="dxa"/>
            <w:tcBorders/>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b/>
              </w:rPr>
            </w:pPr>
            <w:r>
              <w:rPr>
                <w:b/>
              </w:rPr>
              <w:t>15.6</w:t>
            </w:r>
          </w:p>
        </w:tc>
        <w:tc>
          <w:tcPr>
            <w:tcW w:w="320" w:type="dxa"/>
            <w:tcBorders/>
            <w:vAlign w:val="bottom"/>
          </w:tcPr>
          <w:p>
            <w:pPr>
              <w:pStyle w:val="TableContents"/>
              <w:bidi w:val="0"/>
              <w:spacing w:before="0" w:after="283"/>
              <w:jc w:val="left"/>
              <w:rPr>
                <w:b/>
              </w:rPr>
            </w:pPr>
            <w:r>
              <w:rPr>
                <w:b/>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15.2</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18.5</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center"/>
              <w:rPr>
                <w:b/>
              </w:rPr>
            </w:pPr>
            <w:r>
              <w:rPr>
                <w:b/>
              </w:rPr>
              <w:t>49 bps</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center"/>
              <w:rPr/>
            </w:pPr>
            <w:r>
              <w:rPr/>
              <w:t>-289 bps</w:t>
            </w:r>
          </w:p>
        </w:tc>
        <w:tc>
          <w:tcPr>
            <w:tcW w:w="70" w:type="dxa"/>
            <w:tcBorders/>
            <w:vAlign w:val="bottom"/>
          </w:tcPr>
          <w:p>
            <w:pPr>
              <w:pStyle w:val="TableContents"/>
              <w:bidi w:val="0"/>
              <w:spacing w:before="0" w:after="283"/>
              <w:jc w:val="left"/>
              <w:rPr/>
            </w:pPr>
            <w:r>
              <w:rPr/>
              <w:t> </w:t>
            </w:r>
          </w:p>
        </w:tc>
      </w:tr>
      <w:tr>
        <w:trPr/>
        <w:tc>
          <w:tcPr>
            <w:tcW w:w="3910"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10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Arial" w:hAnsi="Arial"/>
                <w:b/>
                <w:sz w:val="20"/>
              </w:rPr>
            </w:pPr>
            <w:r>
              <w:rPr>
                <w:rFonts w:ascii="Arial" w:hAnsi="Arial"/>
                <w:b/>
                <w:sz w:val="20"/>
              </w:rPr>
              <w:t>Adjusted EBITDA</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910" w:type="dxa"/>
            <w:tcBorders/>
          </w:tcPr>
          <w:p>
            <w:pPr>
              <w:pStyle w:val="TableContents"/>
              <w:bidi w:val="0"/>
              <w:spacing w:before="0" w:after="0"/>
              <w:jc w:val="left"/>
              <w:rPr>
                <w:rFonts w:ascii="Arial" w:hAnsi="Arial"/>
                <w:sz w:val="20"/>
              </w:rPr>
            </w:pPr>
            <w:r>
              <w:rPr>
                <w:rFonts w:ascii="Arial" w:hAnsi="Arial"/>
                <w:sz w:val="20"/>
              </w:rPr>
              <w:t>Digital</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9" w:type="dxa"/>
            <w:tcBorders/>
            <w:vAlign w:val="bottom"/>
          </w:tcPr>
          <w:p>
            <w:pPr>
              <w:pStyle w:val="TableContents"/>
              <w:bidi w:val="0"/>
              <w:spacing w:before="0" w:after="283"/>
              <w:jc w:val="right"/>
              <w:rPr>
                <w:b/>
              </w:rPr>
            </w:pPr>
            <w:r>
              <w:rPr>
                <w:b/>
              </w:rPr>
              <w:t>242</w:t>
            </w:r>
          </w:p>
        </w:tc>
        <w:tc>
          <w:tcPr>
            <w:tcW w:w="3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167</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186</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center"/>
              <w:rPr>
                <w:b/>
              </w:rPr>
            </w:pPr>
            <w:r>
              <w:rPr>
                <w:b/>
              </w:rPr>
              <w:t>45%</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center"/>
              <w:rPr/>
            </w:pPr>
            <w:r>
              <w:rPr/>
              <w:t>30%</w:t>
            </w:r>
          </w:p>
        </w:tc>
        <w:tc>
          <w:tcPr>
            <w:tcW w:w="70"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Arial" w:hAnsi="Arial"/>
                <w:sz w:val="20"/>
              </w:rPr>
            </w:pPr>
            <w:r>
              <w:rPr>
                <w:rFonts w:ascii="Arial" w:hAnsi="Arial"/>
                <w:sz w:val="20"/>
              </w:rPr>
              <w:t>Reservoir Performance</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349</w:t>
            </w:r>
          </w:p>
        </w:tc>
        <w:tc>
          <w:tcPr>
            <w:tcW w:w="3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369</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421</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center"/>
              <w:rPr>
                <w:b/>
              </w:rPr>
            </w:pPr>
            <w:r>
              <w:rPr>
                <w:b/>
              </w:rPr>
              <w:t>-5%</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center"/>
              <w:rPr/>
            </w:pPr>
            <w:r>
              <w:rPr/>
              <w:t>-17%</w:t>
            </w:r>
          </w:p>
        </w:tc>
        <w:tc>
          <w:tcPr>
            <w:tcW w:w="70" w:type="dxa"/>
            <w:tcBorders/>
            <w:shd w:fill="CCEEFF" w:val="clear"/>
            <w:vAlign w:val="bottom"/>
          </w:tcPr>
          <w:p>
            <w:pPr>
              <w:pStyle w:val="TableContents"/>
              <w:bidi w:val="0"/>
              <w:spacing w:before="0" w:after="283"/>
              <w:jc w:val="left"/>
              <w:rPr/>
            </w:pPr>
            <w:r>
              <w:rPr/>
              <w:t> </w:t>
            </w:r>
          </w:p>
        </w:tc>
      </w:tr>
      <w:tr>
        <w:trPr/>
        <w:tc>
          <w:tcPr>
            <w:tcW w:w="3910" w:type="dxa"/>
            <w:tcBorders/>
          </w:tcPr>
          <w:p>
            <w:pPr>
              <w:pStyle w:val="TableContents"/>
              <w:bidi w:val="0"/>
              <w:spacing w:before="0" w:after="0"/>
              <w:jc w:val="left"/>
              <w:rPr>
                <w:rFonts w:ascii="Arial" w:hAnsi="Arial"/>
                <w:sz w:val="20"/>
              </w:rPr>
            </w:pPr>
            <w:r>
              <w:rPr>
                <w:rFonts w:ascii="Arial" w:hAnsi="Arial"/>
                <w:sz w:val="20"/>
              </w:rPr>
              <w:t>Well Construction</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b/>
              </w:rPr>
            </w:pPr>
            <w:r>
              <w:rPr>
                <w:b/>
              </w:rPr>
              <w:t>578</w:t>
            </w:r>
          </w:p>
        </w:tc>
        <w:tc>
          <w:tcPr>
            <w:tcW w:w="3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584</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720</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center"/>
              <w:rPr>
                <w:b/>
              </w:rPr>
            </w:pPr>
            <w:r>
              <w:rPr>
                <w:b/>
              </w:rPr>
              <w:t>-1%</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center"/>
              <w:rPr/>
            </w:pPr>
            <w:r>
              <w:rPr/>
              <w:t>-20%</w:t>
            </w:r>
          </w:p>
        </w:tc>
        <w:tc>
          <w:tcPr>
            <w:tcW w:w="70"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Arial" w:hAnsi="Arial"/>
                <w:sz w:val="20"/>
              </w:rPr>
            </w:pPr>
            <w:r>
              <w:rPr>
                <w:rFonts w:ascii="Arial" w:hAnsi="Arial"/>
                <w:sz w:val="20"/>
              </w:rPr>
              <w:t>Production Systems</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738</w:t>
            </w:r>
          </w:p>
        </w:tc>
        <w:tc>
          <w:tcPr>
            <w:tcW w:w="3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648</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582</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center"/>
              <w:rPr>
                <w:b/>
              </w:rPr>
            </w:pPr>
            <w:r>
              <w:rPr>
                <w:b/>
              </w:rPr>
              <w:t>14%</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center"/>
              <w:rPr/>
            </w:pPr>
            <w:r>
              <w:rPr/>
              <w:t>27%</w:t>
            </w:r>
          </w:p>
        </w:tc>
        <w:tc>
          <w:tcPr>
            <w:tcW w:w="70" w:type="dxa"/>
            <w:tcBorders/>
            <w:shd w:fill="CCEEFF" w:val="clear"/>
            <w:vAlign w:val="bottom"/>
          </w:tcPr>
          <w:p>
            <w:pPr>
              <w:pStyle w:val="TableContents"/>
              <w:bidi w:val="0"/>
              <w:spacing w:before="0" w:after="283"/>
              <w:jc w:val="left"/>
              <w:rPr/>
            </w:pPr>
            <w:r>
              <w:rPr/>
              <w:t> </w:t>
            </w:r>
          </w:p>
        </w:tc>
      </w:tr>
      <w:tr>
        <w:trPr/>
        <w:tc>
          <w:tcPr>
            <w:tcW w:w="3910" w:type="dxa"/>
            <w:tcBorders/>
          </w:tcPr>
          <w:p>
            <w:pPr>
              <w:pStyle w:val="TableContents"/>
              <w:bidi w:val="0"/>
              <w:spacing w:before="0" w:after="0"/>
              <w:jc w:val="left"/>
              <w:rPr>
                <w:rFonts w:ascii="Arial" w:hAnsi="Arial"/>
                <w:sz w:val="20"/>
              </w:rPr>
            </w:pPr>
            <w:r>
              <w:rPr>
                <w:rFonts w:ascii="Arial" w:hAnsi="Arial"/>
                <w:sz w:val="20"/>
              </w:rPr>
              <w:t>All Other</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b/>
              </w:rPr>
            </w:pPr>
            <w:r>
              <w:rPr>
                <w:b/>
              </w:rPr>
              <w:t>227</w:t>
            </w:r>
          </w:p>
        </w:tc>
        <w:tc>
          <w:tcPr>
            <w:tcW w:w="3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197</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275</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center"/>
              <w:rPr>
                <w:b/>
              </w:rPr>
            </w:pPr>
            <w:r>
              <w:rPr>
                <w:b/>
              </w:rPr>
              <w:t>15%</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center"/>
              <w:rPr/>
            </w:pPr>
            <w:r>
              <w:rPr/>
              <w:t>-17%</w:t>
            </w:r>
          </w:p>
        </w:tc>
        <w:tc>
          <w:tcPr>
            <w:tcW w:w="70" w:type="dxa"/>
            <w:tcBorders/>
            <w:vAlign w:val="bottom"/>
          </w:tcPr>
          <w:p>
            <w:pPr>
              <w:pStyle w:val="TableContents"/>
              <w:bidi w:val="0"/>
              <w:spacing w:before="0" w:after="283"/>
              <w:jc w:val="left"/>
              <w:rPr/>
            </w:pPr>
            <w:r>
              <w:rPr/>
              <w:t> </w:t>
            </w:r>
          </w:p>
        </w:tc>
      </w:tr>
      <w:tr>
        <w:trPr/>
        <w:tc>
          <w:tcPr>
            <w:tcW w:w="3910" w:type="dxa"/>
            <w:tcBorders/>
            <w:shd w:fill="CCEEFF" w:val="clear"/>
            <w:vAlign w:val="bottom"/>
          </w:tcPr>
          <w:p>
            <w:pPr>
              <w:pStyle w:val="TableContents"/>
              <w:bidi w:val="0"/>
              <w:spacing w:before="0" w:after="0"/>
              <w:jc w:val="left"/>
              <w:rPr>
                <w:rFonts w:ascii="Arial" w:hAnsi="Arial"/>
                <w:sz w:val="20"/>
              </w:rPr>
            </w:pPr>
            <w:r>
              <w:rPr>
                <w:rFonts w:ascii="Arial" w:hAnsi="Arial"/>
                <w:sz w:val="20"/>
              </w:rPr>
              <w:t>Eliminations</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(101</w:t>
            </w:r>
          </w:p>
        </w:tc>
        <w:tc>
          <w:tcPr>
            <w:tcW w:w="320" w:type="dxa"/>
            <w:tcBorders/>
            <w:shd w:fill="CCEEFF" w:val="clear"/>
            <w:vAlign w:val="bottom"/>
          </w:tcPr>
          <w:p>
            <w:pPr>
              <w:pStyle w:val="TableContents"/>
              <w:bidi w:val="0"/>
              <w:spacing w:before="0" w:after="283"/>
              <w:jc w:val="left"/>
              <w:rPr>
                <w:b/>
              </w:rPr>
            </w:pPr>
            <w:r>
              <w:rPr>
                <w:b/>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(37</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(10</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center"/>
              <w:rPr>
                <w:b/>
              </w:rPr>
            </w:pPr>
            <w:r>
              <w:rPr>
                <w:b/>
              </w:rPr>
              <w:t>n/m</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center"/>
              <w:rPr/>
            </w:pPr>
            <w:r>
              <w:rPr/>
              <w:t>n/m</w:t>
            </w:r>
          </w:p>
        </w:tc>
        <w:tc>
          <w:tcPr>
            <w:tcW w:w="70" w:type="dxa"/>
            <w:tcBorders/>
            <w:shd w:fill="CCEEFF" w:val="clear"/>
            <w:vAlign w:val="bottom"/>
          </w:tcPr>
          <w:p>
            <w:pPr>
              <w:pStyle w:val="TableContents"/>
              <w:bidi w:val="0"/>
              <w:spacing w:before="0" w:after="283"/>
              <w:jc w:val="left"/>
              <w:rPr/>
            </w:pPr>
            <w:r>
              <w:rPr/>
              <w:t> </w:t>
            </w:r>
          </w:p>
        </w:tc>
      </w:tr>
      <w:tr>
        <w:trPr/>
        <w:tc>
          <w:tcPr>
            <w:tcW w:w="3910"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910" w:type="dxa"/>
            <w:tcBorders/>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9" w:type="dxa"/>
            <w:tcBorders/>
            <w:vAlign w:val="bottom"/>
          </w:tcPr>
          <w:p>
            <w:pPr>
              <w:pStyle w:val="TableContents"/>
              <w:bidi w:val="0"/>
              <w:spacing w:before="0" w:after="283"/>
              <w:jc w:val="right"/>
              <w:rPr>
                <w:b/>
              </w:rPr>
            </w:pPr>
            <w:r>
              <w:rPr>
                <w:b/>
              </w:rPr>
              <w:t>2,033</w:t>
            </w:r>
          </w:p>
        </w:tc>
        <w:tc>
          <w:tcPr>
            <w:tcW w:w="3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1,929</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2,174</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center"/>
              <w:rPr>
                <w:b/>
              </w:rPr>
            </w:pPr>
            <w:r>
              <w:rPr>
                <w:b/>
              </w:rPr>
              <w:t>5%</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center"/>
              <w:rPr/>
            </w:pPr>
            <w:r>
              <w:rPr/>
              <w:t>-6%</w:t>
            </w:r>
          </w:p>
        </w:tc>
        <w:tc>
          <w:tcPr>
            <w:tcW w:w="70" w:type="dxa"/>
            <w:tcBorders/>
            <w:vAlign w:val="bottom"/>
          </w:tcPr>
          <w:p>
            <w:pPr>
              <w:pStyle w:val="TableContents"/>
              <w:bidi w:val="0"/>
              <w:spacing w:before="0" w:after="283"/>
              <w:jc w:val="left"/>
              <w:rPr/>
            </w:pPr>
            <w:r>
              <w:rPr/>
              <w:t> </w:t>
            </w:r>
          </w:p>
        </w:tc>
      </w:tr>
      <w:tr>
        <w:trPr/>
        <w:tc>
          <w:tcPr>
            <w:tcW w:w="3910" w:type="dxa"/>
            <w:tcBorders/>
            <w:shd w:fill="CCEEFF" w:val="clear"/>
            <w:vAlign w:val="bottom"/>
          </w:tcPr>
          <w:p>
            <w:pPr>
              <w:pStyle w:val="TableContents"/>
              <w:bidi w:val="0"/>
              <w:spacing w:before="0" w:after="0"/>
              <w:jc w:val="left"/>
              <w:rPr>
                <w:rFonts w:ascii="Arial" w:hAnsi="Arial"/>
                <w:sz w:val="20"/>
              </w:rPr>
            </w:pPr>
            <w:r>
              <w:rPr>
                <w:rFonts w:ascii="Arial" w:hAnsi="Arial"/>
                <w:sz w:val="20"/>
              </w:rPr>
              <w:t>Corporate &amp; other</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(134</w:t>
            </w:r>
          </w:p>
        </w:tc>
        <w:tc>
          <w:tcPr>
            <w:tcW w:w="320" w:type="dxa"/>
            <w:tcBorders/>
            <w:shd w:fill="CCEEFF" w:val="clear"/>
            <w:vAlign w:val="bottom"/>
          </w:tcPr>
          <w:p>
            <w:pPr>
              <w:pStyle w:val="TableContents"/>
              <w:bidi w:val="0"/>
              <w:spacing w:before="0" w:after="283"/>
              <w:jc w:val="left"/>
              <w:rPr>
                <w:b/>
              </w:rPr>
            </w:pPr>
            <w:r>
              <w:rPr>
                <w:b/>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(155</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(123</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center"/>
              <w:rPr>
                <w:b/>
              </w:rPr>
            </w:pPr>
            <w:r>
              <w:rPr>
                <w:b/>
              </w:rPr>
              <w:t>n/m</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center"/>
              <w:rPr/>
            </w:pPr>
            <w:r>
              <w:rPr/>
              <w:t>n/m</w:t>
            </w:r>
          </w:p>
        </w:tc>
        <w:tc>
          <w:tcPr>
            <w:tcW w:w="70" w:type="dxa"/>
            <w:tcBorders/>
            <w:shd w:fill="CCEEFF" w:val="clear"/>
            <w:vAlign w:val="bottom"/>
          </w:tcPr>
          <w:p>
            <w:pPr>
              <w:pStyle w:val="TableContents"/>
              <w:bidi w:val="0"/>
              <w:spacing w:before="0" w:after="283"/>
              <w:jc w:val="left"/>
              <w:rPr/>
            </w:pPr>
            <w:r>
              <w:rPr/>
              <w:t> </w:t>
            </w:r>
          </w:p>
        </w:tc>
      </w:tr>
      <w:tr>
        <w:trPr/>
        <w:tc>
          <w:tcPr>
            <w:tcW w:w="3910"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910" w:type="dxa"/>
            <w:tcBorders/>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9" w:type="dxa"/>
            <w:tcBorders/>
            <w:vAlign w:val="bottom"/>
          </w:tcPr>
          <w:p>
            <w:pPr>
              <w:pStyle w:val="TableContents"/>
              <w:bidi w:val="0"/>
              <w:spacing w:before="0" w:after="283"/>
              <w:jc w:val="right"/>
              <w:rPr>
                <w:b/>
              </w:rPr>
            </w:pPr>
            <w:r>
              <w:rPr>
                <w:b/>
              </w:rPr>
              <w:t>1,899</w:t>
            </w:r>
          </w:p>
        </w:tc>
        <w:tc>
          <w:tcPr>
            <w:tcW w:w="3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1,773</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2,051</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center"/>
              <w:rPr>
                <w:b/>
              </w:rPr>
            </w:pPr>
            <w:r>
              <w:rPr>
                <w:b/>
              </w:rPr>
              <w:t>7%</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center"/>
              <w:rPr/>
            </w:pPr>
            <w:r>
              <w:rPr/>
              <w:t>-7%</w:t>
            </w:r>
          </w:p>
        </w:tc>
        <w:tc>
          <w:tcPr>
            <w:tcW w:w="70" w:type="dxa"/>
            <w:tcBorders/>
            <w:vAlign w:val="bottom"/>
          </w:tcPr>
          <w:p>
            <w:pPr>
              <w:pStyle w:val="TableContents"/>
              <w:bidi w:val="0"/>
              <w:spacing w:before="0" w:after="283"/>
              <w:jc w:val="left"/>
              <w:rPr/>
            </w:pPr>
            <w:r>
              <w:rPr/>
              <w:t> </w:t>
            </w:r>
          </w:p>
        </w:tc>
      </w:tr>
      <w:tr>
        <w:trPr/>
        <w:tc>
          <w:tcPr>
            <w:tcW w:w="3910"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10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Arial" w:hAnsi="Arial"/>
                <w:b/>
                <w:sz w:val="20"/>
              </w:rPr>
            </w:pPr>
            <w:r>
              <w:rPr>
                <w:rFonts w:ascii="Arial" w:hAnsi="Arial"/>
                <w:b/>
                <w:sz w:val="20"/>
              </w:rPr>
              <w:t>Adjusted EBITDA margin</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910" w:type="dxa"/>
            <w:tcBorders/>
          </w:tcPr>
          <w:p>
            <w:pPr>
              <w:pStyle w:val="TableContents"/>
              <w:bidi w:val="0"/>
              <w:spacing w:before="0" w:after="0"/>
              <w:jc w:val="left"/>
              <w:rPr>
                <w:rFonts w:ascii="Arial" w:hAnsi="Arial"/>
                <w:sz w:val="20"/>
              </w:rPr>
            </w:pPr>
            <w:r>
              <w:rPr>
                <w:rFonts w:ascii="Arial" w:hAnsi="Arial"/>
                <w:sz w:val="20"/>
              </w:rPr>
              <w:t>Digital</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b/>
              </w:rPr>
            </w:pPr>
            <w:r>
              <w:rPr>
                <w:b/>
              </w:rPr>
              <w:t>34.7</w:t>
            </w:r>
          </w:p>
        </w:tc>
        <w:tc>
          <w:tcPr>
            <w:tcW w:w="320" w:type="dxa"/>
            <w:tcBorders/>
            <w:vAlign w:val="bottom"/>
          </w:tcPr>
          <w:p>
            <w:pPr>
              <w:pStyle w:val="TableContents"/>
              <w:bidi w:val="0"/>
              <w:spacing w:before="0" w:after="283"/>
              <w:jc w:val="left"/>
              <w:rPr>
                <w:b/>
              </w:rPr>
            </w:pPr>
            <w:r>
              <w:rPr>
                <w:b/>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26.1</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31.5</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center"/>
              <w:rPr>
                <w:b/>
              </w:rPr>
            </w:pPr>
            <w:r>
              <w:rPr>
                <w:b/>
              </w:rPr>
              <w:t>860 bps</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center"/>
              <w:rPr/>
            </w:pPr>
            <w:r>
              <w:rPr/>
              <w:t>324 bps</w:t>
            </w:r>
          </w:p>
        </w:tc>
        <w:tc>
          <w:tcPr>
            <w:tcW w:w="70"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Arial" w:hAnsi="Arial"/>
                <w:sz w:val="20"/>
              </w:rPr>
            </w:pPr>
            <w:r>
              <w:rPr>
                <w:rFonts w:ascii="Arial" w:hAnsi="Arial"/>
                <w:sz w:val="20"/>
              </w:rPr>
              <w:t>Reservoir Performance</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22.4</w:t>
            </w:r>
          </w:p>
        </w:tc>
        <w:tc>
          <w:tcPr>
            <w:tcW w:w="320" w:type="dxa"/>
            <w:tcBorders/>
            <w:shd w:fill="CCEEFF" w:val="clear"/>
            <w:vAlign w:val="bottom"/>
          </w:tcPr>
          <w:p>
            <w:pPr>
              <w:pStyle w:val="TableContents"/>
              <w:bidi w:val="0"/>
              <w:spacing w:before="0" w:after="283"/>
              <w:jc w:val="left"/>
              <w:rPr>
                <w:b/>
              </w:rPr>
            </w:pPr>
            <w:r>
              <w:rPr>
                <w:b/>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23.1</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24.9</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center"/>
              <w:rPr>
                <w:b/>
              </w:rPr>
            </w:pPr>
            <w:r>
              <w:rPr>
                <w:b/>
              </w:rPr>
              <w:t>-73 bps</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center"/>
              <w:rPr/>
            </w:pPr>
            <w:r>
              <w:rPr/>
              <w:t>-248 bps</w:t>
            </w:r>
          </w:p>
        </w:tc>
        <w:tc>
          <w:tcPr>
            <w:tcW w:w="70" w:type="dxa"/>
            <w:tcBorders/>
            <w:shd w:fill="CCEEFF" w:val="clear"/>
            <w:vAlign w:val="bottom"/>
          </w:tcPr>
          <w:p>
            <w:pPr>
              <w:pStyle w:val="TableContents"/>
              <w:bidi w:val="0"/>
              <w:spacing w:before="0" w:after="283"/>
              <w:jc w:val="left"/>
              <w:rPr/>
            </w:pPr>
            <w:r>
              <w:rPr/>
              <w:t> </w:t>
            </w:r>
          </w:p>
        </w:tc>
      </w:tr>
      <w:tr>
        <w:trPr/>
        <w:tc>
          <w:tcPr>
            <w:tcW w:w="3910" w:type="dxa"/>
            <w:tcBorders/>
          </w:tcPr>
          <w:p>
            <w:pPr>
              <w:pStyle w:val="TableContents"/>
              <w:bidi w:val="0"/>
              <w:spacing w:before="0" w:after="0"/>
              <w:jc w:val="left"/>
              <w:rPr>
                <w:rFonts w:ascii="Arial" w:hAnsi="Arial"/>
                <w:sz w:val="20"/>
              </w:rPr>
            </w:pPr>
            <w:r>
              <w:rPr>
                <w:rFonts w:ascii="Arial" w:hAnsi="Arial"/>
                <w:sz w:val="20"/>
              </w:rPr>
              <w:t>Well Construction</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b/>
              </w:rPr>
            </w:pPr>
            <w:r>
              <w:rPr>
                <w:b/>
              </w:rPr>
              <w:t>21.1</w:t>
            </w:r>
          </w:p>
        </w:tc>
        <w:tc>
          <w:tcPr>
            <w:tcW w:w="320" w:type="dxa"/>
            <w:tcBorders/>
            <w:vAlign w:val="bottom"/>
          </w:tcPr>
          <w:p>
            <w:pPr>
              <w:pStyle w:val="TableContents"/>
              <w:bidi w:val="0"/>
              <w:spacing w:before="0" w:after="283"/>
              <w:jc w:val="left"/>
              <w:rPr>
                <w:b/>
              </w:rPr>
            </w:pPr>
            <w:r>
              <w:rPr>
                <w:b/>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20.9</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24.3</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center"/>
              <w:rPr>
                <w:b/>
              </w:rPr>
            </w:pPr>
            <w:r>
              <w:rPr>
                <w:b/>
              </w:rPr>
              <w:t>19 bps</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center"/>
              <w:rPr/>
            </w:pPr>
            <w:r>
              <w:rPr/>
              <w:t>-321 bps</w:t>
            </w:r>
          </w:p>
        </w:tc>
        <w:tc>
          <w:tcPr>
            <w:tcW w:w="70"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Arial" w:hAnsi="Arial"/>
                <w:sz w:val="20"/>
              </w:rPr>
            </w:pPr>
            <w:r>
              <w:rPr>
                <w:rFonts w:ascii="Arial" w:hAnsi="Arial"/>
                <w:sz w:val="20"/>
              </w:rPr>
              <w:t>Production Systems</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19.6</w:t>
            </w:r>
          </w:p>
        </w:tc>
        <w:tc>
          <w:tcPr>
            <w:tcW w:w="320" w:type="dxa"/>
            <w:tcBorders/>
            <w:shd w:fill="CCEEFF" w:val="clear"/>
            <w:vAlign w:val="bottom"/>
          </w:tcPr>
          <w:p>
            <w:pPr>
              <w:pStyle w:val="TableContents"/>
              <w:bidi w:val="0"/>
              <w:spacing w:before="0" w:after="283"/>
              <w:jc w:val="left"/>
              <w:rPr>
                <w:b/>
              </w:rPr>
            </w:pPr>
            <w:r>
              <w:rPr>
                <w:b/>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18.5</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19.9</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center"/>
              <w:rPr>
                <w:b/>
              </w:rPr>
            </w:pPr>
            <w:r>
              <w:rPr>
                <w:b/>
              </w:rPr>
              <w:t>109 bps</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center"/>
              <w:rPr/>
            </w:pPr>
            <w:r>
              <w:rPr/>
              <w:t>-28 bps</w:t>
            </w:r>
          </w:p>
        </w:tc>
        <w:tc>
          <w:tcPr>
            <w:tcW w:w="70" w:type="dxa"/>
            <w:tcBorders/>
            <w:shd w:fill="CCEEFF" w:val="clear"/>
            <w:vAlign w:val="bottom"/>
          </w:tcPr>
          <w:p>
            <w:pPr>
              <w:pStyle w:val="TableContents"/>
              <w:bidi w:val="0"/>
              <w:spacing w:before="0" w:after="283"/>
              <w:jc w:val="left"/>
              <w:rPr/>
            </w:pPr>
            <w:r>
              <w:rPr/>
              <w:t> </w:t>
            </w:r>
          </w:p>
        </w:tc>
      </w:tr>
      <w:tr>
        <w:trPr/>
        <w:tc>
          <w:tcPr>
            <w:tcW w:w="3910" w:type="dxa"/>
            <w:tcBorders/>
          </w:tcPr>
          <w:p>
            <w:pPr>
              <w:pStyle w:val="TableContents"/>
              <w:bidi w:val="0"/>
              <w:spacing w:before="0" w:after="0"/>
              <w:jc w:val="left"/>
              <w:rPr>
                <w:rFonts w:ascii="Arial" w:hAnsi="Arial"/>
                <w:sz w:val="20"/>
              </w:rPr>
            </w:pPr>
            <w:r>
              <w:rPr>
                <w:rFonts w:ascii="Arial" w:hAnsi="Arial"/>
                <w:sz w:val="20"/>
              </w:rPr>
              <w:t>All Other</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b/>
              </w:rPr>
            </w:pPr>
            <w:r>
              <w:rPr>
                <w:b/>
              </w:rPr>
              <w:t>44.9</w:t>
            </w:r>
          </w:p>
        </w:tc>
        <w:tc>
          <w:tcPr>
            <w:tcW w:w="320" w:type="dxa"/>
            <w:tcBorders/>
            <w:vAlign w:val="bottom"/>
          </w:tcPr>
          <w:p>
            <w:pPr>
              <w:pStyle w:val="TableContents"/>
              <w:bidi w:val="0"/>
              <w:spacing w:before="0" w:after="283"/>
              <w:jc w:val="left"/>
              <w:rPr>
                <w:b/>
              </w:rPr>
            </w:pPr>
            <w:r>
              <w:rPr>
                <w:b/>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44.4</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47.2</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center"/>
              <w:rPr>
                <w:b/>
              </w:rPr>
            </w:pPr>
            <w:r>
              <w:rPr>
                <w:b/>
              </w:rPr>
              <w:t>53 bps</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center"/>
              <w:rPr/>
            </w:pPr>
            <w:r>
              <w:rPr/>
              <w:t>-225 bps</w:t>
            </w:r>
          </w:p>
        </w:tc>
        <w:tc>
          <w:tcPr>
            <w:tcW w:w="70" w:type="dxa"/>
            <w:tcBorders/>
            <w:vAlign w:val="bottom"/>
          </w:tcPr>
          <w:p>
            <w:pPr>
              <w:pStyle w:val="TableContents"/>
              <w:bidi w:val="0"/>
              <w:spacing w:before="0" w:after="283"/>
              <w:jc w:val="left"/>
              <w:rPr/>
            </w:pPr>
            <w:r>
              <w:rPr/>
              <w:t> </w:t>
            </w:r>
          </w:p>
        </w:tc>
      </w:tr>
      <w:tr>
        <w:trPr/>
        <w:tc>
          <w:tcPr>
            <w:tcW w:w="3910" w:type="dxa"/>
            <w:tcBorders/>
            <w:shd w:fill="CCEEFF" w:val="clear"/>
            <w:vAlign w:val="bottom"/>
          </w:tcPr>
          <w:p>
            <w:pPr>
              <w:pStyle w:val="TableContents"/>
              <w:bidi w:val="0"/>
              <w:spacing w:before="0" w:after="0"/>
              <w:jc w:val="left"/>
              <w:rPr>
                <w:rFonts w:ascii="Arial" w:hAnsi="Arial"/>
                <w:sz w:val="20"/>
              </w:rPr>
            </w:pPr>
            <w:r>
              <w:rPr>
                <w:rFonts w:ascii="Arial" w:hAnsi="Arial"/>
                <w:sz w:val="20"/>
              </w:rPr>
              <w:t>Eliminations</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n/m</w:t>
            </w:r>
          </w:p>
        </w:tc>
        <w:tc>
          <w:tcPr>
            <w:tcW w:w="3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n/m</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n/m</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center"/>
              <w:rPr>
                <w:b/>
              </w:rPr>
            </w:pPr>
            <w:r>
              <w:rPr>
                <w:b/>
              </w:rPr>
              <w:t>n/m</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center"/>
              <w:rPr/>
            </w:pPr>
            <w:r>
              <w:rPr/>
              <w:t>n/m</w:t>
            </w:r>
          </w:p>
        </w:tc>
        <w:tc>
          <w:tcPr>
            <w:tcW w:w="70" w:type="dxa"/>
            <w:tcBorders/>
            <w:shd w:fill="CCEEFF" w:val="clear"/>
            <w:vAlign w:val="bottom"/>
          </w:tcPr>
          <w:p>
            <w:pPr>
              <w:pStyle w:val="TableContents"/>
              <w:bidi w:val="0"/>
              <w:spacing w:before="0" w:after="283"/>
              <w:jc w:val="left"/>
              <w:rPr/>
            </w:pPr>
            <w:r>
              <w:rPr/>
              <w:t> </w:t>
            </w:r>
          </w:p>
        </w:tc>
      </w:tr>
      <w:tr>
        <w:trPr/>
        <w:tc>
          <w:tcPr>
            <w:tcW w:w="3910"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910" w:type="dxa"/>
            <w:tcBorders/>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b/>
              </w:rPr>
            </w:pPr>
            <w:r>
              <w:rPr>
                <w:b/>
              </w:rPr>
              <w:t>22.7</w:t>
            </w:r>
          </w:p>
        </w:tc>
        <w:tc>
          <w:tcPr>
            <w:tcW w:w="320" w:type="dxa"/>
            <w:tcBorders/>
            <w:vAlign w:val="bottom"/>
          </w:tcPr>
          <w:p>
            <w:pPr>
              <w:pStyle w:val="TableContents"/>
              <w:bidi w:val="0"/>
              <w:spacing w:before="0" w:after="283"/>
              <w:jc w:val="left"/>
              <w:rPr>
                <w:b/>
              </w:rPr>
            </w:pPr>
            <w:r>
              <w:rPr>
                <w:b/>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22.1</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25.4</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center"/>
              <w:rPr>
                <w:b/>
              </w:rPr>
            </w:pPr>
            <w:r>
              <w:rPr>
                <w:b/>
              </w:rPr>
              <w:t>54 bps</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center"/>
              <w:rPr/>
            </w:pPr>
            <w:r>
              <w:rPr/>
              <w:t>-278 bps</w:t>
            </w:r>
          </w:p>
        </w:tc>
        <w:tc>
          <w:tcPr>
            <w:tcW w:w="70"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Arial" w:hAnsi="Arial"/>
                <w:sz w:val="20"/>
              </w:rPr>
            </w:pPr>
            <w:r>
              <w:rPr>
                <w:rFonts w:ascii="Arial" w:hAnsi="Arial"/>
                <w:sz w:val="20"/>
              </w:rPr>
              <w:t>Corporate &amp; other</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n/m</w:t>
            </w:r>
          </w:p>
        </w:tc>
        <w:tc>
          <w:tcPr>
            <w:tcW w:w="3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n/m</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n/m</w:t>
            </w:r>
          </w:p>
        </w:tc>
        <w:tc>
          <w:tcPr>
            <w:tcW w:w="28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center"/>
              <w:rPr>
                <w:b/>
              </w:rPr>
            </w:pPr>
            <w:r>
              <w:rPr>
                <w:b/>
              </w:rPr>
              <w:t>n/m</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center"/>
              <w:rPr/>
            </w:pPr>
            <w:r>
              <w:rPr/>
              <w:t>n/m</w:t>
            </w:r>
          </w:p>
        </w:tc>
        <w:tc>
          <w:tcPr>
            <w:tcW w:w="70" w:type="dxa"/>
            <w:tcBorders/>
            <w:shd w:fill="CCEEFF" w:val="clear"/>
            <w:vAlign w:val="bottom"/>
          </w:tcPr>
          <w:p>
            <w:pPr>
              <w:pStyle w:val="TableContents"/>
              <w:bidi w:val="0"/>
              <w:spacing w:before="0" w:after="283"/>
              <w:jc w:val="left"/>
              <w:rPr/>
            </w:pPr>
            <w:r>
              <w:rPr/>
              <w:t> </w:t>
            </w:r>
          </w:p>
        </w:tc>
      </w:tr>
      <w:tr>
        <w:trPr/>
        <w:tc>
          <w:tcPr>
            <w:tcW w:w="3910"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910" w:type="dxa"/>
            <w:tcBorders/>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b/>
              </w:rPr>
            </w:pPr>
            <w:r>
              <w:rPr>
                <w:b/>
              </w:rPr>
              <w:t>21.2</w:t>
            </w:r>
          </w:p>
        </w:tc>
        <w:tc>
          <w:tcPr>
            <w:tcW w:w="320" w:type="dxa"/>
            <w:tcBorders/>
            <w:vAlign w:val="bottom"/>
          </w:tcPr>
          <w:p>
            <w:pPr>
              <w:pStyle w:val="TableContents"/>
              <w:bidi w:val="0"/>
              <w:spacing w:before="0" w:after="283"/>
              <w:jc w:val="left"/>
              <w:rPr>
                <w:b/>
              </w:rPr>
            </w:pPr>
            <w:r>
              <w:rPr>
                <w:b/>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20.3</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24.0</w:t>
            </w:r>
          </w:p>
        </w:tc>
        <w:tc>
          <w:tcPr>
            <w:tcW w:w="28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center"/>
              <w:rPr>
                <w:b/>
              </w:rPr>
            </w:pPr>
            <w:r>
              <w:rPr>
                <w:b/>
              </w:rPr>
              <w:t>83 bps</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center"/>
              <w:rPr/>
            </w:pPr>
            <w:r>
              <w:rPr/>
              <w:t>-284 bps</w:t>
            </w:r>
          </w:p>
        </w:tc>
        <w:tc>
          <w:tcPr>
            <w:tcW w:w="70" w:type="dxa"/>
            <w:tcBorders/>
            <w:vAlign w:val="bottom"/>
          </w:tcPr>
          <w:p>
            <w:pPr>
              <w:pStyle w:val="TableContents"/>
              <w:bidi w:val="0"/>
              <w:spacing w:before="0" w:after="283"/>
              <w:jc w:val="left"/>
              <w:rPr/>
            </w:pPr>
            <w:r>
              <w:rPr/>
              <w:t> </w:t>
            </w:r>
          </w:p>
        </w:tc>
      </w:tr>
      <w:tr>
        <w:trPr/>
        <w:tc>
          <w:tcPr>
            <w:tcW w:w="3910"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10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ChampionX contributed $34 million of Digital revenue and $865 million of Production Systems revenue in the second quarter of 2026. Excluding the impact of this acquisition, Digital second-quarter 2026 revenue increased 12% year on year while Production Systems revenue decreased 1% year on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9"/>
        <w:gridCol w:w="9996"/>
      </w:tblGrid>
      <w:tr>
        <w:trPr/>
        <w:tc>
          <w:tcPr>
            <w:tcW w:w="209" w:type="dxa"/>
            <w:tcBorders/>
          </w:tcPr>
          <w:p>
            <w:pPr>
              <w:pStyle w:val="TableContents"/>
              <w:bidi w:val="0"/>
              <w:spacing w:before="0" w:after="283"/>
              <w:jc w:val="left"/>
              <w:rPr/>
            </w:pPr>
            <w:r>
              <w:rPr/>
              <w:t>n/m</w:t>
            </w:r>
          </w:p>
        </w:tc>
        <w:tc>
          <w:tcPr>
            <w:tcW w:w="9996" w:type="dxa"/>
            <w:tcBorders/>
          </w:tcPr>
          <w:p>
            <w:pPr>
              <w:pStyle w:val="TableContents"/>
              <w:bidi w:val="0"/>
              <w:spacing w:before="0" w:after="0"/>
              <w:jc w:val="left"/>
              <w:rPr>
                <w:rFonts w:ascii="Arial" w:hAnsi="Arial"/>
                <w:sz w:val="20"/>
              </w:rPr>
            </w:pPr>
            <w:r>
              <w:rPr>
                <w:rFonts w:ascii="Arial" w:hAnsi="Arial"/>
                <w:sz w:val="20"/>
              </w:rPr>
              <w:t xml:space="preserve">= not meaningful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Broad-Based International Growth More than Offset Impact of Middle East Disruptions </w:t>
      </w:r>
    </w:p>
    <w:p>
      <w:pPr>
        <w:pStyle w:val="TextBody"/>
        <w:bidi w:val="0"/>
        <w:spacing w:before="120" w:after="0"/>
        <w:jc w:val="left"/>
        <w:rPr/>
      </w:pPr>
      <w:r>
        <w:rPr/>
        <w:t>“</w:t>
      </w:r>
      <w:r>
        <w:rPr>
          <w:rFonts w:ascii="Arial" w:hAnsi="Arial"/>
          <w:sz w:val="20"/>
        </w:rPr>
        <w:t xml:space="preserve">SLB delivered solid second-quarter results, as broad-based sequential growth across international markets — led by offshore activity in Latin America, Europe &amp; Africa and Asia — more than offset the impact of continued disruptions in the Middle East,” said SLB Chief Executive Officer Olivier Le Peuch. </w:t>
      </w:r>
    </w:p>
    <w:p>
      <w:pPr>
        <w:pStyle w:val="TextBody"/>
        <w:bidi w:val="0"/>
        <w:spacing w:before="240" w:after="0"/>
        <w:jc w:val="left"/>
        <w:rPr/>
      </w:pPr>
      <w:r>
        <w:rPr/>
        <w:t>“</w:t>
      </w:r>
      <w:r>
        <w:rPr>
          <w:rFonts w:ascii="Arial" w:hAnsi="Arial"/>
          <w:sz w:val="20"/>
        </w:rPr>
        <w:t xml:space="preserve">Excluding the Middle East, revenue grew sequentially across all Divisions, supported by higher offshore activity, a rebound in U.S. unconventionals and strong demand for production and recovery solutions. </w:t>
      </w:r>
    </w:p>
    <w:p>
      <w:pPr>
        <w:pStyle w:val="TextBody"/>
        <w:bidi w:val="0"/>
        <w:spacing w:before="240" w:after="0"/>
        <w:jc w:val="left"/>
        <w:rPr/>
      </w:pPr>
      <w:r>
        <w:rPr/>
        <w:t>“</w:t>
      </w:r>
      <w:r>
        <w:rPr>
          <w:rFonts w:ascii="Arial" w:hAnsi="Arial"/>
          <w:sz w:val="20"/>
        </w:rPr>
        <w:t xml:space="preserve">Importantly, this quarter marked a return to year-on-year revenue growth outside the Middle East, reinforcing our view of the favorable investment backdrop for the industry. This growth is driven by customers’ increased focus on energy security, supply diversification, and production capacity expansion,” Le Peuch said. </w:t>
      </w:r>
    </w:p>
    <w:p>
      <w:pPr>
        <w:pStyle w:val="TextBody"/>
        <w:bidi w:val="0"/>
        <w:spacing w:before="360" w:after="0"/>
        <w:jc w:val="left"/>
        <w:rPr>
          <w:rFonts w:ascii="Arial" w:hAnsi="Arial"/>
          <w:b/>
          <w:sz w:val="20"/>
        </w:rPr>
      </w:pPr>
      <w:r>
        <w:rPr>
          <w:rFonts w:ascii="Arial" w:hAnsi="Arial"/>
          <w:b/>
          <w:sz w:val="20"/>
        </w:rPr>
        <w:t xml:space="preserve">Production Systems and Digital Drive Sequential Growth </w:t>
      </w:r>
    </w:p>
    <w:p>
      <w:pPr>
        <w:pStyle w:val="TextBody"/>
        <w:bidi w:val="0"/>
        <w:spacing w:before="120" w:after="0"/>
        <w:jc w:val="left"/>
        <w:rPr/>
      </w:pPr>
      <w:r>
        <w:rPr/>
        <w:t>“</w:t>
      </w:r>
      <w:r>
        <w:rPr>
          <w:rFonts w:ascii="Arial" w:hAnsi="Arial"/>
          <w:sz w:val="20"/>
        </w:rPr>
        <w:t xml:space="preserve">Production Systems revenue grew 7% sequentially supported by U.S. unconventionals and international markets, as customers increasingly prioritized solutions that enhance production, improve recovery and extend asset life. This drove growth in artificial lift, valves, surface production systems and production chemicals, further highlighting the strategic value of ChampionX in our portfolio. </w:t>
      </w:r>
    </w:p>
    <w:p>
      <w:pPr>
        <w:pStyle w:val="TextBody"/>
        <w:bidi w:val="0"/>
        <w:spacing w:before="240" w:after="0"/>
        <w:jc w:val="left"/>
        <w:rPr/>
      </w:pPr>
      <w:r>
        <w:rPr/>
        <w:t>“</w:t>
      </w:r>
      <w:r>
        <w:rPr>
          <w:rFonts w:ascii="Arial" w:hAnsi="Arial"/>
          <w:sz w:val="20"/>
        </w:rPr>
        <w:t xml:space="preserve">Production Systems also benefited from increased subsea activity, reflecting growing momentum in long-cycle offshore investment as customers advance key developments and sanction new projects. </w:t>
      </w:r>
    </w:p>
    <w:p>
      <w:pPr>
        <w:pStyle w:val="TextBody"/>
        <w:bidi w:val="0"/>
        <w:spacing w:before="240" w:after="0"/>
        <w:jc w:val="left"/>
        <w:rPr/>
      </w:pPr>
      <w:r>
        <w:rPr/>
        <w:t>“</w:t>
      </w:r>
      <w:r>
        <w:rPr>
          <w:rFonts w:ascii="Arial" w:hAnsi="Arial"/>
          <w:sz w:val="20"/>
        </w:rPr>
        <w:t xml:space="preserve">In Digital, revenue increased 9% sequentially, driven by strong revenue in Digital Exploration, Platforms &amp; Applications, and Digital Operations. </w:t>
      </w:r>
    </w:p>
    <w:p>
      <w:pPr>
        <w:pStyle w:val="TextBody"/>
        <w:bidi w:val="0"/>
        <w:spacing w:before="240" w:after="0"/>
        <w:jc w:val="left"/>
        <w:rPr/>
      </w:pPr>
      <w:r>
        <w:rPr/>
        <w:t>“</w:t>
      </w:r>
      <w:r>
        <w:rPr>
          <w:rFonts w:ascii="Arial" w:hAnsi="Arial"/>
          <w:sz w:val="20"/>
        </w:rPr>
        <w:t xml:space="preserve">Digital, AI, and data-driven workflows are playing an increasingly important role in improving subsurface understanding, accelerating decision making, and enhancing operational performance. We continue to see strong demand for these capabilities going forward,” Le Peuch said. </w:t>
      </w:r>
    </w:p>
    <w:p>
      <w:pPr>
        <w:pStyle w:val="TextBody"/>
        <w:bidi w:val="0"/>
        <w:spacing w:before="360" w:after="0"/>
        <w:jc w:val="left"/>
        <w:rPr>
          <w:rFonts w:ascii="Arial" w:hAnsi="Arial"/>
          <w:b/>
          <w:sz w:val="20"/>
        </w:rPr>
      </w:pPr>
      <w:r>
        <w:rPr>
          <w:rFonts w:ascii="Arial" w:hAnsi="Arial"/>
          <w:b/>
          <w:sz w:val="20"/>
        </w:rPr>
        <w:t xml:space="preserve">Data Center Solutions Growth Accelerates on Rising Demand and Customer Expansion </w:t>
      </w:r>
    </w:p>
    <w:p>
      <w:pPr>
        <w:pStyle w:val="TextBody"/>
        <w:bidi w:val="0"/>
        <w:spacing w:before="120" w:after="0"/>
        <w:jc w:val="left"/>
        <w:rPr/>
      </w:pPr>
      <w:r>
        <w:rPr/>
        <w:t>“</w:t>
      </w:r>
      <w:r>
        <w:rPr>
          <w:rFonts w:ascii="Arial" w:hAnsi="Arial"/>
          <w:sz w:val="20"/>
        </w:rPr>
        <w:t xml:space="preserve">Our Data Center Solutions business maintained its strong growth trajectory during the second quarter, supported by rising demand and customer expansion. Data Center Solutions revenue in the first six months of 2026 grew 63% year on year. </w:t>
      </w:r>
    </w:p>
    <w:p>
      <w:pPr>
        <w:pStyle w:val="TextBody"/>
        <w:bidi w:val="0"/>
        <w:spacing w:before="240" w:after="0"/>
        <w:jc w:val="left"/>
        <w:rPr/>
      </w:pPr>
      <w:r>
        <w:rPr/>
        <w:t>“</w:t>
      </w:r>
      <w:r>
        <w:rPr>
          <w:rFonts w:ascii="Arial" w:hAnsi="Arial"/>
          <w:sz w:val="20"/>
        </w:rPr>
        <w:t xml:space="preserve">During the quarter, Meta announced plans for a new 1GW data center in Canada, and we are proud to have been selected as a delivery partner for this project. </w:t>
      </w:r>
    </w:p>
    <w:p>
      <w:pPr>
        <w:pStyle w:val="TextBody"/>
        <w:bidi w:val="0"/>
        <w:spacing w:before="240" w:after="0"/>
        <w:jc w:val="left"/>
        <w:rPr/>
      </w:pPr>
      <w:r>
        <w:rPr/>
        <w:t>“</w:t>
      </w:r>
      <w:r>
        <w:rPr>
          <w:rFonts w:ascii="Arial" w:hAnsi="Arial"/>
          <w:sz w:val="20"/>
        </w:rPr>
        <w:t xml:space="preserve">Beyond adding new hyperscaler customers and expanding our footprint internationally, we have widened our scope to include engineering and design. This reflects the strength of SLB’s modular and scalable off-site manufacturing and engineering capabilities — and underscores the significant opportunity ahead to support hyperscaler customers as they accelerate investments in critical digital infrastructure. </w:t>
      </w:r>
    </w:p>
    <w:p>
      <w:pPr>
        <w:pStyle w:val="TextBody"/>
        <w:bidi w:val="0"/>
        <w:spacing w:before="240" w:after="0"/>
        <w:jc w:val="left"/>
        <w:rPr/>
      </w:pPr>
      <w:r>
        <w:rPr/>
        <w:t>“</w:t>
      </w:r>
      <w:r>
        <w:rPr>
          <w:rFonts w:ascii="Arial" w:hAnsi="Arial"/>
          <w:sz w:val="20"/>
        </w:rPr>
        <w:t xml:space="preserve">The Data Center Solutions business remains on track to exceed $1 billion annualized revenue run rate by the end of this year. As we broaden our offering and further diversify our customer base and geographic footprint, we expect to surpass $2 billion annualized revenue run rate as we exit 2027,” Le Peuch said.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Strong Foundation for 2027 </w:t>
      </w:r>
    </w:p>
    <w:p>
      <w:pPr>
        <w:pStyle w:val="TextBody"/>
        <w:bidi w:val="0"/>
        <w:spacing w:before="120" w:after="0"/>
        <w:jc w:val="left"/>
        <w:rPr/>
      </w:pPr>
      <w:r>
        <w:rPr/>
        <w:t>“</w:t>
      </w:r>
      <w:r>
        <w:rPr>
          <w:rFonts w:ascii="Arial" w:hAnsi="Arial"/>
          <w:sz w:val="20"/>
        </w:rPr>
        <w:t xml:space="preserve">Our second-quarter performance demonstrates that growth is broadening across geographies outside the Middle East and spanning both short- and long-cycle resource plays. The regional conflict has heightened the industry’s focus on supply diversification, which is expected to shape the next upcycle and is reinforcing the strategic importance of deepwater, exploration, and production and recovery activities. </w:t>
      </w:r>
    </w:p>
    <w:p>
      <w:pPr>
        <w:pStyle w:val="TextBody"/>
        <w:bidi w:val="0"/>
        <w:spacing w:before="240" w:after="0"/>
        <w:jc w:val="left"/>
        <w:rPr/>
      </w:pPr>
      <w:r>
        <w:rPr/>
        <w:t>“</w:t>
      </w:r>
      <w:r>
        <w:rPr>
          <w:rFonts w:ascii="Arial" w:hAnsi="Arial"/>
          <w:sz w:val="20"/>
        </w:rPr>
        <w:t xml:space="preserve">In the Middle East, the first-half revenue decline reflected lower activity and operational disruptions associated with the conflict. While activity began to recover in certain countries during the second quarter, the timing of a full recovery remains uncertain and will depend on a durable resolution of the conflict. As activity improves, we expect the return to full production capacity to take time. </w:t>
      </w:r>
    </w:p>
    <w:p>
      <w:pPr>
        <w:pStyle w:val="TextBody"/>
        <w:bidi w:val="0"/>
        <w:spacing w:before="240" w:after="0"/>
        <w:jc w:val="left"/>
        <w:rPr/>
      </w:pPr>
      <w:r>
        <w:rPr/>
        <w:t>“</w:t>
      </w:r>
      <w:r>
        <w:rPr>
          <w:rFonts w:ascii="Arial" w:hAnsi="Arial"/>
          <w:sz w:val="20"/>
        </w:rPr>
        <w:t xml:space="preserve">The recovery will require higher service intensity — particularly in well intervention — as well as increased equipment demand, infrastructure repair and the realignment of shipping logistics. With our differentiated technology, execution capabilities and regional scale, SLB is well positioned to support customers as activity and production normalize. </w:t>
      </w:r>
    </w:p>
    <w:p>
      <w:pPr>
        <w:pStyle w:val="TextBody"/>
        <w:bidi w:val="0"/>
        <w:spacing w:before="240" w:after="0"/>
        <w:jc w:val="left"/>
        <w:rPr/>
      </w:pPr>
      <w:r>
        <w:rPr/>
        <w:t>“</w:t>
      </w:r>
      <w:r>
        <w:rPr>
          <w:rFonts w:ascii="Arial" w:hAnsi="Arial"/>
          <w:sz w:val="20"/>
        </w:rPr>
        <w:t xml:space="preserve">Looking ahead, the combination of improving activity in the Middle East, strengthening offshore momentum led by exploration and deepwater, stronger demand for production and recovery solutions, continued Digital growth and increasing adoption of our Data Center Solutions business provides a strong foundation for SLB’s growth heading into 2027,” Le Peuch concluded. </w:t>
      </w:r>
    </w:p>
    <w:p>
      <w:pPr>
        <w:pStyle w:val="TextBody"/>
        <w:bidi w:val="0"/>
        <w:spacing w:before="360" w:after="0"/>
        <w:jc w:val="left"/>
        <w:rPr>
          <w:rFonts w:ascii="Arial" w:hAnsi="Arial"/>
          <w:b/>
          <w:sz w:val="20"/>
        </w:rPr>
      </w:pPr>
      <w:r>
        <w:rPr>
          <w:rFonts w:ascii="Arial" w:hAnsi="Arial"/>
          <w:b/>
          <w:sz w:val="20"/>
        </w:rPr>
        <w:t xml:space="preserve">Other Events </w:t>
      </w:r>
    </w:p>
    <w:p>
      <w:pPr>
        <w:pStyle w:val="TextBody"/>
        <w:bidi w:val="0"/>
        <w:spacing w:before="120" w:after="0"/>
        <w:jc w:val="left"/>
        <w:rPr>
          <w:rFonts w:ascii="Arial" w:hAnsi="Arial"/>
          <w:sz w:val="20"/>
        </w:rPr>
      </w:pPr>
      <w:r>
        <w:rPr>
          <w:rFonts w:ascii="Arial" w:hAnsi="Arial"/>
          <w:sz w:val="20"/>
        </w:rPr>
        <w:t xml:space="preserve">During the quarter, SLB repurchased 12 million shares of its common stock for a total purchase price of $648 million. </w:t>
      </w:r>
    </w:p>
    <w:p>
      <w:pPr>
        <w:pStyle w:val="TextBody"/>
        <w:bidi w:val="0"/>
        <w:spacing w:before="240" w:after="0"/>
        <w:jc w:val="left"/>
        <w:rPr>
          <w:rFonts w:ascii="Arial" w:hAnsi="Arial"/>
          <w:sz w:val="20"/>
        </w:rPr>
      </w:pPr>
      <w:r>
        <w:rPr>
          <w:rFonts w:ascii="Arial" w:hAnsi="Arial"/>
          <w:sz w:val="20"/>
        </w:rPr>
        <w:t xml:space="preserve">During the quarter, SLB completed the acquisition of Tachyus Corp., a Houston-based technology company specializing in high-speed reservoir modeling and optimization. This acquisition strengthens SLB’s digital portfolio with differentiated physics-based reservoir modeling capabilities that enable faster reservoir management decisions to maximize recovery. The transaction also helps bridge development planning and production execution across complex and mature assets. </w:t>
      </w:r>
    </w:p>
    <w:p>
      <w:pPr>
        <w:pStyle w:val="TextBody"/>
        <w:bidi w:val="0"/>
        <w:spacing w:before="240" w:after="0"/>
        <w:jc w:val="left"/>
        <w:rPr>
          <w:rFonts w:ascii="Arial" w:hAnsi="Arial"/>
          <w:sz w:val="20"/>
        </w:rPr>
      </w:pPr>
      <w:r>
        <w:rPr>
          <w:rFonts w:ascii="Arial" w:hAnsi="Arial"/>
          <w:sz w:val="20"/>
        </w:rPr>
        <w:t xml:space="preserve">On July 23, 2026, SLB’s Board of Directors approved a quarterly cash dividend of $0.295 per share of outstanding common stock, payable on October 8, 2026, to stockholders of record on September 2, 2026.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Second-Quarter Revenue by Geographical Area </w:t>
      </w:r>
    </w:p>
    <w:p>
      <w:pPr>
        <w:pStyle w:val="TextBody"/>
        <w:bidi w:val="0"/>
        <w:spacing w:before="240" w:after="0"/>
        <w:jc w:val="left"/>
        <w:rPr>
          <w:rFonts w:ascii="Arial" w:hAnsi="Arial"/>
          <w:sz w:val="20"/>
        </w:rPr>
      </w:pPr>
      <w:r>
        <w:rPr>
          <w:rFonts w:ascii="Arial" w:hAnsi="Arial"/>
          <w:sz w:val="20"/>
        </w:rPr>
        <w:t xml:space="preserve">Second-quarter revenue of $8.97 billion increased 3% sequentially with international revenue increasing 3% and North America revenue increasing 4%. Sequential revenue growth was broad-based with revenue increases in North America, Latin America, Europe &amp; Africa, and Asia more than offsetting the 13% revenue decline in the Middle East due to persistent disruptions related to the conflict. </w:t>
      </w:r>
    </w:p>
    <w:p>
      <w:pPr>
        <w:pStyle w:val="TextBody"/>
        <w:bidi w:val="0"/>
        <w:spacing w:before="240" w:after="0"/>
        <w:jc w:val="left"/>
        <w:rPr>
          <w:rFonts w:ascii="Arial" w:hAnsi="Arial"/>
          <w:sz w:val="20"/>
        </w:rPr>
      </w:pPr>
      <w:r>
        <w:rPr>
          <w:rFonts w:ascii="Arial" w:hAnsi="Arial"/>
          <w:sz w:val="20"/>
        </w:rPr>
        <w:t xml:space="preserve">The revenue growth was supported by higher offshore activity, a rebound in U.S. unconventionals, and strong demand for production and recovery solutions. </w:t>
      </w:r>
    </w:p>
    <w:p>
      <w:pPr>
        <w:pStyle w:val="TextBody"/>
        <w:bidi w:val="0"/>
        <w:spacing w:before="240" w:after="0"/>
        <w:jc w:val="left"/>
        <w:rPr>
          <w:rFonts w:ascii="Arial" w:hAnsi="Arial"/>
          <w:sz w:val="20"/>
        </w:rPr>
      </w:pPr>
      <w:r>
        <w:rPr>
          <w:rFonts w:ascii="Arial" w:hAnsi="Arial"/>
          <w:sz w:val="20"/>
        </w:rPr>
        <w:t xml:space="preserve">The ChampionX businesses, acquired in July 2025, contributed $870 million of revenue in the second quarter of 2026, consisting of $606 million in North America and $234 million in the international markets. </w:t>
      </w:r>
    </w:p>
    <w:p>
      <w:pPr>
        <w:pStyle w:val="TextBody"/>
        <w:bidi w:val="0"/>
        <w:spacing w:before="240" w:after="0"/>
        <w:jc w:val="left"/>
        <w:rPr>
          <w:rFonts w:ascii="Arial" w:hAnsi="Arial"/>
          <w:sz w:val="20"/>
        </w:rPr>
      </w:pPr>
      <w:r>
        <w:rPr>
          <w:rFonts w:ascii="Arial" w:hAnsi="Arial"/>
          <w:sz w:val="20"/>
        </w:rPr>
        <w:t xml:space="preserve">Excluding the impact of this acquisition, second-quarter 2026 revenue decreased 5% year on year. International second-quarter 2026 revenue decreased 6% and North America second-quarter 2026 revenue decreased 1% year on year.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88"/>
        <w:gridCol w:w="234"/>
        <w:gridCol w:w="140"/>
        <w:gridCol w:w="563"/>
        <w:gridCol w:w="60"/>
        <w:gridCol w:w="234"/>
        <w:gridCol w:w="140"/>
        <w:gridCol w:w="563"/>
        <w:gridCol w:w="60"/>
        <w:gridCol w:w="234"/>
        <w:gridCol w:w="140"/>
        <w:gridCol w:w="563"/>
        <w:gridCol w:w="60"/>
        <w:gridCol w:w="234"/>
        <w:gridCol w:w="1096"/>
        <w:gridCol w:w="183"/>
        <w:gridCol w:w="1313"/>
      </w:tblGrid>
      <w:tr>
        <w:trPr/>
        <w:tc>
          <w:tcPr>
            <w:tcW w:w="4388"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438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5583" w:type="dxa"/>
            <w:gridSpan w:val="15"/>
            <w:tcBorders/>
            <w:vAlign w:val="bottom"/>
          </w:tcPr>
          <w:p>
            <w:pPr>
              <w:pStyle w:val="TableContents"/>
              <w:bidi w:val="0"/>
              <w:spacing w:before="0" w:after="283"/>
              <w:jc w:val="right"/>
              <w:rPr/>
            </w:pPr>
            <w:r>
              <w:rPr/>
              <w:t>(Stated in millions)</w:t>
            </w:r>
          </w:p>
        </w:tc>
      </w:tr>
      <w:tr>
        <w:trPr/>
        <w:tc>
          <w:tcPr>
            <w:tcW w:w="4388" w:type="dxa"/>
            <w:tcBorders/>
            <w:vAlign w:val="bottom"/>
          </w:tcPr>
          <w:p>
            <w:pPr>
              <w:pStyle w:val="TableContents"/>
              <w:bidi w:val="0"/>
              <w:spacing w:before="0" w:after="283"/>
              <w:jc w:val="left"/>
              <w:rPr>
                <w:b/>
              </w:rPr>
            </w:pPr>
            <w:r>
              <w:rPr>
                <w:b/>
              </w:rPr>
              <w:t>As reported</w:t>
            </w:r>
          </w:p>
        </w:tc>
        <w:tc>
          <w:tcPr>
            <w:tcW w:w="234" w:type="dxa"/>
            <w:tcBorders/>
            <w:vAlign w:val="bottom"/>
          </w:tcPr>
          <w:p>
            <w:pPr>
              <w:pStyle w:val="TableContents"/>
              <w:bidi w:val="0"/>
              <w:spacing w:before="0" w:after="283"/>
              <w:jc w:val="left"/>
              <w:rPr/>
            </w:pPr>
            <w:r>
              <w:rPr/>
              <w:t>  </w:t>
            </w:r>
          </w:p>
        </w:tc>
        <w:tc>
          <w:tcPr>
            <w:tcW w:w="269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592" w:type="dxa"/>
            <w:gridSpan w:val="3"/>
            <w:tcBorders>
              <w:bottom w:val="single" w:sz="8" w:space="0" w:color="000000"/>
            </w:tcBorders>
            <w:tcMar>
              <w:bottom w:w="28" w:type="dxa"/>
            </w:tcMar>
            <w:vAlign w:val="bottom"/>
          </w:tcPr>
          <w:p>
            <w:pPr>
              <w:pStyle w:val="TableContents"/>
              <w:bidi w:val="0"/>
              <w:spacing w:before="0" w:after="283"/>
              <w:jc w:val="center"/>
              <w:rPr>
                <w:b/>
              </w:rPr>
            </w:pPr>
            <w:r>
              <w:rPr>
                <w:b/>
              </w:rPr>
              <w:t>Change</w:t>
            </w:r>
          </w:p>
        </w:tc>
      </w:tr>
      <w:tr>
        <w:trPr/>
        <w:tc>
          <w:tcPr>
            <w:tcW w:w="438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2026</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pPr>
            <w:r>
              <w:rPr/>
              <w:t>Mar. 31,</w:t>
              <w:br/>
              <w:t>2026</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2025</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96" w:type="dxa"/>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183" w:type="dxa"/>
            <w:tcBorders/>
            <w:vAlign w:val="bottom"/>
          </w:tcPr>
          <w:p>
            <w:pPr>
              <w:pStyle w:val="TableContents"/>
              <w:bidi w:val="0"/>
              <w:spacing w:before="0" w:after="283"/>
              <w:jc w:val="left"/>
              <w:rPr/>
            </w:pPr>
            <w:r>
              <w:rPr/>
              <w:t> </w:t>
            </w:r>
          </w:p>
        </w:tc>
        <w:tc>
          <w:tcPr>
            <w:tcW w:w="1313" w:type="dxa"/>
            <w:tcBorders>
              <w:bottom w:val="single" w:sz="8" w:space="0" w:color="000000"/>
            </w:tcBorders>
            <w:tcMar>
              <w:bottom w:w="28" w:type="dxa"/>
            </w:tcMar>
            <w:vAlign w:val="bottom"/>
          </w:tcPr>
          <w:p>
            <w:pPr>
              <w:pStyle w:val="TableContents"/>
              <w:bidi w:val="0"/>
              <w:spacing w:before="0" w:after="283"/>
              <w:jc w:val="center"/>
              <w:rPr/>
            </w:pPr>
            <w:r>
              <w:rPr/>
              <w:t>Year-on-year</w:t>
            </w:r>
          </w:p>
        </w:tc>
      </w:tr>
      <w:tr>
        <w:trPr/>
        <w:tc>
          <w:tcPr>
            <w:tcW w:w="4388"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3" w:type="dxa"/>
            <w:tcBorders/>
            <w:shd w:fill="CCEEFF" w:val="clear"/>
            <w:vAlign w:val="bottom"/>
          </w:tcPr>
          <w:p>
            <w:pPr>
              <w:pStyle w:val="TableContents"/>
              <w:bidi w:val="0"/>
              <w:spacing w:before="0" w:after="283"/>
              <w:jc w:val="right"/>
              <w:rPr>
                <w:b/>
              </w:rPr>
            </w:pPr>
            <w:r>
              <w:rPr>
                <w:b/>
              </w:rPr>
              <w:t>2,244</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2,167</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1,655</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center"/>
              <w:rPr>
                <w:b/>
              </w:rPr>
            </w:pPr>
            <w:r>
              <w:rPr>
                <w:b/>
              </w:rPr>
              <w:t>4%</w:t>
            </w:r>
          </w:p>
        </w:tc>
        <w:tc>
          <w:tcPr>
            <w:tcW w:w="183"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center"/>
              <w:rPr/>
            </w:pPr>
            <w:r>
              <w:rPr/>
              <w:t>36%</w:t>
            </w:r>
          </w:p>
        </w:tc>
      </w:tr>
      <w:tr>
        <w:trPr/>
        <w:tc>
          <w:tcPr>
            <w:tcW w:w="4388" w:type="dxa"/>
            <w:tcBorders/>
          </w:tcPr>
          <w:p>
            <w:pPr>
              <w:pStyle w:val="TableContents"/>
              <w:bidi w:val="0"/>
              <w:spacing w:before="0" w:after="0"/>
              <w:jc w:val="left"/>
              <w:rPr>
                <w:rFonts w:ascii="Arial" w:hAnsi="Arial"/>
                <w:sz w:val="20"/>
              </w:rPr>
            </w:pPr>
            <w:r>
              <w:rPr>
                <w:rFonts w:ascii="Arial" w:hAnsi="Arial"/>
                <w:sz w:val="20"/>
              </w:rPr>
              <w:t>Latin America</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1,714</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1,528</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1,492</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center"/>
              <w:rPr>
                <w:b/>
              </w:rPr>
            </w:pPr>
            <w:r>
              <w:rPr>
                <w:b/>
              </w:rPr>
              <w:t>12%</w:t>
            </w:r>
          </w:p>
        </w:tc>
        <w:tc>
          <w:tcPr>
            <w:tcW w:w="183"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center"/>
              <w:rPr/>
            </w:pPr>
            <w:r>
              <w:rPr/>
              <w:t>15%</w:t>
            </w:r>
          </w:p>
        </w:tc>
      </w:tr>
      <w:tr>
        <w:trPr/>
        <w:tc>
          <w:tcPr>
            <w:tcW w:w="4388" w:type="dxa"/>
            <w:tcBorders/>
            <w:shd w:fill="CCEEFF" w:val="clear"/>
          </w:tcPr>
          <w:p>
            <w:pPr>
              <w:pStyle w:val="TableContents"/>
              <w:bidi w:val="0"/>
              <w:spacing w:before="0" w:after="0"/>
              <w:jc w:val="left"/>
              <w:rPr>
                <w:rFonts w:ascii="Arial" w:hAnsi="Arial"/>
                <w:sz w:val="20"/>
              </w:rPr>
            </w:pPr>
            <w:r>
              <w:rPr>
                <w:rFonts w:ascii="Arial" w:hAnsi="Arial"/>
                <w:sz w:val="20"/>
              </w:rPr>
              <w:t>Europe &amp; Africa*</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b/>
              </w:rPr>
            </w:pPr>
            <w:r>
              <w:rPr>
                <w:b/>
              </w:rPr>
              <w:t>2,385</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2,256</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2,369</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center"/>
              <w:rPr>
                <w:b/>
              </w:rPr>
            </w:pPr>
            <w:r>
              <w:rPr>
                <w:b/>
              </w:rPr>
              <w:t>6%</w:t>
            </w:r>
          </w:p>
        </w:tc>
        <w:tc>
          <w:tcPr>
            <w:tcW w:w="183"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center"/>
              <w:rPr/>
            </w:pPr>
            <w:r>
              <w:rPr/>
              <w:t>1%</w:t>
            </w:r>
          </w:p>
        </w:tc>
      </w:tr>
      <w:tr>
        <w:trPr/>
        <w:tc>
          <w:tcPr>
            <w:tcW w:w="4388" w:type="dxa"/>
            <w:tcBorders/>
          </w:tcPr>
          <w:p>
            <w:pPr>
              <w:pStyle w:val="TableContents"/>
              <w:bidi w:val="0"/>
              <w:spacing w:before="0" w:after="0"/>
              <w:jc w:val="left"/>
              <w:rPr>
                <w:rFonts w:ascii="Arial" w:hAnsi="Arial"/>
                <w:sz w:val="20"/>
              </w:rPr>
            </w:pPr>
            <w:r>
              <w:rPr>
                <w:rFonts w:ascii="Arial" w:hAnsi="Arial"/>
                <w:sz w:val="20"/>
              </w:rPr>
              <w:t>Middle East &amp; Asia</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2,572</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2,687</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2,986</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center"/>
              <w:rPr>
                <w:b/>
              </w:rPr>
            </w:pPr>
            <w:r>
              <w:rPr>
                <w:b/>
              </w:rPr>
              <w:t>-4%</w:t>
            </w:r>
          </w:p>
        </w:tc>
        <w:tc>
          <w:tcPr>
            <w:tcW w:w="183"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center"/>
              <w:rPr/>
            </w:pPr>
            <w:r>
              <w:rPr/>
              <w:t>-14%</w:t>
            </w:r>
          </w:p>
        </w:tc>
      </w:tr>
      <w:tr>
        <w:trPr/>
        <w:tc>
          <w:tcPr>
            <w:tcW w:w="4388" w:type="dxa"/>
            <w:tcBorders/>
            <w:shd w:fill="CCEEFF" w:val="clear"/>
          </w:tcPr>
          <w:p>
            <w:pPr>
              <w:pStyle w:val="TableContents"/>
              <w:bidi w:val="0"/>
              <w:spacing w:before="0" w:after="0"/>
              <w:jc w:val="left"/>
              <w:rPr>
                <w:rFonts w:ascii="Arial" w:hAnsi="Arial"/>
                <w:sz w:val="20"/>
              </w:rPr>
            </w:pPr>
            <w:r>
              <w:rPr>
                <w:rFonts w:ascii="Arial" w:hAnsi="Arial"/>
                <w:sz w:val="20"/>
              </w:rPr>
              <w:t>Eliminations &amp; other</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b/>
              </w:rPr>
            </w:pPr>
            <w:r>
              <w:rPr>
                <w:b/>
              </w:rPr>
              <w:t>57</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83</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44</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center"/>
              <w:rPr>
                <w:b/>
              </w:rPr>
            </w:pPr>
            <w:r>
              <w:rPr>
                <w:b/>
              </w:rPr>
              <w:t>n/m</w:t>
            </w:r>
          </w:p>
        </w:tc>
        <w:tc>
          <w:tcPr>
            <w:tcW w:w="183"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center"/>
              <w:rPr/>
            </w:pPr>
            <w:r>
              <w:rPr/>
              <w:t>n/m</w:t>
            </w:r>
          </w:p>
        </w:tc>
      </w:tr>
      <w:tr>
        <w:trPr/>
        <w:tc>
          <w:tcPr>
            <w:tcW w:w="438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96" w:type="dxa"/>
            <w:tcBorders/>
            <w:vAlign w:val="bottom"/>
          </w:tcPr>
          <w:p>
            <w:pPr>
              <w:pStyle w:val="TableContents"/>
              <w:pBdr>
                <w:top w:val="single" w:sz="2" w:space="1" w:color="000000"/>
              </w:pBdr>
              <w:bidi w:val="0"/>
              <w:spacing w:before="0" w:after="0"/>
              <w:jc w:val="left"/>
              <w:rPr/>
            </w:pPr>
            <w:r>
              <w:rPr/>
              <w:t> </w:t>
            </w:r>
          </w:p>
        </w:tc>
        <w:tc>
          <w:tcPr>
            <w:tcW w:w="183" w:type="dxa"/>
            <w:tcBorders/>
            <w:vAlign w:val="bottom"/>
          </w:tcPr>
          <w:p>
            <w:pPr>
              <w:pStyle w:val="TableContents"/>
              <w:bidi w:val="0"/>
              <w:spacing w:before="0" w:after="283"/>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r>
      <w:tr>
        <w:trPr/>
        <w:tc>
          <w:tcPr>
            <w:tcW w:w="4388" w:type="dxa"/>
            <w:tcBorders/>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3" w:type="dxa"/>
            <w:tcBorders/>
            <w:vAlign w:val="bottom"/>
          </w:tcPr>
          <w:p>
            <w:pPr>
              <w:pStyle w:val="TableContents"/>
              <w:bidi w:val="0"/>
              <w:spacing w:before="0" w:after="283"/>
              <w:jc w:val="right"/>
              <w:rPr>
                <w:b/>
              </w:rPr>
            </w:pPr>
            <w:r>
              <w:rPr>
                <w:b/>
              </w:rPr>
              <w:t>8,972</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8,721</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8,546</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center"/>
              <w:rPr>
                <w:b/>
              </w:rPr>
            </w:pPr>
            <w:r>
              <w:rPr>
                <w:b/>
              </w:rPr>
              <w:t>3%</w:t>
            </w:r>
          </w:p>
        </w:tc>
        <w:tc>
          <w:tcPr>
            <w:tcW w:w="183"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center"/>
              <w:rPr/>
            </w:pPr>
            <w:r>
              <w:rPr/>
              <w:t>5%</w:t>
            </w:r>
          </w:p>
        </w:tc>
      </w:tr>
      <w:tr>
        <w:trPr/>
        <w:tc>
          <w:tcPr>
            <w:tcW w:w="438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96" w:type="dxa"/>
            <w:tcBorders/>
            <w:vAlign w:val="bottom"/>
          </w:tcPr>
          <w:p>
            <w:pPr>
              <w:pStyle w:val="TableContents"/>
              <w:pBdr>
                <w:top w:val="double" w:sz="6" w:space="1" w:color="000000"/>
              </w:pBdr>
              <w:bidi w:val="0"/>
              <w:spacing w:before="0" w:after="0"/>
              <w:jc w:val="left"/>
              <w:rPr/>
            </w:pPr>
            <w:r>
              <w:rPr/>
              <w:t> </w:t>
            </w:r>
          </w:p>
        </w:tc>
        <w:tc>
          <w:tcPr>
            <w:tcW w:w="183" w:type="dxa"/>
            <w:tcBorders/>
            <w:vAlign w:val="bottom"/>
          </w:tcPr>
          <w:p>
            <w:pPr>
              <w:pStyle w:val="TableContents"/>
              <w:bidi w:val="0"/>
              <w:spacing w:before="0" w:after="283"/>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r>
      <w:tr>
        <w:trPr/>
        <w:tc>
          <w:tcPr>
            <w:tcW w:w="4388" w:type="dxa"/>
            <w:tcBorders/>
            <w:shd w:fill="CCEEFF" w:val="clear"/>
          </w:tcPr>
          <w:p>
            <w:pPr>
              <w:pStyle w:val="TableContents"/>
              <w:bidi w:val="0"/>
              <w:spacing w:before="0" w:after="0"/>
              <w:jc w:val="left"/>
              <w:rPr>
                <w:rFonts w:ascii="Arial" w:hAnsi="Arial"/>
                <w:sz w:val="20"/>
              </w:rPr>
            </w:pPr>
            <w:r>
              <w:rPr>
                <w:rFonts w:ascii="Arial" w:hAnsi="Arial"/>
                <w:sz w:val="20"/>
              </w:rPr>
              <w:t>International</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3" w:type="dxa"/>
            <w:tcBorders/>
            <w:shd w:fill="CCEEFF" w:val="clear"/>
            <w:vAlign w:val="bottom"/>
          </w:tcPr>
          <w:p>
            <w:pPr>
              <w:pStyle w:val="TableContents"/>
              <w:bidi w:val="0"/>
              <w:spacing w:before="0" w:after="283"/>
              <w:jc w:val="right"/>
              <w:rPr>
                <w:b/>
              </w:rPr>
            </w:pPr>
            <w:r>
              <w:rPr>
                <w:b/>
              </w:rPr>
              <w:t>6,671</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6,471</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6,847</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center"/>
              <w:rPr>
                <w:b/>
              </w:rPr>
            </w:pPr>
            <w:r>
              <w:rPr>
                <w:b/>
              </w:rPr>
              <w:t>3%</w:t>
            </w:r>
          </w:p>
        </w:tc>
        <w:tc>
          <w:tcPr>
            <w:tcW w:w="183"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center"/>
              <w:rPr/>
            </w:pPr>
            <w:r>
              <w:rPr/>
              <w:t>-3%</w:t>
            </w:r>
          </w:p>
        </w:tc>
      </w:tr>
      <w:tr>
        <w:trPr/>
        <w:tc>
          <w:tcPr>
            <w:tcW w:w="4388" w:type="dxa"/>
            <w:tcBorders/>
          </w:tcPr>
          <w:p>
            <w:pPr>
              <w:pStyle w:val="TableContents"/>
              <w:bidi w:val="0"/>
              <w:spacing w:before="0" w:after="0"/>
              <w:jc w:val="left"/>
              <w:rPr>
                <w:rFonts w:ascii="Arial" w:hAnsi="Arial"/>
                <w:sz w:val="20"/>
              </w:rPr>
            </w:pPr>
            <w:r>
              <w:rPr>
                <w:rFonts w:ascii="Arial" w:hAnsi="Arial"/>
                <w:sz w:val="20"/>
              </w:rPr>
              <w:t>North America</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3" w:type="dxa"/>
            <w:tcBorders/>
            <w:vAlign w:val="bottom"/>
          </w:tcPr>
          <w:p>
            <w:pPr>
              <w:pStyle w:val="TableContents"/>
              <w:bidi w:val="0"/>
              <w:spacing w:before="0" w:after="283"/>
              <w:jc w:val="right"/>
              <w:rPr>
                <w:b/>
              </w:rPr>
            </w:pPr>
            <w:r>
              <w:rPr>
                <w:b/>
              </w:rPr>
              <w:t>2,244</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2,167</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1,655</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center"/>
              <w:rPr>
                <w:b/>
              </w:rPr>
            </w:pPr>
            <w:r>
              <w:rPr>
                <w:b/>
              </w:rPr>
              <w:t>4%</w:t>
            </w:r>
          </w:p>
        </w:tc>
        <w:tc>
          <w:tcPr>
            <w:tcW w:w="183"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center"/>
              <w:rPr/>
            </w:pPr>
            <w:r>
              <w:rPr/>
              <w:t>36%</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Includes Russia and the Caspian region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9"/>
        <w:gridCol w:w="9996"/>
      </w:tblGrid>
      <w:tr>
        <w:trPr/>
        <w:tc>
          <w:tcPr>
            <w:tcW w:w="209" w:type="dxa"/>
            <w:tcBorders/>
          </w:tcPr>
          <w:p>
            <w:pPr>
              <w:pStyle w:val="TableContents"/>
              <w:bidi w:val="0"/>
              <w:spacing w:before="0" w:after="283"/>
              <w:jc w:val="left"/>
              <w:rPr/>
            </w:pPr>
            <w:r>
              <w:rPr/>
              <w:t>n/m</w:t>
            </w:r>
          </w:p>
        </w:tc>
        <w:tc>
          <w:tcPr>
            <w:tcW w:w="9996" w:type="dxa"/>
            <w:tcBorders/>
          </w:tcPr>
          <w:p>
            <w:pPr>
              <w:pStyle w:val="TableContents"/>
              <w:bidi w:val="0"/>
              <w:spacing w:before="0" w:after="0"/>
              <w:jc w:val="left"/>
              <w:rPr>
                <w:rFonts w:ascii="Arial" w:hAnsi="Arial"/>
                <w:sz w:val="20"/>
              </w:rPr>
            </w:pPr>
            <w:r>
              <w:rPr>
                <w:rFonts w:ascii="Arial" w:hAnsi="Arial"/>
                <w:sz w:val="20"/>
              </w:rPr>
              <w:t xml:space="preserve">= not meaningful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 following table and commentary are presented on a pro forma basis assuming that ChampionX was acquired on January 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88"/>
        <w:gridCol w:w="234"/>
        <w:gridCol w:w="140"/>
        <w:gridCol w:w="563"/>
        <w:gridCol w:w="60"/>
        <w:gridCol w:w="234"/>
        <w:gridCol w:w="140"/>
        <w:gridCol w:w="563"/>
        <w:gridCol w:w="60"/>
        <w:gridCol w:w="234"/>
        <w:gridCol w:w="140"/>
        <w:gridCol w:w="563"/>
        <w:gridCol w:w="60"/>
        <w:gridCol w:w="234"/>
        <w:gridCol w:w="1096"/>
        <w:gridCol w:w="183"/>
        <w:gridCol w:w="1313"/>
      </w:tblGrid>
      <w:tr>
        <w:trPr/>
        <w:tc>
          <w:tcPr>
            <w:tcW w:w="4388"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438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5583" w:type="dxa"/>
            <w:gridSpan w:val="15"/>
            <w:tcBorders/>
            <w:vAlign w:val="bottom"/>
          </w:tcPr>
          <w:p>
            <w:pPr>
              <w:pStyle w:val="TableContents"/>
              <w:bidi w:val="0"/>
              <w:spacing w:before="0" w:after="283"/>
              <w:jc w:val="right"/>
              <w:rPr/>
            </w:pPr>
            <w:r>
              <w:rPr/>
              <w:t>(Stated in millions)</w:t>
            </w:r>
          </w:p>
        </w:tc>
      </w:tr>
      <w:tr>
        <w:trPr/>
        <w:tc>
          <w:tcPr>
            <w:tcW w:w="4388" w:type="dxa"/>
            <w:tcBorders/>
            <w:vAlign w:val="bottom"/>
          </w:tcPr>
          <w:p>
            <w:pPr>
              <w:pStyle w:val="TableContents"/>
              <w:bidi w:val="0"/>
              <w:spacing w:before="0" w:after="283"/>
              <w:jc w:val="left"/>
              <w:rPr>
                <w:b/>
              </w:rPr>
            </w:pPr>
            <w:r>
              <w:rPr>
                <w:b/>
              </w:rPr>
              <w:t>Pro forma</w:t>
            </w:r>
          </w:p>
        </w:tc>
        <w:tc>
          <w:tcPr>
            <w:tcW w:w="234" w:type="dxa"/>
            <w:tcBorders/>
            <w:vAlign w:val="bottom"/>
          </w:tcPr>
          <w:p>
            <w:pPr>
              <w:pStyle w:val="TableContents"/>
              <w:bidi w:val="0"/>
              <w:spacing w:before="0" w:after="283"/>
              <w:jc w:val="left"/>
              <w:rPr/>
            </w:pPr>
            <w:r>
              <w:rPr/>
              <w:t>  </w:t>
            </w:r>
          </w:p>
        </w:tc>
        <w:tc>
          <w:tcPr>
            <w:tcW w:w="269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592" w:type="dxa"/>
            <w:gridSpan w:val="3"/>
            <w:tcBorders>
              <w:bottom w:val="single" w:sz="8" w:space="0" w:color="000000"/>
            </w:tcBorders>
            <w:tcMar>
              <w:bottom w:w="28" w:type="dxa"/>
            </w:tcMar>
            <w:vAlign w:val="bottom"/>
          </w:tcPr>
          <w:p>
            <w:pPr>
              <w:pStyle w:val="TableContents"/>
              <w:bidi w:val="0"/>
              <w:spacing w:before="0" w:after="283"/>
              <w:jc w:val="center"/>
              <w:rPr>
                <w:b/>
              </w:rPr>
            </w:pPr>
            <w:r>
              <w:rPr>
                <w:b/>
              </w:rPr>
              <w:t>Change</w:t>
            </w:r>
          </w:p>
        </w:tc>
      </w:tr>
      <w:tr>
        <w:trPr/>
        <w:tc>
          <w:tcPr>
            <w:tcW w:w="438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2026</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pPr>
            <w:r>
              <w:rPr/>
              <w:t>Mar. 31,</w:t>
              <w:br/>
              <w:t>2026</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2025</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96" w:type="dxa"/>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183" w:type="dxa"/>
            <w:tcBorders/>
            <w:vAlign w:val="bottom"/>
          </w:tcPr>
          <w:p>
            <w:pPr>
              <w:pStyle w:val="TableContents"/>
              <w:bidi w:val="0"/>
              <w:spacing w:before="0" w:after="283"/>
              <w:jc w:val="left"/>
              <w:rPr/>
            </w:pPr>
            <w:r>
              <w:rPr/>
              <w:t> </w:t>
            </w:r>
          </w:p>
        </w:tc>
        <w:tc>
          <w:tcPr>
            <w:tcW w:w="1313" w:type="dxa"/>
            <w:tcBorders>
              <w:bottom w:val="single" w:sz="8" w:space="0" w:color="000000"/>
            </w:tcBorders>
            <w:tcMar>
              <w:bottom w:w="28" w:type="dxa"/>
            </w:tcMar>
            <w:vAlign w:val="bottom"/>
          </w:tcPr>
          <w:p>
            <w:pPr>
              <w:pStyle w:val="TableContents"/>
              <w:bidi w:val="0"/>
              <w:spacing w:before="0" w:after="283"/>
              <w:jc w:val="center"/>
              <w:rPr/>
            </w:pPr>
            <w:r>
              <w:rPr/>
              <w:t>Year-on-year</w:t>
            </w:r>
          </w:p>
        </w:tc>
      </w:tr>
      <w:tr>
        <w:trPr/>
        <w:tc>
          <w:tcPr>
            <w:tcW w:w="4388"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3" w:type="dxa"/>
            <w:tcBorders/>
            <w:shd w:fill="CCEEFF" w:val="clear"/>
            <w:vAlign w:val="bottom"/>
          </w:tcPr>
          <w:p>
            <w:pPr>
              <w:pStyle w:val="TableContents"/>
              <w:bidi w:val="0"/>
              <w:spacing w:before="0" w:after="283"/>
              <w:jc w:val="right"/>
              <w:rPr>
                <w:b/>
              </w:rPr>
            </w:pPr>
            <w:r>
              <w:rPr>
                <w:b/>
              </w:rPr>
              <w:t>2,244</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2,167</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2,219</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center"/>
              <w:rPr>
                <w:b/>
              </w:rPr>
            </w:pPr>
            <w:r>
              <w:rPr>
                <w:b/>
              </w:rPr>
              <w:t>4%</w:t>
            </w:r>
          </w:p>
        </w:tc>
        <w:tc>
          <w:tcPr>
            <w:tcW w:w="183"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center"/>
              <w:rPr/>
            </w:pPr>
            <w:r>
              <w:rPr/>
              <w:t>1%</w:t>
            </w:r>
          </w:p>
        </w:tc>
      </w:tr>
      <w:tr>
        <w:trPr/>
        <w:tc>
          <w:tcPr>
            <w:tcW w:w="4388" w:type="dxa"/>
            <w:tcBorders/>
          </w:tcPr>
          <w:p>
            <w:pPr>
              <w:pStyle w:val="TableContents"/>
              <w:bidi w:val="0"/>
              <w:spacing w:before="0" w:after="0"/>
              <w:jc w:val="left"/>
              <w:rPr>
                <w:rFonts w:ascii="Arial" w:hAnsi="Arial"/>
                <w:sz w:val="20"/>
              </w:rPr>
            </w:pPr>
            <w:r>
              <w:rPr>
                <w:rFonts w:ascii="Arial" w:hAnsi="Arial"/>
                <w:sz w:val="20"/>
              </w:rPr>
              <w:t>Latin America</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1,714</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1,528</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1,568</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center"/>
              <w:rPr>
                <w:b/>
              </w:rPr>
            </w:pPr>
            <w:r>
              <w:rPr>
                <w:b/>
              </w:rPr>
              <w:t>12%</w:t>
            </w:r>
          </w:p>
        </w:tc>
        <w:tc>
          <w:tcPr>
            <w:tcW w:w="183"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center"/>
              <w:rPr/>
            </w:pPr>
            <w:r>
              <w:rPr/>
              <w:t>9%</w:t>
            </w:r>
          </w:p>
        </w:tc>
      </w:tr>
      <w:tr>
        <w:trPr/>
        <w:tc>
          <w:tcPr>
            <w:tcW w:w="4388" w:type="dxa"/>
            <w:tcBorders/>
            <w:shd w:fill="CCEEFF" w:val="clear"/>
          </w:tcPr>
          <w:p>
            <w:pPr>
              <w:pStyle w:val="TableContents"/>
              <w:bidi w:val="0"/>
              <w:spacing w:before="0" w:after="0"/>
              <w:jc w:val="left"/>
              <w:rPr>
                <w:rFonts w:ascii="Arial" w:hAnsi="Arial"/>
                <w:sz w:val="20"/>
              </w:rPr>
            </w:pPr>
            <w:r>
              <w:rPr>
                <w:rFonts w:ascii="Arial" w:hAnsi="Arial"/>
                <w:sz w:val="20"/>
              </w:rPr>
              <w:t>Europe &amp; Africa*</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b/>
              </w:rPr>
            </w:pPr>
            <w:r>
              <w:rPr>
                <w:b/>
              </w:rPr>
              <w:t>2,385</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2,256</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2,456</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center"/>
              <w:rPr>
                <w:b/>
              </w:rPr>
            </w:pPr>
            <w:r>
              <w:rPr>
                <w:b/>
              </w:rPr>
              <w:t>6%</w:t>
            </w:r>
          </w:p>
        </w:tc>
        <w:tc>
          <w:tcPr>
            <w:tcW w:w="183"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center"/>
              <w:rPr/>
            </w:pPr>
            <w:r>
              <w:rPr/>
              <w:t>-3%</w:t>
            </w:r>
          </w:p>
        </w:tc>
      </w:tr>
      <w:tr>
        <w:trPr/>
        <w:tc>
          <w:tcPr>
            <w:tcW w:w="4388" w:type="dxa"/>
            <w:tcBorders/>
          </w:tcPr>
          <w:p>
            <w:pPr>
              <w:pStyle w:val="TableContents"/>
              <w:bidi w:val="0"/>
              <w:spacing w:before="0" w:after="0"/>
              <w:jc w:val="left"/>
              <w:rPr>
                <w:rFonts w:ascii="Arial" w:hAnsi="Arial"/>
                <w:sz w:val="20"/>
              </w:rPr>
            </w:pPr>
            <w:r>
              <w:rPr>
                <w:rFonts w:ascii="Arial" w:hAnsi="Arial"/>
                <w:sz w:val="20"/>
              </w:rPr>
              <w:t>Middle East &amp; Asia</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b/>
              </w:rPr>
            </w:pPr>
            <w:r>
              <w:rPr>
                <w:b/>
              </w:rPr>
              <w:t>2,572</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2,687</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3,075</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center"/>
              <w:rPr>
                <w:b/>
              </w:rPr>
            </w:pPr>
            <w:r>
              <w:rPr>
                <w:b/>
              </w:rPr>
              <w:t>-4%</w:t>
            </w:r>
          </w:p>
        </w:tc>
        <w:tc>
          <w:tcPr>
            <w:tcW w:w="183"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center"/>
              <w:rPr/>
            </w:pPr>
            <w:r>
              <w:rPr/>
              <w:t>-16%</w:t>
            </w:r>
          </w:p>
        </w:tc>
      </w:tr>
      <w:tr>
        <w:trPr/>
        <w:tc>
          <w:tcPr>
            <w:tcW w:w="4388" w:type="dxa"/>
            <w:tcBorders/>
            <w:shd w:fill="CCEEFF" w:val="clear"/>
          </w:tcPr>
          <w:p>
            <w:pPr>
              <w:pStyle w:val="TableContents"/>
              <w:bidi w:val="0"/>
              <w:spacing w:before="0" w:after="0"/>
              <w:jc w:val="left"/>
              <w:rPr>
                <w:rFonts w:ascii="Arial" w:hAnsi="Arial"/>
                <w:sz w:val="20"/>
              </w:rPr>
            </w:pPr>
            <w:r>
              <w:rPr>
                <w:rFonts w:ascii="Arial" w:hAnsi="Arial"/>
                <w:sz w:val="20"/>
              </w:rPr>
              <w:t>Eliminations &amp; other</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b/>
              </w:rPr>
            </w:pPr>
            <w:r>
              <w:rPr>
                <w:b/>
              </w:rPr>
              <w:t>57</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83</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80</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center"/>
              <w:rPr>
                <w:b/>
              </w:rPr>
            </w:pPr>
            <w:r>
              <w:rPr>
                <w:b/>
              </w:rPr>
              <w:t>n/m</w:t>
            </w:r>
          </w:p>
        </w:tc>
        <w:tc>
          <w:tcPr>
            <w:tcW w:w="183"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center"/>
              <w:rPr/>
            </w:pPr>
            <w:r>
              <w:rPr/>
              <w:t>n/m</w:t>
            </w:r>
          </w:p>
        </w:tc>
      </w:tr>
      <w:tr>
        <w:trPr/>
        <w:tc>
          <w:tcPr>
            <w:tcW w:w="438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96" w:type="dxa"/>
            <w:tcBorders/>
            <w:vAlign w:val="bottom"/>
          </w:tcPr>
          <w:p>
            <w:pPr>
              <w:pStyle w:val="TableContents"/>
              <w:pBdr>
                <w:top w:val="single" w:sz="2" w:space="1" w:color="000000"/>
              </w:pBdr>
              <w:bidi w:val="0"/>
              <w:spacing w:before="0" w:after="0"/>
              <w:jc w:val="left"/>
              <w:rPr/>
            </w:pPr>
            <w:r>
              <w:rPr/>
              <w:t> </w:t>
            </w:r>
          </w:p>
        </w:tc>
        <w:tc>
          <w:tcPr>
            <w:tcW w:w="183" w:type="dxa"/>
            <w:tcBorders/>
            <w:vAlign w:val="bottom"/>
          </w:tcPr>
          <w:p>
            <w:pPr>
              <w:pStyle w:val="TableContents"/>
              <w:bidi w:val="0"/>
              <w:spacing w:before="0" w:after="283"/>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r>
      <w:tr>
        <w:trPr/>
        <w:tc>
          <w:tcPr>
            <w:tcW w:w="4388" w:type="dxa"/>
            <w:tcBorders/>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3" w:type="dxa"/>
            <w:tcBorders/>
            <w:vAlign w:val="bottom"/>
          </w:tcPr>
          <w:p>
            <w:pPr>
              <w:pStyle w:val="TableContents"/>
              <w:bidi w:val="0"/>
              <w:spacing w:before="0" w:after="283"/>
              <w:jc w:val="right"/>
              <w:rPr>
                <w:b/>
              </w:rPr>
            </w:pPr>
            <w:r>
              <w:rPr>
                <w:b/>
              </w:rPr>
              <w:t>8,972</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8,721</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9,398</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center"/>
              <w:rPr>
                <w:b/>
              </w:rPr>
            </w:pPr>
            <w:r>
              <w:rPr>
                <w:b/>
              </w:rPr>
              <w:t>3%</w:t>
            </w:r>
          </w:p>
        </w:tc>
        <w:tc>
          <w:tcPr>
            <w:tcW w:w="183"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center"/>
              <w:rPr/>
            </w:pPr>
            <w:r>
              <w:rPr/>
              <w:t>-5%</w:t>
            </w:r>
          </w:p>
        </w:tc>
      </w:tr>
      <w:tr>
        <w:trPr/>
        <w:tc>
          <w:tcPr>
            <w:tcW w:w="438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96" w:type="dxa"/>
            <w:tcBorders/>
            <w:vAlign w:val="bottom"/>
          </w:tcPr>
          <w:p>
            <w:pPr>
              <w:pStyle w:val="TableContents"/>
              <w:pBdr>
                <w:top w:val="double" w:sz="6" w:space="1" w:color="000000"/>
              </w:pBdr>
              <w:bidi w:val="0"/>
              <w:spacing w:before="0" w:after="0"/>
              <w:jc w:val="left"/>
              <w:rPr/>
            </w:pPr>
            <w:r>
              <w:rPr/>
              <w:t> </w:t>
            </w:r>
          </w:p>
        </w:tc>
        <w:tc>
          <w:tcPr>
            <w:tcW w:w="183" w:type="dxa"/>
            <w:tcBorders/>
            <w:vAlign w:val="bottom"/>
          </w:tcPr>
          <w:p>
            <w:pPr>
              <w:pStyle w:val="TableContents"/>
              <w:bidi w:val="0"/>
              <w:spacing w:before="0" w:after="283"/>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r>
      <w:tr>
        <w:trPr/>
        <w:tc>
          <w:tcPr>
            <w:tcW w:w="4388" w:type="dxa"/>
            <w:tcBorders/>
            <w:shd w:fill="CCEEFF" w:val="clear"/>
          </w:tcPr>
          <w:p>
            <w:pPr>
              <w:pStyle w:val="TableContents"/>
              <w:bidi w:val="0"/>
              <w:spacing w:before="0" w:after="0"/>
              <w:jc w:val="left"/>
              <w:rPr>
                <w:rFonts w:ascii="Arial" w:hAnsi="Arial"/>
                <w:sz w:val="20"/>
              </w:rPr>
            </w:pPr>
            <w:r>
              <w:rPr>
                <w:rFonts w:ascii="Arial" w:hAnsi="Arial"/>
                <w:sz w:val="20"/>
              </w:rPr>
              <w:t>International</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3" w:type="dxa"/>
            <w:tcBorders/>
            <w:shd w:fill="CCEEFF" w:val="clear"/>
            <w:vAlign w:val="bottom"/>
          </w:tcPr>
          <w:p>
            <w:pPr>
              <w:pStyle w:val="TableContents"/>
              <w:bidi w:val="0"/>
              <w:spacing w:before="0" w:after="283"/>
              <w:jc w:val="right"/>
              <w:rPr>
                <w:b/>
              </w:rPr>
            </w:pPr>
            <w:r>
              <w:rPr>
                <w:b/>
              </w:rPr>
              <w:t>6,671</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6,471</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7,099</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center"/>
              <w:rPr>
                <w:b/>
              </w:rPr>
            </w:pPr>
            <w:r>
              <w:rPr>
                <w:b/>
              </w:rPr>
              <w:t>3%</w:t>
            </w:r>
          </w:p>
        </w:tc>
        <w:tc>
          <w:tcPr>
            <w:tcW w:w="183"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center"/>
              <w:rPr/>
            </w:pPr>
            <w:r>
              <w:rPr/>
              <w:t>-6%</w:t>
            </w:r>
          </w:p>
        </w:tc>
      </w:tr>
      <w:tr>
        <w:trPr/>
        <w:tc>
          <w:tcPr>
            <w:tcW w:w="4388" w:type="dxa"/>
            <w:tcBorders/>
          </w:tcPr>
          <w:p>
            <w:pPr>
              <w:pStyle w:val="TableContents"/>
              <w:bidi w:val="0"/>
              <w:spacing w:before="0" w:after="0"/>
              <w:jc w:val="left"/>
              <w:rPr>
                <w:rFonts w:ascii="Arial" w:hAnsi="Arial"/>
                <w:sz w:val="20"/>
              </w:rPr>
            </w:pPr>
            <w:r>
              <w:rPr>
                <w:rFonts w:ascii="Arial" w:hAnsi="Arial"/>
                <w:sz w:val="20"/>
              </w:rPr>
              <w:t>North America</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3" w:type="dxa"/>
            <w:tcBorders/>
            <w:vAlign w:val="bottom"/>
          </w:tcPr>
          <w:p>
            <w:pPr>
              <w:pStyle w:val="TableContents"/>
              <w:bidi w:val="0"/>
              <w:spacing w:before="0" w:after="283"/>
              <w:jc w:val="right"/>
              <w:rPr>
                <w:b/>
              </w:rPr>
            </w:pPr>
            <w:r>
              <w:rPr>
                <w:b/>
              </w:rPr>
              <w:t>2,244</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2,167</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2,219</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center"/>
              <w:rPr>
                <w:b/>
              </w:rPr>
            </w:pPr>
            <w:r>
              <w:rPr>
                <w:b/>
              </w:rPr>
              <w:t>4%</w:t>
            </w:r>
          </w:p>
        </w:tc>
        <w:tc>
          <w:tcPr>
            <w:tcW w:w="183"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center"/>
              <w:rPr/>
            </w:pPr>
            <w:r>
              <w:rPr/>
              <w:t>1%</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Includes Russia and the Caspian region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9"/>
        <w:gridCol w:w="9996"/>
      </w:tblGrid>
      <w:tr>
        <w:trPr/>
        <w:tc>
          <w:tcPr>
            <w:tcW w:w="209" w:type="dxa"/>
            <w:tcBorders/>
          </w:tcPr>
          <w:p>
            <w:pPr>
              <w:pStyle w:val="TableContents"/>
              <w:bidi w:val="0"/>
              <w:spacing w:before="0" w:after="283"/>
              <w:jc w:val="left"/>
              <w:rPr/>
            </w:pPr>
            <w:r>
              <w:rPr/>
              <w:t>n/m</w:t>
            </w:r>
          </w:p>
        </w:tc>
        <w:tc>
          <w:tcPr>
            <w:tcW w:w="9996" w:type="dxa"/>
            <w:tcBorders/>
          </w:tcPr>
          <w:p>
            <w:pPr>
              <w:pStyle w:val="TableContents"/>
              <w:bidi w:val="0"/>
              <w:spacing w:before="0" w:after="0"/>
              <w:jc w:val="left"/>
              <w:rPr>
                <w:rFonts w:ascii="Arial" w:hAnsi="Arial"/>
                <w:sz w:val="20"/>
              </w:rPr>
            </w:pPr>
            <w:r>
              <w:rPr>
                <w:rFonts w:ascii="Arial" w:hAnsi="Arial"/>
                <w:sz w:val="20"/>
              </w:rPr>
              <w:t xml:space="preserve">= not meaningful </w:t>
            </w:r>
          </w:p>
        </w:tc>
      </w:tr>
    </w:tbl>
    <w:p>
      <w:pPr>
        <w:pStyle w:val="TextBody"/>
        <w:bidi w:val="0"/>
        <w:spacing w:before="360" w:after="0"/>
        <w:jc w:val="left"/>
        <w:rPr>
          <w:rFonts w:ascii="Arial" w:hAnsi="Arial"/>
          <w:b/>
          <w:sz w:val="20"/>
        </w:rPr>
      </w:pPr>
      <w:r>
        <w:rPr>
          <w:rFonts w:ascii="Arial" w:hAnsi="Arial"/>
          <w:b/>
          <w:sz w:val="20"/>
        </w:rPr>
        <w:t xml:space="preserve">International </w:t>
      </w:r>
    </w:p>
    <w:p>
      <w:pPr>
        <w:pStyle w:val="TextBody"/>
        <w:bidi w:val="0"/>
        <w:spacing w:before="120" w:after="0"/>
        <w:jc w:val="left"/>
        <w:rPr>
          <w:rFonts w:ascii="Arial" w:hAnsi="Arial"/>
          <w:b/>
          <w:sz w:val="20"/>
        </w:rPr>
      </w:pPr>
      <w:r>
        <w:rPr>
          <w:rFonts w:ascii="Arial" w:hAnsi="Arial"/>
          <w:b/>
          <w:sz w:val="20"/>
        </w:rPr>
        <w:t xml:space="preserve">Latin America </w:t>
      </w:r>
    </w:p>
    <w:p>
      <w:pPr>
        <w:pStyle w:val="TextBody"/>
        <w:bidi w:val="0"/>
        <w:spacing w:before="120" w:after="0"/>
        <w:jc w:val="left"/>
        <w:rPr>
          <w:rFonts w:ascii="Arial" w:hAnsi="Arial"/>
          <w:sz w:val="20"/>
        </w:rPr>
      </w:pPr>
      <w:r>
        <w:rPr>
          <w:rFonts w:ascii="Arial" w:hAnsi="Arial"/>
          <w:sz w:val="20"/>
        </w:rPr>
        <w:t xml:space="preserve">Revenue in Latin America of $1.71 billion increased 12% sequentially driven by higher SLB OneSubsea revenue, increased digital exploration sales and stronger offshore drilling activity in Brazil. The sequential increase was further supported by robust production systems sales in Guyana and Mexico. </w:t>
      </w:r>
    </w:p>
    <w:p>
      <w:pPr>
        <w:pStyle w:val="TextBody"/>
        <w:bidi w:val="0"/>
        <w:spacing w:before="240" w:after="0"/>
        <w:jc w:val="left"/>
        <w:rPr>
          <w:rFonts w:ascii="Arial" w:hAnsi="Arial"/>
          <w:sz w:val="20"/>
        </w:rPr>
      </w:pPr>
      <w:r>
        <w:rPr>
          <w:rFonts w:ascii="Arial" w:hAnsi="Arial"/>
          <w:sz w:val="20"/>
        </w:rPr>
        <w:t xml:space="preserve">Year on year, revenue increased 9% reflecting higher SLB OneSubsea revenue, increased digital exploration sales in Brazil, and strong offshore and land drilling activity across the region. </w:t>
      </w:r>
    </w:p>
    <w:p>
      <w:pPr>
        <w:pStyle w:val="TextBody"/>
        <w:bidi w:val="0"/>
        <w:spacing w:before="360" w:after="0"/>
        <w:jc w:val="left"/>
        <w:rPr>
          <w:rFonts w:ascii="Arial" w:hAnsi="Arial"/>
          <w:b/>
          <w:sz w:val="20"/>
        </w:rPr>
      </w:pPr>
      <w:r>
        <w:rPr>
          <w:rFonts w:ascii="Arial" w:hAnsi="Arial"/>
          <w:b/>
          <w:sz w:val="20"/>
        </w:rPr>
        <w:t xml:space="preserve">Europe &amp; Africa </w:t>
      </w:r>
    </w:p>
    <w:p>
      <w:pPr>
        <w:pStyle w:val="TextBody"/>
        <w:bidi w:val="0"/>
        <w:spacing w:before="120" w:after="0"/>
        <w:jc w:val="left"/>
        <w:rPr>
          <w:rFonts w:ascii="Arial" w:hAnsi="Arial"/>
          <w:sz w:val="20"/>
        </w:rPr>
      </w:pPr>
      <w:r>
        <w:rPr>
          <w:rFonts w:ascii="Arial" w:hAnsi="Arial"/>
          <w:sz w:val="20"/>
        </w:rPr>
        <w:t xml:space="preserve">Revenue in Europe &amp; Africa of $2.39 billion increased 6% sequentially. The growth was driven by higher SLB OneSubsea revenue in Scandinavia and Nigeria, increased artificial lift sales in Libya, and stronger intervention and stimulation activity across the area. </w:t>
      </w:r>
    </w:p>
    <w:p>
      <w:pPr>
        <w:pStyle w:val="TextBody"/>
        <w:bidi w:val="0"/>
        <w:spacing w:before="240" w:after="0"/>
        <w:jc w:val="left"/>
        <w:rPr>
          <w:rFonts w:ascii="Arial" w:hAnsi="Arial"/>
          <w:sz w:val="20"/>
        </w:rPr>
      </w:pPr>
      <w:r>
        <w:rPr>
          <w:rFonts w:ascii="Arial" w:hAnsi="Arial"/>
          <w:sz w:val="20"/>
        </w:rPr>
        <w:t xml:space="preserve">Year on year, revenue decreased 3%, primarily due to lower production systems sales in Turkey and Libya, as well as a decline in SLB Capturi revenue due to completion of project milestones. These decreases were partially offset by higher stimulation, intervention and evaluation revenue in the UK North Sea, Eastern Europe, Azerbaijan and Turkmenistan.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Middle East &amp; Asia </w:t>
      </w:r>
    </w:p>
    <w:p>
      <w:pPr>
        <w:pStyle w:val="TextBody"/>
        <w:bidi w:val="0"/>
        <w:spacing w:before="120" w:after="0"/>
        <w:jc w:val="left"/>
        <w:rPr>
          <w:rFonts w:ascii="Arial" w:hAnsi="Arial"/>
          <w:sz w:val="20"/>
        </w:rPr>
      </w:pPr>
      <w:r>
        <w:rPr>
          <w:rFonts w:ascii="Arial" w:hAnsi="Arial"/>
          <w:sz w:val="20"/>
        </w:rPr>
        <w:t xml:space="preserve">Revenue in the Middle East &amp; Asia of $2.57 billion decreased 4% sequentially, reflecting a 13% decline in the Middle East, partially offset by a 17% increase in Asia. The Middle East accounted for approximately 65% of the area’s revenue in the second quarter of 2026. </w:t>
      </w:r>
    </w:p>
    <w:p>
      <w:pPr>
        <w:pStyle w:val="TextBody"/>
        <w:bidi w:val="0"/>
        <w:spacing w:before="240" w:after="0"/>
        <w:jc w:val="left"/>
        <w:rPr>
          <w:rFonts w:ascii="Arial" w:hAnsi="Arial"/>
          <w:sz w:val="20"/>
        </w:rPr>
      </w:pPr>
      <w:r>
        <w:rPr>
          <w:rFonts w:ascii="Arial" w:hAnsi="Arial"/>
          <w:sz w:val="20"/>
        </w:rPr>
        <w:t xml:space="preserve">The decline in the Middle East was driven by lower activity levels and operational disruptions related to the regional conflict. While activity began to recover in certain countries as conditions improved, operations in other markets remained constrained by production shut-ins and security challenges. In contrast, Asia delivered double-digit sequential growth, supported by higher drilling activity and increased production systems sales in China, stronger digital exploration sales in Indonesia, and robust SLB OneSubsea revenue in India and Australia. </w:t>
      </w:r>
    </w:p>
    <w:p>
      <w:pPr>
        <w:pStyle w:val="TextBody"/>
        <w:bidi w:val="0"/>
        <w:spacing w:before="240" w:after="0"/>
        <w:jc w:val="left"/>
        <w:rPr>
          <w:rFonts w:ascii="Arial" w:hAnsi="Arial"/>
          <w:sz w:val="20"/>
        </w:rPr>
      </w:pPr>
      <w:r>
        <w:rPr>
          <w:rFonts w:ascii="Arial" w:hAnsi="Arial"/>
          <w:sz w:val="20"/>
        </w:rPr>
        <w:t xml:space="preserve">Year on year, revenue declined 16%, primarily due to the impact of conflict-related disruptions in the Middle East, partially offset by strong growth across Asia. </w:t>
      </w:r>
    </w:p>
    <w:p>
      <w:pPr>
        <w:pStyle w:val="TextBody"/>
        <w:bidi w:val="0"/>
        <w:spacing w:before="360" w:after="0"/>
        <w:jc w:val="left"/>
        <w:rPr>
          <w:rFonts w:ascii="Arial" w:hAnsi="Arial"/>
          <w:b/>
          <w:sz w:val="20"/>
        </w:rPr>
      </w:pPr>
      <w:r>
        <w:rPr>
          <w:rFonts w:ascii="Arial" w:hAnsi="Arial"/>
          <w:b/>
          <w:sz w:val="20"/>
        </w:rPr>
        <w:t xml:space="preserve">North America </w:t>
      </w:r>
    </w:p>
    <w:p>
      <w:pPr>
        <w:pStyle w:val="TextBody"/>
        <w:bidi w:val="0"/>
        <w:spacing w:before="120" w:after="0"/>
        <w:jc w:val="left"/>
        <w:rPr>
          <w:rFonts w:ascii="Arial" w:hAnsi="Arial"/>
          <w:sz w:val="20"/>
        </w:rPr>
      </w:pPr>
      <w:r>
        <w:rPr>
          <w:rFonts w:ascii="Arial" w:hAnsi="Arial"/>
          <w:sz w:val="20"/>
        </w:rPr>
        <w:t xml:space="preserve">Revenue in North America of $2.24 billion increased 4% sequentially. The growth was driven by higher sales of production chemicals, artificial lift, and valves in U.S. land, as well as increased revenue from Data Center Solutions. These increases were partially offset by lower drilling activity in Canada due to the spring breakup and reduced digital exploration sales in the Gulf of America. </w:t>
      </w:r>
    </w:p>
    <w:p>
      <w:pPr>
        <w:pStyle w:val="TextBody"/>
        <w:bidi w:val="0"/>
        <w:spacing w:before="240" w:after="0"/>
        <w:jc w:val="left"/>
        <w:rPr>
          <w:rFonts w:ascii="Arial" w:hAnsi="Arial"/>
          <w:sz w:val="20"/>
        </w:rPr>
      </w:pPr>
      <w:r>
        <w:rPr>
          <w:rFonts w:ascii="Arial" w:hAnsi="Arial"/>
          <w:sz w:val="20"/>
        </w:rPr>
        <w:t xml:space="preserve">Year on year, revenue increased 1%, driven by higher offshore drilling in the Gulf of America and strong growth in Data Center Solutions revenue, which increased 80%. These increases were largely offset by the absence of $97 million in Asset Performance Solutions (APS) revenue in Canada following the divestiture of the Palliser project at the end of the second quarter of 2025.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Second-Quarter Results by Division </w:t>
      </w:r>
    </w:p>
    <w:p>
      <w:pPr>
        <w:pStyle w:val="TextBody"/>
        <w:bidi w:val="0"/>
        <w:spacing w:before="120" w:after="0"/>
        <w:jc w:val="left"/>
        <w:rPr>
          <w:rFonts w:ascii="Arial" w:hAnsi="Arial"/>
          <w:b/>
          <w:sz w:val="20"/>
        </w:rPr>
      </w:pPr>
      <w:r>
        <w:rPr>
          <w:rFonts w:ascii="Arial" w:hAnsi="Arial"/>
          <w:b/>
          <w:sz w:val="20"/>
        </w:rPr>
        <w:t xml:space="preserve">Digital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6"/>
        <w:gridCol w:w="221"/>
        <w:gridCol w:w="200"/>
        <w:gridCol w:w="631"/>
        <w:gridCol w:w="320"/>
        <w:gridCol w:w="164"/>
        <w:gridCol w:w="200"/>
        <w:gridCol w:w="631"/>
        <w:gridCol w:w="275"/>
        <w:gridCol w:w="164"/>
        <w:gridCol w:w="185"/>
        <w:gridCol w:w="588"/>
        <w:gridCol w:w="275"/>
        <w:gridCol w:w="164"/>
        <w:gridCol w:w="75"/>
        <w:gridCol w:w="1062"/>
        <w:gridCol w:w="60"/>
        <w:gridCol w:w="164"/>
        <w:gridCol w:w="92"/>
        <w:gridCol w:w="1229"/>
        <w:gridCol w:w="69"/>
      </w:tblGrid>
      <w:tr>
        <w:trPr/>
        <w:tc>
          <w:tcPr>
            <w:tcW w:w="3436"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6479" w:type="dxa"/>
            <w:gridSpan w:val="18"/>
            <w:tcBorders/>
            <w:vAlign w:val="bottom"/>
          </w:tcPr>
          <w:p>
            <w:pPr>
              <w:pStyle w:val="TableContents"/>
              <w:bidi w:val="0"/>
              <w:spacing w:before="0" w:after="283"/>
              <w:jc w:val="right"/>
              <w:rPr/>
            </w:pPr>
            <w:r>
              <w:rPr/>
              <w:t>(Stated in millions)</w:t>
            </w:r>
          </w:p>
        </w:tc>
        <w:tc>
          <w:tcPr>
            <w:tcW w:w="69" w:type="dxa"/>
            <w:tcBorders/>
            <w:vAlign w:val="bottom"/>
          </w:tcPr>
          <w:p>
            <w:pPr>
              <w:pStyle w:val="TableContents"/>
              <w:bidi w:val="0"/>
              <w:spacing w:before="0" w:after="283"/>
              <w:jc w:val="left"/>
              <w:rPr/>
            </w:pPr>
            <w:r>
              <w:rPr/>
              <w:t> </w:t>
            </w:r>
          </w:p>
        </w:tc>
      </w:tr>
      <w:tr>
        <w:trPr/>
        <w:tc>
          <w:tcPr>
            <w:tcW w:w="3436"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335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6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9" w:type="dxa"/>
            <w:tcBorders/>
            <w:vAlign w:val="bottom"/>
          </w:tcPr>
          <w:p>
            <w:pPr>
              <w:pStyle w:val="TableContents"/>
              <w:bidi w:val="0"/>
              <w:spacing w:before="0" w:after="283"/>
              <w:jc w:val="left"/>
              <w:rPr/>
            </w:pPr>
            <w:r>
              <w:rPr/>
              <w:t> </w:t>
            </w:r>
          </w:p>
        </w:tc>
      </w:tr>
      <w:tr>
        <w:trPr/>
        <w:tc>
          <w:tcPr>
            <w:tcW w:w="3436"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2026</w:t>
            </w:r>
          </w:p>
        </w:tc>
        <w:tc>
          <w:tcPr>
            <w:tcW w:w="3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pPr>
            <w:r>
              <w:rPr/>
              <w:t>Mar. 31,</w:t>
              <w:br/>
              <w:t>2026</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2025</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321"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69" w:type="dxa"/>
            <w:tcBorders/>
            <w:vAlign w:val="bottom"/>
          </w:tcPr>
          <w:p>
            <w:pPr>
              <w:pStyle w:val="TableContents"/>
              <w:bidi w:val="0"/>
              <w:spacing w:before="0" w:after="283"/>
              <w:jc w:val="left"/>
              <w:rPr/>
            </w:pPr>
            <w:r>
              <w:rPr/>
              <w:t> </w:t>
            </w:r>
          </w:p>
        </w:tc>
      </w:tr>
      <w:tr>
        <w:trPr/>
        <w:tc>
          <w:tcPr>
            <w:tcW w:w="3436"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22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31"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3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58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0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436" w:type="dxa"/>
            <w:tcBorders/>
          </w:tcPr>
          <w:p>
            <w:pPr>
              <w:pStyle w:val="TableContents"/>
              <w:bidi w:val="0"/>
              <w:spacing w:before="0" w:after="0"/>
              <w:jc w:val="left"/>
              <w:rPr>
                <w:rFonts w:ascii="Arial" w:hAnsi="Arial"/>
                <w:sz w:val="20"/>
              </w:rPr>
            </w:pPr>
            <w:r>
              <w:rPr>
                <w:rFonts w:ascii="Arial" w:hAnsi="Arial"/>
                <w:sz w:val="20"/>
              </w:rPr>
              <w:t>International</w:t>
            </w:r>
          </w:p>
        </w:tc>
        <w:tc>
          <w:tcPr>
            <w:tcW w:w="22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b/>
              </w:rPr>
            </w:pPr>
            <w:r>
              <w:rPr>
                <w:b/>
              </w:rPr>
              <w:t>$</w:t>
            </w:r>
          </w:p>
        </w:tc>
        <w:tc>
          <w:tcPr>
            <w:tcW w:w="631" w:type="dxa"/>
            <w:tcBorders/>
            <w:vAlign w:val="bottom"/>
          </w:tcPr>
          <w:p>
            <w:pPr>
              <w:pStyle w:val="TableContents"/>
              <w:bidi w:val="0"/>
              <w:spacing w:before="0" w:after="283"/>
              <w:jc w:val="right"/>
              <w:rPr>
                <w:b/>
              </w:rPr>
            </w:pPr>
            <w:r>
              <w:rPr>
                <w:b/>
              </w:rPr>
              <w:t>526</w:t>
            </w:r>
          </w:p>
        </w:tc>
        <w:tc>
          <w:tcPr>
            <w:tcW w:w="3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631" w:type="dxa"/>
            <w:tcBorders/>
            <w:vAlign w:val="bottom"/>
          </w:tcPr>
          <w:p>
            <w:pPr>
              <w:pStyle w:val="TableContents"/>
              <w:bidi w:val="0"/>
              <w:spacing w:before="0" w:after="283"/>
              <w:jc w:val="right"/>
              <w:rPr/>
            </w:pPr>
            <w:r>
              <w:rPr/>
              <w:t>443</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588" w:type="dxa"/>
            <w:tcBorders/>
            <w:vAlign w:val="bottom"/>
          </w:tcPr>
          <w:p>
            <w:pPr>
              <w:pStyle w:val="TableContents"/>
              <w:bidi w:val="0"/>
              <w:spacing w:before="0" w:after="283"/>
              <w:jc w:val="right"/>
              <w:rPr/>
            </w:pPr>
            <w:r>
              <w:rPr/>
              <w:t>462</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center"/>
              <w:rPr>
                <w:b/>
              </w:rPr>
            </w:pPr>
            <w:r>
              <w:rPr>
                <w:b/>
              </w:rPr>
              <w:t>19%</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center"/>
              <w:rPr/>
            </w:pPr>
            <w:r>
              <w:rPr/>
              <w:t>14%</w:t>
            </w:r>
          </w:p>
        </w:tc>
        <w:tc>
          <w:tcPr>
            <w:tcW w:w="69" w:type="dxa"/>
            <w:tcBorders/>
            <w:vAlign w:val="bottom"/>
          </w:tcPr>
          <w:p>
            <w:pPr>
              <w:pStyle w:val="TableContents"/>
              <w:bidi w:val="0"/>
              <w:spacing w:before="0" w:after="283"/>
              <w:jc w:val="left"/>
              <w:rPr/>
            </w:pPr>
            <w:r>
              <w:rPr/>
              <w:t> </w:t>
            </w:r>
          </w:p>
        </w:tc>
      </w:tr>
      <w:tr>
        <w:trPr/>
        <w:tc>
          <w:tcPr>
            <w:tcW w:w="3436"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22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b/>
              </w:rPr>
            </w:pPr>
            <w:r>
              <w:rPr>
                <w:b/>
              </w:rPr>
              <w:t>170</w:t>
            </w:r>
          </w:p>
        </w:tc>
        <w:tc>
          <w:tcPr>
            <w:tcW w:w="3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197</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126</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center"/>
              <w:rPr>
                <w:b/>
              </w:rPr>
            </w:pPr>
            <w:r>
              <w:rPr>
                <w:b/>
              </w:rPr>
              <w:t>-14%</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center"/>
              <w:rPr/>
            </w:pPr>
            <w:r>
              <w:rPr/>
              <w:t>35%</w:t>
            </w:r>
          </w:p>
        </w:tc>
        <w:tc>
          <w:tcPr>
            <w:tcW w:w="69" w:type="dxa"/>
            <w:tcBorders/>
            <w:shd w:fill="CCEEFF" w:val="clear"/>
            <w:vAlign w:val="bottom"/>
          </w:tcPr>
          <w:p>
            <w:pPr>
              <w:pStyle w:val="TableContents"/>
              <w:bidi w:val="0"/>
              <w:spacing w:before="0" w:after="283"/>
              <w:jc w:val="left"/>
              <w:rPr/>
            </w:pPr>
            <w:r>
              <w:rPr/>
              <w:t> </w:t>
            </w:r>
          </w:p>
        </w:tc>
      </w:tr>
      <w:tr>
        <w:trPr/>
        <w:tc>
          <w:tcPr>
            <w:tcW w:w="3436" w:type="dxa"/>
            <w:tcBorders/>
          </w:tcPr>
          <w:p>
            <w:pPr>
              <w:pStyle w:val="TableContents"/>
              <w:bidi w:val="0"/>
              <w:spacing w:before="0" w:after="0"/>
              <w:jc w:val="left"/>
              <w:rPr>
                <w:rFonts w:ascii="Arial" w:hAnsi="Arial"/>
                <w:sz w:val="20"/>
              </w:rPr>
            </w:pPr>
            <w:r>
              <w:rPr>
                <w:rFonts w:ascii="Arial" w:hAnsi="Arial"/>
                <w:sz w:val="20"/>
              </w:rPr>
              <w:t>Other</w:t>
            </w:r>
          </w:p>
        </w:tc>
        <w:tc>
          <w:tcPr>
            <w:tcW w:w="22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b/>
              </w:rPr>
            </w:pPr>
            <w:r>
              <w:rPr>
                <w:b/>
              </w:rPr>
              <w:t>1</w:t>
            </w:r>
          </w:p>
        </w:tc>
        <w:tc>
          <w:tcPr>
            <w:tcW w:w="3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center"/>
              <w:rPr>
                <w:b/>
              </w:rPr>
            </w:pPr>
            <w:r>
              <w:rPr>
                <w:b/>
              </w:rPr>
              <w:t>n/m</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center"/>
              <w:rPr/>
            </w:pPr>
            <w:r>
              <w:rPr/>
              <w:t>n/m</w:t>
            </w:r>
          </w:p>
        </w:tc>
        <w:tc>
          <w:tcPr>
            <w:tcW w:w="69" w:type="dxa"/>
            <w:tcBorders/>
            <w:vAlign w:val="bottom"/>
          </w:tcPr>
          <w:p>
            <w:pPr>
              <w:pStyle w:val="TableContents"/>
              <w:bidi w:val="0"/>
              <w:spacing w:before="0" w:after="283"/>
              <w:jc w:val="left"/>
              <w:rPr/>
            </w:pPr>
            <w:r>
              <w:rPr/>
              <w:t> </w:t>
            </w:r>
          </w:p>
        </w:tc>
      </w:tr>
      <w:tr>
        <w:trPr/>
        <w:tc>
          <w:tcPr>
            <w:tcW w:w="3436"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631"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63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436" w:type="dxa"/>
            <w:tcBorders/>
            <w:shd w:fill="CCEEFF" w:val="clear"/>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b/>
              </w:rPr>
            </w:pPr>
            <w:r>
              <w:rPr>
                <w:b/>
              </w:rPr>
              <w:t>$</w:t>
            </w:r>
          </w:p>
        </w:tc>
        <w:tc>
          <w:tcPr>
            <w:tcW w:w="631" w:type="dxa"/>
            <w:tcBorders/>
            <w:shd w:fill="CCEEFF" w:val="clear"/>
            <w:vAlign w:val="bottom"/>
          </w:tcPr>
          <w:p>
            <w:pPr>
              <w:pStyle w:val="TableContents"/>
              <w:bidi w:val="0"/>
              <w:spacing w:before="0" w:after="283"/>
              <w:jc w:val="right"/>
              <w:rPr>
                <w:b/>
              </w:rPr>
            </w:pPr>
            <w:r>
              <w:rPr>
                <w:b/>
              </w:rPr>
              <w:t>697</w:t>
            </w:r>
          </w:p>
        </w:tc>
        <w:tc>
          <w:tcPr>
            <w:tcW w:w="3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631" w:type="dxa"/>
            <w:tcBorders/>
            <w:shd w:fill="CCEEFF" w:val="clear"/>
            <w:vAlign w:val="bottom"/>
          </w:tcPr>
          <w:p>
            <w:pPr>
              <w:pStyle w:val="TableContents"/>
              <w:bidi w:val="0"/>
              <w:spacing w:before="0" w:after="283"/>
              <w:jc w:val="right"/>
              <w:rPr/>
            </w:pPr>
            <w:r>
              <w:rPr/>
              <w:t>640</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591</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center"/>
              <w:rPr>
                <w:b/>
              </w:rPr>
            </w:pPr>
            <w:r>
              <w:rPr>
                <w:b/>
              </w:rPr>
              <w:t>9%</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center"/>
              <w:rPr/>
            </w:pPr>
            <w:r>
              <w:rPr/>
              <w:t>18%</w:t>
            </w:r>
          </w:p>
        </w:tc>
        <w:tc>
          <w:tcPr>
            <w:tcW w:w="69" w:type="dxa"/>
            <w:tcBorders/>
            <w:shd w:fill="CCEEFF" w:val="clear"/>
            <w:vAlign w:val="bottom"/>
          </w:tcPr>
          <w:p>
            <w:pPr>
              <w:pStyle w:val="TableContents"/>
              <w:bidi w:val="0"/>
              <w:spacing w:before="0" w:after="283"/>
              <w:jc w:val="left"/>
              <w:rPr/>
            </w:pPr>
            <w:r>
              <w:rPr/>
              <w:t> </w:t>
            </w:r>
          </w:p>
        </w:tc>
      </w:tr>
      <w:tr>
        <w:trPr/>
        <w:tc>
          <w:tcPr>
            <w:tcW w:w="3436"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631"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63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58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0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double" w:sz="6" w:space="1" w:color="000000"/>
              </w:pBdr>
              <w:bidi w:val="0"/>
              <w:spacing w:before="0" w:after="0"/>
              <w:jc w:val="left"/>
              <w:rPr/>
            </w:pPr>
            <w:r>
              <w:rPr/>
              <w:t> </w:t>
            </w:r>
          </w:p>
        </w:tc>
        <w:tc>
          <w:tcPr>
            <w:tcW w:w="1229"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436" w:type="dxa"/>
            <w:tcBorders/>
            <w:vAlign w:val="bottom"/>
          </w:tcPr>
          <w:p>
            <w:pPr>
              <w:pStyle w:val="TableContents"/>
              <w:bidi w:val="0"/>
              <w:spacing w:before="0" w:after="0"/>
              <w:jc w:val="left"/>
              <w:rPr>
                <w:rFonts w:ascii="Arial" w:hAnsi="Arial"/>
                <w:sz w:val="20"/>
              </w:rPr>
            </w:pPr>
            <w:r>
              <w:rPr>
                <w:rFonts w:ascii="Arial" w:hAnsi="Arial"/>
                <w:sz w:val="20"/>
              </w:rPr>
              <w:t>Pretax operating income</w:t>
            </w:r>
          </w:p>
        </w:tc>
        <w:tc>
          <w:tcPr>
            <w:tcW w:w="22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b/>
              </w:rPr>
            </w:pPr>
            <w:r>
              <w:rPr>
                <w:b/>
              </w:rPr>
              <w:t>$</w:t>
            </w:r>
          </w:p>
        </w:tc>
        <w:tc>
          <w:tcPr>
            <w:tcW w:w="631" w:type="dxa"/>
            <w:tcBorders/>
            <w:vAlign w:val="bottom"/>
          </w:tcPr>
          <w:p>
            <w:pPr>
              <w:pStyle w:val="TableContents"/>
              <w:bidi w:val="0"/>
              <w:spacing w:before="0" w:after="283"/>
              <w:jc w:val="right"/>
              <w:rPr>
                <w:b/>
              </w:rPr>
            </w:pPr>
            <w:r>
              <w:rPr>
                <w:b/>
              </w:rPr>
              <w:t>194</w:t>
            </w:r>
          </w:p>
        </w:tc>
        <w:tc>
          <w:tcPr>
            <w:tcW w:w="3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631" w:type="dxa"/>
            <w:tcBorders/>
            <w:vAlign w:val="bottom"/>
          </w:tcPr>
          <w:p>
            <w:pPr>
              <w:pStyle w:val="TableContents"/>
              <w:bidi w:val="0"/>
              <w:spacing w:before="0" w:after="283"/>
              <w:jc w:val="right"/>
              <w:rPr/>
            </w:pPr>
            <w:r>
              <w:rPr/>
              <w:t>134</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588" w:type="dxa"/>
            <w:tcBorders/>
            <w:vAlign w:val="bottom"/>
          </w:tcPr>
          <w:p>
            <w:pPr>
              <w:pStyle w:val="TableContents"/>
              <w:bidi w:val="0"/>
              <w:spacing w:before="0" w:after="283"/>
              <w:jc w:val="right"/>
              <w:rPr/>
            </w:pPr>
            <w:r>
              <w:rPr/>
              <w:t>153</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center"/>
              <w:rPr>
                <w:b/>
              </w:rPr>
            </w:pPr>
            <w:r>
              <w:rPr>
                <w:b/>
              </w:rPr>
              <w:t>44%</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center"/>
              <w:rPr/>
            </w:pPr>
            <w:r>
              <w:rPr/>
              <w:t>27%</w:t>
            </w:r>
          </w:p>
        </w:tc>
        <w:tc>
          <w:tcPr>
            <w:tcW w:w="69" w:type="dxa"/>
            <w:tcBorders/>
            <w:vAlign w:val="bottom"/>
          </w:tcPr>
          <w:p>
            <w:pPr>
              <w:pStyle w:val="TableContents"/>
              <w:bidi w:val="0"/>
              <w:spacing w:before="0" w:after="283"/>
              <w:jc w:val="left"/>
              <w:rPr/>
            </w:pPr>
            <w:r>
              <w:rPr/>
              <w:t> </w:t>
            </w:r>
          </w:p>
        </w:tc>
      </w:tr>
      <w:tr>
        <w:trPr/>
        <w:tc>
          <w:tcPr>
            <w:tcW w:w="3436" w:type="dxa"/>
            <w:tcBorders/>
            <w:shd w:fill="CCEEFF" w:val="clear"/>
            <w:vAlign w:val="bottom"/>
          </w:tcPr>
          <w:p>
            <w:pPr>
              <w:pStyle w:val="TableContents"/>
              <w:bidi w:val="0"/>
              <w:spacing w:before="0" w:after="0"/>
              <w:jc w:val="left"/>
              <w:rPr>
                <w:rFonts w:ascii="Arial" w:hAnsi="Arial"/>
                <w:sz w:val="20"/>
              </w:rPr>
            </w:pPr>
            <w:r>
              <w:rPr>
                <w:rFonts w:ascii="Arial" w:hAnsi="Arial"/>
                <w:sz w:val="20"/>
              </w:rPr>
              <w:t>Pretax operating margin</w:t>
            </w:r>
          </w:p>
        </w:tc>
        <w:tc>
          <w:tcPr>
            <w:tcW w:w="22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b/>
              </w:rPr>
            </w:pPr>
            <w:r>
              <w:rPr>
                <w:b/>
              </w:rPr>
              <w:t>27.8</w:t>
            </w:r>
          </w:p>
        </w:tc>
        <w:tc>
          <w:tcPr>
            <w:tcW w:w="320" w:type="dxa"/>
            <w:tcBorders/>
            <w:shd w:fill="CCEEFF" w:val="clear"/>
            <w:vAlign w:val="bottom"/>
          </w:tcPr>
          <w:p>
            <w:pPr>
              <w:pStyle w:val="TableContents"/>
              <w:bidi w:val="0"/>
              <w:spacing w:before="0" w:after="283"/>
              <w:jc w:val="left"/>
              <w:rPr>
                <w:b/>
              </w:rPr>
            </w:pPr>
            <w:r>
              <w:rPr>
                <w:b/>
              </w:rPr>
              <w:t>% </w:t>
            </w:r>
          </w:p>
        </w:tc>
        <w:tc>
          <w:tcPr>
            <w:tcW w:w="16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20.9</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25.9</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center"/>
              <w:rPr>
                <w:b/>
              </w:rPr>
            </w:pPr>
            <w:r>
              <w:rPr>
                <w:b/>
              </w:rPr>
              <w:t>683 bps</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center"/>
              <w:rPr/>
            </w:pPr>
            <w:r>
              <w:rPr/>
              <w:t>187 bps</w:t>
            </w:r>
          </w:p>
        </w:tc>
        <w:tc>
          <w:tcPr>
            <w:tcW w:w="69" w:type="dxa"/>
            <w:tcBorders/>
            <w:shd w:fill="CCEEFF" w:val="clear"/>
            <w:vAlign w:val="bottom"/>
          </w:tcPr>
          <w:p>
            <w:pPr>
              <w:pStyle w:val="TableContents"/>
              <w:bidi w:val="0"/>
              <w:spacing w:before="0" w:after="283"/>
              <w:jc w:val="left"/>
              <w:rPr/>
            </w:pPr>
            <w:r>
              <w:rPr/>
              <w:t> </w:t>
            </w:r>
          </w:p>
        </w:tc>
      </w:tr>
      <w:tr>
        <w:trPr/>
        <w:tc>
          <w:tcPr>
            <w:tcW w:w="3436" w:type="dxa"/>
            <w:tcBorders/>
            <w:vAlign w:val="bottom"/>
          </w:tcPr>
          <w:p>
            <w:pPr>
              <w:pStyle w:val="TableContents"/>
              <w:bidi w:val="0"/>
              <w:spacing w:before="0" w:after="0"/>
              <w:jc w:val="left"/>
              <w:rPr>
                <w:rFonts w:ascii="Arial" w:hAnsi="Arial"/>
                <w:sz w:val="20"/>
              </w:rPr>
            </w:pPr>
            <w:r>
              <w:rPr>
                <w:rFonts w:ascii="Arial" w:hAnsi="Arial"/>
                <w:sz w:val="20"/>
              </w:rPr>
              <w:t>Adjusted EBITDA*</w:t>
            </w:r>
          </w:p>
        </w:tc>
        <w:tc>
          <w:tcPr>
            <w:tcW w:w="22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b/>
              </w:rPr>
            </w:pPr>
            <w:r>
              <w:rPr>
                <w:b/>
              </w:rPr>
              <w:t>242</w:t>
            </w:r>
          </w:p>
        </w:tc>
        <w:tc>
          <w:tcPr>
            <w:tcW w:w="3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167</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186</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center"/>
              <w:rPr>
                <w:b/>
              </w:rPr>
            </w:pPr>
            <w:r>
              <w:rPr>
                <w:b/>
              </w:rPr>
              <w:t>45%</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center"/>
              <w:rPr/>
            </w:pPr>
            <w:r>
              <w:rPr/>
              <w:t>30%</w:t>
            </w:r>
          </w:p>
        </w:tc>
        <w:tc>
          <w:tcPr>
            <w:tcW w:w="69" w:type="dxa"/>
            <w:tcBorders/>
            <w:vAlign w:val="bottom"/>
          </w:tcPr>
          <w:p>
            <w:pPr>
              <w:pStyle w:val="TableContents"/>
              <w:bidi w:val="0"/>
              <w:spacing w:before="0" w:after="283"/>
              <w:jc w:val="left"/>
              <w:rPr/>
            </w:pPr>
            <w:r>
              <w:rPr/>
              <w:t> </w:t>
            </w:r>
          </w:p>
        </w:tc>
      </w:tr>
      <w:tr>
        <w:trPr/>
        <w:tc>
          <w:tcPr>
            <w:tcW w:w="3436" w:type="dxa"/>
            <w:tcBorders/>
            <w:shd w:fill="CCEEFF" w:val="clear"/>
            <w:vAlign w:val="bottom"/>
          </w:tcPr>
          <w:p>
            <w:pPr>
              <w:pStyle w:val="TableContents"/>
              <w:bidi w:val="0"/>
              <w:spacing w:before="0" w:after="0"/>
              <w:jc w:val="left"/>
              <w:rPr>
                <w:rFonts w:ascii="Arial" w:hAnsi="Arial"/>
                <w:sz w:val="20"/>
              </w:rPr>
            </w:pPr>
            <w:r>
              <w:rPr>
                <w:rFonts w:ascii="Arial" w:hAnsi="Arial"/>
                <w:sz w:val="20"/>
              </w:rPr>
              <w:t>Adjusted EBITDA margin*</w:t>
            </w:r>
          </w:p>
        </w:tc>
        <w:tc>
          <w:tcPr>
            <w:tcW w:w="22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b/>
              </w:rPr>
            </w:pPr>
            <w:r>
              <w:rPr>
                <w:b/>
              </w:rPr>
              <w:t>34.7</w:t>
            </w:r>
          </w:p>
        </w:tc>
        <w:tc>
          <w:tcPr>
            <w:tcW w:w="320" w:type="dxa"/>
            <w:tcBorders/>
            <w:shd w:fill="CCEEFF" w:val="clear"/>
            <w:vAlign w:val="bottom"/>
          </w:tcPr>
          <w:p>
            <w:pPr>
              <w:pStyle w:val="TableContents"/>
              <w:bidi w:val="0"/>
              <w:spacing w:before="0" w:after="283"/>
              <w:jc w:val="left"/>
              <w:rPr>
                <w:b/>
              </w:rPr>
            </w:pPr>
            <w:r>
              <w:rPr>
                <w:b/>
              </w:rPr>
              <w:t>% </w:t>
            </w:r>
          </w:p>
        </w:tc>
        <w:tc>
          <w:tcPr>
            <w:tcW w:w="16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26.1</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31.5</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center"/>
              <w:rPr>
                <w:b/>
              </w:rPr>
            </w:pPr>
            <w:r>
              <w:rPr>
                <w:b/>
              </w:rPr>
              <w:t>860 bps</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center"/>
              <w:rPr/>
            </w:pPr>
            <w:r>
              <w:rPr/>
              <w:t>324 bps</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These are non-GAAP financial measures. See reconciliation in the section “Supplementary Information” for details.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9"/>
        <w:gridCol w:w="9996"/>
      </w:tblGrid>
      <w:tr>
        <w:trPr/>
        <w:tc>
          <w:tcPr>
            <w:tcW w:w="209" w:type="dxa"/>
            <w:tcBorders/>
          </w:tcPr>
          <w:p>
            <w:pPr>
              <w:pStyle w:val="TableContents"/>
              <w:bidi w:val="0"/>
              <w:spacing w:before="0" w:after="283"/>
              <w:jc w:val="left"/>
              <w:rPr/>
            </w:pPr>
            <w:r>
              <w:rPr/>
              <w:t>n/m</w:t>
            </w:r>
          </w:p>
        </w:tc>
        <w:tc>
          <w:tcPr>
            <w:tcW w:w="9996" w:type="dxa"/>
            <w:tcBorders/>
          </w:tcPr>
          <w:p>
            <w:pPr>
              <w:pStyle w:val="TableContents"/>
              <w:bidi w:val="0"/>
              <w:spacing w:before="0" w:after="0"/>
              <w:jc w:val="left"/>
              <w:rPr>
                <w:rFonts w:ascii="Arial" w:hAnsi="Arial"/>
                <w:sz w:val="20"/>
              </w:rPr>
            </w:pPr>
            <w:r>
              <w:rPr>
                <w:rFonts w:ascii="Arial" w:hAnsi="Arial"/>
                <w:sz w:val="20"/>
              </w:rPr>
              <w:t xml:space="preserve">= not meaningful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59"/>
        <w:gridCol w:w="255"/>
        <w:gridCol w:w="223"/>
        <w:gridCol w:w="608"/>
        <w:gridCol w:w="60"/>
        <w:gridCol w:w="255"/>
        <w:gridCol w:w="223"/>
        <w:gridCol w:w="608"/>
        <w:gridCol w:w="60"/>
        <w:gridCol w:w="255"/>
        <w:gridCol w:w="207"/>
        <w:gridCol w:w="566"/>
        <w:gridCol w:w="60"/>
        <w:gridCol w:w="255"/>
        <w:gridCol w:w="115"/>
        <w:gridCol w:w="983"/>
        <w:gridCol w:w="60"/>
        <w:gridCol w:w="198"/>
        <w:gridCol w:w="120"/>
        <w:gridCol w:w="1166"/>
        <w:gridCol w:w="69"/>
      </w:tblGrid>
      <w:tr>
        <w:trPr/>
        <w:tc>
          <w:tcPr>
            <w:tcW w:w="3859"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859"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6022" w:type="dxa"/>
            <w:gridSpan w:val="18"/>
            <w:tcBorders/>
            <w:vAlign w:val="bottom"/>
          </w:tcPr>
          <w:p>
            <w:pPr>
              <w:pStyle w:val="TableContents"/>
              <w:bidi w:val="0"/>
              <w:spacing w:before="0" w:after="283"/>
              <w:jc w:val="right"/>
              <w:rPr/>
            </w:pPr>
            <w:r>
              <w:rPr/>
              <w:t>(Stated in millions)</w:t>
            </w:r>
          </w:p>
        </w:tc>
        <w:tc>
          <w:tcPr>
            <w:tcW w:w="69" w:type="dxa"/>
            <w:tcBorders/>
            <w:vAlign w:val="bottom"/>
          </w:tcPr>
          <w:p>
            <w:pPr>
              <w:pStyle w:val="TableContents"/>
              <w:bidi w:val="0"/>
              <w:spacing w:before="0" w:after="283"/>
              <w:jc w:val="left"/>
              <w:rPr/>
            </w:pPr>
            <w:r>
              <w:rPr/>
              <w:t> </w:t>
            </w:r>
          </w:p>
        </w:tc>
      </w:tr>
      <w:tr>
        <w:trPr/>
        <w:tc>
          <w:tcPr>
            <w:tcW w:w="3859"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306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6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9" w:type="dxa"/>
            <w:tcBorders/>
            <w:vAlign w:val="bottom"/>
          </w:tcPr>
          <w:p>
            <w:pPr>
              <w:pStyle w:val="TableContents"/>
              <w:bidi w:val="0"/>
              <w:spacing w:before="0" w:after="283"/>
              <w:jc w:val="left"/>
              <w:rPr/>
            </w:pPr>
            <w:r>
              <w:rPr/>
              <w:t> </w:t>
            </w:r>
          </w:p>
        </w:tc>
      </w:tr>
      <w:tr>
        <w:trPr/>
        <w:tc>
          <w:tcPr>
            <w:tcW w:w="3859"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2026</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pPr>
            <w:r>
              <w:rPr/>
              <w:t>Mar. 31,</w:t>
              <w:br/>
              <w:t>2026</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2025</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0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69" w:type="dxa"/>
            <w:tcBorders/>
            <w:vAlign w:val="bottom"/>
          </w:tcPr>
          <w:p>
            <w:pPr>
              <w:pStyle w:val="TableContents"/>
              <w:bidi w:val="0"/>
              <w:spacing w:before="0" w:after="283"/>
              <w:jc w:val="left"/>
              <w:rPr/>
            </w:pPr>
            <w:r>
              <w:rPr/>
              <w:t> </w:t>
            </w:r>
          </w:p>
        </w:tc>
      </w:tr>
      <w:tr>
        <w:trPr/>
        <w:tc>
          <w:tcPr>
            <w:tcW w:w="3859"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25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5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1166"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859" w:type="dxa"/>
            <w:tcBorders/>
          </w:tcPr>
          <w:p>
            <w:pPr>
              <w:pStyle w:val="TableContents"/>
              <w:bidi w:val="0"/>
              <w:spacing w:before="0" w:after="0"/>
              <w:jc w:val="left"/>
              <w:rPr>
                <w:rFonts w:ascii="Arial" w:hAnsi="Arial"/>
                <w:sz w:val="20"/>
              </w:rPr>
            </w:pPr>
            <w:r>
              <w:rPr>
                <w:rFonts w:ascii="Arial" w:hAnsi="Arial"/>
                <w:sz w:val="20"/>
              </w:rPr>
              <w:t>Platforms &amp; Applications</w:t>
            </w:r>
          </w:p>
        </w:tc>
        <w:tc>
          <w:tcPr>
            <w:tcW w:w="2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b/>
              </w:rPr>
            </w:pPr>
            <w:r>
              <w:rPr>
                <w:b/>
              </w:rPr>
              <w:t>$</w:t>
            </w:r>
          </w:p>
        </w:tc>
        <w:tc>
          <w:tcPr>
            <w:tcW w:w="608" w:type="dxa"/>
            <w:tcBorders/>
            <w:vAlign w:val="bottom"/>
          </w:tcPr>
          <w:p>
            <w:pPr>
              <w:pStyle w:val="TableContents"/>
              <w:bidi w:val="0"/>
              <w:spacing w:before="0" w:after="283"/>
              <w:jc w:val="right"/>
              <w:rPr>
                <w:b/>
              </w:rPr>
            </w:pPr>
            <w:r>
              <w:rPr>
                <w:b/>
              </w:rPr>
              <w:t>258</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608" w:type="dxa"/>
            <w:tcBorders/>
            <w:vAlign w:val="bottom"/>
          </w:tcPr>
          <w:p>
            <w:pPr>
              <w:pStyle w:val="TableContents"/>
              <w:bidi w:val="0"/>
              <w:spacing w:before="0" w:after="283"/>
              <w:jc w:val="right"/>
              <w:rPr/>
            </w:pPr>
            <w:r>
              <w:rPr/>
              <w:t>241</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266</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center"/>
              <w:rPr>
                <w:b/>
              </w:rPr>
            </w:pPr>
            <w:r>
              <w:rPr>
                <w:b/>
              </w:rPr>
              <w:t>7%</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center"/>
              <w:rPr/>
            </w:pPr>
            <w:r>
              <w:rPr/>
              <w:t>-3%</w:t>
            </w:r>
          </w:p>
        </w:tc>
        <w:tc>
          <w:tcPr>
            <w:tcW w:w="69" w:type="dxa"/>
            <w:tcBorders/>
            <w:vAlign w:val="bottom"/>
          </w:tcPr>
          <w:p>
            <w:pPr>
              <w:pStyle w:val="TableContents"/>
              <w:bidi w:val="0"/>
              <w:spacing w:before="0" w:after="283"/>
              <w:jc w:val="left"/>
              <w:rPr/>
            </w:pPr>
            <w:r>
              <w:rPr/>
              <w:t> </w:t>
            </w:r>
          </w:p>
        </w:tc>
      </w:tr>
      <w:tr>
        <w:trPr/>
        <w:tc>
          <w:tcPr>
            <w:tcW w:w="3859" w:type="dxa"/>
            <w:tcBorders/>
            <w:shd w:fill="CCEEFF" w:val="clear"/>
          </w:tcPr>
          <w:p>
            <w:pPr>
              <w:pStyle w:val="TableContents"/>
              <w:bidi w:val="0"/>
              <w:spacing w:before="0" w:after="0"/>
              <w:jc w:val="left"/>
              <w:rPr>
                <w:rFonts w:ascii="Arial" w:hAnsi="Arial"/>
                <w:sz w:val="20"/>
              </w:rPr>
            </w:pPr>
            <w:r>
              <w:rPr>
                <w:rFonts w:ascii="Arial" w:hAnsi="Arial"/>
                <w:sz w:val="20"/>
              </w:rPr>
              <w:t>Digital Operations</w:t>
            </w:r>
          </w:p>
        </w:tc>
        <w:tc>
          <w:tcPr>
            <w:tcW w:w="25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b/>
              </w:rPr>
            </w:pPr>
            <w:r>
              <w:rPr>
                <w:b/>
              </w:rPr>
              <w:t>148</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143</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94</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center"/>
              <w:rPr>
                <w:b/>
              </w:rPr>
            </w:pPr>
            <w:r>
              <w:rPr>
                <w:b/>
              </w:rPr>
              <w:t>3%</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center"/>
              <w:rPr/>
            </w:pPr>
            <w:r>
              <w:rPr/>
              <w:t>57%</w:t>
            </w:r>
          </w:p>
        </w:tc>
        <w:tc>
          <w:tcPr>
            <w:tcW w:w="69" w:type="dxa"/>
            <w:tcBorders/>
            <w:shd w:fill="CCEEFF" w:val="clear"/>
            <w:vAlign w:val="bottom"/>
          </w:tcPr>
          <w:p>
            <w:pPr>
              <w:pStyle w:val="TableContents"/>
              <w:bidi w:val="0"/>
              <w:spacing w:before="0" w:after="283"/>
              <w:jc w:val="left"/>
              <w:rPr/>
            </w:pPr>
            <w:r>
              <w:rPr/>
              <w:t> </w:t>
            </w:r>
          </w:p>
        </w:tc>
      </w:tr>
      <w:tr>
        <w:trPr/>
        <w:tc>
          <w:tcPr>
            <w:tcW w:w="3859" w:type="dxa"/>
            <w:tcBorders/>
          </w:tcPr>
          <w:p>
            <w:pPr>
              <w:pStyle w:val="TableContents"/>
              <w:bidi w:val="0"/>
              <w:spacing w:before="0" w:after="0"/>
              <w:jc w:val="left"/>
              <w:rPr>
                <w:rFonts w:ascii="Arial" w:hAnsi="Arial"/>
                <w:sz w:val="20"/>
              </w:rPr>
            </w:pPr>
            <w:r>
              <w:rPr>
                <w:rFonts w:ascii="Arial" w:hAnsi="Arial"/>
                <w:sz w:val="20"/>
              </w:rPr>
              <w:t>Digital Exploration</w:t>
            </w:r>
          </w:p>
        </w:tc>
        <w:tc>
          <w:tcPr>
            <w:tcW w:w="2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b/>
              </w:rPr>
            </w:pPr>
            <w:r>
              <w:rPr>
                <w:b/>
              </w:rPr>
              <w:t>126</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center"/>
              <w:rPr>
                <w:b/>
              </w:rPr>
            </w:pPr>
            <w:r>
              <w:rPr>
                <w:b/>
              </w:rPr>
              <w:t>25%</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center"/>
              <w:rPr/>
            </w:pPr>
            <w:r>
              <w:rPr/>
              <w:t>100%</w:t>
            </w:r>
          </w:p>
        </w:tc>
        <w:tc>
          <w:tcPr>
            <w:tcW w:w="69" w:type="dxa"/>
            <w:tcBorders/>
            <w:vAlign w:val="bottom"/>
          </w:tcPr>
          <w:p>
            <w:pPr>
              <w:pStyle w:val="TableContents"/>
              <w:bidi w:val="0"/>
              <w:spacing w:before="0" w:after="283"/>
              <w:jc w:val="left"/>
              <w:rPr/>
            </w:pPr>
            <w:r>
              <w:rPr/>
              <w:t> </w:t>
            </w:r>
          </w:p>
        </w:tc>
      </w:tr>
      <w:tr>
        <w:trPr/>
        <w:tc>
          <w:tcPr>
            <w:tcW w:w="3859" w:type="dxa"/>
            <w:tcBorders/>
            <w:shd w:fill="CCEEFF" w:val="clear"/>
          </w:tcPr>
          <w:p>
            <w:pPr>
              <w:pStyle w:val="TableContents"/>
              <w:bidi w:val="0"/>
              <w:spacing w:before="0" w:after="0"/>
              <w:jc w:val="left"/>
              <w:rPr>
                <w:rFonts w:ascii="Arial" w:hAnsi="Arial"/>
                <w:sz w:val="20"/>
              </w:rPr>
            </w:pPr>
            <w:r>
              <w:rPr>
                <w:rFonts w:ascii="Arial" w:hAnsi="Arial"/>
                <w:sz w:val="20"/>
              </w:rPr>
              <w:t>Professional Services</w:t>
            </w:r>
          </w:p>
        </w:tc>
        <w:tc>
          <w:tcPr>
            <w:tcW w:w="25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b/>
              </w:rPr>
            </w:pPr>
            <w:r>
              <w:rPr>
                <w:b/>
              </w:rPr>
              <w:t>165</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155</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168</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center"/>
              <w:rPr>
                <w:b/>
              </w:rPr>
            </w:pPr>
            <w:r>
              <w:rPr>
                <w:b/>
              </w:rPr>
              <w:t>7%</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center"/>
              <w:rPr/>
            </w:pPr>
            <w:r>
              <w:rPr/>
              <w:t>-1%</w:t>
            </w:r>
          </w:p>
        </w:tc>
        <w:tc>
          <w:tcPr>
            <w:tcW w:w="69" w:type="dxa"/>
            <w:tcBorders/>
            <w:shd w:fill="CCEEFF" w:val="clear"/>
            <w:vAlign w:val="bottom"/>
          </w:tcPr>
          <w:p>
            <w:pPr>
              <w:pStyle w:val="TableContents"/>
              <w:bidi w:val="0"/>
              <w:spacing w:before="0" w:after="283"/>
              <w:jc w:val="left"/>
              <w:rPr/>
            </w:pPr>
            <w:r>
              <w:rPr/>
              <w:t> </w:t>
            </w:r>
          </w:p>
        </w:tc>
      </w:tr>
      <w:tr>
        <w:trPr/>
        <w:tc>
          <w:tcPr>
            <w:tcW w:w="3859"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859" w:type="dxa"/>
            <w:tcBorders/>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b/>
              </w:rPr>
            </w:pPr>
            <w:r>
              <w:rPr>
                <w:b/>
              </w:rPr>
              <w:t>$</w:t>
            </w:r>
          </w:p>
        </w:tc>
        <w:tc>
          <w:tcPr>
            <w:tcW w:w="608" w:type="dxa"/>
            <w:tcBorders/>
            <w:vAlign w:val="bottom"/>
          </w:tcPr>
          <w:p>
            <w:pPr>
              <w:pStyle w:val="TableContents"/>
              <w:bidi w:val="0"/>
              <w:spacing w:before="0" w:after="283"/>
              <w:jc w:val="right"/>
              <w:rPr>
                <w:b/>
              </w:rPr>
            </w:pPr>
            <w:r>
              <w:rPr>
                <w:b/>
              </w:rPr>
              <w:t>697</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608" w:type="dxa"/>
            <w:tcBorders/>
            <w:vAlign w:val="bottom"/>
          </w:tcPr>
          <w:p>
            <w:pPr>
              <w:pStyle w:val="TableContents"/>
              <w:bidi w:val="0"/>
              <w:spacing w:before="0" w:after="283"/>
              <w:jc w:val="right"/>
              <w:rPr/>
            </w:pPr>
            <w:r>
              <w:rPr/>
              <w:t>640</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591</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center"/>
              <w:rPr>
                <w:b/>
              </w:rPr>
            </w:pPr>
            <w:r>
              <w:rPr>
                <w:b/>
              </w:rPr>
              <w:t>9%</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center"/>
              <w:rPr/>
            </w:pPr>
            <w:r>
              <w:rPr/>
              <w:t>18%</w:t>
            </w:r>
          </w:p>
        </w:tc>
        <w:tc>
          <w:tcPr>
            <w:tcW w:w="69" w:type="dxa"/>
            <w:tcBorders/>
            <w:vAlign w:val="bottom"/>
          </w:tcPr>
          <w:p>
            <w:pPr>
              <w:pStyle w:val="TableContents"/>
              <w:bidi w:val="0"/>
              <w:spacing w:before="0" w:after="283"/>
              <w:jc w:val="left"/>
              <w:rPr/>
            </w:pPr>
            <w:r>
              <w:rPr/>
              <w:t> </w:t>
            </w:r>
          </w:p>
        </w:tc>
      </w:tr>
      <w:tr>
        <w:trPr/>
        <w:tc>
          <w:tcPr>
            <w:tcW w:w="3859"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6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6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5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Digital second-quarter 2026 results include $34 million of revenue from ChampionX. </w:t>
      </w:r>
    </w:p>
    <w:p>
      <w:pPr>
        <w:pStyle w:val="TextBody"/>
        <w:bidi w:val="0"/>
        <w:spacing w:before="240" w:after="0"/>
        <w:jc w:val="left"/>
        <w:rPr>
          <w:rFonts w:ascii="Arial" w:hAnsi="Arial"/>
          <w:sz w:val="20"/>
        </w:rPr>
      </w:pPr>
      <w:r>
        <w:rPr>
          <w:rFonts w:ascii="Arial" w:hAnsi="Arial"/>
          <w:sz w:val="20"/>
        </w:rPr>
        <w:t xml:space="preserve">n/m = not meaningful </w:t>
      </w:r>
    </w:p>
    <w:p>
      <w:pPr>
        <w:pStyle w:val="TextBody"/>
        <w:bidi w:val="0"/>
        <w:spacing w:before="240" w:after="0"/>
        <w:jc w:val="left"/>
        <w:rPr>
          <w:rFonts w:ascii="Arial" w:hAnsi="Arial"/>
          <w:sz w:val="20"/>
        </w:rPr>
      </w:pPr>
      <w:r>
        <w:rPr>
          <w:rFonts w:ascii="Arial" w:hAnsi="Arial"/>
          <w:sz w:val="20"/>
        </w:rPr>
        <w:t xml:space="preserve">Digital revenue of $697 million increased 9% sequentially, driven by a 25% increase in Digital Exploration revenue resulting from higher sales of exploration data licenses and transfer fees in Brazil and Indonesia. Sequential growth also benefited from higher sales in Platforms &amp; Applications, increased Professional Services and increased adoption of Digital Operations. </w:t>
      </w:r>
    </w:p>
    <w:p>
      <w:pPr>
        <w:pStyle w:val="TextBody"/>
        <w:bidi w:val="0"/>
        <w:spacing w:before="240" w:after="0"/>
        <w:jc w:val="left"/>
        <w:rPr>
          <w:rFonts w:ascii="Arial" w:hAnsi="Arial"/>
          <w:sz w:val="20"/>
        </w:rPr>
      </w:pPr>
      <w:r>
        <w:rPr>
          <w:rFonts w:ascii="Arial" w:hAnsi="Arial"/>
          <w:sz w:val="20"/>
        </w:rPr>
        <w:t xml:space="preserve">Year on year, revenue increased primarily due to growth in Digital Exploration, supported by strong sales in Brazil and Indonesia. Growth was also aided by an increase in Digital Operations revenue. The slight decline in Platforms &amp; Applications was due to lower sales of perpetual licenses, partially offset by growth in SaaS-based revenue. </w:t>
      </w:r>
    </w:p>
    <w:p>
      <w:pPr>
        <w:pStyle w:val="TextBody"/>
        <w:bidi w:val="0"/>
        <w:spacing w:before="240" w:after="0"/>
        <w:jc w:val="left"/>
        <w:rPr>
          <w:rFonts w:ascii="Arial" w:hAnsi="Arial"/>
          <w:sz w:val="20"/>
        </w:rPr>
      </w:pPr>
      <w:r>
        <w:rPr>
          <w:rFonts w:ascii="Arial" w:hAnsi="Arial"/>
          <w:sz w:val="20"/>
        </w:rPr>
        <w:t xml:space="preserve">Annualized Recurring Revenue (ARR) for the Digital Division was $1.04 billion as of June 30, 2026, representing a 15% increase year on year compared with $904 million as of June 30, 2025. </w:t>
      </w:r>
    </w:p>
    <w:p>
      <w:pPr>
        <w:pStyle w:val="TextBody"/>
        <w:bidi w:val="0"/>
        <w:spacing w:before="240" w:after="0"/>
        <w:jc w:val="left"/>
        <w:rPr>
          <w:rFonts w:ascii="Arial" w:hAnsi="Arial"/>
          <w:sz w:val="20"/>
        </w:rPr>
      </w:pPr>
      <w:r>
        <w:rPr>
          <w:rFonts w:ascii="Arial" w:hAnsi="Arial"/>
          <w:sz w:val="20"/>
        </w:rPr>
        <w:t xml:space="preserve">Digital pretax operating margin was 28%, expanding 683 basis points (bps) sequentially, primarily due to higher sales of exploration data licenses and transfer fees, as well as improved profitability in Digital Operations and Platforms &amp; Applications. </w:t>
      </w:r>
    </w:p>
    <w:p>
      <w:pPr>
        <w:pStyle w:val="TextBody"/>
        <w:bidi w:val="0"/>
        <w:spacing w:before="240" w:after="0"/>
        <w:jc w:val="left"/>
        <w:rPr>
          <w:rFonts w:ascii="Arial" w:hAnsi="Arial"/>
          <w:sz w:val="20"/>
        </w:rPr>
      </w:pPr>
      <w:r>
        <w:rPr>
          <w:rFonts w:ascii="Arial" w:hAnsi="Arial"/>
          <w:sz w:val="20"/>
        </w:rPr>
        <w:t xml:space="preserve">Year on year, pretax operating margin expanded 187 bps, reflecting higher sales of exploration data licenses and transfer fees, together with increased profitability in Digital Operations and Platforms &amp; Applications. </w:t>
      </w:r>
    </w:p>
    <w:p>
      <w:pPr>
        <w:pStyle w:val="TextBody"/>
        <w:bidi w:val="0"/>
        <w:spacing w:before="240" w:after="0"/>
        <w:jc w:val="left"/>
        <w:rPr>
          <w:rFonts w:ascii="Arial" w:hAnsi="Arial"/>
          <w:sz w:val="20"/>
        </w:rPr>
      </w:pPr>
      <w:r>
        <w:rPr>
          <w:rFonts w:ascii="Arial" w:hAnsi="Arial"/>
          <w:sz w:val="20"/>
        </w:rPr>
        <w:t xml:space="preserve">For a description of the revenue categories comprising the Digital Division, please refer to Question 10 of the Supplementary Information. Revenue, pretax operating income, and adjusted EBITDA for the Digital Division for the first six months of 2026 and 2025 are provided in Question 11. For the definition of ARR, please refer to Question 12.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Reservoir Performance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7"/>
        <w:gridCol w:w="187"/>
        <w:gridCol w:w="166"/>
        <w:gridCol w:w="666"/>
        <w:gridCol w:w="322"/>
        <w:gridCol w:w="134"/>
        <w:gridCol w:w="166"/>
        <w:gridCol w:w="666"/>
        <w:gridCol w:w="283"/>
        <w:gridCol w:w="134"/>
        <w:gridCol w:w="153"/>
        <w:gridCol w:w="624"/>
        <w:gridCol w:w="283"/>
        <w:gridCol w:w="134"/>
        <w:gridCol w:w="69"/>
        <w:gridCol w:w="1058"/>
        <w:gridCol w:w="60"/>
        <w:gridCol w:w="134"/>
        <w:gridCol w:w="84"/>
        <w:gridCol w:w="1257"/>
        <w:gridCol w:w="68"/>
      </w:tblGrid>
      <w:tr>
        <w:trPr/>
        <w:tc>
          <w:tcPr>
            <w:tcW w:w="3557"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557"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393" w:type="dxa"/>
            <w:gridSpan w:val="18"/>
            <w:tcBorders/>
            <w:vAlign w:val="bottom"/>
          </w:tcPr>
          <w:p>
            <w:pPr>
              <w:pStyle w:val="TableContents"/>
              <w:bidi w:val="0"/>
              <w:spacing w:before="0" w:after="283"/>
              <w:jc w:val="right"/>
              <w:rPr/>
            </w:pPr>
            <w:r>
              <w:rPr/>
              <w:t>(Stated in millions)</w:t>
            </w:r>
          </w:p>
        </w:tc>
        <w:tc>
          <w:tcPr>
            <w:tcW w:w="68" w:type="dxa"/>
            <w:tcBorders/>
            <w:vAlign w:val="bottom"/>
          </w:tcPr>
          <w:p>
            <w:pPr>
              <w:pStyle w:val="TableContents"/>
              <w:bidi w:val="0"/>
              <w:spacing w:before="0" w:after="283"/>
              <w:jc w:val="left"/>
              <w:rPr/>
            </w:pPr>
            <w:r>
              <w:rPr/>
              <w:t> </w:t>
            </w:r>
          </w:p>
        </w:tc>
      </w:tr>
      <w:tr>
        <w:trPr/>
        <w:tc>
          <w:tcPr>
            <w:tcW w:w="3557"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331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83"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6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8" w:type="dxa"/>
            <w:tcBorders/>
            <w:vAlign w:val="bottom"/>
          </w:tcPr>
          <w:p>
            <w:pPr>
              <w:pStyle w:val="TableContents"/>
              <w:bidi w:val="0"/>
              <w:spacing w:before="0" w:after="283"/>
              <w:jc w:val="left"/>
              <w:rPr/>
            </w:pPr>
            <w:r>
              <w:rPr/>
              <w:t> </w:t>
            </w:r>
          </w:p>
        </w:tc>
      </w:tr>
      <w:tr>
        <w:trPr/>
        <w:tc>
          <w:tcPr>
            <w:tcW w:w="3557"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pPr>
            <w:r>
              <w:rPr>
                <w:b/>
              </w:rPr>
              <w:t>Jun. 30,</w:t>
            </w:r>
            <w:r>
              <w:rPr/>
              <w:br/>
            </w:r>
            <w:r>
              <w:rPr>
                <w:b/>
              </w:rPr>
              <w:t>2026</w:t>
            </w:r>
          </w:p>
        </w:tc>
        <w:tc>
          <w:tcPr>
            <w:tcW w:w="322"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pPr>
            <w:r>
              <w:rPr/>
              <w:t>Mar. 31,</w:t>
              <w:br/>
              <w:t>2026</w:t>
            </w:r>
          </w:p>
        </w:tc>
        <w:tc>
          <w:tcPr>
            <w:tcW w:w="283"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77"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2025</w:t>
            </w:r>
          </w:p>
        </w:tc>
        <w:tc>
          <w:tcPr>
            <w:tcW w:w="283"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341"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68" w:type="dxa"/>
            <w:tcBorders/>
            <w:vAlign w:val="bottom"/>
          </w:tcPr>
          <w:p>
            <w:pPr>
              <w:pStyle w:val="TableContents"/>
              <w:bidi w:val="0"/>
              <w:spacing w:before="0" w:after="283"/>
              <w:jc w:val="left"/>
              <w:rPr/>
            </w:pPr>
            <w:r>
              <w:rPr/>
              <w:t> </w:t>
            </w:r>
          </w:p>
        </w:tc>
      </w:tr>
      <w:tr>
        <w:trPr/>
        <w:tc>
          <w:tcPr>
            <w:tcW w:w="3557"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18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666"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666"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624"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5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557" w:type="dxa"/>
            <w:tcBorders/>
          </w:tcPr>
          <w:p>
            <w:pPr>
              <w:pStyle w:val="TableContents"/>
              <w:bidi w:val="0"/>
              <w:spacing w:before="0" w:after="0"/>
              <w:jc w:val="left"/>
              <w:rPr>
                <w:rFonts w:ascii="Arial" w:hAnsi="Arial"/>
                <w:sz w:val="20"/>
              </w:rPr>
            </w:pPr>
            <w:r>
              <w:rPr>
                <w:rFonts w:ascii="Arial" w:hAnsi="Arial"/>
                <w:sz w:val="20"/>
              </w:rPr>
              <w:t>International</w:t>
            </w:r>
          </w:p>
        </w:tc>
        <w:tc>
          <w:tcPr>
            <w:tcW w:w="18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b/>
              </w:rPr>
            </w:pPr>
            <w:r>
              <w:rPr>
                <w:b/>
              </w:rPr>
              <w:t>$</w:t>
            </w:r>
          </w:p>
        </w:tc>
        <w:tc>
          <w:tcPr>
            <w:tcW w:w="666" w:type="dxa"/>
            <w:tcBorders/>
            <w:vAlign w:val="bottom"/>
          </w:tcPr>
          <w:p>
            <w:pPr>
              <w:pStyle w:val="TableContents"/>
              <w:bidi w:val="0"/>
              <w:spacing w:before="0" w:after="283"/>
              <w:jc w:val="right"/>
              <w:rPr>
                <w:b/>
              </w:rPr>
            </w:pPr>
            <w:r>
              <w:rPr>
                <w:b/>
              </w:rPr>
              <w:t>1,409</w:t>
            </w:r>
          </w:p>
        </w:tc>
        <w:tc>
          <w:tcPr>
            <w:tcW w:w="322"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66" w:type="dxa"/>
            <w:tcBorders/>
            <w:vAlign w:val="bottom"/>
          </w:tcPr>
          <w:p>
            <w:pPr>
              <w:pStyle w:val="TableContents"/>
              <w:bidi w:val="0"/>
              <w:spacing w:before="0" w:after="283"/>
              <w:jc w:val="right"/>
              <w:rPr/>
            </w:pPr>
            <w:r>
              <w:rPr/>
              <w:t>1,445</w:t>
            </w:r>
          </w:p>
        </w:tc>
        <w:tc>
          <w:tcPr>
            <w:tcW w:w="283"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624" w:type="dxa"/>
            <w:tcBorders/>
            <w:vAlign w:val="bottom"/>
          </w:tcPr>
          <w:p>
            <w:pPr>
              <w:pStyle w:val="TableContents"/>
              <w:bidi w:val="0"/>
              <w:spacing w:before="0" w:after="283"/>
              <w:jc w:val="right"/>
              <w:rPr/>
            </w:pPr>
            <w:r>
              <w:rPr/>
              <w:t>1,541</w:t>
            </w:r>
          </w:p>
        </w:tc>
        <w:tc>
          <w:tcPr>
            <w:tcW w:w="283"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center"/>
              <w:rPr>
                <w:b/>
              </w:rPr>
            </w:pPr>
            <w:r>
              <w:rPr>
                <w:b/>
              </w:rPr>
              <w:t>-3%</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center"/>
              <w:rPr/>
            </w:pPr>
            <w:r>
              <w:rPr/>
              <w:t>-9%</w:t>
            </w:r>
          </w:p>
        </w:tc>
        <w:tc>
          <w:tcPr>
            <w:tcW w:w="68" w:type="dxa"/>
            <w:tcBorders/>
            <w:vAlign w:val="bottom"/>
          </w:tcPr>
          <w:p>
            <w:pPr>
              <w:pStyle w:val="TableContents"/>
              <w:bidi w:val="0"/>
              <w:spacing w:before="0" w:after="283"/>
              <w:jc w:val="left"/>
              <w:rPr/>
            </w:pPr>
            <w:r>
              <w:rPr/>
              <w:t> </w:t>
            </w:r>
          </w:p>
        </w:tc>
      </w:tr>
      <w:tr>
        <w:trPr/>
        <w:tc>
          <w:tcPr>
            <w:tcW w:w="3557"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18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147</w:t>
            </w:r>
          </w:p>
        </w:tc>
        <w:tc>
          <w:tcPr>
            <w:tcW w:w="322"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143</w:t>
            </w:r>
          </w:p>
        </w:tc>
        <w:tc>
          <w:tcPr>
            <w:tcW w:w="283"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148</w:t>
            </w:r>
          </w:p>
        </w:tc>
        <w:tc>
          <w:tcPr>
            <w:tcW w:w="283"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center"/>
              <w:rPr>
                <w:b/>
              </w:rPr>
            </w:pPr>
            <w:r>
              <w:rPr>
                <w:b/>
              </w:rPr>
              <w:t>3%</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center"/>
              <w:rPr/>
            </w:pPr>
            <w:r>
              <w:rPr/>
              <w:t>-1%</w:t>
            </w:r>
          </w:p>
        </w:tc>
        <w:tc>
          <w:tcPr>
            <w:tcW w:w="68" w:type="dxa"/>
            <w:tcBorders/>
            <w:shd w:fill="CCEEFF" w:val="clear"/>
            <w:vAlign w:val="bottom"/>
          </w:tcPr>
          <w:p>
            <w:pPr>
              <w:pStyle w:val="TableContents"/>
              <w:bidi w:val="0"/>
              <w:spacing w:before="0" w:after="283"/>
              <w:jc w:val="left"/>
              <w:rPr/>
            </w:pPr>
            <w:r>
              <w:rPr/>
              <w:t> </w:t>
            </w:r>
          </w:p>
        </w:tc>
      </w:tr>
      <w:tr>
        <w:trPr/>
        <w:tc>
          <w:tcPr>
            <w:tcW w:w="3557" w:type="dxa"/>
            <w:tcBorders/>
          </w:tcPr>
          <w:p>
            <w:pPr>
              <w:pStyle w:val="TableContents"/>
              <w:bidi w:val="0"/>
              <w:spacing w:before="0" w:after="0"/>
              <w:jc w:val="left"/>
              <w:rPr>
                <w:rFonts w:ascii="Arial" w:hAnsi="Arial"/>
                <w:sz w:val="20"/>
              </w:rPr>
            </w:pPr>
            <w:r>
              <w:rPr>
                <w:rFonts w:ascii="Arial" w:hAnsi="Arial"/>
                <w:sz w:val="20"/>
              </w:rPr>
              <w:t>Other</w:t>
            </w:r>
          </w:p>
        </w:tc>
        <w:tc>
          <w:tcPr>
            <w:tcW w:w="18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b/>
              </w:rPr>
            </w:pPr>
            <w:r>
              <w:rPr>
                <w:b/>
              </w:rPr>
              <w:t>0</w:t>
            </w:r>
          </w:p>
        </w:tc>
        <w:tc>
          <w:tcPr>
            <w:tcW w:w="322"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6</w:t>
            </w:r>
          </w:p>
        </w:tc>
        <w:tc>
          <w:tcPr>
            <w:tcW w:w="283"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2</w:t>
            </w:r>
          </w:p>
        </w:tc>
        <w:tc>
          <w:tcPr>
            <w:tcW w:w="283"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center"/>
              <w:rPr>
                <w:b/>
              </w:rPr>
            </w:pPr>
            <w:r>
              <w:rPr>
                <w:b/>
              </w:rPr>
              <w:t>n/m</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center"/>
              <w:rPr/>
            </w:pPr>
            <w:r>
              <w:rPr/>
              <w:t>n/m</w:t>
            </w:r>
          </w:p>
        </w:tc>
        <w:tc>
          <w:tcPr>
            <w:tcW w:w="68" w:type="dxa"/>
            <w:tcBorders/>
            <w:vAlign w:val="bottom"/>
          </w:tcPr>
          <w:p>
            <w:pPr>
              <w:pStyle w:val="TableContents"/>
              <w:bidi w:val="0"/>
              <w:spacing w:before="0" w:after="283"/>
              <w:jc w:val="left"/>
              <w:rPr/>
            </w:pPr>
            <w:r>
              <w:rPr/>
              <w:t> </w:t>
            </w:r>
          </w:p>
        </w:tc>
      </w:tr>
      <w:tr>
        <w:trPr/>
        <w:tc>
          <w:tcPr>
            <w:tcW w:w="3557"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66"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66"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624"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5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557" w:type="dxa"/>
            <w:tcBorders/>
            <w:shd w:fill="CCEEFF" w:val="clear"/>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666" w:type="dxa"/>
            <w:tcBorders/>
            <w:shd w:fill="CCEEFF" w:val="clear"/>
            <w:vAlign w:val="bottom"/>
          </w:tcPr>
          <w:p>
            <w:pPr>
              <w:pStyle w:val="TableContents"/>
              <w:bidi w:val="0"/>
              <w:spacing w:before="0" w:after="283"/>
              <w:jc w:val="right"/>
              <w:rPr>
                <w:b/>
              </w:rPr>
            </w:pPr>
            <w:r>
              <w:rPr>
                <w:b/>
              </w:rPr>
              <w:t>1,556</w:t>
            </w:r>
          </w:p>
        </w:tc>
        <w:tc>
          <w:tcPr>
            <w:tcW w:w="322"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66" w:type="dxa"/>
            <w:tcBorders/>
            <w:shd w:fill="CCEEFF" w:val="clear"/>
            <w:vAlign w:val="bottom"/>
          </w:tcPr>
          <w:p>
            <w:pPr>
              <w:pStyle w:val="TableContents"/>
              <w:bidi w:val="0"/>
              <w:spacing w:before="0" w:after="283"/>
              <w:jc w:val="right"/>
              <w:rPr/>
            </w:pPr>
            <w:r>
              <w:rPr/>
              <w:t>1,594</w:t>
            </w:r>
          </w:p>
        </w:tc>
        <w:tc>
          <w:tcPr>
            <w:tcW w:w="283"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624" w:type="dxa"/>
            <w:tcBorders/>
            <w:shd w:fill="CCEEFF" w:val="clear"/>
            <w:vAlign w:val="bottom"/>
          </w:tcPr>
          <w:p>
            <w:pPr>
              <w:pStyle w:val="TableContents"/>
              <w:bidi w:val="0"/>
              <w:spacing w:before="0" w:after="283"/>
              <w:jc w:val="right"/>
              <w:rPr/>
            </w:pPr>
            <w:r>
              <w:rPr/>
              <w:t>1,691</w:t>
            </w:r>
          </w:p>
        </w:tc>
        <w:tc>
          <w:tcPr>
            <w:tcW w:w="283"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center"/>
              <w:rPr>
                <w:b/>
              </w:rPr>
            </w:pPr>
            <w:r>
              <w:rPr>
                <w:b/>
              </w:rPr>
              <w:t>-2%</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center"/>
              <w:rPr/>
            </w:pPr>
            <w:r>
              <w:rPr/>
              <w:t>-8%</w:t>
            </w:r>
          </w:p>
        </w:tc>
        <w:tc>
          <w:tcPr>
            <w:tcW w:w="68" w:type="dxa"/>
            <w:tcBorders/>
            <w:shd w:fill="CCEEFF" w:val="clear"/>
            <w:vAlign w:val="bottom"/>
          </w:tcPr>
          <w:p>
            <w:pPr>
              <w:pStyle w:val="TableContents"/>
              <w:bidi w:val="0"/>
              <w:spacing w:before="0" w:after="283"/>
              <w:jc w:val="left"/>
              <w:rPr/>
            </w:pPr>
            <w:r>
              <w:rPr/>
              <w:t> </w:t>
            </w:r>
          </w:p>
        </w:tc>
      </w:tr>
      <w:tr>
        <w:trPr/>
        <w:tc>
          <w:tcPr>
            <w:tcW w:w="3557"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24"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57"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557" w:type="dxa"/>
            <w:tcBorders/>
          </w:tcPr>
          <w:p>
            <w:pPr>
              <w:pStyle w:val="TableContents"/>
              <w:bidi w:val="0"/>
              <w:spacing w:before="0" w:after="0"/>
              <w:jc w:val="left"/>
              <w:rPr>
                <w:rFonts w:ascii="Arial" w:hAnsi="Arial"/>
                <w:sz w:val="20"/>
              </w:rPr>
            </w:pPr>
            <w:r>
              <w:rPr>
                <w:rFonts w:ascii="Arial" w:hAnsi="Arial"/>
                <w:sz w:val="20"/>
              </w:rPr>
              <w:t>Pretax operating income</w:t>
            </w:r>
          </w:p>
        </w:tc>
        <w:tc>
          <w:tcPr>
            <w:tcW w:w="18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b/>
              </w:rPr>
            </w:pPr>
            <w:r>
              <w:rPr>
                <w:b/>
              </w:rPr>
              <w:t>$</w:t>
            </w:r>
          </w:p>
        </w:tc>
        <w:tc>
          <w:tcPr>
            <w:tcW w:w="666" w:type="dxa"/>
            <w:tcBorders/>
            <w:vAlign w:val="bottom"/>
          </w:tcPr>
          <w:p>
            <w:pPr>
              <w:pStyle w:val="TableContents"/>
              <w:bidi w:val="0"/>
              <w:spacing w:before="0" w:after="283"/>
              <w:jc w:val="right"/>
              <w:rPr>
                <w:b/>
              </w:rPr>
            </w:pPr>
            <w:r>
              <w:rPr>
                <w:b/>
              </w:rPr>
              <w:t>232</w:t>
            </w:r>
          </w:p>
        </w:tc>
        <w:tc>
          <w:tcPr>
            <w:tcW w:w="322"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66" w:type="dxa"/>
            <w:tcBorders/>
            <w:vAlign w:val="bottom"/>
          </w:tcPr>
          <w:p>
            <w:pPr>
              <w:pStyle w:val="TableContents"/>
              <w:bidi w:val="0"/>
              <w:spacing w:before="0" w:after="283"/>
              <w:jc w:val="right"/>
              <w:rPr/>
            </w:pPr>
            <w:r>
              <w:rPr/>
              <w:t>257</w:t>
            </w:r>
          </w:p>
        </w:tc>
        <w:tc>
          <w:tcPr>
            <w:tcW w:w="283"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624" w:type="dxa"/>
            <w:tcBorders/>
            <w:vAlign w:val="bottom"/>
          </w:tcPr>
          <w:p>
            <w:pPr>
              <w:pStyle w:val="TableContents"/>
              <w:bidi w:val="0"/>
              <w:spacing w:before="0" w:after="283"/>
              <w:jc w:val="right"/>
              <w:rPr/>
            </w:pPr>
            <w:r>
              <w:rPr/>
              <w:t>314</w:t>
            </w:r>
          </w:p>
        </w:tc>
        <w:tc>
          <w:tcPr>
            <w:tcW w:w="283"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center"/>
              <w:rPr>
                <w:b/>
              </w:rPr>
            </w:pPr>
            <w:r>
              <w:rPr>
                <w:b/>
              </w:rPr>
              <w:t>-10%</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center"/>
              <w:rPr/>
            </w:pPr>
            <w:r>
              <w:rPr/>
              <w:t>-26%</w:t>
            </w:r>
          </w:p>
        </w:tc>
        <w:tc>
          <w:tcPr>
            <w:tcW w:w="68" w:type="dxa"/>
            <w:tcBorders/>
            <w:vAlign w:val="bottom"/>
          </w:tcPr>
          <w:p>
            <w:pPr>
              <w:pStyle w:val="TableContents"/>
              <w:bidi w:val="0"/>
              <w:spacing w:before="0" w:after="283"/>
              <w:jc w:val="left"/>
              <w:rPr/>
            </w:pPr>
            <w:r>
              <w:rPr/>
              <w:t> </w:t>
            </w:r>
          </w:p>
        </w:tc>
      </w:tr>
      <w:tr>
        <w:trPr/>
        <w:tc>
          <w:tcPr>
            <w:tcW w:w="3557" w:type="dxa"/>
            <w:tcBorders/>
            <w:shd w:fill="CCEEFF" w:val="clear"/>
          </w:tcPr>
          <w:p>
            <w:pPr>
              <w:pStyle w:val="TableContents"/>
              <w:bidi w:val="0"/>
              <w:spacing w:before="0" w:after="0"/>
              <w:jc w:val="left"/>
              <w:rPr>
                <w:rFonts w:ascii="Arial" w:hAnsi="Arial"/>
                <w:sz w:val="20"/>
              </w:rPr>
            </w:pPr>
            <w:r>
              <w:rPr>
                <w:rFonts w:ascii="Arial" w:hAnsi="Arial"/>
                <w:sz w:val="20"/>
              </w:rPr>
              <w:t>Pretax operating margin</w:t>
            </w:r>
          </w:p>
        </w:tc>
        <w:tc>
          <w:tcPr>
            <w:tcW w:w="18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14.9</w:t>
            </w:r>
          </w:p>
        </w:tc>
        <w:tc>
          <w:tcPr>
            <w:tcW w:w="322" w:type="dxa"/>
            <w:tcBorders/>
            <w:shd w:fill="CCEEFF" w:val="clear"/>
            <w:vAlign w:val="bottom"/>
          </w:tcPr>
          <w:p>
            <w:pPr>
              <w:pStyle w:val="TableContents"/>
              <w:bidi w:val="0"/>
              <w:spacing w:before="0" w:after="283"/>
              <w:jc w:val="left"/>
              <w:rPr>
                <w:b/>
              </w:rPr>
            </w:pPr>
            <w:r>
              <w:rPr>
                <w:b/>
              </w:rPr>
              <w:t>% </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16.1</w:t>
            </w:r>
          </w:p>
        </w:tc>
        <w:tc>
          <w:tcPr>
            <w:tcW w:w="283"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18.6</w:t>
            </w:r>
          </w:p>
        </w:tc>
        <w:tc>
          <w:tcPr>
            <w:tcW w:w="283"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center"/>
              <w:rPr>
                <w:b/>
              </w:rPr>
            </w:pPr>
            <w:r>
              <w:rPr>
                <w:b/>
              </w:rPr>
              <w:t>-121 bps</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center"/>
              <w:rPr/>
            </w:pPr>
            <w:r>
              <w:rPr/>
              <w:t>-370 bps</w:t>
            </w:r>
          </w:p>
        </w:tc>
        <w:tc>
          <w:tcPr>
            <w:tcW w:w="68" w:type="dxa"/>
            <w:tcBorders/>
            <w:shd w:fill="CCEEFF" w:val="clear"/>
            <w:vAlign w:val="bottom"/>
          </w:tcPr>
          <w:p>
            <w:pPr>
              <w:pStyle w:val="TableContents"/>
              <w:bidi w:val="0"/>
              <w:spacing w:before="0" w:after="283"/>
              <w:jc w:val="left"/>
              <w:rPr/>
            </w:pPr>
            <w:r>
              <w:rPr/>
              <w:t> </w:t>
            </w:r>
          </w:p>
        </w:tc>
      </w:tr>
      <w:tr>
        <w:trPr/>
        <w:tc>
          <w:tcPr>
            <w:tcW w:w="3557" w:type="dxa"/>
            <w:tcBorders/>
          </w:tcPr>
          <w:p>
            <w:pPr>
              <w:pStyle w:val="TableContents"/>
              <w:bidi w:val="0"/>
              <w:spacing w:before="0" w:after="0"/>
              <w:jc w:val="left"/>
              <w:rPr>
                <w:rFonts w:ascii="Arial" w:hAnsi="Arial"/>
                <w:sz w:val="20"/>
              </w:rPr>
            </w:pPr>
            <w:r>
              <w:rPr>
                <w:rFonts w:ascii="Arial" w:hAnsi="Arial"/>
                <w:sz w:val="20"/>
              </w:rPr>
              <w:t>Adjusted EBITDA*</w:t>
            </w:r>
          </w:p>
        </w:tc>
        <w:tc>
          <w:tcPr>
            <w:tcW w:w="18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b/>
              </w:rPr>
            </w:pPr>
            <w:r>
              <w:rPr>
                <w:b/>
              </w:rPr>
              <w:t>349</w:t>
            </w:r>
          </w:p>
        </w:tc>
        <w:tc>
          <w:tcPr>
            <w:tcW w:w="322"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369</w:t>
            </w:r>
          </w:p>
        </w:tc>
        <w:tc>
          <w:tcPr>
            <w:tcW w:w="283"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421</w:t>
            </w:r>
          </w:p>
        </w:tc>
        <w:tc>
          <w:tcPr>
            <w:tcW w:w="283"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center"/>
              <w:rPr>
                <w:b/>
              </w:rPr>
            </w:pPr>
            <w:r>
              <w:rPr>
                <w:b/>
              </w:rPr>
              <w:t>-5%</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center"/>
              <w:rPr/>
            </w:pPr>
            <w:r>
              <w:rPr/>
              <w:t>-17%</w:t>
            </w:r>
          </w:p>
        </w:tc>
        <w:tc>
          <w:tcPr>
            <w:tcW w:w="68" w:type="dxa"/>
            <w:tcBorders/>
            <w:vAlign w:val="bottom"/>
          </w:tcPr>
          <w:p>
            <w:pPr>
              <w:pStyle w:val="TableContents"/>
              <w:bidi w:val="0"/>
              <w:spacing w:before="0" w:after="283"/>
              <w:jc w:val="left"/>
              <w:rPr/>
            </w:pPr>
            <w:r>
              <w:rPr/>
              <w:t> </w:t>
            </w:r>
          </w:p>
        </w:tc>
      </w:tr>
      <w:tr>
        <w:trPr/>
        <w:tc>
          <w:tcPr>
            <w:tcW w:w="3557" w:type="dxa"/>
            <w:tcBorders/>
            <w:shd w:fill="CCEEFF" w:val="clear"/>
          </w:tcPr>
          <w:p>
            <w:pPr>
              <w:pStyle w:val="TableContents"/>
              <w:bidi w:val="0"/>
              <w:spacing w:before="0" w:after="0"/>
              <w:jc w:val="left"/>
              <w:rPr>
                <w:rFonts w:ascii="Arial" w:hAnsi="Arial"/>
                <w:sz w:val="20"/>
              </w:rPr>
            </w:pPr>
            <w:r>
              <w:rPr>
                <w:rFonts w:ascii="Arial" w:hAnsi="Arial"/>
                <w:sz w:val="20"/>
              </w:rPr>
              <w:t>Adjusted EBITDA margin*</w:t>
            </w:r>
          </w:p>
        </w:tc>
        <w:tc>
          <w:tcPr>
            <w:tcW w:w="18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22.4</w:t>
            </w:r>
          </w:p>
        </w:tc>
        <w:tc>
          <w:tcPr>
            <w:tcW w:w="322" w:type="dxa"/>
            <w:tcBorders/>
            <w:shd w:fill="CCEEFF" w:val="clear"/>
            <w:vAlign w:val="bottom"/>
          </w:tcPr>
          <w:p>
            <w:pPr>
              <w:pStyle w:val="TableContents"/>
              <w:bidi w:val="0"/>
              <w:spacing w:before="0" w:after="283"/>
              <w:jc w:val="left"/>
              <w:rPr>
                <w:b/>
              </w:rPr>
            </w:pPr>
            <w:r>
              <w:rPr>
                <w:b/>
              </w:rPr>
              <w:t>% </w:t>
            </w:r>
          </w:p>
        </w:tc>
        <w:tc>
          <w:tcPr>
            <w:tcW w:w="13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23.1</w:t>
            </w:r>
          </w:p>
        </w:tc>
        <w:tc>
          <w:tcPr>
            <w:tcW w:w="283"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24.9</w:t>
            </w:r>
          </w:p>
        </w:tc>
        <w:tc>
          <w:tcPr>
            <w:tcW w:w="283"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center"/>
              <w:rPr>
                <w:b/>
              </w:rPr>
            </w:pPr>
            <w:r>
              <w:rPr>
                <w:b/>
              </w:rPr>
              <w:t>-73 bps</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center"/>
              <w:rPr/>
            </w:pPr>
            <w:r>
              <w:rPr/>
              <w:t>-248 bps</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These are non-GAAP financial measures. See reconciliation in the section “Supplementary Information” for details. </w:t>
            </w:r>
          </w:p>
        </w:tc>
      </w:tr>
    </w:tbl>
    <w:p>
      <w:pPr>
        <w:pStyle w:val="TextBody"/>
        <w:bidi w:val="0"/>
        <w:spacing w:before="240" w:after="0"/>
        <w:jc w:val="left"/>
        <w:rPr>
          <w:rFonts w:ascii="Arial" w:hAnsi="Arial"/>
          <w:sz w:val="20"/>
        </w:rPr>
      </w:pPr>
      <w:r>
        <w:rPr>
          <w:rFonts w:ascii="Arial" w:hAnsi="Arial"/>
          <w:sz w:val="20"/>
        </w:rPr>
        <w:t xml:space="preserve">n/m = not meaningful </w:t>
      </w:r>
    </w:p>
    <w:p>
      <w:pPr>
        <w:pStyle w:val="TextBody"/>
        <w:bidi w:val="0"/>
        <w:spacing w:before="240" w:after="0"/>
        <w:jc w:val="left"/>
        <w:rPr>
          <w:rFonts w:ascii="Arial" w:hAnsi="Arial"/>
          <w:sz w:val="20"/>
        </w:rPr>
      </w:pPr>
      <w:r>
        <w:rPr>
          <w:rFonts w:ascii="Arial" w:hAnsi="Arial"/>
          <w:sz w:val="20"/>
        </w:rPr>
        <w:t xml:space="preserve">Reservoir Performance revenue of $1.56 billion decreased 2% sequentially, primarily due to lower evaluation, stimulation and intervention activity resulting from operational disruptions related to the Middle East conflict. While activity in the Middle East began to recover in certain countries as conditions improved, operations in some Middle East countries remained constrained by production shut-ins and ongoing security challenges. In North America, revenue increased, led by stronger U.S. land activity, despite the impact of the Canadian spring breakup. Revenue in Latin America was slightly lower, as strong growth in offshore Mexico was more than offset by reduced stimulation and intervention activity in Argentina. Revenue in Europe &amp; Africa and Asia increased by double digits sequentially, driven by robust stimulation and intervention activity across the regions. </w:t>
      </w:r>
    </w:p>
    <w:p>
      <w:pPr>
        <w:pStyle w:val="TextBody"/>
        <w:bidi w:val="0"/>
        <w:spacing w:before="240" w:after="0"/>
        <w:jc w:val="left"/>
        <w:rPr>
          <w:rFonts w:ascii="Arial" w:hAnsi="Arial"/>
          <w:sz w:val="20"/>
        </w:rPr>
      </w:pPr>
      <w:r>
        <w:rPr>
          <w:rFonts w:ascii="Arial" w:hAnsi="Arial"/>
          <w:sz w:val="20"/>
        </w:rPr>
        <w:t xml:space="preserve">Year on year, revenue declined 8%, largely reflecting the impact of disruptions associated with the Middle East conflict. Revenue in Latin America was also lower, while revenue in Europe &amp; Africa and Asia increased and North America revenue remained relatively stable. </w:t>
      </w:r>
    </w:p>
    <w:p>
      <w:pPr>
        <w:pStyle w:val="TextBody"/>
        <w:bidi w:val="0"/>
        <w:spacing w:before="240" w:after="0"/>
        <w:jc w:val="left"/>
        <w:rPr>
          <w:rFonts w:ascii="Arial" w:hAnsi="Arial"/>
          <w:sz w:val="20"/>
        </w:rPr>
      </w:pPr>
      <w:r>
        <w:rPr>
          <w:rFonts w:ascii="Arial" w:hAnsi="Arial"/>
          <w:sz w:val="20"/>
        </w:rPr>
        <w:t xml:space="preserve">Reservoir Performance pretax operating margin of 15% contracted 121 bps sequentially primarily due to lower profitability in evaluation and intervention activities, partially offset by improved margins in stimulation. </w:t>
      </w:r>
    </w:p>
    <w:p>
      <w:pPr>
        <w:pStyle w:val="TextBody"/>
        <w:bidi w:val="0"/>
        <w:spacing w:before="240" w:after="0"/>
        <w:jc w:val="left"/>
        <w:rPr>
          <w:rFonts w:ascii="Arial" w:hAnsi="Arial"/>
          <w:sz w:val="20"/>
        </w:rPr>
      </w:pPr>
      <w:r>
        <w:rPr>
          <w:rFonts w:ascii="Arial" w:hAnsi="Arial"/>
          <w:sz w:val="20"/>
        </w:rPr>
        <w:t xml:space="preserve">Year on year, pretax operating margin contracted 370 bps, largely due to the operational disruptions in the Middle East.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Well Construction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02"/>
        <w:gridCol w:w="186"/>
        <w:gridCol w:w="166"/>
        <w:gridCol w:w="666"/>
        <w:gridCol w:w="322"/>
        <w:gridCol w:w="133"/>
        <w:gridCol w:w="166"/>
        <w:gridCol w:w="666"/>
        <w:gridCol w:w="283"/>
        <w:gridCol w:w="133"/>
        <w:gridCol w:w="154"/>
        <w:gridCol w:w="624"/>
        <w:gridCol w:w="283"/>
        <w:gridCol w:w="132"/>
        <w:gridCol w:w="87"/>
        <w:gridCol w:w="1042"/>
        <w:gridCol w:w="60"/>
        <w:gridCol w:w="133"/>
        <w:gridCol w:w="84"/>
        <w:gridCol w:w="1217"/>
        <w:gridCol w:w="66"/>
      </w:tblGrid>
      <w:tr>
        <w:trPr/>
        <w:tc>
          <w:tcPr>
            <w:tcW w:w="3602"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60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351" w:type="dxa"/>
            <w:gridSpan w:val="18"/>
            <w:tcBorders/>
            <w:vAlign w:val="bottom"/>
          </w:tcPr>
          <w:p>
            <w:pPr>
              <w:pStyle w:val="TableContents"/>
              <w:bidi w:val="0"/>
              <w:spacing w:before="0" w:after="283"/>
              <w:jc w:val="right"/>
              <w:rPr/>
            </w:pPr>
            <w:r>
              <w:rPr/>
              <w:t>(Stated in millions)</w:t>
            </w:r>
          </w:p>
        </w:tc>
        <w:tc>
          <w:tcPr>
            <w:tcW w:w="66" w:type="dxa"/>
            <w:tcBorders/>
            <w:vAlign w:val="bottom"/>
          </w:tcPr>
          <w:p>
            <w:pPr>
              <w:pStyle w:val="TableContents"/>
              <w:bidi w:val="0"/>
              <w:spacing w:before="0" w:after="283"/>
              <w:jc w:val="left"/>
              <w:rPr/>
            </w:pPr>
            <w:r>
              <w:rPr/>
              <w:t> </w:t>
            </w:r>
          </w:p>
        </w:tc>
      </w:tr>
      <w:tr>
        <w:trPr/>
        <w:tc>
          <w:tcPr>
            <w:tcW w:w="360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31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8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62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6" w:type="dxa"/>
            <w:tcBorders/>
            <w:vAlign w:val="bottom"/>
          </w:tcPr>
          <w:p>
            <w:pPr>
              <w:pStyle w:val="TableContents"/>
              <w:bidi w:val="0"/>
              <w:spacing w:before="0" w:after="283"/>
              <w:jc w:val="left"/>
              <w:rPr/>
            </w:pPr>
            <w:r>
              <w:rPr/>
              <w:t> </w:t>
            </w:r>
          </w:p>
        </w:tc>
      </w:tr>
      <w:tr>
        <w:trPr/>
        <w:tc>
          <w:tcPr>
            <w:tcW w:w="360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2026</w:t>
            </w:r>
          </w:p>
        </w:tc>
        <w:tc>
          <w:tcPr>
            <w:tcW w:w="322"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pPr>
            <w:r>
              <w:rPr/>
              <w:t>Mar. 31,</w:t>
              <w:br/>
              <w:t>2026</w:t>
            </w:r>
          </w:p>
        </w:tc>
        <w:tc>
          <w:tcPr>
            <w:tcW w:w="28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78"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2025</w:t>
            </w:r>
          </w:p>
        </w:tc>
        <w:tc>
          <w:tcPr>
            <w:tcW w:w="28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301"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66" w:type="dxa"/>
            <w:tcBorders/>
            <w:vAlign w:val="bottom"/>
          </w:tcPr>
          <w:p>
            <w:pPr>
              <w:pStyle w:val="TableContents"/>
              <w:bidi w:val="0"/>
              <w:spacing w:before="0" w:after="283"/>
              <w:jc w:val="left"/>
              <w:rPr/>
            </w:pPr>
            <w:r>
              <w:rPr/>
              <w:t> </w:t>
            </w:r>
          </w:p>
        </w:tc>
      </w:tr>
      <w:tr>
        <w:trPr/>
        <w:tc>
          <w:tcPr>
            <w:tcW w:w="3602"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18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666"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666"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24"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0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1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602" w:type="dxa"/>
            <w:tcBorders/>
          </w:tcPr>
          <w:p>
            <w:pPr>
              <w:pStyle w:val="TableContents"/>
              <w:bidi w:val="0"/>
              <w:spacing w:before="0" w:after="0"/>
              <w:jc w:val="left"/>
              <w:rPr>
                <w:rFonts w:ascii="Arial" w:hAnsi="Arial"/>
                <w:sz w:val="20"/>
              </w:rPr>
            </w:pPr>
            <w:r>
              <w:rPr>
                <w:rFonts w:ascii="Arial" w:hAnsi="Arial"/>
                <w:sz w:val="20"/>
              </w:rPr>
              <w:t>International</w:t>
            </w:r>
          </w:p>
        </w:tc>
        <w:tc>
          <w:tcPr>
            <w:tcW w:w="18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b/>
              </w:rPr>
            </w:pPr>
            <w:r>
              <w:rPr>
                <w:b/>
              </w:rPr>
              <w:t>$</w:t>
            </w:r>
          </w:p>
        </w:tc>
        <w:tc>
          <w:tcPr>
            <w:tcW w:w="666" w:type="dxa"/>
            <w:tcBorders/>
            <w:vAlign w:val="bottom"/>
          </w:tcPr>
          <w:p>
            <w:pPr>
              <w:pStyle w:val="TableContents"/>
              <w:bidi w:val="0"/>
              <w:spacing w:before="0" w:after="283"/>
              <w:jc w:val="right"/>
              <w:rPr>
                <w:b/>
              </w:rPr>
            </w:pPr>
            <w:r>
              <w:rPr>
                <w:b/>
              </w:rPr>
              <w:t>2,156</w:t>
            </w:r>
          </w:p>
        </w:tc>
        <w:tc>
          <w:tcPr>
            <w:tcW w:w="322"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66" w:type="dxa"/>
            <w:tcBorders/>
            <w:vAlign w:val="bottom"/>
          </w:tcPr>
          <w:p>
            <w:pPr>
              <w:pStyle w:val="TableContents"/>
              <w:bidi w:val="0"/>
              <w:spacing w:before="0" w:after="283"/>
              <w:jc w:val="right"/>
              <w:rPr/>
            </w:pPr>
            <w:r>
              <w:rPr/>
              <w:t>2,195</w:t>
            </w:r>
          </w:p>
        </w:tc>
        <w:tc>
          <w:tcPr>
            <w:tcW w:w="28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4" w:type="dxa"/>
            <w:tcBorders/>
            <w:vAlign w:val="bottom"/>
          </w:tcPr>
          <w:p>
            <w:pPr>
              <w:pStyle w:val="TableContents"/>
              <w:bidi w:val="0"/>
              <w:spacing w:before="0" w:after="283"/>
              <w:jc w:val="right"/>
              <w:rPr/>
            </w:pPr>
            <w:r>
              <w:rPr/>
              <w:t>2,394</w:t>
            </w:r>
          </w:p>
        </w:tc>
        <w:tc>
          <w:tcPr>
            <w:tcW w:w="28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center"/>
              <w:rPr>
                <w:b/>
              </w:rPr>
            </w:pPr>
            <w:r>
              <w:rPr>
                <w:b/>
              </w:rPr>
              <w:t>-2%</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center"/>
              <w:rPr/>
            </w:pPr>
            <w:r>
              <w:rPr/>
              <w:t>-10%</w:t>
            </w:r>
          </w:p>
        </w:tc>
        <w:tc>
          <w:tcPr>
            <w:tcW w:w="66" w:type="dxa"/>
            <w:tcBorders/>
            <w:vAlign w:val="bottom"/>
          </w:tcPr>
          <w:p>
            <w:pPr>
              <w:pStyle w:val="TableContents"/>
              <w:bidi w:val="0"/>
              <w:spacing w:before="0" w:after="283"/>
              <w:jc w:val="left"/>
              <w:rPr/>
            </w:pPr>
            <w:r>
              <w:rPr/>
              <w:t> </w:t>
            </w:r>
          </w:p>
        </w:tc>
      </w:tr>
      <w:tr>
        <w:trPr/>
        <w:tc>
          <w:tcPr>
            <w:tcW w:w="3602"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18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549</w:t>
            </w:r>
          </w:p>
        </w:tc>
        <w:tc>
          <w:tcPr>
            <w:tcW w:w="32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548</w:t>
            </w:r>
          </w:p>
        </w:tc>
        <w:tc>
          <w:tcPr>
            <w:tcW w:w="28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512</w:t>
            </w:r>
          </w:p>
        </w:tc>
        <w:tc>
          <w:tcPr>
            <w:tcW w:w="283"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center"/>
              <w:rPr>
                <w:b/>
              </w:rPr>
            </w:pPr>
            <w:r>
              <w:rPr>
                <w:b/>
              </w:rPr>
              <w:t>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center"/>
              <w:rPr/>
            </w:pPr>
            <w:r>
              <w:rPr/>
              <w:t>7%</w:t>
            </w:r>
          </w:p>
        </w:tc>
        <w:tc>
          <w:tcPr>
            <w:tcW w:w="66" w:type="dxa"/>
            <w:tcBorders/>
            <w:shd w:fill="CCEEFF" w:val="clear"/>
            <w:vAlign w:val="bottom"/>
          </w:tcPr>
          <w:p>
            <w:pPr>
              <w:pStyle w:val="TableContents"/>
              <w:bidi w:val="0"/>
              <w:spacing w:before="0" w:after="283"/>
              <w:jc w:val="left"/>
              <w:rPr/>
            </w:pPr>
            <w:r>
              <w:rPr/>
              <w:t> </w:t>
            </w:r>
          </w:p>
        </w:tc>
      </w:tr>
      <w:tr>
        <w:trPr/>
        <w:tc>
          <w:tcPr>
            <w:tcW w:w="3602" w:type="dxa"/>
            <w:tcBorders/>
          </w:tcPr>
          <w:p>
            <w:pPr>
              <w:pStyle w:val="TableContents"/>
              <w:bidi w:val="0"/>
              <w:spacing w:before="0" w:after="0"/>
              <w:jc w:val="left"/>
              <w:rPr>
                <w:rFonts w:ascii="Arial" w:hAnsi="Arial"/>
                <w:sz w:val="20"/>
              </w:rPr>
            </w:pPr>
            <w:r>
              <w:rPr>
                <w:rFonts w:ascii="Arial" w:hAnsi="Arial"/>
                <w:sz w:val="20"/>
              </w:rPr>
              <w:t>Other</w:t>
            </w:r>
          </w:p>
        </w:tc>
        <w:tc>
          <w:tcPr>
            <w:tcW w:w="18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b/>
              </w:rPr>
            </w:pPr>
            <w:r>
              <w:rPr>
                <w:b/>
              </w:rPr>
              <w:t>37</w:t>
            </w:r>
          </w:p>
        </w:tc>
        <w:tc>
          <w:tcPr>
            <w:tcW w:w="322"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54</w:t>
            </w:r>
          </w:p>
        </w:tc>
        <w:tc>
          <w:tcPr>
            <w:tcW w:w="28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57</w:t>
            </w:r>
          </w:p>
        </w:tc>
        <w:tc>
          <w:tcPr>
            <w:tcW w:w="28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center"/>
              <w:rPr>
                <w:b/>
              </w:rPr>
            </w:pPr>
            <w:r>
              <w:rPr>
                <w:b/>
              </w:rPr>
              <w:t>n/m</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center"/>
              <w:rPr/>
            </w:pPr>
            <w:r>
              <w:rPr/>
              <w:t>n/m</w:t>
            </w:r>
          </w:p>
        </w:tc>
        <w:tc>
          <w:tcPr>
            <w:tcW w:w="66" w:type="dxa"/>
            <w:tcBorders/>
            <w:vAlign w:val="bottom"/>
          </w:tcPr>
          <w:p>
            <w:pPr>
              <w:pStyle w:val="TableContents"/>
              <w:bidi w:val="0"/>
              <w:spacing w:before="0" w:after="283"/>
              <w:jc w:val="left"/>
              <w:rPr/>
            </w:pPr>
            <w:r>
              <w:rPr/>
              <w:t> </w:t>
            </w:r>
          </w:p>
        </w:tc>
      </w:tr>
      <w:tr>
        <w:trPr/>
        <w:tc>
          <w:tcPr>
            <w:tcW w:w="3602"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66"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66"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4"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1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602" w:type="dxa"/>
            <w:tcBorders/>
            <w:shd w:fill="CCEEFF" w:val="clear"/>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666" w:type="dxa"/>
            <w:tcBorders/>
            <w:shd w:fill="CCEEFF" w:val="clear"/>
            <w:vAlign w:val="bottom"/>
          </w:tcPr>
          <w:p>
            <w:pPr>
              <w:pStyle w:val="TableContents"/>
              <w:bidi w:val="0"/>
              <w:spacing w:before="0" w:after="283"/>
              <w:jc w:val="right"/>
              <w:rPr>
                <w:b/>
              </w:rPr>
            </w:pPr>
            <w:r>
              <w:rPr>
                <w:b/>
              </w:rPr>
              <w:t>2,742</w:t>
            </w:r>
          </w:p>
        </w:tc>
        <w:tc>
          <w:tcPr>
            <w:tcW w:w="322"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66" w:type="dxa"/>
            <w:tcBorders/>
            <w:shd w:fill="CCEEFF" w:val="clear"/>
            <w:vAlign w:val="bottom"/>
          </w:tcPr>
          <w:p>
            <w:pPr>
              <w:pStyle w:val="TableContents"/>
              <w:bidi w:val="0"/>
              <w:spacing w:before="0" w:after="283"/>
              <w:jc w:val="right"/>
              <w:rPr/>
            </w:pPr>
            <w:r>
              <w:rPr/>
              <w:t>2,797</w:t>
            </w:r>
          </w:p>
        </w:tc>
        <w:tc>
          <w:tcPr>
            <w:tcW w:w="28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4" w:type="dxa"/>
            <w:tcBorders/>
            <w:shd w:fill="CCEEFF" w:val="clear"/>
            <w:vAlign w:val="bottom"/>
          </w:tcPr>
          <w:p>
            <w:pPr>
              <w:pStyle w:val="TableContents"/>
              <w:bidi w:val="0"/>
              <w:spacing w:before="0" w:after="283"/>
              <w:jc w:val="right"/>
              <w:rPr/>
            </w:pPr>
            <w:r>
              <w:rPr/>
              <w:t>2,963</w:t>
            </w:r>
          </w:p>
        </w:tc>
        <w:tc>
          <w:tcPr>
            <w:tcW w:w="283"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center"/>
              <w:rPr>
                <w:b/>
              </w:rPr>
            </w:pPr>
            <w:r>
              <w:rPr>
                <w:b/>
              </w:rPr>
              <w:t>-2%</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center"/>
              <w:rPr/>
            </w:pPr>
            <w:r>
              <w:rPr/>
              <w:t>-7%</w:t>
            </w:r>
          </w:p>
        </w:tc>
        <w:tc>
          <w:tcPr>
            <w:tcW w:w="66" w:type="dxa"/>
            <w:tcBorders/>
            <w:shd w:fill="CCEEFF" w:val="clear"/>
            <w:vAlign w:val="bottom"/>
          </w:tcPr>
          <w:p>
            <w:pPr>
              <w:pStyle w:val="TableContents"/>
              <w:bidi w:val="0"/>
              <w:spacing w:before="0" w:after="283"/>
              <w:jc w:val="left"/>
              <w:rPr/>
            </w:pPr>
            <w:r>
              <w:rPr/>
              <w:t> </w:t>
            </w:r>
          </w:p>
        </w:tc>
      </w:tr>
      <w:tr>
        <w:trPr/>
        <w:tc>
          <w:tcPr>
            <w:tcW w:w="3602"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4"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0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1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602" w:type="dxa"/>
            <w:tcBorders/>
          </w:tcPr>
          <w:p>
            <w:pPr>
              <w:pStyle w:val="TableContents"/>
              <w:bidi w:val="0"/>
              <w:spacing w:before="0" w:after="0"/>
              <w:jc w:val="left"/>
              <w:rPr>
                <w:rFonts w:ascii="Arial" w:hAnsi="Arial"/>
                <w:sz w:val="20"/>
              </w:rPr>
            </w:pPr>
            <w:r>
              <w:rPr>
                <w:rFonts w:ascii="Arial" w:hAnsi="Arial"/>
                <w:sz w:val="20"/>
              </w:rPr>
              <w:t>Pretax operating income</w:t>
            </w:r>
          </w:p>
        </w:tc>
        <w:tc>
          <w:tcPr>
            <w:tcW w:w="18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b/>
              </w:rPr>
            </w:pPr>
            <w:r>
              <w:rPr>
                <w:b/>
              </w:rPr>
              <w:t>$</w:t>
            </w:r>
          </w:p>
        </w:tc>
        <w:tc>
          <w:tcPr>
            <w:tcW w:w="666" w:type="dxa"/>
            <w:tcBorders/>
            <w:vAlign w:val="bottom"/>
          </w:tcPr>
          <w:p>
            <w:pPr>
              <w:pStyle w:val="TableContents"/>
              <w:bidi w:val="0"/>
              <w:spacing w:before="0" w:after="283"/>
              <w:jc w:val="right"/>
              <w:rPr>
                <w:b/>
              </w:rPr>
            </w:pPr>
            <w:r>
              <w:rPr>
                <w:b/>
              </w:rPr>
              <w:t>417</w:t>
            </w:r>
          </w:p>
        </w:tc>
        <w:tc>
          <w:tcPr>
            <w:tcW w:w="322"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66" w:type="dxa"/>
            <w:tcBorders/>
            <w:vAlign w:val="bottom"/>
          </w:tcPr>
          <w:p>
            <w:pPr>
              <w:pStyle w:val="TableContents"/>
              <w:bidi w:val="0"/>
              <w:spacing w:before="0" w:after="283"/>
              <w:jc w:val="right"/>
              <w:rPr/>
            </w:pPr>
            <w:r>
              <w:rPr/>
              <w:t>424</w:t>
            </w:r>
          </w:p>
        </w:tc>
        <w:tc>
          <w:tcPr>
            <w:tcW w:w="28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4" w:type="dxa"/>
            <w:tcBorders/>
            <w:vAlign w:val="bottom"/>
          </w:tcPr>
          <w:p>
            <w:pPr>
              <w:pStyle w:val="TableContents"/>
              <w:bidi w:val="0"/>
              <w:spacing w:before="0" w:after="283"/>
              <w:jc w:val="right"/>
              <w:rPr/>
            </w:pPr>
            <w:r>
              <w:rPr/>
              <w:t>551</w:t>
            </w:r>
          </w:p>
        </w:tc>
        <w:tc>
          <w:tcPr>
            <w:tcW w:w="28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center"/>
              <w:rPr>
                <w:b/>
              </w:rPr>
            </w:pPr>
            <w:r>
              <w:rPr>
                <w:b/>
              </w:rPr>
              <w:t>-2%</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center"/>
              <w:rPr/>
            </w:pPr>
            <w:r>
              <w:rPr/>
              <w:t>-24%</w:t>
            </w:r>
          </w:p>
        </w:tc>
        <w:tc>
          <w:tcPr>
            <w:tcW w:w="66" w:type="dxa"/>
            <w:tcBorders/>
            <w:vAlign w:val="bottom"/>
          </w:tcPr>
          <w:p>
            <w:pPr>
              <w:pStyle w:val="TableContents"/>
              <w:bidi w:val="0"/>
              <w:spacing w:before="0" w:after="283"/>
              <w:jc w:val="left"/>
              <w:rPr/>
            </w:pPr>
            <w:r>
              <w:rPr/>
              <w:t> </w:t>
            </w:r>
          </w:p>
        </w:tc>
      </w:tr>
      <w:tr>
        <w:trPr/>
        <w:tc>
          <w:tcPr>
            <w:tcW w:w="3602" w:type="dxa"/>
            <w:tcBorders/>
            <w:shd w:fill="CCEEFF" w:val="clear"/>
          </w:tcPr>
          <w:p>
            <w:pPr>
              <w:pStyle w:val="TableContents"/>
              <w:bidi w:val="0"/>
              <w:spacing w:before="0" w:after="0"/>
              <w:jc w:val="left"/>
              <w:rPr>
                <w:rFonts w:ascii="Arial" w:hAnsi="Arial"/>
                <w:sz w:val="20"/>
              </w:rPr>
            </w:pPr>
            <w:r>
              <w:rPr>
                <w:rFonts w:ascii="Arial" w:hAnsi="Arial"/>
                <w:sz w:val="20"/>
              </w:rPr>
              <w:t>Pretax operating margin</w:t>
            </w:r>
          </w:p>
        </w:tc>
        <w:tc>
          <w:tcPr>
            <w:tcW w:w="18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15.2</w:t>
            </w:r>
          </w:p>
        </w:tc>
        <w:tc>
          <w:tcPr>
            <w:tcW w:w="322" w:type="dxa"/>
            <w:tcBorders/>
            <w:shd w:fill="CCEEFF" w:val="clear"/>
            <w:vAlign w:val="bottom"/>
          </w:tcPr>
          <w:p>
            <w:pPr>
              <w:pStyle w:val="TableContents"/>
              <w:bidi w:val="0"/>
              <w:spacing w:before="0" w:after="283"/>
              <w:jc w:val="left"/>
              <w:rPr>
                <w:b/>
              </w:rPr>
            </w:pPr>
            <w:r>
              <w:rPr>
                <w:b/>
              </w:rPr>
              <w:t>% </w:t>
            </w:r>
          </w:p>
        </w:tc>
        <w:tc>
          <w:tcPr>
            <w:tcW w:w="13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15.2</w:t>
            </w:r>
          </w:p>
        </w:tc>
        <w:tc>
          <w:tcPr>
            <w:tcW w:w="28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18.6</w:t>
            </w:r>
          </w:p>
        </w:tc>
        <w:tc>
          <w:tcPr>
            <w:tcW w:w="283"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center"/>
              <w:rPr>
                <w:b/>
              </w:rPr>
            </w:pPr>
            <w:r>
              <w:rPr>
                <w:b/>
              </w:rPr>
              <w:t>6 bps</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center"/>
              <w:rPr/>
            </w:pPr>
            <w:r>
              <w:rPr/>
              <w:t>-338 bps</w:t>
            </w:r>
          </w:p>
        </w:tc>
        <w:tc>
          <w:tcPr>
            <w:tcW w:w="66" w:type="dxa"/>
            <w:tcBorders/>
            <w:shd w:fill="CCEEFF" w:val="clear"/>
            <w:vAlign w:val="bottom"/>
          </w:tcPr>
          <w:p>
            <w:pPr>
              <w:pStyle w:val="TableContents"/>
              <w:bidi w:val="0"/>
              <w:spacing w:before="0" w:after="283"/>
              <w:jc w:val="left"/>
              <w:rPr/>
            </w:pPr>
            <w:r>
              <w:rPr/>
              <w:t> </w:t>
            </w:r>
          </w:p>
        </w:tc>
      </w:tr>
      <w:tr>
        <w:trPr/>
        <w:tc>
          <w:tcPr>
            <w:tcW w:w="3602" w:type="dxa"/>
            <w:tcBorders/>
          </w:tcPr>
          <w:p>
            <w:pPr>
              <w:pStyle w:val="TableContents"/>
              <w:bidi w:val="0"/>
              <w:spacing w:before="0" w:after="0"/>
              <w:jc w:val="left"/>
              <w:rPr>
                <w:rFonts w:ascii="Arial" w:hAnsi="Arial"/>
                <w:sz w:val="20"/>
              </w:rPr>
            </w:pPr>
            <w:r>
              <w:rPr>
                <w:rFonts w:ascii="Arial" w:hAnsi="Arial"/>
                <w:sz w:val="20"/>
              </w:rPr>
              <w:t>Adjusted EBITDA*</w:t>
            </w:r>
          </w:p>
        </w:tc>
        <w:tc>
          <w:tcPr>
            <w:tcW w:w="18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b/>
              </w:rPr>
            </w:pPr>
            <w:r>
              <w:rPr>
                <w:b/>
              </w:rPr>
              <w:t>578</w:t>
            </w:r>
          </w:p>
        </w:tc>
        <w:tc>
          <w:tcPr>
            <w:tcW w:w="322"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584</w:t>
            </w:r>
          </w:p>
        </w:tc>
        <w:tc>
          <w:tcPr>
            <w:tcW w:w="28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720</w:t>
            </w:r>
          </w:p>
        </w:tc>
        <w:tc>
          <w:tcPr>
            <w:tcW w:w="28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042" w:type="dxa"/>
            <w:tcBorders/>
            <w:vAlign w:val="bottom"/>
          </w:tcPr>
          <w:p>
            <w:pPr>
              <w:pStyle w:val="TableContents"/>
              <w:bidi w:val="0"/>
              <w:spacing w:before="0" w:after="283"/>
              <w:jc w:val="center"/>
              <w:rPr>
                <w:b/>
              </w:rPr>
            </w:pPr>
            <w:r>
              <w:rPr>
                <w:b/>
              </w:rPr>
              <w:t>-1%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center"/>
              <w:rPr/>
            </w:pPr>
            <w:r>
              <w:rPr/>
              <w:t>-20%</w:t>
            </w:r>
          </w:p>
        </w:tc>
        <w:tc>
          <w:tcPr>
            <w:tcW w:w="66" w:type="dxa"/>
            <w:tcBorders/>
            <w:vAlign w:val="bottom"/>
          </w:tcPr>
          <w:p>
            <w:pPr>
              <w:pStyle w:val="TableContents"/>
              <w:bidi w:val="0"/>
              <w:spacing w:before="0" w:after="283"/>
              <w:jc w:val="left"/>
              <w:rPr/>
            </w:pPr>
            <w:r>
              <w:rPr/>
              <w:t> </w:t>
            </w:r>
          </w:p>
        </w:tc>
      </w:tr>
      <w:tr>
        <w:trPr/>
        <w:tc>
          <w:tcPr>
            <w:tcW w:w="3602" w:type="dxa"/>
            <w:tcBorders/>
            <w:shd w:fill="CCEEFF" w:val="clear"/>
          </w:tcPr>
          <w:p>
            <w:pPr>
              <w:pStyle w:val="TableContents"/>
              <w:bidi w:val="0"/>
              <w:spacing w:before="0" w:after="0"/>
              <w:jc w:val="left"/>
              <w:rPr>
                <w:rFonts w:ascii="Arial" w:hAnsi="Arial"/>
                <w:sz w:val="20"/>
              </w:rPr>
            </w:pPr>
            <w:r>
              <w:rPr>
                <w:rFonts w:ascii="Arial" w:hAnsi="Arial"/>
                <w:sz w:val="20"/>
              </w:rPr>
              <w:t>Adjusted EBITDA margin*</w:t>
            </w:r>
          </w:p>
        </w:tc>
        <w:tc>
          <w:tcPr>
            <w:tcW w:w="18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21.1</w:t>
            </w:r>
          </w:p>
        </w:tc>
        <w:tc>
          <w:tcPr>
            <w:tcW w:w="322" w:type="dxa"/>
            <w:tcBorders/>
            <w:shd w:fill="CCEEFF" w:val="clear"/>
            <w:vAlign w:val="bottom"/>
          </w:tcPr>
          <w:p>
            <w:pPr>
              <w:pStyle w:val="TableContents"/>
              <w:bidi w:val="0"/>
              <w:spacing w:before="0" w:after="283"/>
              <w:jc w:val="left"/>
              <w:rPr>
                <w:b/>
              </w:rPr>
            </w:pPr>
            <w:r>
              <w:rPr>
                <w:b/>
              </w:rPr>
              <w:t>% </w:t>
            </w:r>
          </w:p>
        </w:tc>
        <w:tc>
          <w:tcPr>
            <w:tcW w:w="13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20.9</w:t>
            </w:r>
          </w:p>
        </w:tc>
        <w:tc>
          <w:tcPr>
            <w:tcW w:w="28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24.3</w:t>
            </w:r>
          </w:p>
        </w:tc>
        <w:tc>
          <w:tcPr>
            <w:tcW w:w="283"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042" w:type="dxa"/>
            <w:tcBorders/>
            <w:shd w:fill="CCEEFF" w:val="clear"/>
            <w:vAlign w:val="bottom"/>
          </w:tcPr>
          <w:p>
            <w:pPr>
              <w:pStyle w:val="TableContents"/>
              <w:bidi w:val="0"/>
              <w:spacing w:before="0" w:after="283"/>
              <w:jc w:val="center"/>
              <w:rPr>
                <w:b/>
              </w:rPr>
            </w:pPr>
            <w:r>
              <w:rPr>
                <w:b/>
              </w:rPr>
              <w:t>19 bps</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center"/>
              <w:rPr/>
            </w:pPr>
            <w:r>
              <w:rPr/>
              <w:t>-321 bps</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These are non-GAAP financial measures. See reconciliation in the section “Supplementary Information” for details. </w:t>
            </w:r>
          </w:p>
        </w:tc>
      </w:tr>
    </w:tbl>
    <w:p>
      <w:pPr>
        <w:pStyle w:val="TextBody"/>
        <w:bidi w:val="0"/>
        <w:spacing w:before="240" w:after="0"/>
        <w:jc w:val="left"/>
        <w:rPr>
          <w:rFonts w:ascii="Arial" w:hAnsi="Arial"/>
          <w:sz w:val="20"/>
        </w:rPr>
      </w:pPr>
      <w:r>
        <w:rPr>
          <w:rFonts w:ascii="Arial" w:hAnsi="Arial"/>
          <w:sz w:val="20"/>
        </w:rPr>
        <w:t xml:space="preserve">n/m = not meaningful </w:t>
      </w:r>
    </w:p>
    <w:p>
      <w:pPr>
        <w:pStyle w:val="TextBody"/>
        <w:bidi w:val="0"/>
        <w:spacing w:before="240" w:after="0"/>
        <w:jc w:val="left"/>
        <w:rPr>
          <w:rFonts w:ascii="Arial" w:hAnsi="Arial"/>
          <w:sz w:val="20"/>
        </w:rPr>
      </w:pPr>
      <w:r>
        <w:rPr>
          <w:rFonts w:ascii="Arial" w:hAnsi="Arial"/>
          <w:sz w:val="20"/>
        </w:rPr>
        <w:t xml:space="preserve">Well Construction revenue of $2.74 billion decreased 2% sequentially, reflecting the impact of disruptions associated with the Middle East conflict. The decline was partially offset by higher offshore drilling activity in Latin America, particularly in Guyana, Brazil and Mexico, as well as increased land drilling activity in Argentina and Ecuador. Revenue in North America was essentially flat, with stronger U.S. land activity being offset by the impact of the Canadian spring breakup. Revenue in Europe &amp; Africa declined slightly, while Asia revenue increased modestly, supported by robust drilling activity in China. </w:t>
      </w:r>
    </w:p>
    <w:p>
      <w:pPr>
        <w:pStyle w:val="TextBody"/>
        <w:bidi w:val="0"/>
        <w:spacing w:before="240" w:after="0"/>
        <w:jc w:val="left"/>
        <w:rPr>
          <w:rFonts w:ascii="Arial" w:hAnsi="Arial"/>
          <w:sz w:val="20"/>
        </w:rPr>
      </w:pPr>
      <w:r>
        <w:rPr>
          <w:rFonts w:ascii="Arial" w:hAnsi="Arial"/>
          <w:sz w:val="20"/>
        </w:rPr>
        <w:t xml:space="preserve">Year on year, revenue declined 7%, primarily due to lower activity resulting from the Middle East conflict. This decrease was partially offset by higher offshore drilling activity in Latin America, Europe &amp; Africa, and the Gulf of America. </w:t>
      </w:r>
    </w:p>
    <w:p>
      <w:pPr>
        <w:pStyle w:val="TextBody"/>
        <w:bidi w:val="0"/>
        <w:spacing w:before="240" w:after="0"/>
        <w:jc w:val="left"/>
        <w:rPr>
          <w:rFonts w:ascii="Arial" w:hAnsi="Arial"/>
          <w:sz w:val="20"/>
        </w:rPr>
      </w:pPr>
      <w:r>
        <w:rPr>
          <w:rFonts w:ascii="Arial" w:hAnsi="Arial"/>
          <w:sz w:val="20"/>
        </w:rPr>
        <w:t xml:space="preserve">Well Construction pretax operating margin of 15% was essentially flat sequentially, as lower profitability in the Middle East was offset by improved profitability in other areas. </w:t>
      </w:r>
    </w:p>
    <w:p>
      <w:pPr>
        <w:pStyle w:val="TextBody"/>
        <w:bidi w:val="0"/>
        <w:spacing w:before="240" w:after="0"/>
        <w:jc w:val="left"/>
        <w:rPr>
          <w:rFonts w:ascii="Arial" w:hAnsi="Arial"/>
          <w:sz w:val="20"/>
        </w:rPr>
      </w:pPr>
      <w:r>
        <w:rPr>
          <w:rFonts w:ascii="Arial" w:hAnsi="Arial"/>
          <w:sz w:val="20"/>
        </w:rPr>
        <w:t xml:space="preserve">Year on year, pretax operating margin contracted 338 bps, primarily due to lower profitability in the Middle East, partially offset by improved profitability in North America and Latin America.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Production Systems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35"/>
        <w:gridCol w:w="192"/>
        <w:gridCol w:w="140"/>
        <w:gridCol w:w="573"/>
        <w:gridCol w:w="321"/>
        <w:gridCol w:w="141"/>
        <w:gridCol w:w="140"/>
        <w:gridCol w:w="573"/>
        <w:gridCol w:w="282"/>
        <w:gridCol w:w="141"/>
        <w:gridCol w:w="140"/>
        <w:gridCol w:w="573"/>
        <w:gridCol w:w="281"/>
        <w:gridCol w:w="141"/>
        <w:gridCol w:w="75"/>
        <w:gridCol w:w="1051"/>
        <w:gridCol w:w="60"/>
        <w:gridCol w:w="141"/>
        <w:gridCol w:w="84"/>
        <w:gridCol w:w="1256"/>
        <w:gridCol w:w="65"/>
      </w:tblGrid>
      <w:tr>
        <w:trPr/>
        <w:tc>
          <w:tcPr>
            <w:tcW w:w="3835"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83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113" w:type="dxa"/>
            <w:gridSpan w:val="18"/>
            <w:tcBorders/>
            <w:vAlign w:val="bottom"/>
          </w:tcPr>
          <w:p>
            <w:pPr>
              <w:pStyle w:val="TableContents"/>
              <w:bidi w:val="0"/>
              <w:spacing w:before="0" w:after="283"/>
              <w:jc w:val="right"/>
              <w:rPr/>
            </w:pPr>
            <w:r>
              <w:rPr/>
              <w:t>(Stated in millions)</w:t>
            </w:r>
          </w:p>
        </w:tc>
        <w:tc>
          <w:tcPr>
            <w:tcW w:w="65" w:type="dxa"/>
            <w:tcBorders/>
            <w:vAlign w:val="bottom"/>
          </w:tcPr>
          <w:p>
            <w:pPr>
              <w:pStyle w:val="TableContents"/>
              <w:bidi w:val="0"/>
              <w:spacing w:before="0" w:after="283"/>
              <w:jc w:val="left"/>
              <w:rPr/>
            </w:pPr>
            <w:r>
              <w:rPr/>
              <w:t> </w:t>
            </w:r>
          </w:p>
        </w:tc>
      </w:tr>
      <w:tr>
        <w:trPr/>
        <w:tc>
          <w:tcPr>
            <w:tcW w:w="3835" w:type="dxa"/>
            <w:tcBorders/>
            <w:vAlign w:val="bottom"/>
          </w:tcPr>
          <w:p>
            <w:pPr>
              <w:pStyle w:val="TableContents"/>
              <w:bidi w:val="0"/>
              <w:spacing w:before="0" w:after="283"/>
              <w:jc w:val="left"/>
              <w:rPr>
                <w:b/>
              </w:rPr>
            </w:pPr>
            <w:r>
              <w:rPr>
                <w:b/>
              </w:rPr>
              <w:t>As reported</w:t>
            </w:r>
          </w:p>
        </w:tc>
        <w:tc>
          <w:tcPr>
            <w:tcW w:w="192" w:type="dxa"/>
            <w:tcBorders/>
            <w:vAlign w:val="bottom"/>
          </w:tcPr>
          <w:p>
            <w:pPr>
              <w:pStyle w:val="TableContents"/>
              <w:bidi w:val="0"/>
              <w:spacing w:before="0" w:after="283"/>
              <w:jc w:val="left"/>
              <w:rPr/>
            </w:pPr>
            <w:r>
              <w:rPr/>
              <w:t>  </w:t>
            </w:r>
          </w:p>
        </w:tc>
        <w:tc>
          <w:tcPr>
            <w:tcW w:w="302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8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6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5" w:type="dxa"/>
            <w:tcBorders/>
            <w:vAlign w:val="bottom"/>
          </w:tcPr>
          <w:p>
            <w:pPr>
              <w:pStyle w:val="TableContents"/>
              <w:bidi w:val="0"/>
              <w:spacing w:before="0" w:after="283"/>
              <w:jc w:val="left"/>
              <w:rPr/>
            </w:pPr>
            <w:r>
              <w:rPr/>
              <w:t> </w:t>
            </w:r>
          </w:p>
        </w:tc>
      </w:tr>
      <w:tr>
        <w:trPr/>
        <w:tc>
          <w:tcPr>
            <w:tcW w:w="3835"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2026</w:t>
            </w:r>
          </w:p>
        </w:tc>
        <w:tc>
          <w:tcPr>
            <w:tcW w:w="32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pPr>
            <w:r>
              <w:rPr/>
              <w:t>Mar. 31,</w:t>
              <w:br/>
              <w:t>2026</w:t>
            </w:r>
          </w:p>
        </w:tc>
        <w:tc>
          <w:tcPr>
            <w:tcW w:w="28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2025</w:t>
            </w:r>
          </w:p>
        </w:tc>
        <w:tc>
          <w:tcPr>
            <w:tcW w:w="28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65" w:type="dxa"/>
            <w:tcBorders/>
            <w:vAlign w:val="bottom"/>
          </w:tcPr>
          <w:p>
            <w:pPr>
              <w:pStyle w:val="TableContents"/>
              <w:bidi w:val="0"/>
              <w:spacing w:before="0" w:after="283"/>
              <w:jc w:val="left"/>
              <w:rPr/>
            </w:pPr>
            <w:r>
              <w:rPr/>
              <w:t> </w:t>
            </w:r>
          </w:p>
        </w:tc>
      </w:tr>
      <w:tr>
        <w:trPr/>
        <w:tc>
          <w:tcPr>
            <w:tcW w:w="3835"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835" w:type="dxa"/>
            <w:tcBorders/>
          </w:tcPr>
          <w:p>
            <w:pPr>
              <w:pStyle w:val="TableContents"/>
              <w:bidi w:val="0"/>
              <w:spacing w:before="0" w:after="0"/>
              <w:jc w:val="left"/>
              <w:rPr>
                <w:rFonts w:ascii="Arial" w:hAnsi="Arial"/>
                <w:sz w:val="20"/>
              </w:rPr>
            </w:pPr>
            <w:r>
              <w:rPr>
                <w:rFonts w:ascii="Arial" w:hAnsi="Arial"/>
                <w:sz w:val="20"/>
              </w:rPr>
              <w:t>International</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73" w:type="dxa"/>
            <w:tcBorders/>
            <w:vAlign w:val="bottom"/>
          </w:tcPr>
          <w:p>
            <w:pPr>
              <w:pStyle w:val="TableContents"/>
              <w:bidi w:val="0"/>
              <w:spacing w:before="0" w:after="283"/>
              <w:jc w:val="right"/>
              <w:rPr>
                <w:b/>
              </w:rPr>
            </w:pPr>
            <w:r>
              <w:rPr>
                <w:b/>
              </w:rPr>
              <w:t>2,478</w:t>
            </w:r>
          </w:p>
        </w:tc>
        <w:tc>
          <w:tcPr>
            <w:tcW w:w="32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3" w:type="dxa"/>
            <w:tcBorders/>
            <w:vAlign w:val="bottom"/>
          </w:tcPr>
          <w:p>
            <w:pPr>
              <w:pStyle w:val="TableContents"/>
              <w:bidi w:val="0"/>
              <w:spacing w:before="0" w:after="283"/>
              <w:jc w:val="right"/>
              <w:rPr/>
            </w:pPr>
            <w:r>
              <w:rPr/>
              <w:t>2,272</w:t>
            </w:r>
          </w:p>
        </w:tc>
        <w:tc>
          <w:tcPr>
            <w:tcW w:w="28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3" w:type="dxa"/>
            <w:tcBorders/>
            <w:vAlign w:val="bottom"/>
          </w:tcPr>
          <w:p>
            <w:pPr>
              <w:pStyle w:val="TableContents"/>
              <w:bidi w:val="0"/>
              <w:spacing w:before="0" w:after="283"/>
              <w:jc w:val="right"/>
              <w:rPr/>
            </w:pPr>
            <w:r>
              <w:rPr/>
              <w:t>2,243</w:t>
            </w:r>
          </w:p>
        </w:tc>
        <w:tc>
          <w:tcPr>
            <w:tcW w:w="28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center"/>
              <w:rPr>
                <w:b/>
              </w:rPr>
            </w:pPr>
            <w:r>
              <w:rPr>
                <w:b/>
              </w:rPr>
              <w:t>9%</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center"/>
              <w:rPr/>
            </w:pPr>
            <w:r>
              <w:rPr/>
              <w:t>10%</w:t>
            </w:r>
          </w:p>
        </w:tc>
        <w:tc>
          <w:tcPr>
            <w:tcW w:w="65" w:type="dxa"/>
            <w:tcBorders/>
            <w:vAlign w:val="bottom"/>
          </w:tcPr>
          <w:p>
            <w:pPr>
              <w:pStyle w:val="TableContents"/>
              <w:bidi w:val="0"/>
              <w:spacing w:before="0" w:after="283"/>
              <w:jc w:val="left"/>
              <w:rPr/>
            </w:pPr>
            <w:r>
              <w:rPr/>
              <w:t> </w:t>
            </w:r>
          </w:p>
        </w:tc>
      </w:tr>
      <w:tr>
        <w:trPr/>
        <w:tc>
          <w:tcPr>
            <w:tcW w:w="3835"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b/>
              </w:rPr>
            </w:pPr>
            <w:r>
              <w:rPr>
                <w:b/>
              </w:rPr>
              <w:t>1,259</w:t>
            </w:r>
          </w:p>
        </w:tc>
        <w:tc>
          <w:tcPr>
            <w:tcW w:w="32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1,206</w:t>
            </w:r>
          </w:p>
        </w:tc>
        <w:tc>
          <w:tcPr>
            <w:tcW w:w="28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685</w:t>
            </w:r>
          </w:p>
        </w:tc>
        <w:tc>
          <w:tcPr>
            <w:tcW w:w="28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center"/>
              <w:rPr>
                <w:b/>
              </w:rPr>
            </w:pPr>
            <w:r>
              <w:rPr>
                <w:b/>
              </w:rPr>
              <w:t>4%</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center"/>
              <w:rPr/>
            </w:pPr>
            <w:r>
              <w:rPr/>
              <w:t>84%</w:t>
            </w:r>
          </w:p>
        </w:tc>
        <w:tc>
          <w:tcPr>
            <w:tcW w:w="65" w:type="dxa"/>
            <w:tcBorders/>
            <w:shd w:fill="CCEEFF" w:val="clear"/>
            <w:vAlign w:val="bottom"/>
          </w:tcPr>
          <w:p>
            <w:pPr>
              <w:pStyle w:val="TableContents"/>
              <w:bidi w:val="0"/>
              <w:spacing w:before="0" w:after="283"/>
              <w:jc w:val="left"/>
              <w:rPr/>
            </w:pPr>
            <w:r>
              <w:rPr/>
              <w:t> </w:t>
            </w:r>
          </w:p>
        </w:tc>
      </w:tr>
      <w:tr>
        <w:trPr/>
        <w:tc>
          <w:tcPr>
            <w:tcW w:w="3835" w:type="dxa"/>
            <w:tcBorders/>
          </w:tcPr>
          <w:p>
            <w:pPr>
              <w:pStyle w:val="TableContents"/>
              <w:bidi w:val="0"/>
              <w:spacing w:before="0" w:after="0"/>
              <w:jc w:val="left"/>
              <w:rPr>
                <w:rFonts w:ascii="Arial" w:hAnsi="Arial"/>
                <w:sz w:val="20"/>
              </w:rPr>
            </w:pPr>
            <w:r>
              <w:rPr>
                <w:rFonts w:ascii="Arial" w:hAnsi="Arial"/>
                <w:sz w:val="20"/>
              </w:rPr>
              <w:t>Other</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34</w:t>
            </w:r>
          </w:p>
        </w:tc>
        <w:tc>
          <w:tcPr>
            <w:tcW w:w="32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30</w:t>
            </w:r>
          </w:p>
        </w:tc>
        <w:tc>
          <w:tcPr>
            <w:tcW w:w="28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4</w:t>
            </w:r>
          </w:p>
        </w:tc>
        <w:tc>
          <w:tcPr>
            <w:tcW w:w="28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center"/>
              <w:rPr>
                <w:b/>
              </w:rPr>
            </w:pPr>
            <w:r>
              <w:rPr>
                <w:b/>
              </w:rPr>
              <w:t>n/m</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center"/>
              <w:rPr/>
            </w:pPr>
            <w:r>
              <w:rPr/>
              <w:t>n/m</w:t>
            </w:r>
          </w:p>
        </w:tc>
        <w:tc>
          <w:tcPr>
            <w:tcW w:w="65" w:type="dxa"/>
            <w:tcBorders/>
            <w:vAlign w:val="bottom"/>
          </w:tcPr>
          <w:p>
            <w:pPr>
              <w:pStyle w:val="TableContents"/>
              <w:bidi w:val="0"/>
              <w:spacing w:before="0" w:after="283"/>
              <w:jc w:val="left"/>
              <w:rPr/>
            </w:pPr>
            <w:r>
              <w:rPr/>
              <w:t> </w:t>
            </w:r>
          </w:p>
        </w:tc>
      </w:tr>
      <w:tr>
        <w:trPr/>
        <w:tc>
          <w:tcPr>
            <w:tcW w:w="3835"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835" w:type="dxa"/>
            <w:tcBorders/>
            <w:shd w:fill="CCEEFF" w:val="clear"/>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73" w:type="dxa"/>
            <w:tcBorders/>
            <w:shd w:fill="CCEEFF" w:val="clear"/>
            <w:vAlign w:val="bottom"/>
          </w:tcPr>
          <w:p>
            <w:pPr>
              <w:pStyle w:val="TableContents"/>
              <w:bidi w:val="0"/>
              <w:spacing w:before="0" w:after="283"/>
              <w:jc w:val="right"/>
              <w:rPr>
                <w:b/>
              </w:rPr>
            </w:pPr>
            <w:r>
              <w:rPr>
                <w:b/>
              </w:rPr>
              <w:t>3,771</w:t>
            </w:r>
          </w:p>
        </w:tc>
        <w:tc>
          <w:tcPr>
            <w:tcW w:w="32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3,508</w:t>
            </w:r>
          </w:p>
        </w:tc>
        <w:tc>
          <w:tcPr>
            <w:tcW w:w="28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2,932</w:t>
            </w:r>
          </w:p>
        </w:tc>
        <w:tc>
          <w:tcPr>
            <w:tcW w:w="28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center"/>
              <w:rPr>
                <w:b/>
              </w:rPr>
            </w:pPr>
            <w:r>
              <w:rPr>
                <w:b/>
              </w:rPr>
              <w:t>7%</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center"/>
              <w:rPr/>
            </w:pPr>
            <w:r>
              <w:rPr/>
              <w:t>29%</w:t>
            </w:r>
          </w:p>
        </w:tc>
        <w:tc>
          <w:tcPr>
            <w:tcW w:w="65" w:type="dxa"/>
            <w:tcBorders/>
            <w:shd w:fill="CCEEFF" w:val="clear"/>
            <w:vAlign w:val="bottom"/>
          </w:tcPr>
          <w:p>
            <w:pPr>
              <w:pStyle w:val="TableContents"/>
              <w:bidi w:val="0"/>
              <w:spacing w:before="0" w:after="283"/>
              <w:jc w:val="left"/>
              <w:rPr/>
            </w:pPr>
            <w:r>
              <w:rPr/>
              <w:t> </w:t>
            </w:r>
          </w:p>
        </w:tc>
      </w:tr>
      <w:tr>
        <w:trPr/>
        <w:tc>
          <w:tcPr>
            <w:tcW w:w="3835"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0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835" w:type="dxa"/>
            <w:tcBorders/>
          </w:tcPr>
          <w:p>
            <w:pPr>
              <w:pStyle w:val="TableContents"/>
              <w:bidi w:val="0"/>
              <w:spacing w:before="0" w:after="0"/>
              <w:jc w:val="left"/>
              <w:rPr>
                <w:rFonts w:ascii="Arial" w:hAnsi="Arial"/>
                <w:sz w:val="20"/>
              </w:rPr>
            </w:pPr>
            <w:r>
              <w:rPr>
                <w:rFonts w:ascii="Arial" w:hAnsi="Arial"/>
                <w:sz w:val="20"/>
              </w:rPr>
              <w:t>Pretax operating income</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73" w:type="dxa"/>
            <w:tcBorders/>
            <w:vAlign w:val="bottom"/>
          </w:tcPr>
          <w:p>
            <w:pPr>
              <w:pStyle w:val="TableContents"/>
              <w:bidi w:val="0"/>
              <w:spacing w:before="0" w:after="283"/>
              <w:jc w:val="right"/>
              <w:rPr>
                <w:b/>
              </w:rPr>
            </w:pPr>
            <w:r>
              <w:rPr>
                <w:b/>
              </w:rPr>
              <w:t>586</w:t>
            </w:r>
          </w:p>
        </w:tc>
        <w:tc>
          <w:tcPr>
            <w:tcW w:w="32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3" w:type="dxa"/>
            <w:tcBorders/>
            <w:vAlign w:val="bottom"/>
          </w:tcPr>
          <w:p>
            <w:pPr>
              <w:pStyle w:val="TableContents"/>
              <w:bidi w:val="0"/>
              <w:spacing w:before="0" w:after="283"/>
              <w:jc w:val="right"/>
              <w:rPr/>
            </w:pPr>
            <w:r>
              <w:rPr/>
              <w:t>497</w:t>
            </w:r>
          </w:p>
        </w:tc>
        <w:tc>
          <w:tcPr>
            <w:tcW w:w="28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3" w:type="dxa"/>
            <w:tcBorders/>
            <w:vAlign w:val="bottom"/>
          </w:tcPr>
          <w:p>
            <w:pPr>
              <w:pStyle w:val="TableContents"/>
              <w:bidi w:val="0"/>
              <w:spacing w:before="0" w:after="283"/>
              <w:jc w:val="right"/>
              <w:rPr/>
            </w:pPr>
            <w:r>
              <w:rPr/>
              <w:t>491</w:t>
            </w:r>
          </w:p>
        </w:tc>
        <w:tc>
          <w:tcPr>
            <w:tcW w:w="28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center"/>
              <w:rPr>
                <w:b/>
              </w:rPr>
            </w:pPr>
            <w:r>
              <w:rPr>
                <w:b/>
              </w:rPr>
              <w:t>18%</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center"/>
              <w:rPr/>
            </w:pPr>
            <w:r>
              <w:rPr/>
              <w:t>19%</w:t>
            </w:r>
          </w:p>
        </w:tc>
        <w:tc>
          <w:tcPr>
            <w:tcW w:w="65" w:type="dxa"/>
            <w:tcBorders/>
            <w:vAlign w:val="bottom"/>
          </w:tcPr>
          <w:p>
            <w:pPr>
              <w:pStyle w:val="TableContents"/>
              <w:bidi w:val="0"/>
              <w:spacing w:before="0" w:after="283"/>
              <w:jc w:val="left"/>
              <w:rPr/>
            </w:pPr>
            <w:r>
              <w:rPr/>
              <w:t> </w:t>
            </w:r>
          </w:p>
        </w:tc>
      </w:tr>
      <w:tr>
        <w:trPr/>
        <w:tc>
          <w:tcPr>
            <w:tcW w:w="3835" w:type="dxa"/>
            <w:tcBorders/>
            <w:shd w:fill="CCEEFF" w:val="clear"/>
          </w:tcPr>
          <w:p>
            <w:pPr>
              <w:pStyle w:val="TableContents"/>
              <w:bidi w:val="0"/>
              <w:spacing w:before="0" w:after="0"/>
              <w:jc w:val="left"/>
              <w:rPr>
                <w:rFonts w:ascii="Arial" w:hAnsi="Arial"/>
                <w:sz w:val="20"/>
              </w:rPr>
            </w:pPr>
            <w:r>
              <w:rPr>
                <w:rFonts w:ascii="Arial" w:hAnsi="Arial"/>
                <w:sz w:val="20"/>
              </w:rPr>
              <w:t>Pretax operating margin</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b/>
              </w:rPr>
            </w:pPr>
            <w:r>
              <w:rPr>
                <w:b/>
              </w:rPr>
              <w:t>15.5</w:t>
            </w:r>
          </w:p>
        </w:tc>
        <w:tc>
          <w:tcPr>
            <w:tcW w:w="321" w:type="dxa"/>
            <w:tcBorders/>
            <w:shd w:fill="CCEEFF" w:val="clear"/>
            <w:vAlign w:val="bottom"/>
          </w:tcPr>
          <w:p>
            <w:pPr>
              <w:pStyle w:val="TableContents"/>
              <w:bidi w:val="0"/>
              <w:spacing w:before="0" w:after="283"/>
              <w:jc w:val="left"/>
              <w:rPr>
                <w:b/>
              </w:rPr>
            </w:pPr>
            <w:r>
              <w:rPr>
                <w:b/>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14.2</w:t>
            </w:r>
          </w:p>
        </w:tc>
        <w:tc>
          <w:tcPr>
            <w:tcW w:w="28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16.7</w:t>
            </w:r>
          </w:p>
        </w:tc>
        <w:tc>
          <w:tcPr>
            <w:tcW w:w="28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center"/>
              <w:rPr>
                <w:b/>
              </w:rPr>
            </w:pPr>
            <w:r>
              <w:rPr>
                <w:b/>
              </w:rPr>
              <w:t>138 bps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center"/>
              <w:rPr/>
            </w:pPr>
            <w:r>
              <w:rPr/>
              <w:t>-120 bps</w:t>
            </w:r>
          </w:p>
        </w:tc>
        <w:tc>
          <w:tcPr>
            <w:tcW w:w="65" w:type="dxa"/>
            <w:tcBorders/>
            <w:shd w:fill="CCEEFF" w:val="clear"/>
            <w:vAlign w:val="bottom"/>
          </w:tcPr>
          <w:p>
            <w:pPr>
              <w:pStyle w:val="TableContents"/>
              <w:bidi w:val="0"/>
              <w:spacing w:before="0" w:after="283"/>
              <w:jc w:val="left"/>
              <w:rPr/>
            </w:pPr>
            <w:r>
              <w:rPr/>
              <w:t> </w:t>
            </w:r>
          </w:p>
        </w:tc>
      </w:tr>
      <w:tr>
        <w:trPr/>
        <w:tc>
          <w:tcPr>
            <w:tcW w:w="3835" w:type="dxa"/>
            <w:tcBorders/>
          </w:tcPr>
          <w:p>
            <w:pPr>
              <w:pStyle w:val="TableContents"/>
              <w:bidi w:val="0"/>
              <w:spacing w:before="0" w:after="0"/>
              <w:jc w:val="left"/>
              <w:rPr>
                <w:rFonts w:ascii="Arial" w:hAnsi="Arial"/>
                <w:sz w:val="20"/>
              </w:rPr>
            </w:pPr>
            <w:r>
              <w:rPr>
                <w:rFonts w:ascii="Arial" w:hAnsi="Arial"/>
                <w:sz w:val="20"/>
              </w:rPr>
              <w:t>Adjusted EBITDA*</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738</w:t>
            </w:r>
          </w:p>
        </w:tc>
        <w:tc>
          <w:tcPr>
            <w:tcW w:w="32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648</w:t>
            </w:r>
          </w:p>
        </w:tc>
        <w:tc>
          <w:tcPr>
            <w:tcW w:w="28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582</w:t>
            </w:r>
          </w:p>
        </w:tc>
        <w:tc>
          <w:tcPr>
            <w:tcW w:w="28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center"/>
              <w:rPr>
                <w:b/>
              </w:rPr>
            </w:pPr>
            <w:r>
              <w:rPr>
                <w:b/>
              </w:rPr>
              <w:t>14%</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center"/>
              <w:rPr/>
            </w:pPr>
            <w:r>
              <w:rPr/>
              <w:t>27%</w:t>
            </w:r>
          </w:p>
        </w:tc>
        <w:tc>
          <w:tcPr>
            <w:tcW w:w="65" w:type="dxa"/>
            <w:tcBorders/>
            <w:vAlign w:val="bottom"/>
          </w:tcPr>
          <w:p>
            <w:pPr>
              <w:pStyle w:val="TableContents"/>
              <w:bidi w:val="0"/>
              <w:spacing w:before="0" w:after="283"/>
              <w:jc w:val="left"/>
              <w:rPr/>
            </w:pPr>
            <w:r>
              <w:rPr/>
              <w:t> </w:t>
            </w:r>
          </w:p>
        </w:tc>
      </w:tr>
      <w:tr>
        <w:trPr/>
        <w:tc>
          <w:tcPr>
            <w:tcW w:w="3835" w:type="dxa"/>
            <w:tcBorders/>
            <w:shd w:fill="CCEEFF" w:val="clear"/>
          </w:tcPr>
          <w:p>
            <w:pPr>
              <w:pStyle w:val="TableContents"/>
              <w:bidi w:val="0"/>
              <w:spacing w:before="0" w:after="0"/>
              <w:jc w:val="left"/>
              <w:rPr>
                <w:rFonts w:ascii="Arial" w:hAnsi="Arial"/>
                <w:sz w:val="20"/>
              </w:rPr>
            </w:pPr>
            <w:r>
              <w:rPr>
                <w:rFonts w:ascii="Arial" w:hAnsi="Arial"/>
                <w:sz w:val="20"/>
              </w:rPr>
              <w:t>Adjusted EBITDA margin*</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b/>
              </w:rPr>
            </w:pPr>
            <w:r>
              <w:rPr>
                <w:b/>
              </w:rPr>
              <w:t>19.6</w:t>
            </w:r>
          </w:p>
        </w:tc>
        <w:tc>
          <w:tcPr>
            <w:tcW w:w="321" w:type="dxa"/>
            <w:tcBorders/>
            <w:shd w:fill="CCEEFF" w:val="clear"/>
            <w:vAlign w:val="bottom"/>
          </w:tcPr>
          <w:p>
            <w:pPr>
              <w:pStyle w:val="TableContents"/>
              <w:bidi w:val="0"/>
              <w:spacing w:before="0" w:after="283"/>
              <w:jc w:val="left"/>
              <w:rPr>
                <w:b/>
              </w:rPr>
            </w:pPr>
            <w:r>
              <w:rPr>
                <w:b/>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18.5</w:t>
            </w:r>
          </w:p>
        </w:tc>
        <w:tc>
          <w:tcPr>
            <w:tcW w:w="28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19.9</w:t>
            </w:r>
          </w:p>
        </w:tc>
        <w:tc>
          <w:tcPr>
            <w:tcW w:w="28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center"/>
              <w:rPr>
                <w:b/>
              </w:rPr>
            </w:pPr>
            <w:r>
              <w:rPr>
                <w:b/>
              </w:rPr>
              <w:t>109 bps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center"/>
              <w:rPr/>
            </w:pPr>
            <w:r>
              <w:rPr/>
              <w:t>-28 bps</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These are non-GAAP financial measures. See reconciliation in the section “Supplementary Information” for details.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9"/>
        <w:gridCol w:w="9996"/>
      </w:tblGrid>
      <w:tr>
        <w:trPr/>
        <w:tc>
          <w:tcPr>
            <w:tcW w:w="209" w:type="dxa"/>
            <w:tcBorders/>
          </w:tcPr>
          <w:p>
            <w:pPr>
              <w:pStyle w:val="TableContents"/>
              <w:bidi w:val="0"/>
              <w:spacing w:before="0" w:after="283"/>
              <w:jc w:val="left"/>
              <w:rPr/>
            </w:pPr>
            <w:r>
              <w:rPr/>
              <w:t>n/m</w:t>
            </w:r>
          </w:p>
        </w:tc>
        <w:tc>
          <w:tcPr>
            <w:tcW w:w="9996" w:type="dxa"/>
            <w:tcBorders/>
          </w:tcPr>
          <w:p>
            <w:pPr>
              <w:pStyle w:val="TableContents"/>
              <w:bidi w:val="0"/>
              <w:spacing w:before="0" w:after="0"/>
              <w:jc w:val="left"/>
              <w:rPr>
                <w:rFonts w:ascii="Arial" w:hAnsi="Arial"/>
                <w:sz w:val="20"/>
              </w:rPr>
            </w:pPr>
            <w:r>
              <w:rPr>
                <w:rFonts w:ascii="Arial" w:hAnsi="Arial"/>
                <w:sz w:val="20"/>
              </w:rPr>
              <w:t xml:space="preserve">= not meaningful </w:t>
            </w:r>
          </w:p>
        </w:tc>
      </w:tr>
    </w:tbl>
    <w:p>
      <w:pPr>
        <w:pStyle w:val="TextBody"/>
        <w:bidi w:val="0"/>
        <w:spacing w:before="240" w:after="0"/>
        <w:jc w:val="left"/>
        <w:rPr>
          <w:rFonts w:ascii="Arial" w:hAnsi="Arial"/>
          <w:sz w:val="20"/>
        </w:rPr>
      </w:pPr>
      <w:r>
        <w:rPr>
          <w:rFonts w:ascii="Arial" w:hAnsi="Arial"/>
          <w:sz w:val="20"/>
        </w:rPr>
        <w:t xml:space="preserve">Production Systems revenue of $3.77 billion increased 7% sequentially, driven by strong growth in Latin America, Europe &amp; Africa, Asia and North America, despite a decline in the Middle East due to disruptions associated with the regional conflict. Sequential growth was supported by higher revenue from SLB OneSubsea, along with increased sales of artificial lift, valves, surface production systems and completions. </w:t>
      </w:r>
    </w:p>
    <w:p>
      <w:pPr>
        <w:pStyle w:val="TextBody"/>
        <w:bidi w:val="0"/>
        <w:spacing w:before="240" w:after="0"/>
        <w:jc w:val="left"/>
        <w:rPr>
          <w:rFonts w:ascii="Arial" w:hAnsi="Arial"/>
          <w:sz w:val="20"/>
        </w:rPr>
      </w:pPr>
      <w:r>
        <w:rPr>
          <w:rFonts w:ascii="Arial" w:hAnsi="Arial"/>
          <w:sz w:val="20"/>
        </w:rPr>
        <w:t xml:space="preserve">Year on year, revenue increased 29%, primarily reflecting the contribution from the acquired ChampionX production chemicals and artificial lift businesses. These acquired businesses contributed $865 million in revenue and $155 million in pretax operating income during the second quarter of 2026. </w:t>
      </w:r>
    </w:p>
    <w:p>
      <w:pPr>
        <w:pStyle w:val="TextBody"/>
        <w:bidi w:val="0"/>
        <w:spacing w:before="240" w:after="0"/>
        <w:jc w:val="left"/>
        <w:rPr>
          <w:rFonts w:ascii="Arial" w:hAnsi="Arial"/>
          <w:sz w:val="20"/>
        </w:rPr>
      </w:pPr>
      <w:r>
        <w:rPr>
          <w:rFonts w:ascii="Arial" w:hAnsi="Arial"/>
          <w:sz w:val="20"/>
        </w:rPr>
        <w:t xml:space="preserve">Excluding the impact of the acquisition, Production Systems second-quarter 2026 revenue decreased 1% year on year. Strong growth in SLB OneSubsea and valves was more than offset by lower sales of surface production systems, production chemicals, completions and artificial lift, primarily due to disruptions related to the Middle East conflict. Outside the Middle East, Production Systems grew 3% year on year. </w:t>
      </w:r>
    </w:p>
    <w:p>
      <w:pPr>
        <w:pStyle w:val="TextBody"/>
        <w:bidi w:val="0"/>
        <w:spacing w:before="240" w:after="0"/>
        <w:jc w:val="left"/>
        <w:rPr>
          <w:rFonts w:ascii="Arial" w:hAnsi="Arial"/>
          <w:sz w:val="20"/>
        </w:rPr>
      </w:pPr>
      <w:r>
        <w:rPr>
          <w:rFonts w:ascii="Arial" w:hAnsi="Arial"/>
          <w:sz w:val="20"/>
        </w:rPr>
        <w:t xml:space="preserve">Production Systems pretax operating margin was 16%, expanding 138 bps sequentially, driven by improved profitability in SLB OneSubsea and artificial lift. Margin expanded also due to the accretive contribution of ChampionX’s production chemicals and artificial lift businesses. Notably, ChampionX delivered sequential pretax operating margin expansion for the third consecutive quarter. </w:t>
      </w:r>
    </w:p>
    <w:p>
      <w:pPr>
        <w:pStyle w:val="TextBody"/>
        <w:bidi w:val="0"/>
        <w:spacing w:before="240" w:after="0"/>
        <w:jc w:val="left"/>
        <w:rPr>
          <w:rFonts w:ascii="Arial" w:hAnsi="Arial"/>
          <w:sz w:val="20"/>
        </w:rPr>
      </w:pPr>
      <w:r>
        <w:rPr>
          <w:rFonts w:ascii="Arial" w:hAnsi="Arial"/>
          <w:sz w:val="20"/>
        </w:rPr>
        <w:t xml:space="preserve">Year on year, pretax operating margin contracted by 120 bps, primarily due to lower profitability in surface production systems and completions. This decline was partially offset by the accretive contribution from ChampionX’s production chemicals and artificial lift businesses.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 following table and commentary are presented on a pro forma basis assuming that ChampionX was acquired on January 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07"/>
        <w:gridCol w:w="240"/>
        <w:gridCol w:w="166"/>
        <w:gridCol w:w="665"/>
        <w:gridCol w:w="60"/>
        <w:gridCol w:w="240"/>
        <w:gridCol w:w="166"/>
        <w:gridCol w:w="665"/>
        <w:gridCol w:w="60"/>
        <w:gridCol w:w="240"/>
        <w:gridCol w:w="154"/>
        <w:gridCol w:w="623"/>
        <w:gridCol w:w="60"/>
        <w:gridCol w:w="240"/>
        <w:gridCol w:w="138"/>
        <w:gridCol w:w="954"/>
        <w:gridCol w:w="60"/>
        <w:gridCol w:w="188"/>
        <w:gridCol w:w="163"/>
        <w:gridCol w:w="1147"/>
        <w:gridCol w:w="69"/>
      </w:tblGrid>
      <w:tr>
        <w:trPr/>
        <w:tc>
          <w:tcPr>
            <w:tcW w:w="3907"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90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5989" w:type="dxa"/>
            <w:gridSpan w:val="18"/>
            <w:tcBorders/>
            <w:vAlign w:val="bottom"/>
          </w:tcPr>
          <w:p>
            <w:pPr>
              <w:pStyle w:val="TableContents"/>
              <w:bidi w:val="0"/>
              <w:spacing w:before="0" w:after="283"/>
              <w:jc w:val="right"/>
              <w:rPr/>
            </w:pPr>
            <w:r>
              <w:rPr/>
              <w:t>(Stated in millions)</w:t>
            </w:r>
          </w:p>
        </w:tc>
        <w:tc>
          <w:tcPr>
            <w:tcW w:w="69" w:type="dxa"/>
            <w:tcBorders/>
            <w:vAlign w:val="bottom"/>
          </w:tcPr>
          <w:p>
            <w:pPr>
              <w:pStyle w:val="TableContents"/>
              <w:bidi w:val="0"/>
              <w:spacing w:before="0" w:after="283"/>
              <w:jc w:val="left"/>
              <w:rPr/>
            </w:pPr>
            <w:r>
              <w:rPr/>
              <w:t> </w:t>
            </w:r>
          </w:p>
        </w:tc>
      </w:tr>
      <w:tr>
        <w:trPr/>
        <w:tc>
          <w:tcPr>
            <w:tcW w:w="3907" w:type="dxa"/>
            <w:tcBorders/>
            <w:vAlign w:val="bottom"/>
          </w:tcPr>
          <w:p>
            <w:pPr>
              <w:pStyle w:val="TableContents"/>
              <w:bidi w:val="0"/>
              <w:spacing w:before="0" w:after="283"/>
              <w:jc w:val="left"/>
              <w:rPr>
                <w:b/>
              </w:rPr>
            </w:pPr>
            <w:r>
              <w:rPr>
                <w:b/>
              </w:rPr>
              <w:t>Pro forma</w:t>
            </w:r>
          </w:p>
        </w:tc>
        <w:tc>
          <w:tcPr>
            <w:tcW w:w="240" w:type="dxa"/>
            <w:tcBorders/>
            <w:vAlign w:val="bottom"/>
          </w:tcPr>
          <w:p>
            <w:pPr>
              <w:pStyle w:val="TableContents"/>
              <w:bidi w:val="0"/>
              <w:spacing w:before="0" w:after="283"/>
              <w:jc w:val="left"/>
              <w:rPr/>
            </w:pPr>
            <w:r>
              <w:rPr/>
              <w:t>  </w:t>
            </w:r>
          </w:p>
        </w:tc>
        <w:tc>
          <w:tcPr>
            <w:tcW w:w="30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6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9" w:type="dxa"/>
            <w:tcBorders/>
            <w:vAlign w:val="bottom"/>
          </w:tcPr>
          <w:p>
            <w:pPr>
              <w:pStyle w:val="TableContents"/>
              <w:bidi w:val="0"/>
              <w:spacing w:before="0" w:after="283"/>
              <w:jc w:val="left"/>
              <w:rPr/>
            </w:pPr>
            <w:r>
              <w:rPr/>
              <w:t> </w:t>
            </w:r>
          </w:p>
        </w:tc>
      </w:tr>
      <w:tr>
        <w:trPr/>
        <w:tc>
          <w:tcPr>
            <w:tcW w:w="390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2026</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pPr>
            <w:r>
              <w:rPr/>
              <w:t>Mar. 31,</w:t>
              <w:br/>
              <w:t>2026</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77"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2025</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69" w:type="dxa"/>
            <w:tcBorders/>
            <w:vAlign w:val="bottom"/>
          </w:tcPr>
          <w:p>
            <w:pPr>
              <w:pStyle w:val="TableContents"/>
              <w:bidi w:val="0"/>
              <w:spacing w:before="0" w:after="283"/>
              <w:jc w:val="left"/>
              <w:rPr/>
            </w:pPr>
            <w:r>
              <w:rPr/>
              <w:t> </w:t>
            </w:r>
          </w:p>
        </w:tc>
      </w:tr>
      <w:tr>
        <w:trPr/>
        <w:tc>
          <w:tcPr>
            <w:tcW w:w="3907"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24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147"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907" w:type="dxa"/>
            <w:tcBorders/>
          </w:tcPr>
          <w:p>
            <w:pPr>
              <w:pStyle w:val="TableContents"/>
              <w:bidi w:val="0"/>
              <w:spacing w:before="0" w:after="0"/>
              <w:jc w:val="left"/>
              <w:rPr>
                <w:rFonts w:ascii="Arial" w:hAnsi="Arial"/>
                <w:sz w:val="20"/>
              </w:rPr>
            </w:pPr>
            <w:r>
              <w:rPr>
                <w:rFonts w:ascii="Arial" w:hAnsi="Arial"/>
                <w:sz w:val="20"/>
              </w:rPr>
              <w:t>International</w:t>
            </w:r>
          </w:p>
        </w:tc>
        <w:tc>
          <w:tcPr>
            <w:tcW w:w="24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b/>
              </w:rPr>
            </w:pPr>
            <w:r>
              <w:rPr>
                <w:b/>
              </w:rPr>
              <w:t>$</w:t>
            </w:r>
          </w:p>
        </w:tc>
        <w:tc>
          <w:tcPr>
            <w:tcW w:w="665" w:type="dxa"/>
            <w:tcBorders/>
            <w:vAlign w:val="bottom"/>
          </w:tcPr>
          <w:p>
            <w:pPr>
              <w:pStyle w:val="TableContents"/>
              <w:bidi w:val="0"/>
              <w:spacing w:before="0" w:after="283"/>
              <w:jc w:val="right"/>
              <w:rPr>
                <w:b/>
              </w:rPr>
            </w:pPr>
            <w:r>
              <w:rPr>
                <w:b/>
              </w:rPr>
              <w:t>2,478</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665" w:type="dxa"/>
            <w:tcBorders/>
            <w:vAlign w:val="bottom"/>
          </w:tcPr>
          <w:p>
            <w:pPr>
              <w:pStyle w:val="TableContents"/>
              <w:bidi w:val="0"/>
              <w:spacing w:before="0" w:after="283"/>
              <w:jc w:val="right"/>
              <w:rPr/>
            </w:pPr>
            <w:r>
              <w:rPr/>
              <w:t>2,272</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3" w:type="dxa"/>
            <w:tcBorders/>
            <w:vAlign w:val="bottom"/>
          </w:tcPr>
          <w:p>
            <w:pPr>
              <w:pStyle w:val="TableContents"/>
              <w:bidi w:val="0"/>
              <w:spacing w:before="0" w:after="283"/>
              <w:jc w:val="right"/>
              <w:rPr/>
            </w:pPr>
            <w:r>
              <w:rPr/>
              <w:t>2,496</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center"/>
              <w:rPr>
                <w:b/>
              </w:rPr>
            </w:pPr>
            <w:r>
              <w:rPr>
                <w:b/>
              </w:rPr>
              <w:t>9%</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center"/>
              <w:rPr/>
            </w:pPr>
            <w:r>
              <w:rPr/>
              <w:t>-1%</w:t>
            </w:r>
          </w:p>
        </w:tc>
        <w:tc>
          <w:tcPr>
            <w:tcW w:w="69" w:type="dxa"/>
            <w:tcBorders/>
            <w:vAlign w:val="bottom"/>
          </w:tcPr>
          <w:p>
            <w:pPr>
              <w:pStyle w:val="TableContents"/>
              <w:bidi w:val="0"/>
              <w:spacing w:before="0" w:after="283"/>
              <w:jc w:val="left"/>
              <w:rPr/>
            </w:pPr>
            <w:r>
              <w:rPr/>
              <w:t> </w:t>
            </w:r>
          </w:p>
        </w:tc>
      </w:tr>
      <w:tr>
        <w:trPr/>
        <w:tc>
          <w:tcPr>
            <w:tcW w:w="3907"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24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b/>
              </w:rPr>
            </w:pPr>
            <w:r>
              <w:rPr>
                <w:b/>
              </w:rPr>
              <w:t>1,259</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1,206</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1,247</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center"/>
              <w:rPr>
                <w:b/>
              </w:rPr>
            </w:pPr>
            <w:r>
              <w:rPr>
                <w:b/>
              </w:rPr>
              <w:t>4%</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center"/>
              <w:rPr/>
            </w:pPr>
            <w:r>
              <w:rPr/>
              <w:t>1%</w:t>
            </w:r>
          </w:p>
        </w:tc>
        <w:tc>
          <w:tcPr>
            <w:tcW w:w="69" w:type="dxa"/>
            <w:tcBorders/>
            <w:shd w:fill="CCEEFF" w:val="clear"/>
            <w:vAlign w:val="bottom"/>
          </w:tcPr>
          <w:p>
            <w:pPr>
              <w:pStyle w:val="TableContents"/>
              <w:bidi w:val="0"/>
              <w:spacing w:before="0" w:after="283"/>
              <w:jc w:val="left"/>
              <w:rPr/>
            </w:pPr>
            <w:r>
              <w:rPr/>
              <w:t> </w:t>
            </w:r>
          </w:p>
        </w:tc>
      </w:tr>
      <w:tr>
        <w:trPr/>
        <w:tc>
          <w:tcPr>
            <w:tcW w:w="3907" w:type="dxa"/>
            <w:tcBorders/>
          </w:tcPr>
          <w:p>
            <w:pPr>
              <w:pStyle w:val="TableContents"/>
              <w:bidi w:val="0"/>
              <w:spacing w:before="0" w:after="0"/>
              <w:jc w:val="left"/>
              <w:rPr>
                <w:rFonts w:ascii="Arial" w:hAnsi="Arial"/>
                <w:sz w:val="20"/>
              </w:rPr>
            </w:pPr>
            <w:r>
              <w:rPr>
                <w:rFonts w:ascii="Arial" w:hAnsi="Arial"/>
                <w:sz w:val="20"/>
              </w:rPr>
              <w:t>Other</w:t>
            </w:r>
          </w:p>
        </w:tc>
        <w:tc>
          <w:tcPr>
            <w:tcW w:w="24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b/>
              </w:rPr>
            </w:pPr>
            <w:r>
              <w:rPr>
                <w:b/>
              </w:rPr>
              <w:t>34</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center"/>
              <w:rPr>
                <w:b/>
              </w:rPr>
            </w:pPr>
            <w:r>
              <w:rPr>
                <w:b/>
              </w:rPr>
              <w:t>n/m</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center"/>
              <w:rPr/>
            </w:pPr>
            <w:r>
              <w:rPr/>
              <w:t>n/m</w:t>
            </w:r>
          </w:p>
        </w:tc>
        <w:tc>
          <w:tcPr>
            <w:tcW w:w="69" w:type="dxa"/>
            <w:tcBorders/>
            <w:vAlign w:val="bottom"/>
          </w:tcPr>
          <w:p>
            <w:pPr>
              <w:pStyle w:val="TableContents"/>
              <w:bidi w:val="0"/>
              <w:spacing w:before="0" w:after="283"/>
              <w:jc w:val="left"/>
              <w:rPr/>
            </w:pPr>
            <w:r>
              <w:rPr/>
              <w:t> </w:t>
            </w:r>
          </w:p>
        </w:tc>
      </w:tr>
      <w:tr>
        <w:trPr/>
        <w:tc>
          <w:tcPr>
            <w:tcW w:w="3907"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single" w:sz="2" w:space="1" w:color="000000"/>
              </w:pBdr>
              <w:bidi w:val="0"/>
              <w:spacing w:before="0" w:after="0"/>
              <w:jc w:val="left"/>
              <w:rPr/>
            </w:pPr>
            <w:r>
              <w:rPr/>
              <w:t> </w:t>
            </w:r>
          </w:p>
        </w:tc>
        <w:tc>
          <w:tcPr>
            <w:tcW w:w="9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907" w:type="dxa"/>
            <w:tcBorders/>
            <w:shd w:fill="CCEEFF" w:val="clear"/>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665" w:type="dxa"/>
            <w:tcBorders/>
            <w:shd w:fill="CCEEFF" w:val="clear"/>
            <w:vAlign w:val="bottom"/>
          </w:tcPr>
          <w:p>
            <w:pPr>
              <w:pStyle w:val="TableContents"/>
              <w:bidi w:val="0"/>
              <w:spacing w:before="0" w:after="283"/>
              <w:jc w:val="right"/>
              <w:rPr>
                <w:b/>
              </w:rPr>
            </w:pPr>
            <w:r>
              <w:rPr>
                <w:b/>
              </w:rPr>
              <w:t>3,771</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65" w:type="dxa"/>
            <w:tcBorders/>
            <w:shd w:fill="CCEEFF" w:val="clear"/>
            <w:vAlign w:val="bottom"/>
          </w:tcPr>
          <w:p>
            <w:pPr>
              <w:pStyle w:val="TableContents"/>
              <w:bidi w:val="0"/>
              <w:spacing w:before="0" w:after="283"/>
              <w:jc w:val="right"/>
              <w:rPr/>
            </w:pPr>
            <w:r>
              <w:rPr/>
              <w:t>3,508</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3" w:type="dxa"/>
            <w:tcBorders/>
            <w:shd w:fill="CCEEFF" w:val="clear"/>
            <w:vAlign w:val="bottom"/>
          </w:tcPr>
          <w:p>
            <w:pPr>
              <w:pStyle w:val="TableContents"/>
              <w:bidi w:val="0"/>
              <w:spacing w:before="0" w:after="283"/>
              <w:jc w:val="right"/>
              <w:rPr/>
            </w:pPr>
            <w:r>
              <w:rPr/>
              <w:t>3,780</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center"/>
              <w:rPr>
                <w:b/>
              </w:rPr>
            </w:pPr>
            <w:r>
              <w:rPr>
                <w:b/>
              </w:rPr>
              <w:t>7%</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center"/>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907"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double" w:sz="6" w:space="1" w:color="000000"/>
              </w:pBdr>
              <w:bidi w:val="0"/>
              <w:spacing w:before="0" w:after="0"/>
              <w:jc w:val="left"/>
              <w:rPr/>
            </w:pPr>
            <w:r>
              <w:rPr/>
              <w:t> </w:t>
            </w:r>
          </w:p>
        </w:tc>
        <w:tc>
          <w:tcPr>
            <w:tcW w:w="9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1147"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Production Systems revenue of $3.77 billion was essentially flat year on year. Strong growth across Latin America, Europe &amp; Africa, Asia and North America largely compensated for lower revenue in the Middle East, where operations continued to be affected by disruptions associated with the regional conflict. </w:t>
      </w:r>
    </w:p>
    <w:p>
      <w:pPr>
        <w:pStyle w:val="TextBody"/>
        <w:bidi w:val="0"/>
        <w:spacing w:before="360" w:after="0"/>
        <w:jc w:val="left"/>
        <w:rPr>
          <w:rFonts w:ascii="Arial" w:hAnsi="Arial"/>
          <w:b/>
          <w:sz w:val="20"/>
        </w:rPr>
      </w:pPr>
      <w:r>
        <w:rPr>
          <w:rFonts w:ascii="Arial" w:hAnsi="Arial"/>
          <w:b/>
          <w:sz w:val="20"/>
        </w:rPr>
        <w:t xml:space="preserve">All Other </w:t>
      </w:r>
    </w:p>
    <w:p>
      <w:pPr>
        <w:pStyle w:val="TextBody"/>
        <w:bidi w:val="0"/>
        <w:spacing w:before="120" w:after="0"/>
        <w:jc w:val="left"/>
        <w:rPr>
          <w:rFonts w:ascii="Arial" w:hAnsi="Arial"/>
          <w:sz w:val="20"/>
        </w:rPr>
      </w:pPr>
      <w:r>
        <w:rPr>
          <w:rFonts w:ascii="Arial" w:hAnsi="Arial"/>
          <w:sz w:val="20"/>
        </w:rPr>
        <w:t xml:space="preserve">All Other is comprised of APS, Data Center Solutions and SLB Capturi. </w:t>
      </w:r>
    </w:p>
    <w:p>
      <w:pPr>
        <w:pStyle w:val="TextBody"/>
        <w:bidi w:val="0"/>
        <w:spacing w:before="240" w:after="0"/>
        <w:jc w:val="left"/>
        <w:rPr>
          <w:rFonts w:ascii="Arial" w:hAnsi="Arial"/>
          <w:sz w:val="20"/>
        </w:rPr>
      </w:pPr>
      <w:r>
        <w:rPr>
          <w:rFonts w:ascii="Arial" w:hAnsi="Arial"/>
          <w:sz w:val="20"/>
        </w:rPr>
        <w:t xml:space="preserve">Revenue increased 14% sequentially due to 33% higher revenue in Data Center Solutions while APS revenue was flat. Year on year, revenue declined 13%, primarily due to lower APS revenue following the divestiture of the Palliser asset in Canada at the end of the second quarter of 2025, coupled with reduced revenue in SLB Capturi. This decline was partially offset by an 80% increase in Data Center Solutions revenue. </w:t>
      </w:r>
    </w:p>
    <w:p>
      <w:pPr>
        <w:pStyle w:val="TextBody"/>
        <w:bidi w:val="0"/>
        <w:spacing w:before="240" w:after="0"/>
        <w:jc w:val="left"/>
        <w:rPr>
          <w:rFonts w:ascii="Arial" w:hAnsi="Arial"/>
          <w:sz w:val="20"/>
        </w:rPr>
      </w:pPr>
      <w:r>
        <w:rPr>
          <w:rFonts w:ascii="Arial" w:hAnsi="Arial"/>
          <w:sz w:val="20"/>
        </w:rPr>
        <w:t xml:space="preserve">Pretax operating income increased sequentially due to improved profitability in Data Center Solutions and APS. Pretax operating income declined year on year due to lower profitability in APS projects following the Palliser divestiture.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Quarterly Highlights </w:t>
      </w:r>
    </w:p>
    <w:p>
      <w:pPr>
        <w:pStyle w:val="TextBody"/>
        <w:bidi w:val="0"/>
        <w:spacing w:before="120" w:after="0"/>
        <w:jc w:val="left"/>
        <w:rPr>
          <w:rFonts w:ascii="Arial" w:hAnsi="Arial"/>
          <w:b/>
          <w:sz w:val="20"/>
        </w:rPr>
      </w:pPr>
      <w:r>
        <w:rPr>
          <w:rFonts w:ascii="Arial" w:hAnsi="Arial"/>
          <w:b/>
          <w:sz w:val="20"/>
        </w:rPr>
        <w:t xml:space="preserve">Core </w:t>
      </w:r>
    </w:p>
    <w:p>
      <w:pPr>
        <w:pStyle w:val="TextBody"/>
        <w:bidi w:val="0"/>
        <w:spacing w:before="120" w:after="0"/>
        <w:jc w:val="left"/>
        <w:rPr>
          <w:rFonts w:ascii="Arial" w:hAnsi="Arial"/>
          <w:sz w:val="20"/>
        </w:rPr>
      </w:pPr>
      <w:r>
        <w:rPr>
          <w:rFonts w:ascii="Arial" w:hAnsi="Arial"/>
          <w:sz w:val="20"/>
        </w:rPr>
        <w:t xml:space="preserve">Contract Awards </w:t>
      </w:r>
    </w:p>
    <w:p>
      <w:pPr>
        <w:pStyle w:val="TextBody"/>
        <w:bidi w:val="0"/>
        <w:spacing w:before="120" w:after="0"/>
        <w:jc w:val="left"/>
        <w:rPr>
          <w:rFonts w:ascii="Arial" w:hAnsi="Arial"/>
          <w:sz w:val="20"/>
        </w:rPr>
      </w:pPr>
      <w:r>
        <w:rPr>
          <w:rFonts w:ascii="Arial" w:hAnsi="Arial"/>
          <w:sz w:val="20"/>
        </w:rPr>
        <w:t xml:space="preserve">SLB continues to win new contract awards that align with SLB’s strengths in the Core. Notable highlights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In the Gulf of America, SLB OneSubsea joint venture was awarded a contract by bp to provide a subsea boosting system for the Thunder Horse deepwater development project. This engineering, procurement and construction contract for Thunder Horse follows recent subsea boosting contract awards for bp’s Kaskida and Tiber developments. All three projects leverage the same supplier-led, standardized subsea boosting system solution, which helps improve execution efficiency and shorten delivery times.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Also, in the Gulf of America, SLB OneSubsea was awarded a contract by Beacon Offshore Energy Exploration and Production LLC to deliver a high-pressure, high-temperature (HPHT) multiphase boosting system for the Shenandoah field. The award reflects continued investment in deepwater developments, where advanced subsea production systems are being applied to improve recovery. OneSubsea’s HPHT multiphase boosting system is engineered to operate reliably above 15,000 psi, addressing operating conditions that exceed the limits of conventional subsea solutions.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Offshore Indonesia, SLB OneSubsea was awarded a contract by Eni North Ganal Limited (a subsidiary of Searah Limited, a joint venture company between Eni and PETRONAS) to deliver a steel tube umbilical system for the Kutei North Hub field development project in East Kalimantan. Supporting one of the region’s most significant deepwater developments, OneSubsea will engineer, procure and manufacture 94.6 kilometers of umbilical for water depths of up to 2,200 meters. With a total system weight of approximately 6,700 tons, the project represents one of the largest umbilical contracts awarded in the industry to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In Kuwait, SLB was awarded a seven-year contract by Kuwait Oil Company (KOC) under the Ahmadi Innovation Valley initiative. The agreement will support applied research, technology deployment and digital innovation programs aligned with Kuwait’s long-term energy objectives. Under the agreement, SLB will work with KOC to evaluate, test and deploy advanced technologies across a range of operational and strategic priorities, including AI, industrial internet of things (IIoT) applications, production optimization, reservoir technologies, water management and energy transition initiatives.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Also in Kuwait, KOC awarded SLB a five-year contract to deliver bits for both land and offshore drilling operations as well as a significant contract award for cementing and related services in conventional and unconventional scopes. SLB will deploy advanced bits and reverse circulation technologies tailored for KOC’s subsurface environment, addressing the complexity of local geological conditions. These high-performance drilling solutions are engineered to enhance efficiency and reduce well construction costs. The cementing award underscores SLB’s commitment to innovative technologies, operational excellence and sustainable value — all while supporting KOC in driving safety, performance and long-term value creation in Kuwait.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In India, Oil and Natural Gas Corporation (ONGC) awarded SLB a significant deepwater drilling contract to support the drilling of 24 wells over four years for its offshore energy development. Under the agreement, SLB will deliver integrated drilling services and technologies to support efficient execution in complex deepwater environments. By combining advanced drilling technologies, digital workflows and deep domain expertise, SLB will optimize well performance, improve operational efficiency and reduce execution risk across the campaign. The project supports ONGC’s strategy to accelerate domestic hydrocarbon production through efficient and cost-effective offshore development while reinforcing SLB’s position as a trusted partner for complex deepwater projects in India.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PTT Exploration and Production (PTTEP) awarded SLB a two-year managed pressure drilling (MPD) contract for offshore exploration. The scope includes a full MPD and pressurized mudcap drilling solution, powered by a custom compact above-tension-ring rotating control device and @balance Control MPD system. This achievement highlights SLB’s ability to deliver customized solutions for complex drilling environments and underscores the strength of the partnership with PTTEP. Through this collaboration, SLB continues to enhance operational efficiency and safety, reinforcing the commitment to excellence in service delivery.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Offshore Côte d’Ivoire, SLB OneSubsea was awarded a major multiwell engineering, procurement and construction contract by Eni for Phase 3 of the deepwater Baleine project. Under the contract, OneSubsea will deliver complete subsea production systems for 13 wells, reinforcing its role as a core technology and execution partner on one of the most strategically significant offshore developments currently underway in the region.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Technology Highlights </w:t>
      </w:r>
    </w:p>
    <w:p>
      <w:pPr>
        <w:pStyle w:val="TextBody"/>
        <w:bidi w:val="0"/>
        <w:spacing w:before="120" w:after="0"/>
        <w:jc w:val="left"/>
        <w:rPr>
          <w:rFonts w:ascii="Arial" w:hAnsi="Arial"/>
          <w:sz w:val="20"/>
        </w:rPr>
      </w:pPr>
      <w:r>
        <w:rPr>
          <w:rFonts w:ascii="Arial" w:hAnsi="Arial"/>
          <w:sz w:val="20"/>
        </w:rPr>
        <w:t xml:space="preserve">Notable technology introductions and deployments in the quarter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During the inaugural SLB Production and Recovery Summit, SLB launched its Intelligent Production Studio, an environment for digital operations. The live operating environment integrates AI, edge intelligence, connected equipment, digital twins and autonomous workflows, to show an intelligent production system in action. Built around a fully autonomous well pad managing real three-phase flow of oil, water and gas across multiple well streams, the studio enables customers to evaluate interconnected, intelligent production systems before field deployment. The facility models surveillance, anomaly detection, robotic inspection, autonomous chemical injection and closed-loop optimization to aid in field design decisions.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SLB launched AlphaSight, the company’s latest innovation in reservoir mapping and drilling intelligence. The AlphaSight service leverages industry-first technologies, setting a new benchmark for visibility and control in complex drilling environments to maximize production potential. Designed to deliver clearer subsurface insight at significantly further depths, the AlphaSight service helps operators see and understand reservoir structures in real time — supporting confident drilling decisions without slowing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Retina at-bit imaging system achieved strong market adoption in its first year of commercialization, with deployments in more than 50 wells across 16 locations worldwide and over 122,000 feet of data acquired. By providing high-resolution formation measurements at first contact with the rock, the Retina system delivers earlier subsurface visibility, helping operators reduce uncertainty and make more informed drilling, completion and reservoir development decisions. Successful deployments in the Gulf of America, U.S. land, East Asia and the Middle East demonstrated the system’s value across a wide range of geological and operational environments, reinforcing its growing role in improving well placement and reservoir understanding.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In North Africa, SLB applied an integrated approach, focusing on production enhancement, to help an operator rejuvenate a 50-year-old mature onshore field challenged by declining production, rising water cut, idle wells and legacy facilities. The multidisciplinary solution combined advanced reservoir diagnostics, targeted well interventions, facility debottlenecking and digital operations under a unified delivery model. The project unlocked 13.8 million barrels of incremental oil, delivered production results three times higher than initial forecasts, brought 90 wells online and reduced produced water volumes by 55%, demonstrating the impact of SLB’s integrated technology and execution model in improving recovery and operational efficiency across mature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the United Arab Emirates, SLB collaborated with a national oil company to reactivate shut-in wells in a mature onshore field using Production Express rapid production response solutions. The mobile surface multiphase boosting deployment increased wellhead pressure by 300 psi, restoring stable production of more than 3 million standard cubic feet per day of gas and more than 7,000 barrels per day of liquids. The solution enabled zero-flaring operations, reduced emissions for the operator and established a qualified pathway for future multiphase boosting and zero-flaring projects across onshore and offshore wells.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Following commercialization in the first quarter of 2026, SLB’s automated cementing technology has rapidly evolved from a pioneering digital innovation into a scalable commercial solution. Building on the industry’s first fully automated cementing job in Norway, the technology has now surpassed 100 remote and automated cementing jobs, validating years of investment in automation, digital workflows and remote operations. Additionally, a key milestone was recently achieved with its first deployment in Egypt, where the cementing team successfully executed an automated dual-slurry operation on Shell’s Velox-1 well, demonstrating the technology’s scalability and supporting SLB’s competitive differentiation in digital well construction.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In the Gulf of America, SLB helped restore production from a deepwater well that had been shut in for nearly four years because of sand production challenges. Using RemedySlot through tubing sand screens as a targeted remedial solution, SLB avoided a full recompletion and completed the intervention in 101 hours. The well returned to stable production of more than 900 barrels per day, protecting critical subsea equipment and recovering value for the customer.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Across Kuwait, SLB and KOC advanced integrated water-control and injector-conformance workflows, combining powered, fiber-optic ACTive real-time downhole coiled tubing services, high-resolution diagnostics and engineered chemical water shutoff systems to restore reservoir performance without conventional rig workover. Across three producer and injector interventions, the workflows reduced water cut, improved injection conformance and delivered measurable oil production gains. Results included uplift to about 975 and 1,200 barrels of oil per day in two producers. The injector intervention also delivered approximately 2,100 barrels of oil per day of incremental oil from five surrounding producers, demonstrating a repeatable diagnose-to-remediate model for improved recovery. Better-connected decisions enabled fewer, more effective interventions to reduce cost while sustaining production.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Digital </w:t>
      </w:r>
    </w:p>
    <w:p>
      <w:pPr>
        <w:pStyle w:val="TextBody"/>
        <w:bidi w:val="0"/>
        <w:spacing w:before="120" w:after="0"/>
        <w:jc w:val="left"/>
        <w:rPr>
          <w:rFonts w:ascii="Arial" w:hAnsi="Arial"/>
          <w:sz w:val="20"/>
        </w:rPr>
      </w:pPr>
      <w:r>
        <w:rPr>
          <w:rFonts w:ascii="Arial" w:hAnsi="Arial"/>
          <w:sz w:val="20"/>
        </w:rPr>
        <w:t xml:space="preserve">SLB is deploying digital technology at scale, partnering with customers to migrate their technology and workflows into the cloud, to embrace new AI-enabled capabilities, and to leverage insights to elevate their performance. Notable highlights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SLB signed a long-term framework agreement with Petróleos de Venezuela, S.A. (PDVSA) to support the revitalization and modernization of Venezuela’s oil and gas sector. The MoU establishes a basis for cooperation across exploration, field development, production, digital enablement and workforce training and development. The collaboration is intended to strengthen operational execution and promote sustainable development of Venezuela’s hydrocarbon resources. It builds on SLB’s 97 years of presence in the country and reflects a shared focus on combining technology, local capability and continued sector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SLB launched its Digital Marketplace, a curated digital destination designed to help energy companies rapidly discover and deploy specialized AI agents, domain models, skills, tools, data connectors and digital applications within their existing digital environments. The SLB Digital Marketplace extends the company’s open platform strategy to its Tela agentic AI assistant by enabling SLB, partners, independent software vendors, developers and customers to bring purpose-built digital capabilities to the energy industry through a single, governed channel. All marketplace offerings are certified to SLB standards for security, interoperability and compatibility before listing.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SLB announced a memorandum of understanding (MoU) with Qualcomm Technologies, Inc. to enable edge AI solutions for the energy industry, supporting real-time operational decision making across wells, facilities and production systems. The collaboration combines Qualcomm Technologies’ low-power edge computing and AI processing capabilities, with SLB’s Agora edge AI and IIoT solutions developed for remote and operationally complex environments. The companies will focus on enabling AI applications across production operations using SLB’s digital production solutions and energy domain expertise together with Qualcomm Technologies’ low-power edge computing capabilities. The collaboration reflects growing industry interest in bringing AI closer to operations to support more autonomous and resilient energy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SLB announced an expanded collaboration with Vår Energi to scale well planning and integrated field development planning across its Norwegian Continental Shelf operations. With collaborative well planning already reducing cycle times from months to days and integrated field development planning expected to support similar benefits, the expanded deployment is designed to support faster, more consistent decision making as operators work to sustain production from mature offshore assets while managing increasing development complexity.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Offshore southern Brazil, SLB is participating with TGS in Pelotas Sul Phase 1, a 13,500-square kilometer multiclient 3D seismic program. Building on a 2D data library developed since 2015, the survey expands SLB’s multiclient data footprint in Brazil and supports growing exploration interest in the Pelotas Basin. Acquisition is underway and expected to finish early in the third quarter of 2026. The program will provide high-quality subsurface data to help operators better evaluate largely untested deepwater opportunities across the basin.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the North Sea, Adura awarded SLB a contract to scale integrated digital workflows across its subsurface and production domains. SLB is delivering a multidomain program that connects data, drilling, subsurface and production workflows, anchored by Petrel subsurface software standardization and the OptiFlow production assurance solutions. The program is designed to improve near-term performance through faster deployment and disciplined commercial execution, while advancing next-generation production workflows and supporting broader digital adoption across the basin.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SLB was awarded a contract by bp for seismic data processing for the Karabagh project in the Caspian Sea. This award follows two previous contract awards on other offshore oil and gas projects operated by bp in the Caspian. SLB’s deep regional expertise and longstanding presence in Azerbaijan, combined with consistent delivery of high-quality imaging and actionable reservoir insights, continue to set the standard for seismic performance in the Caspian basin.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In Kuwait, KOC, as part of its Kuwait Digital Integrated Field for Jurassic gas, awarded SLB four Innovation Factori AI collaborations. The awards include AI-driven rig scheduling, generative AI production analytics, AI-based log quality control and reconstruction to accelerate field development, and a three-month AI academy to upskill KOC subject matter experts by equipping them with the most relevant and practical AI capabilities. KOC advances digital transformation across upstream operations by deploying generative AI solutions to enhance production insights, asset management and operational efficiency.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India, ONGC awarded SLB a three-year, enterprise-wide contract to deploy its DrillOps intelligent well delivery and insights solutions across onshore and offshore operations. As part of ONGC’s real-time data monitoring, management and analytics initiative, the deployment covers up to 120 rigs and includes real-time monitoring, predictive analytics and performance insights. Through centralized real-time operations at ONGC’s Institute of Drilling and Well Engineering in Dehradun, the deployment will help improve drilling consistency and performance across ONGC’s drilling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SLB was awarded a contract by PTTEP to pilot the deployment of Cognite Data Fusion, OptiFlow solutions and Tela AI advisory agents for a domestic offshore asset. This achievement represents a significant milestone in the collaboration between the SLB Innovation Factori team and PTTEP, providing a scalable data foundation and production assurance, in addition to well optimization solutions aimed at enhancing operational efficiency and supporting better decision making.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In China, SLB worked with China France Bohai Geoservices Co., a subsidiary of China National Offshore Oil Company, to promote one of its offshore terminal’s process performance by turning operational data into real-time action. Leveraging Innovation Factori AI collaboration, SLB integrated plant operational data with Symmetry process simulation software (configured as digital twins) and connected the solution to advanced process control and distributed control systems. This enabled closed-loop, real-time economic optimization beyond traditional offline studies, improving efficiency, generating actionable insights and creating sustained value through digital process optimization.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ExxonMobil Trinidad and Tobago Deepwater Limited awarded SLB a two-year seismic data processing project to support frontier exploration in an ultra-deepwater area. The block presents one of the industry’s most complex imaging challenges, with only sparse legacy 2D seismic data available. SLB will apply advanced seismic processing and depth-imaging workflows in its Omega geophysical data processing software. The workflow combines full-waveform inversion, velocity modeling, advanced source-separation technology, multicomponent streamer data processing and AI-enabled horizon interpretation. Covering nearly 6,000 square kilometers, the program will deliver the block’s first 3D image and give ExxonMobil a clearer path to evaluate this new frontier </w:t>
            </w:r>
          </w:p>
        </w:tc>
      </w:tr>
    </w:tbl>
    <w:p>
      <w:pPr>
        <w:pStyle w:val="TextBody"/>
        <w:bidi w:val="0"/>
        <w:spacing w:before="360" w:after="0"/>
        <w:jc w:val="left"/>
        <w:rPr>
          <w:rFonts w:ascii="Arial" w:hAnsi="Arial"/>
          <w:b/>
          <w:sz w:val="20"/>
        </w:rPr>
      </w:pPr>
      <w:r>
        <w:rPr>
          <w:rFonts w:ascii="Arial" w:hAnsi="Arial"/>
          <w:b/>
          <w:sz w:val="20"/>
        </w:rPr>
        <w:t xml:space="preserve">New Horizons of Growth </w:t>
      </w:r>
    </w:p>
    <w:p>
      <w:pPr>
        <w:pStyle w:val="TextBody"/>
        <w:bidi w:val="0"/>
        <w:spacing w:before="120" w:after="0"/>
        <w:jc w:val="left"/>
        <w:rPr>
          <w:rFonts w:ascii="Arial" w:hAnsi="Arial"/>
          <w:sz w:val="20"/>
        </w:rPr>
      </w:pPr>
      <w:r>
        <w:rPr>
          <w:rFonts w:ascii="Arial" w:hAnsi="Arial"/>
          <w:sz w:val="20"/>
        </w:rPr>
        <w:t xml:space="preserve">SLB is participating in high-growth markets like Data Center Solutions, through strategic innovative technology and partnerships,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In Canada, Meta announced a new 1GW data center to be built in Sturgeon County, Alberta, for which SLB has been selected as a delivery partner. This partnership, spanning from modular infrastructure manufacturing to building fit-out, underscores SLB’s evolving position as a full-scale deployment partner for leading global hyperscalers.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SLB and Ormat Technologies have selected Desert Peak in Nevada as the preferred location for a planned enhanced geothermal system (EGS) pilot, following a multisite evaluation across existing geothermal fields. SLB and Ormat’s approach is to improve development predictability and reduce execution risk in complex geothermal environments, and to industrialize EGS. Following the pilot, SLB and Ormat plan to collaborate to accelerate the commercialization of large-scale EGS solutions for customers, including data center operators, building on the companies’ October 2025 agreement to co-develop integrated geothermal assets and progress EGS from pilot to commercial deployment.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SLB and Liberty Energy Inc. announced an agreement to form a strategic alliance that will deliver modular infrastructure and integrated power generation solutions for new data center projects globally. Under the planned alliance, SLB will provide modular infrastructure solutions, project execution capabilities and global market reach, while Liberty will provide modular behind-the-meter power generation systems, intelligent power controls and operational expertise. The collaboration intends to support the rapid deployment of new data center capacity and help the world’s leading AI companies address increasingly complex energy requirements.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FINANCIAL TABLES </w:t>
      </w:r>
    </w:p>
    <w:p>
      <w:pPr>
        <w:pStyle w:val="TextBody"/>
        <w:bidi w:val="0"/>
        <w:spacing w:before="120" w:after="0"/>
        <w:jc w:val="left"/>
        <w:rPr>
          <w:rFonts w:ascii="Arial" w:hAnsi="Arial"/>
          <w:b/>
          <w:sz w:val="20"/>
        </w:rPr>
      </w:pPr>
      <w:r>
        <w:rPr>
          <w:rFonts w:ascii="Arial" w:hAnsi="Arial"/>
          <w:b/>
          <w:sz w:val="20"/>
        </w:rPr>
        <w:t xml:space="preserve">Condensed Consolidated Statement of Income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56"/>
        <w:gridCol w:w="144"/>
        <w:gridCol w:w="140"/>
        <w:gridCol w:w="574"/>
        <w:gridCol w:w="60"/>
        <w:gridCol w:w="144"/>
        <w:gridCol w:w="140"/>
        <w:gridCol w:w="574"/>
        <w:gridCol w:w="60"/>
        <w:gridCol w:w="144"/>
        <w:gridCol w:w="140"/>
        <w:gridCol w:w="803"/>
        <w:gridCol w:w="60"/>
        <w:gridCol w:w="144"/>
        <w:gridCol w:w="140"/>
        <w:gridCol w:w="717"/>
        <w:gridCol w:w="65"/>
      </w:tblGrid>
      <w:tr>
        <w:trPr/>
        <w:tc>
          <w:tcPr>
            <w:tcW w:w="6156"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0140" w:type="dxa"/>
            <w:gridSpan w:val="16"/>
            <w:tcBorders/>
            <w:vAlign w:val="bottom"/>
          </w:tcPr>
          <w:p>
            <w:pPr>
              <w:pStyle w:val="TableContents"/>
              <w:bidi w:val="0"/>
              <w:spacing w:before="0" w:after="283"/>
              <w:jc w:val="right"/>
              <w:rPr/>
            </w:pPr>
            <w:r>
              <w:rPr/>
              <w:t>(Stated in millions, except per share amounts)</w:t>
            </w:r>
          </w:p>
        </w:tc>
        <w:tc>
          <w:tcPr>
            <w:tcW w:w="65" w:type="dxa"/>
            <w:tcBorders/>
            <w:vAlign w:val="bottom"/>
          </w:tcPr>
          <w:p>
            <w:pPr>
              <w:pStyle w:val="TableContents"/>
              <w:bidi w:val="0"/>
              <w:spacing w:before="0" w:after="283"/>
              <w:jc w:val="left"/>
              <w:rPr/>
            </w:pPr>
            <w:r>
              <w:rPr/>
              <w:t> </w:t>
            </w:r>
          </w:p>
        </w:tc>
      </w:tr>
      <w:tr>
        <w:trPr/>
        <w:tc>
          <w:tcPr>
            <w:tcW w:w="615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32" w:type="dxa"/>
            <w:gridSpan w:val="6"/>
            <w:tcBorders>
              <w:bottom w:val="single" w:sz="8" w:space="0" w:color="000000"/>
            </w:tcBorders>
            <w:tcMar>
              <w:bottom w:w="28" w:type="dxa"/>
            </w:tcMar>
            <w:vAlign w:val="bottom"/>
          </w:tcPr>
          <w:p>
            <w:pPr>
              <w:pStyle w:val="TableContents"/>
              <w:bidi w:val="0"/>
              <w:spacing w:before="0" w:after="283"/>
              <w:jc w:val="center"/>
              <w:rPr/>
            </w:pPr>
            <w:r>
              <w:rPr/>
              <w:t>Second Quarter</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004" w:type="dxa"/>
            <w:gridSpan w:val="6"/>
            <w:tcBorders>
              <w:bottom w:val="single" w:sz="8" w:space="0" w:color="000000"/>
            </w:tcBorders>
            <w:tcMar>
              <w:bottom w:w="28" w:type="dxa"/>
            </w:tcMar>
            <w:vAlign w:val="bottom"/>
          </w:tcPr>
          <w:p>
            <w:pPr>
              <w:pStyle w:val="TableContents"/>
              <w:bidi w:val="0"/>
              <w:spacing w:before="0" w:after="283"/>
              <w:jc w:val="center"/>
              <w:rPr/>
            </w:pPr>
            <w:r>
              <w:rPr/>
              <w:t>Six Months</w:t>
            </w:r>
          </w:p>
        </w:tc>
        <w:tc>
          <w:tcPr>
            <w:tcW w:w="65" w:type="dxa"/>
            <w:tcBorders/>
            <w:vAlign w:val="bottom"/>
          </w:tcPr>
          <w:p>
            <w:pPr>
              <w:pStyle w:val="TableContents"/>
              <w:bidi w:val="0"/>
              <w:spacing w:before="0" w:after="283"/>
              <w:jc w:val="left"/>
              <w:rPr/>
            </w:pPr>
            <w:r>
              <w:rPr/>
              <w:t> </w:t>
            </w:r>
          </w:p>
        </w:tc>
      </w:tr>
      <w:tr>
        <w:trPr/>
        <w:tc>
          <w:tcPr>
            <w:tcW w:w="615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14"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57"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65" w:type="dxa"/>
            <w:tcBorders/>
            <w:vAlign w:val="bottom"/>
          </w:tcPr>
          <w:p>
            <w:pPr>
              <w:pStyle w:val="TableContents"/>
              <w:bidi w:val="0"/>
              <w:spacing w:before="0" w:after="283"/>
              <w:jc w:val="left"/>
              <w:rPr/>
            </w:pPr>
            <w:r>
              <w:rPr/>
              <w:t> </w:t>
            </w:r>
          </w:p>
        </w:tc>
      </w:tr>
      <w:tr>
        <w:trPr/>
        <w:tc>
          <w:tcPr>
            <w:tcW w:w="6156" w:type="dxa"/>
            <w:tcBorders/>
            <w:shd w:fill="CCEEFF" w:val="clear"/>
            <w:vAlign w:val="bottom"/>
          </w:tcPr>
          <w:p>
            <w:pPr>
              <w:pStyle w:val="TableContents"/>
              <w:bidi w:val="0"/>
              <w:spacing w:before="0" w:after="0"/>
              <w:jc w:val="left"/>
              <w:rPr>
                <w:rFonts w:ascii="Arial" w:hAnsi="Arial"/>
                <w:sz w:val="20"/>
              </w:rPr>
            </w:pPr>
            <w:r>
              <w:rPr>
                <w:rFonts w:ascii="Arial" w:hAnsi="Arial"/>
                <w:sz w:val="20"/>
              </w:rPr>
              <w:t>Revenue</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74" w:type="dxa"/>
            <w:tcBorders/>
            <w:shd w:fill="CCEEFF" w:val="clear"/>
            <w:vAlign w:val="bottom"/>
          </w:tcPr>
          <w:p>
            <w:pPr>
              <w:pStyle w:val="TableContents"/>
              <w:bidi w:val="0"/>
              <w:spacing w:before="0" w:after="283"/>
              <w:jc w:val="right"/>
              <w:rPr>
                <w:b/>
              </w:rPr>
            </w:pPr>
            <w:r>
              <w:rPr>
                <w:b/>
              </w:rPr>
              <w:t>8,972</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8,546</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left"/>
              <w:rPr>
                <w:b/>
              </w:rPr>
            </w:pPr>
            <w:r>
              <w:rPr>
                <w:b/>
              </w:rPr>
              <w:t>$17,693</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17,035</w:t>
            </w:r>
          </w:p>
        </w:tc>
        <w:tc>
          <w:tcPr>
            <w:tcW w:w="65" w:type="dxa"/>
            <w:tcBorders/>
            <w:shd w:fill="CCEEFF" w:val="clear"/>
            <w:vAlign w:val="bottom"/>
          </w:tcPr>
          <w:p>
            <w:pPr>
              <w:pStyle w:val="TableContents"/>
              <w:bidi w:val="0"/>
              <w:spacing w:before="0" w:after="283"/>
              <w:jc w:val="left"/>
              <w:rPr/>
            </w:pPr>
            <w:r>
              <w:rPr/>
              <w:t> </w:t>
            </w:r>
          </w:p>
        </w:tc>
      </w:tr>
      <w:tr>
        <w:trPr/>
        <w:tc>
          <w:tcPr>
            <w:tcW w:w="6156" w:type="dxa"/>
            <w:tcBorders/>
          </w:tcPr>
          <w:p>
            <w:pPr>
              <w:pStyle w:val="TableContents"/>
              <w:bidi w:val="0"/>
              <w:spacing w:before="0" w:after="0"/>
              <w:jc w:val="left"/>
              <w:rPr>
                <w:rFonts w:ascii="Arial" w:hAnsi="Arial"/>
                <w:sz w:val="20"/>
              </w:rPr>
            </w:pPr>
            <w:r>
              <w:rPr>
                <w:rFonts w:ascii="Arial" w:hAnsi="Arial"/>
                <w:sz w:val="20"/>
              </w:rPr>
              <w:t>Interest &amp; other income</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b/>
              </w:rPr>
            </w:pPr>
            <w:r>
              <w:rPr>
                <w:b/>
              </w:rPr>
              <w:t>76</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252</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b/>
              </w:rPr>
            </w:pPr>
            <w:r>
              <w:rPr>
                <w:b/>
              </w:rPr>
              <w:t>119</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330</w:t>
            </w:r>
          </w:p>
        </w:tc>
        <w:tc>
          <w:tcPr>
            <w:tcW w:w="65" w:type="dxa"/>
            <w:tcBorders/>
            <w:vAlign w:val="bottom"/>
          </w:tcPr>
          <w:p>
            <w:pPr>
              <w:pStyle w:val="TableContents"/>
              <w:bidi w:val="0"/>
              <w:spacing w:before="0" w:after="283"/>
              <w:jc w:val="left"/>
              <w:rPr/>
            </w:pPr>
            <w:r>
              <w:rPr/>
              <w:t> </w:t>
            </w:r>
          </w:p>
        </w:tc>
      </w:tr>
      <w:tr>
        <w:trPr/>
        <w:tc>
          <w:tcPr>
            <w:tcW w:w="6156" w:type="dxa"/>
            <w:tcBorders/>
            <w:shd w:fill="CCEEFF" w:val="clear"/>
          </w:tcPr>
          <w:p>
            <w:pPr>
              <w:pStyle w:val="TableContents"/>
              <w:bidi w:val="0"/>
              <w:spacing w:before="0" w:after="0"/>
              <w:jc w:val="left"/>
              <w:rPr>
                <w:rFonts w:ascii="Arial" w:hAnsi="Arial"/>
                <w:sz w:val="20"/>
              </w:rPr>
            </w:pPr>
            <w:r>
              <w:rPr>
                <w:rFonts w:ascii="Arial" w:hAnsi="Arial"/>
                <w:sz w:val="20"/>
              </w:rPr>
              <w:t>Expenses</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156" w:type="dxa"/>
            <w:tcBorders/>
            <w:vAlign w:val="bottom"/>
          </w:tcPr>
          <w:p>
            <w:pPr>
              <w:pStyle w:val="TableContents"/>
              <w:bidi w:val="0"/>
              <w:spacing w:before="0" w:after="0"/>
              <w:jc w:val="left"/>
              <w:rPr>
                <w:rFonts w:ascii="Arial" w:hAnsi="Arial"/>
                <w:sz w:val="20"/>
              </w:rPr>
            </w:pPr>
            <w:r>
              <w:rPr>
                <w:rFonts w:ascii="Arial" w:hAnsi="Arial"/>
                <w:sz w:val="20"/>
              </w:rPr>
              <w:t>Cost of revenue (1)</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b/>
              </w:rPr>
            </w:pPr>
            <w:r>
              <w:rPr>
                <w:b/>
              </w:rPr>
              <w:t>7,577</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6,934</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b/>
              </w:rPr>
            </w:pPr>
            <w:r>
              <w:rPr>
                <w:b/>
              </w:rPr>
              <w:t>14,967</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13,815</w:t>
            </w:r>
          </w:p>
        </w:tc>
        <w:tc>
          <w:tcPr>
            <w:tcW w:w="65" w:type="dxa"/>
            <w:tcBorders/>
            <w:vAlign w:val="bottom"/>
          </w:tcPr>
          <w:p>
            <w:pPr>
              <w:pStyle w:val="TableContents"/>
              <w:bidi w:val="0"/>
              <w:spacing w:before="0" w:after="283"/>
              <w:jc w:val="left"/>
              <w:rPr/>
            </w:pPr>
            <w:r>
              <w:rPr/>
              <w:t> </w:t>
            </w:r>
          </w:p>
        </w:tc>
      </w:tr>
      <w:tr>
        <w:trPr/>
        <w:tc>
          <w:tcPr>
            <w:tcW w:w="6156" w:type="dxa"/>
            <w:tcBorders/>
            <w:shd w:fill="CCEEFF" w:val="clear"/>
            <w:vAlign w:val="bottom"/>
          </w:tcPr>
          <w:p>
            <w:pPr>
              <w:pStyle w:val="TableContents"/>
              <w:bidi w:val="0"/>
              <w:spacing w:before="0" w:after="0"/>
              <w:jc w:val="left"/>
              <w:rPr>
                <w:rFonts w:ascii="Arial" w:hAnsi="Arial"/>
                <w:sz w:val="20"/>
              </w:rPr>
            </w:pPr>
            <w:r>
              <w:rPr>
                <w:rFonts w:ascii="Arial" w:hAnsi="Arial"/>
                <w:sz w:val="20"/>
              </w:rPr>
              <w:t>Research and engineering</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b/>
              </w:rPr>
            </w:pPr>
            <w:r>
              <w:rPr>
                <w:b/>
              </w:rPr>
              <w:t>171</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180</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b/>
              </w:rPr>
            </w:pPr>
            <w:r>
              <w:rPr>
                <w:b/>
              </w:rPr>
              <w:t>335</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352</w:t>
            </w:r>
          </w:p>
        </w:tc>
        <w:tc>
          <w:tcPr>
            <w:tcW w:w="65" w:type="dxa"/>
            <w:tcBorders/>
            <w:shd w:fill="CCEEFF" w:val="clear"/>
            <w:vAlign w:val="bottom"/>
          </w:tcPr>
          <w:p>
            <w:pPr>
              <w:pStyle w:val="TableContents"/>
              <w:bidi w:val="0"/>
              <w:spacing w:before="0" w:after="283"/>
              <w:jc w:val="left"/>
              <w:rPr/>
            </w:pPr>
            <w:r>
              <w:rPr/>
              <w:t> </w:t>
            </w:r>
          </w:p>
        </w:tc>
      </w:tr>
      <w:tr>
        <w:trPr/>
        <w:tc>
          <w:tcPr>
            <w:tcW w:w="6156" w:type="dxa"/>
            <w:tcBorders/>
            <w:vAlign w:val="bottom"/>
          </w:tcPr>
          <w:p>
            <w:pPr>
              <w:pStyle w:val="TableContents"/>
              <w:bidi w:val="0"/>
              <w:spacing w:before="0" w:after="0"/>
              <w:jc w:val="left"/>
              <w:rPr>
                <w:rFonts w:ascii="Arial" w:hAnsi="Arial"/>
                <w:sz w:val="20"/>
              </w:rPr>
            </w:pPr>
            <w:r>
              <w:rPr>
                <w:rFonts w:ascii="Arial" w:hAnsi="Arial"/>
                <w:sz w:val="20"/>
              </w:rPr>
              <w:t>General &amp; administrative</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b/>
              </w:rPr>
            </w:pPr>
            <w:r>
              <w:rPr>
                <w:b/>
              </w:rPr>
              <w:t>84</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b/>
              </w:rPr>
            </w:pPr>
            <w:r>
              <w:rPr>
                <w:b/>
              </w:rPr>
              <w:t>181</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184</w:t>
            </w:r>
          </w:p>
        </w:tc>
        <w:tc>
          <w:tcPr>
            <w:tcW w:w="65" w:type="dxa"/>
            <w:tcBorders/>
            <w:vAlign w:val="bottom"/>
          </w:tcPr>
          <w:p>
            <w:pPr>
              <w:pStyle w:val="TableContents"/>
              <w:bidi w:val="0"/>
              <w:spacing w:before="0" w:after="283"/>
              <w:jc w:val="left"/>
              <w:rPr/>
            </w:pPr>
            <w:r>
              <w:rPr/>
              <w:t> </w:t>
            </w:r>
          </w:p>
        </w:tc>
      </w:tr>
      <w:tr>
        <w:trPr/>
        <w:tc>
          <w:tcPr>
            <w:tcW w:w="6156" w:type="dxa"/>
            <w:tcBorders/>
            <w:shd w:fill="CCEEFF" w:val="clear"/>
          </w:tcPr>
          <w:p>
            <w:pPr>
              <w:pStyle w:val="TableContents"/>
              <w:bidi w:val="0"/>
              <w:spacing w:before="0" w:after="0"/>
              <w:jc w:val="left"/>
              <w:rPr>
                <w:rFonts w:ascii="Arial" w:hAnsi="Arial"/>
                <w:sz w:val="20"/>
              </w:rPr>
            </w:pPr>
            <w:r>
              <w:rPr>
                <w:rFonts w:ascii="Arial" w:hAnsi="Arial"/>
                <w:sz w:val="20"/>
              </w:rPr>
              <w:t>Merger &amp; integration (1)</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b/>
              </w:rPr>
            </w:pPr>
            <w:r>
              <w:rPr>
                <w:b/>
              </w:rPr>
              <w:t>69</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b/>
              </w:rPr>
            </w:pPr>
            <w:r>
              <w:rPr>
                <w:b/>
              </w:rPr>
              <w:t>110</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84</w:t>
            </w:r>
          </w:p>
        </w:tc>
        <w:tc>
          <w:tcPr>
            <w:tcW w:w="65" w:type="dxa"/>
            <w:tcBorders/>
            <w:shd w:fill="CCEEFF" w:val="clear"/>
            <w:vAlign w:val="bottom"/>
          </w:tcPr>
          <w:p>
            <w:pPr>
              <w:pStyle w:val="TableContents"/>
              <w:bidi w:val="0"/>
              <w:spacing w:before="0" w:after="283"/>
              <w:jc w:val="left"/>
              <w:rPr/>
            </w:pPr>
            <w:r>
              <w:rPr/>
              <w:t> </w:t>
            </w:r>
          </w:p>
        </w:tc>
      </w:tr>
      <w:tr>
        <w:trPr/>
        <w:tc>
          <w:tcPr>
            <w:tcW w:w="6156" w:type="dxa"/>
            <w:tcBorders/>
          </w:tcPr>
          <w:p>
            <w:pPr>
              <w:pStyle w:val="TableContents"/>
              <w:bidi w:val="0"/>
              <w:spacing w:before="0" w:after="0"/>
              <w:jc w:val="left"/>
              <w:rPr>
                <w:rFonts w:ascii="Arial" w:hAnsi="Arial"/>
                <w:sz w:val="20"/>
              </w:rPr>
            </w:pPr>
            <w:r>
              <w:rPr>
                <w:rFonts w:ascii="Arial" w:hAnsi="Arial"/>
                <w:sz w:val="20"/>
              </w:rPr>
              <w:t>Restructuring &amp; other (1)</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135</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293</w:t>
            </w:r>
          </w:p>
        </w:tc>
        <w:tc>
          <w:tcPr>
            <w:tcW w:w="65" w:type="dxa"/>
            <w:tcBorders/>
            <w:vAlign w:val="bottom"/>
          </w:tcPr>
          <w:p>
            <w:pPr>
              <w:pStyle w:val="TableContents"/>
              <w:bidi w:val="0"/>
              <w:spacing w:before="0" w:after="283"/>
              <w:jc w:val="left"/>
              <w:rPr/>
            </w:pPr>
            <w:r>
              <w:rPr/>
              <w:t> </w:t>
            </w:r>
          </w:p>
        </w:tc>
      </w:tr>
      <w:tr>
        <w:trPr/>
        <w:tc>
          <w:tcPr>
            <w:tcW w:w="6156" w:type="dxa"/>
            <w:tcBorders/>
            <w:shd w:fill="CCEEFF" w:val="clear"/>
            <w:vAlign w:val="bottom"/>
          </w:tcPr>
          <w:p>
            <w:pPr>
              <w:pStyle w:val="TableContents"/>
              <w:bidi w:val="0"/>
              <w:spacing w:before="0" w:after="0"/>
              <w:jc w:val="left"/>
              <w:rPr>
                <w:rFonts w:ascii="Arial" w:hAnsi="Arial"/>
                <w:sz w:val="20"/>
              </w:rPr>
            </w:pPr>
            <w:r>
              <w:rPr>
                <w:rFonts w:ascii="Arial" w:hAnsi="Arial"/>
                <w:sz w:val="20"/>
              </w:rPr>
              <w:t>Interest</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b/>
              </w:rPr>
            </w:pPr>
            <w:r>
              <w:rPr>
                <w:b/>
              </w:rPr>
              <w:t>128</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142</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b/>
              </w:rPr>
            </w:pPr>
            <w:r>
              <w:rPr>
                <w:b/>
              </w:rPr>
              <w:t>244</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289</w:t>
            </w:r>
          </w:p>
        </w:tc>
        <w:tc>
          <w:tcPr>
            <w:tcW w:w="65" w:type="dxa"/>
            <w:tcBorders/>
            <w:shd w:fill="CCEEFF" w:val="clear"/>
            <w:vAlign w:val="bottom"/>
          </w:tcPr>
          <w:p>
            <w:pPr>
              <w:pStyle w:val="TableContents"/>
              <w:bidi w:val="0"/>
              <w:spacing w:before="0" w:after="283"/>
              <w:jc w:val="left"/>
              <w:rPr/>
            </w:pPr>
            <w:r>
              <w:rPr/>
              <w:t> </w:t>
            </w:r>
          </w:p>
        </w:tc>
      </w:tr>
      <w:tr>
        <w:trPr/>
        <w:tc>
          <w:tcPr>
            <w:tcW w:w="615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56" w:type="dxa"/>
            <w:tcBorders/>
            <w:vAlign w:val="bottom"/>
          </w:tcPr>
          <w:p>
            <w:pPr>
              <w:pStyle w:val="TableContents"/>
              <w:bidi w:val="0"/>
              <w:spacing w:before="0" w:after="0"/>
              <w:jc w:val="left"/>
              <w:rPr>
                <w:rFonts w:ascii="Arial" w:hAnsi="Arial"/>
                <w:sz w:val="20"/>
              </w:rPr>
            </w:pPr>
            <w:r>
              <w:rPr>
                <w:rFonts w:ascii="Arial" w:hAnsi="Arial"/>
                <w:sz w:val="20"/>
              </w:rPr>
              <w:t>Income before taxes (1)</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74" w:type="dxa"/>
            <w:tcBorders/>
            <w:vAlign w:val="bottom"/>
          </w:tcPr>
          <w:p>
            <w:pPr>
              <w:pStyle w:val="TableContents"/>
              <w:bidi w:val="0"/>
              <w:spacing w:before="0" w:after="283"/>
              <w:jc w:val="right"/>
              <w:rPr>
                <w:b/>
              </w:rPr>
            </w:pPr>
            <w:r>
              <w:rPr>
                <w:b/>
              </w:rPr>
              <w:t>1,019</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1,285</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3" w:type="dxa"/>
            <w:tcBorders/>
            <w:vAlign w:val="bottom"/>
          </w:tcPr>
          <w:p>
            <w:pPr>
              <w:pStyle w:val="TableContents"/>
              <w:bidi w:val="0"/>
              <w:spacing w:before="0" w:after="283"/>
              <w:jc w:val="right"/>
              <w:rPr>
                <w:b/>
              </w:rPr>
            </w:pPr>
            <w:r>
              <w:rPr>
                <w:b/>
              </w:rPr>
              <w:t>1,975</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7" w:type="dxa"/>
            <w:tcBorders/>
            <w:vAlign w:val="bottom"/>
          </w:tcPr>
          <w:p>
            <w:pPr>
              <w:pStyle w:val="TableContents"/>
              <w:bidi w:val="0"/>
              <w:spacing w:before="0" w:after="283"/>
              <w:jc w:val="right"/>
              <w:rPr/>
            </w:pPr>
            <w:r>
              <w:rPr/>
              <w:t>2,348</w:t>
            </w:r>
          </w:p>
        </w:tc>
        <w:tc>
          <w:tcPr>
            <w:tcW w:w="65" w:type="dxa"/>
            <w:tcBorders/>
            <w:vAlign w:val="bottom"/>
          </w:tcPr>
          <w:p>
            <w:pPr>
              <w:pStyle w:val="TableContents"/>
              <w:bidi w:val="0"/>
              <w:spacing w:before="0" w:after="283"/>
              <w:jc w:val="left"/>
              <w:rPr/>
            </w:pPr>
            <w:r>
              <w:rPr/>
              <w:t> </w:t>
            </w:r>
          </w:p>
        </w:tc>
      </w:tr>
      <w:tr>
        <w:trPr/>
        <w:tc>
          <w:tcPr>
            <w:tcW w:w="6156" w:type="dxa"/>
            <w:tcBorders/>
            <w:shd w:fill="CCEEFF" w:val="clear"/>
            <w:vAlign w:val="bottom"/>
          </w:tcPr>
          <w:p>
            <w:pPr>
              <w:pStyle w:val="TableContents"/>
              <w:bidi w:val="0"/>
              <w:spacing w:before="0" w:after="0"/>
              <w:jc w:val="left"/>
              <w:rPr>
                <w:rFonts w:ascii="Arial" w:hAnsi="Arial"/>
                <w:sz w:val="20"/>
              </w:rPr>
            </w:pPr>
            <w:r>
              <w:rPr>
                <w:rFonts w:ascii="Arial" w:hAnsi="Arial"/>
                <w:sz w:val="20"/>
              </w:rPr>
              <w:t>Tax expense (1)</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b/>
              </w:rPr>
            </w:pPr>
            <w:r>
              <w:rPr>
                <w:b/>
              </w:rPr>
              <w:t>204</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237</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b/>
              </w:rPr>
            </w:pPr>
            <w:r>
              <w:rPr>
                <w:b/>
              </w:rPr>
              <w:t>399</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471</w:t>
            </w:r>
          </w:p>
        </w:tc>
        <w:tc>
          <w:tcPr>
            <w:tcW w:w="65" w:type="dxa"/>
            <w:tcBorders/>
            <w:shd w:fill="CCEEFF" w:val="clear"/>
            <w:vAlign w:val="bottom"/>
          </w:tcPr>
          <w:p>
            <w:pPr>
              <w:pStyle w:val="TableContents"/>
              <w:bidi w:val="0"/>
              <w:spacing w:before="0" w:after="283"/>
              <w:jc w:val="left"/>
              <w:rPr/>
            </w:pPr>
            <w:r>
              <w:rPr/>
              <w:t> </w:t>
            </w:r>
          </w:p>
        </w:tc>
      </w:tr>
      <w:tr>
        <w:trPr/>
        <w:tc>
          <w:tcPr>
            <w:tcW w:w="615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56" w:type="dxa"/>
            <w:tcBorders/>
            <w:vAlign w:val="bottom"/>
          </w:tcPr>
          <w:p>
            <w:pPr>
              <w:pStyle w:val="TableContents"/>
              <w:bidi w:val="0"/>
              <w:spacing w:before="0" w:after="0"/>
              <w:jc w:val="left"/>
              <w:rPr>
                <w:rFonts w:ascii="Arial" w:hAnsi="Arial"/>
                <w:sz w:val="20"/>
              </w:rPr>
            </w:pPr>
            <w:r>
              <w:rPr>
                <w:rFonts w:ascii="Arial" w:hAnsi="Arial"/>
                <w:sz w:val="20"/>
              </w:rPr>
              <w:t>Net income (1)</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74" w:type="dxa"/>
            <w:tcBorders/>
            <w:vAlign w:val="bottom"/>
          </w:tcPr>
          <w:p>
            <w:pPr>
              <w:pStyle w:val="TableContents"/>
              <w:bidi w:val="0"/>
              <w:spacing w:before="0" w:after="283"/>
              <w:jc w:val="right"/>
              <w:rPr>
                <w:b/>
              </w:rPr>
            </w:pPr>
            <w:r>
              <w:rPr>
                <w:b/>
              </w:rPr>
              <w:t>815</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1,048</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3" w:type="dxa"/>
            <w:tcBorders/>
            <w:vAlign w:val="bottom"/>
          </w:tcPr>
          <w:p>
            <w:pPr>
              <w:pStyle w:val="TableContents"/>
              <w:bidi w:val="0"/>
              <w:spacing w:before="0" w:after="283"/>
              <w:jc w:val="right"/>
              <w:rPr>
                <w:b/>
              </w:rPr>
            </w:pPr>
            <w:r>
              <w:rPr>
                <w:b/>
              </w:rPr>
              <w:t>1,576</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7" w:type="dxa"/>
            <w:tcBorders/>
            <w:vAlign w:val="bottom"/>
          </w:tcPr>
          <w:p>
            <w:pPr>
              <w:pStyle w:val="TableContents"/>
              <w:bidi w:val="0"/>
              <w:spacing w:before="0" w:after="283"/>
              <w:jc w:val="right"/>
              <w:rPr/>
            </w:pPr>
            <w:r>
              <w:rPr/>
              <w:t>1,877</w:t>
            </w:r>
          </w:p>
        </w:tc>
        <w:tc>
          <w:tcPr>
            <w:tcW w:w="65" w:type="dxa"/>
            <w:tcBorders/>
            <w:vAlign w:val="bottom"/>
          </w:tcPr>
          <w:p>
            <w:pPr>
              <w:pStyle w:val="TableContents"/>
              <w:bidi w:val="0"/>
              <w:spacing w:before="0" w:after="283"/>
              <w:jc w:val="left"/>
              <w:rPr/>
            </w:pPr>
            <w:r>
              <w:rPr/>
              <w:t> </w:t>
            </w:r>
          </w:p>
        </w:tc>
      </w:tr>
      <w:tr>
        <w:trPr/>
        <w:tc>
          <w:tcPr>
            <w:tcW w:w="6156" w:type="dxa"/>
            <w:tcBorders/>
            <w:shd w:fill="CCEEFF" w:val="clear"/>
            <w:vAlign w:val="bottom"/>
          </w:tcPr>
          <w:p>
            <w:pPr>
              <w:pStyle w:val="TableContents"/>
              <w:bidi w:val="0"/>
              <w:spacing w:before="0" w:after="0"/>
              <w:jc w:val="left"/>
              <w:rPr>
                <w:rFonts w:ascii="Arial" w:hAnsi="Arial"/>
                <w:sz w:val="20"/>
              </w:rPr>
            </w:pPr>
            <w:r>
              <w:rPr>
                <w:rFonts w:ascii="Arial" w:hAnsi="Arial"/>
                <w:sz w:val="20"/>
              </w:rPr>
              <w:t>Net income attributable to noncontrolling interests (1)</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b/>
              </w:rPr>
            </w:pPr>
            <w:r>
              <w:rPr>
                <w:b/>
              </w:rPr>
              <w:t>29</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b/>
              </w:rPr>
            </w:pPr>
            <w:r>
              <w:rPr>
                <w:b/>
              </w:rPr>
              <w:t>38</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66</w:t>
            </w:r>
          </w:p>
        </w:tc>
        <w:tc>
          <w:tcPr>
            <w:tcW w:w="65" w:type="dxa"/>
            <w:tcBorders/>
            <w:shd w:fill="CCEEFF" w:val="clear"/>
            <w:vAlign w:val="bottom"/>
          </w:tcPr>
          <w:p>
            <w:pPr>
              <w:pStyle w:val="TableContents"/>
              <w:bidi w:val="0"/>
              <w:spacing w:before="0" w:after="283"/>
              <w:jc w:val="left"/>
              <w:rPr/>
            </w:pPr>
            <w:r>
              <w:rPr/>
              <w:t> </w:t>
            </w:r>
          </w:p>
        </w:tc>
      </w:tr>
      <w:tr>
        <w:trPr/>
        <w:tc>
          <w:tcPr>
            <w:tcW w:w="615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56" w:type="dxa"/>
            <w:tcBorders/>
            <w:vAlign w:val="bottom"/>
          </w:tcPr>
          <w:p>
            <w:pPr>
              <w:pStyle w:val="TableContents"/>
              <w:bidi w:val="0"/>
              <w:spacing w:before="0" w:after="0"/>
              <w:jc w:val="left"/>
              <w:rPr>
                <w:rFonts w:ascii="Arial" w:hAnsi="Arial"/>
                <w:sz w:val="20"/>
              </w:rPr>
            </w:pPr>
            <w:r>
              <w:rPr>
                <w:rFonts w:ascii="Arial" w:hAnsi="Arial"/>
                <w:sz w:val="20"/>
              </w:rPr>
              <w:t>Net income attributable to SLB (1)</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74" w:type="dxa"/>
            <w:tcBorders/>
            <w:vAlign w:val="bottom"/>
          </w:tcPr>
          <w:p>
            <w:pPr>
              <w:pStyle w:val="TableContents"/>
              <w:bidi w:val="0"/>
              <w:spacing w:before="0" w:after="283"/>
              <w:jc w:val="right"/>
              <w:rPr>
                <w:b/>
              </w:rPr>
            </w:pPr>
            <w:r>
              <w:rPr>
                <w:b/>
              </w:rPr>
              <w:t>786</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1,014</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3" w:type="dxa"/>
            <w:tcBorders/>
            <w:vAlign w:val="bottom"/>
          </w:tcPr>
          <w:p>
            <w:pPr>
              <w:pStyle w:val="TableContents"/>
              <w:bidi w:val="0"/>
              <w:spacing w:before="0" w:after="283"/>
              <w:jc w:val="right"/>
              <w:rPr>
                <w:b/>
              </w:rPr>
            </w:pPr>
            <w:r>
              <w:rPr>
                <w:b/>
              </w:rPr>
              <w:t>1,538</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7" w:type="dxa"/>
            <w:tcBorders/>
            <w:vAlign w:val="bottom"/>
          </w:tcPr>
          <w:p>
            <w:pPr>
              <w:pStyle w:val="TableContents"/>
              <w:bidi w:val="0"/>
              <w:spacing w:before="0" w:after="283"/>
              <w:jc w:val="right"/>
              <w:rPr/>
            </w:pPr>
            <w:r>
              <w:rPr/>
              <w:t>1,811</w:t>
            </w:r>
          </w:p>
        </w:tc>
        <w:tc>
          <w:tcPr>
            <w:tcW w:w="65" w:type="dxa"/>
            <w:tcBorders/>
            <w:vAlign w:val="bottom"/>
          </w:tcPr>
          <w:p>
            <w:pPr>
              <w:pStyle w:val="TableContents"/>
              <w:bidi w:val="0"/>
              <w:spacing w:before="0" w:after="283"/>
              <w:jc w:val="left"/>
              <w:rPr/>
            </w:pPr>
            <w:r>
              <w:rPr/>
              <w:t> </w:t>
            </w:r>
          </w:p>
        </w:tc>
      </w:tr>
      <w:tr>
        <w:trPr/>
        <w:tc>
          <w:tcPr>
            <w:tcW w:w="615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56" w:type="dxa"/>
            <w:tcBorders/>
            <w:shd w:fill="CCEEFF" w:val="clear"/>
            <w:vAlign w:val="bottom"/>
          </w:tcPr>
          <w:p>
            <w:pPr>
              <w:pStyle w:val="TableContents"/>
              <w:bidi w:val="0"/>
              <w:spacing w:before="0" w:after="0"/>
              <w:jc w:val="left"/>
              <w:rPr>
                <w:rFonts w:ascii="Arial" w:hAnsi="Arial"/>
                <w:sz w:val="20"/>
              </w:rPr>
            </w:pPr>
            <w:r>
              <w:rPr>
                <w:rFonts w:ascii="Arial" w:hAnsi="Arial"/>
                <w:sz w:val="20"/>
              </w:rPr>
              <w:t>Diluted earnings per share of SLB (1)</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74" w:type="dxa"/>
            <w:tcBorders/>
            <w:shd w:fill="CCEEFF" w:val="clear"/>
            <w:vAlign w:val="bottom"/>
          </w:tcPr>
          <w:p>
            <w:pPr>
              <w:pStyle w:val="TableContents"/>
              <w:bidi w:val="0"/>
              <w:spacing w:before="0" w:after="283"/>
              <w:jc w:val="right"/>
              <w:rPr>
                <w:b/>
              </w:rPr>
            </w:pPr>
            <w:r>
              <w:rPr>
                <w:b/>
              </w:rPr>
              <w:t>0.52</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0.74</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3" w:type="dxa"/>
            <w:tcBorders/>
            <w:shd w:fill="CCEEFF" w:val="clear"/>
            <w:vAlign w:val="bottom"/>
          </w:tcPr>
          <w:p>
            <w:pPr>
              <w:pStyle w:val="TableContents"/>
              <w:bidi w:val="0"/>
              <w:spacing w:before="0" w:after="283"/>
              <w:jc w:val="right"/>
              <w:rPr>
                <w:b/>
              </w:rPr>
            </w:pPr>
            <w:r>
              <w:rPr>
                <w:b/>
              </w:rPr>
              <w:t>1.02</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1.32</w:t>
            </w:r>
          </w:p>
        </w:tc>
        <w:tc>
          <w:tcPr>
            <w:tcW w:w="65" w:type="dxa"/>
            <w:tcBorders/>
            <w:shd w:fill="CCEEFF" w:val="clear"/>
            <w:vAlign w:val="bottom"/>
          </w:tcPr>
          <w:p>
            <w:pPr>
              <w:pStyle w:val="TableContents"/>
              <w:bidi w:val="0"/>
              <w:spacing w:before="0" w:after="283"/>
              <w:jc w:val="left"/>
              <w:rPr/>
            </w:pPr>
            <w:r>
              <w:rPr/>
              <w:t> </w:t>
            </w:r>
          </w:p>
        </w:tc>
      </w:tr>
      <w:tr>
        <w:trPr/>
        <w:tc>
          <w:tcPr>
            <w:tcW w:w="615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56" w:type="dxa"/>
            <w:tcBorders/>
            <w:vAlign w:val="bottom"/>
          </w:tcPr>
          <w:p>
            <w:pPr>
              <w:pStyle w:val="TableContents"/>
              <w:bidi w:val="0"/>
              <w:spacing w:before="0" w:after="0"/>
              <w:jc w:val="left"/>
              <w:rPr>
                <w:rFonts w:ascii="Arial" w:hAnsi="Arial"/>
                <w:sz w:val="20"/>
              </w:rPr>
            </w:pPr>
            <w:r>
              <w:rPr>
                <w:rFonts w:ascii="Arial" w:hAnsi="Arial"/>
                <w:sz w:val="20"/>
              </w:rPr>
              <w:t>Average shares outstanding</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b/>
              </w:rPr>
            </w:pPr>
            <w:r>
              <w:rPr>
                <w:b/>
              </w:rPr>
              <w:t>1,490</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1,352</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b/>
              </w:rPr>
            </w:pPr>
            <w:r>
              <w:rPr>
                <w:b/>
              </w:rPr>
              <w:t>1,494</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1,359</w:t>
            </w:r>
          </w:p>
        </w:tc>
        <w:tc>
          <w:tcPr>
            <w:tcW w:w="65" w:type="dxa"/>
            <w:tcBorders/>
            <w:vAlign w:val="bottom"/>
          </w:tcPr>
          <w:p>
            <w:pPr>
              <w:pStyle w:val="TableContents"/>
              <w:bidi w:val="0"/>
              <w:spacing w:before="0" w:after="283"/>
              <w:jc w:val="left"/>
              <w:rPr/>
            </w:pPr>
            <w:r>
              <w:rPr/>
              <w:t> </w:t>
            </w:r>
          </w:p>
        </w:tc>
      </w:tr>
      <w:tr>
        <w:trPr/>
        <w:tc>
          <w:tcPr>
            <w:tcW w:w="6156" w:type="dxa"/>
            <w:tcBorders/>
            <w:shd w:fill="CCEEFF" w:val="clear"/>
            <w:vAlign w:val="bottom"/>
          </w:tcPr>
          <w:p>
            <w:pPr>
              <w:pStyle w:val="TableContents"/>
              <w:bidi w:val="0"/>
              <w:spacing w:before="0" w:after="0"/>
              <w:jc w:val="left"/>
              <w:rPr>
                <w:rFonts w:ascii="Arial" w:hAnsi="Arial"/>
                <w:sz w:val="20"/>
              </w:rPr>
            </w:pPr>
            <w:r>
              <w:rPr>
                <w:rFonts w:ascii="Arial" w:hAnsi="Arial"/>
                <w:sz w:val="20"/>
              </w:rPr>
              <w:t>Average shares outstanding assuming dilution</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b/>
              </w:rPr>
            </w:pPr>
            <w:r>
              <w:rPr>
                <w:b/>
              </w:rPr>
              <w:t>1,506</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1,366</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b/>
              </w:rPr>
            </w:pPr>
            <w:r>
              <w:rPr>
                <w:b/>
              </w:rPr>
              <w:t>1,511</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1,373</w:t>
            </w:r>
          </w:p>
        </w:tc>
        <w:tc>
          <w:tcPr>
            <w:tcW w:w="65" w:type="dxa"/>
            <w:tcBorders/>
            <w:shd w:fill="CCEEFF" w:val="clear"/>
            <w:vAlign w:val="bottom"/>
          </w:tcPr>
          <w:p>
            <w:pPr>
              <w:pStyle w:val="TableContents"/>
              <w:bidi w:val="0"/>
              <w:spacing w:before="0" w:after="283"/>
              <w:jc w:val="left"/>
              <w:rPr/>
            </w:pPr>
            <w:r>
              <w:rPr/>
              <w:t> </w:t>
            </w:r>
          </w:p>
        </w:tc>
      </w:tr>
      <w:tr>
        <w:trPr/>
        <w:tc>
          <w:tcPr>
            <w:tcW w:w="615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56" w:type="dxa"/>
            <w:tcBorders/>
            <w:vAlign w:val="bottom"/>
          </w:tcPr>
          <w:p>
            <w:pPr>
              <w:pStyle w:val="TableContents"/>
              <w:bidi w:val="0"/>
              <w:spacing w:before="0" w:after="0"/>
              <w:jc w:val="left"/>
              <w:rPr>
                <w:rFonts w:ascii="Arial" w:hAnsi="Arial"/>
                <w:sz w:val="20"/>
              </w:rPr>
            </w:pPr>
            <w:r>
              <w:rPr>
                <w:rFonts w:ascii="Arial" w:hAnsi="Arial"/>
                <w:sz w:val="20"/>
              </w:rPr>
              <w:t>Depreciation &amp; amortization included in expenses (2)</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74" w:type="dxa"/>
            <w:tcBorders/>
            <w:vAlign w:val="bottom"/>
          </w:tcPr>
          <w:p>
            <w:pPr>
              <w:pStyle w:val="TableContents"/>
              <w:bidi w:val="0"/>
              <w:spacing w:before="0" w:after="283"/>
              <w:jc w:val="right"/>
              <w:rPr>
                <w:b/>
              </w:rPr>
            </w:pPr>
            <w:r>
              <w:rPr>
                <w:b/>
              </w:rPr>
              <w:t>712</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633</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3" w:type="dxa"/>
            <w:tcBorders/>
            <w:vAlign w:val="bottom"/>
          </w:tcPr>
          <w:p>
            <w:pPr>
              <w:pStyle w:val="TableContents"/>
              <w:bidi w:val="0"/>
              <w:spacing w:before="0" w:after="283"/>
              <w:jc w:val="right"/>
              <w:rPr>
                <w:b/>
              </w:rPr>
            </w:pPr>
            <w:r>
              <w:rPr>
                <w:b/>
              </w:rPr>
              <w:t>1,397</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7" w:type="dxa"/>
            <w:tcBorders/>
            <w:vAlign w:val="bottom"/>
          </w:tcPr>
          <w:p>
            <w:pPr>
              <w:pStyle w:val="TableContents"/>
              <w:bidi w:val="0"/>
              <w:spacing w:before="0" w:after="283"/>
              <w:jc w:val="right"/>
              <w:rPr/>
            </w:pPr>
            <w:r>
              <w:rPr/>
              <w:t>1,273</w:t>
            </w:r>
          </w:p>
        </w:tc>
        <w:tc>
          <w:tcPr>
            <w:tcW w:w="65" w:type="dxa"/>
            <w:tcBorders/>
            <w:vAlign w:val="bottom"/>
          </w:tcPr>
          <w:p>
            <w:pPr>
              <w:pStyle w:val="TableContents"/>
              <w:bidi w:val="0"/>
              <w:spacing w:before="0" w:after="283"/>
              <w:jc w:val="left"/>
              <w:rPr/>
            </w:pPr>
            <w:r>
              <w:rPr/>
              <w:t> </w:t>
            </w:r>
          </w:p>
        </w:tc>
      </w:tr>
      <w:tr>
        <w:trPr/>
        <w:tc>
          <w:tcPr>
            <w:tcW w:w="6156"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See section entitled “Charges &amp; Credits” for details.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Arial" w:hAnsi="Arial"/>
                <w:sz w:val="20"/>
              </w:rPr>
            </w:pPr>
            <w:r>
              <w:rPr>
                <w:rFonts w:ascii="Arial" w:hAnsi="Arial"/>
                <w:sz w:val="20"/>
              </w:rPr>
              <w:t xml:space="preserve">Includes depreciation of fixed assets and amortization of intangible assets, exploration data costs, and APS investments.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Condensed Consolidated Balance Sheet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99"/>
        <w:gridCol w:w="382"/>
        <w:gridCol w:w="140"/>
        <w:gridCol w:w="689"/>
        <w:gridCol w:w="60"/>
        <w:gridCol w:w="382"/>
        <w:gridCol w:w="308"/>
        <w:gridCol w:w="1581"/>
        <w:gridCol w:w="64"/>
      </w:tblGrid>
      <w:tr>
        <w:trPr/>
        <w:tc>
          <w:tcPr>
            <w:tcW w:w="6599"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599"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2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889" w:type="dxa"/>
            <w:gridSpan w:val="2"/>
            <w:tcBorders/>
            <w:vAlign w:val="bottom"/>
          </w:tcPr>
          <w:p>
            <w:pPr>
              <w:pStyle w:val="TableContents"/>
              <w:bidi w:val="0"/>
              <w:spacing w:before="0" w:after="283"/>
              <w:jc w:val="center"/>
              <w:rPr/>
            </w:pPr>
            <w:r>
              <w:rPr/>
              <w:t>(Stated in millions)</w:t>
            </w:r>
          </w:p>
        </w:tc>
        <w:tc>
          <w:tcPr>
            <w:tcW w:w="64" w:type="dxa"/>
            <w:tcBorders/>
            <w:vAlign w:val="bottom"/>
          </w:tcPr>
          <w:p>
            <w:pPr>
              <w:pStyle w:val="TableContents"/>
              <w:bidi w:val="0"/>
              <w:spacing w:before="0" w:after="283"/>
              <w:jc w:val="left"/>
              <w:rPr/>
            </w:pPr>
            <w:r>
              <w:rPr/>
              <w:t> </w:t>
            </w:r>
          </w:p>
        </w:tc>
      </w:tr>
      <w:tr>
        <w:trPr/>
        <w:tc>
          <w:tcPr>
            <w:tcW w:w="6599" w:type="dxa"/>
            <w:tcBorders/>
            <w:vAlign w:val="bottom"/>
          </w:tcPr>
          <w:p>
            <w:pPr>
              <w:pStyle w:val="TableContents"/>
              <w:pBdr>
                <w:bottom w:val="single" w:sz="8" w:space="1" w:color="000000"/>
              </w:pBdr>
              <w:bidi w:val="0"/>
              <w:spacing w:before="0" w:after="0"/>
              <w:jc w:val="left"/>
              <w:rPr>
                <w:rFonts w:ascii="Arial" w:hAnsi="Arial"/>
                <w:sz w:val="16"/>
              </w:rPr>
            </w:pPr>
            <w:r>
              <w:rPr>
                <w:rFonts w:ascii="Arial" w:hAnsi="Arial"/>
                <w:sz w:val="16"/>
              </w:rPr>
              <w:t>Assets</w:t>
            </w:r>
          </w:p>
        </w:tc>
        <w:tc>
          <w:tcPr>
            <w:tcW w:w="382"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2026</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889" w:type="dxa"/>
            <w:gridSpan w:val="2"/>
            <w:tcBorders>
              <w:bottom w:val="single" w:sz="8" w:space="0" w:color="000000"/>
            </w:tcBorders>
            <w:tcMar>
              <w:bottom w:w="28" w:type="dxa"/>
            </w:tcMar>
            <w:vAlign w:val="bottom"/>
          </w:tcPr>
          <w:p>
            <w:pPr>
              <w:pStyle w:val="TableContents"/>
              <w:bidi w:val="0"/>
              <w:spacing w:before="0" w:after="283"/>
              <w:jc w:val="center"/>
              <w:rPr/>
            </w:pPr>
            <w:r>
              <w:rPr/>
              <w:t>Dec. 31,</w:t>
              <w:br/>
              <w:t>2025</w:t>
            </w:r>
          </w:p>
        </w:tc>
        <w:tc>
          <w:tcPr>
            <w:tcW w:w="64" w:type="dxa"/>
            <w:tcBorders/>
            <w:vAlign w:val="bottom"/>
          </w:tcPr>
          <w:p>
            <w:pPr>
              <w:pStyle w:val="TableContents"/>
              <w:bidi w:val="0"/>
              <w:spacing w:before="0" w:after="283"/>
              <w:jc w:val="left"/>
              <w:rPr/>
            </w:pPr>
            <w:r>
              <w:rPr/>
              <w:t> </w:t>
            </w:r>
          </w:p>
        </w:tc>
      </w:tr>
      <w:tr>
        <w:trPr/>
        <w:tc>
          <w:tcPr>
            <w:tcW w:w="6599" w:type="dxa"/>
            <w:tcBorders/>
            <w:shd w:fill="CCEEFF" w:val="clear"/>
          </w:tcPr>
          <w:p>
            <w:pPr>
              <w:pStyle w:val="TableContents"/>
              <w:bidi w:val="0"/>
              <w:spacing w:before="0" w:after="0"/>
              <w:jc w:val="left"/>
              <w:rPr>
                <w:rFonts w:ascii="Arial" w:hAnsi="Arial"/>
                <w:sz w:val="20"/>
              </w:rPr>
            </w:pPr>
            <w:r>
              <w:rPr>
                <w:rFonts w:ascii="Arial" w:hAnsi="Arial"/>
                <w:sz w:val="20"/>
              </w:rPr>
              <w:t>Current Assets</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58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599" w:type="dxa"/>
            <w:tcBorders/>
          </w:tcPr>
          <w:p>
            <w:pPr>
              <w:pStyle w:val="TableContents"/>
              <w:bidi w:val="0"/>
              <w:spacing w:before="0" w:after="0"/>
              <w:jc w:val="left"/>
              <w:rPr>
                <w:rFonts w:ascii="Arial" w:hAnsi="Arial"/>
                <w:sz w:val="20"/>
              </w:rPr>
            </w:pPr>
            <w:r>
              <w:rPr>
                <w:rFonts w:ascii="Arial" w:hAnsi="Arial"/>
                <w:sz w:val="20"/>
              </w:rPr>
              <w:t>Cash and short-term investments</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9" w:type="dxa"/>
            <w:tcBorders/>
            <w:vAlign w:val="bottom"/>
          </w:tcPr>
          <w:p>
            <w:pPr>
              <w:pStyle w:val="TableContents"/>
              <w:bidi w:val="0"/>
              <w:spacing w:before="0" w:after="283"/>
              <w:jc w:val="right"/>
              <w:rPr>
                <w:b/>
              </w:rPr>
            </w:pPr>
            <w:r>
              <w:rPr>
                <w:b/>
              </w:rPr>
              <w:t>4,071</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w:t>
            </w:r>
          </w:p>
        </w:tc>
        <w:tc>
          <w:tcPr>
            <w:tcW w:w="1581" w:type="dxa"/>
            <w:tcBorders/>
            <w:vAlign w:val="bottom"/>
          </w:tcPr>
          <w:p>
            <w:pPr>
              <w:pStyle w:val="TableContents"/>
              <w:bidi w:val="0"/>
              <w:spacing w:before="0" w:after="283"/>
              <w:jc w:val="right"/>
              <w:rPr/>
            </w:pPr>
            <w:r>
              <w:rPr/>
              <w:t>4,212</w:t>
            </w:r>
          </w:p>
        </w:tc>
        <w:tc>
          <w:tcPr>
            <w:tcW w:w="64" w:type="dxa"/>
            <w:tcBorders/>
            <w:vAlign w:val="bottom"/>
          </w:tcPr>
          <w:p>
            <w:pPr>
              <w:pStyle w:val="TableContents"/>
              <w:bidi w:val="0"/>
              <w:spacing w:before="0" w:after="283"/>
              <w:jc w:val="left"/>
              <w:rPr/>
            </w:pPr>
            <w:r>
              <w:rPr/>
              <w:t> </w:t>
            </w:r>
          </w:p>
        </w:tc>
      </w:tr>
      <w:tr>
        <w:trPr/>
        <w:tc>
          <w:tcPr>
            <w:tcW w:w="6599" w:type="dxa"/>
            <w:tcBorders/>
            <w:shd w:fill="CCEEFF" w:val="clear"/>
          </w:tcPr>
          <w:p>
            <w:pPr>
              <w:pStyle w:val="TableContents"/>
              <w:bidi w:val="0"/>
              <w:spacing w:before="0" w:after="0"/>
              <w:jc w:val="left"/>
              <w:rPr>
                <w:rFonts w:ascii="Arial" w:hAnsi="Arial"/>
                <w:sz w:val="20"/>
              </w:rPr>
            </w:pPr>
            <w:r>
              <w:rPr>
                <w:rFonts w:ascii="Arial" w:hAnsi="Arial"/>
                <w:sz w:val="20"/>
              </w:rPr>
              <w:t>Receivables</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b/>
              </w:rPr>
            </w:pPr>
            <w:r>
              <w:rPr>
                <w:b/>
              </w:rPr>
              <w:t>9,132</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581" w:type="dxa"/>
            <w:tcBorders/>
            <w:shd w:fill="CCEEFF" w:val="clear"/>
            <w:vAlign w:val="bottom"/>
          </w:tcPr>
          <w:p>
            <w:pPr>
              <w:pStyle w:val="TableContents"/>
              <w:bidi w:val="0"/>
              <w:spacing w:before="0" w:after="283"/>
              <w:jc w:val="right"/>
              <w:rPr/>
            </w:pPr>
            <w:r>
              <w:rPr/>
              <w:t>8,689</w:t>
            </w:r>
          </w:p>
        </w:tc>
        <w:tc>
          <w:tcPr>
            <w:tcW w:w="64" w:type="dxa"/>
            <w:tcBorders/>
            <w:shd w:fill="CCEEFF" w:val="clear"/>
            <w:vAlign w:val="bottom"/>
          </w:tcPr>
          <w:p>
            <w:pPr>
              <w:pStyle w:val="TableContents"/>
              <w:bidi w:val="0"/>
              <w:spacing w:before="0" w:after="283"/>
              <w:jc w:val="left"/>
              <w:rPr/>
            </w:pPr>
            <w:r>
              <w:rPr/>
              <w:t> </w:t>
            </w:r>
          </w:p>
        </w:tc>
      </w:tr>
      <w:tr>
        <w:trPr/>
        <w:tc>
          <w:tcPr>
            <w:tcW w:w="6599" w:type="dxa"/>
            <w:tcBorders/>
          </w:tcPr>
          <w:p>
            <w:pPr>
              <w:pStyle w:val="TableContents"/>
              <w:bidi w:val="0"/>
              <w:spacing w:before="0" w:after="0"/>
              <w:jc w:val="left"/>
              <w:rPr>
                <w:rFonts w:ascii="Arial" w:hAnsi="Arial"/>
                <w:sz w:val="20"/>
              </w:rPr>
            </w:pPr>
            <w:r>
              <w:rPr>
                <w:rFonts w:ascii="Arial" w:hAnsi="Arial"/>
                <w:sz w:val="20"/>
              </w:rPr>
              <w:t>Inventories</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b/>
              </w:rPr>
            </w:pPr>
            <w:r>
              <w:rPr>
                <w:b/>
              </w:rPr>
              <w:t>5,436</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581" w:type="dxa"/>
            <w:tcBorders/>
            <w:vAlign w:val="bottom"/>
          </w:tcPr>
          <w:p>
            <w:pPr>
              <w:pStyle w:val="TableContents"/>
              <w:bidi w:val="0"/>
              <w:spacing w:before="0" w:after="283"/>
              <w:jc w:val="right"/>
              <w:rPr/>
            </w:pPr>
            <w:r>
              <w:rPr/>
              <w:t>5,032</w:t>
            </w:r>
          </w:p>
        </w:tc>
        <w:tc>
          <w:tcPr>
            <w:tcW w:w="64" w:type="dxa"/>
            <w:tcBorders/>
            <w:vAlign w:val="bottom"/>
          </w:tcPr>
          <w:p>
            <w:pPr>
              <w:pStyle w:val="TableContents"/>
              <w:bidi w:val="0"/>
              <w:spacing w:before="0" w:after="283"/>
              <w:jc w:val="left"/>
              <w:rPr/>
            </w:pPr>
            <w:r>
              <w:rPr/>
              <w:t> </w:t>
            </w:r>
          </w:p>
        </w:tc>
      </w:tr>
      <w:tr>
        <w:trPr/>
        <w:tc>
          <w:tcPr>
            <w:tcW w:w="6599" w:type="dxa"/>
            <w:tcBorders/>
            <w:shd w:fill="CCEEFF" w:val="clear"/>
          </w:tcPr>
          <w:p>
            <w:pPr>
              <w:pStyle w:val="TableContents"/>
              <w:bidi w:val="0"/>
              <w:spacing w:before="0" w:after="0"/>
              <w:jc w:val="left"/>
              <w:rPr>
                <w:rFonts w:ascii="Arial" w:hAnsi="Arial"/>
                <w:sz w:val="20"/>
              </w:rPr>
            </w:pPr>
            <w:r>
              <w:rPr>
                <w:rFonts w:ascii="Arial" w:hAnsi="Arial"/>
                <w:sz w:val="20"/>
              </w:rPr>
              <w:t>Other current assets</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b/>
              </w:rPr>
            </w:pPr>
            <w:r>
              <w:rPr>
                <w:b/>
              </w:rPr>
              <w:t>1,605</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581" w:type="dxa"/>
            <w:tcBorders/>
            <w:shd w:fill="CCEEFF" w:val="clear"/>
            <w:vAlign w:val="bottom"/>
          </w:tcPr>
          <w:p>
            <w:pPr>
              <w:pStyle w:val="TableContents"/>
              <w:bidi w:val="0"/>
              <w:spacing w:before="0" w:after="283"/>
              <w:jc w:val="right"/>
              <w:rPr/>
            </w:pPr>
            <w:r>
              <w:rPr/>
              <w:t>1,580</w:t>
            </w:r>
          </w:p>
        </w:tc>
        <w:tc>
          <w:tcPr>
            <w:tcW w:w="64" w:type="dxa"/>
            <w:tcBorders/>
            <w:shd w:fill="CCEEFF" w:val="clear"/>
            <w:vAlign w:val="bottom"/>
          </w:tcPr>
          <w:p>
            <w:pPr>
              <w:pStyle w:val="TableContents"/>
              <w:bidi w:val="0"/>
              <w:spacing w:before="0" w:after="283"/>
              <w:jc w:val="left"/>
              <w:rPr/>
            </w:pPr>
            <w:r>
              <w:rPr/>
              <w:t> </w:t>
            </w:r>
          </w:p>
        </w:tc>
      </w:tr>
      <w:tr>
        <w:trPr/>
        <w:tc>
          <w:tcPr>
            <w:tcW w:w="6599"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58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99" w:type="dxa"/>
            <w:tcBorders/>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b/>
              </w:rPr>
            </w:pPr>
            <w:r>
              <w:rPr>
                <w:b/>
              </w:rPr>
              <w:t>20,244</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581" w:type="dxa"/>
            <w:tcBorders/>
            <w:vAlign w:val="bottom"/>
          </w:tcPr>
          <w:p>
            <w:pPr>
              <w:pStyle w:val="TableContents"/>
              <w:bidi w:val="0"/>
              <w:spacing w:before="0" w:after="283"/>
              <w:jc w:val="right"/>
              <w:rPr/>
            </w:pPr>
            <w:r>
              <w:rPr/>
              <w:t>19,513</w:t>
            </w:r>
          </w:p>
        </w:tc>
        <w:tc>
          <w:tcPr>
            <w:tcW w:w="64" w:type="dxa"/>
            <w:tcBorders/>
            <w:vAlign w:val="bottom"/>
          </w:tcPr>
          <w:p>
            <w:pPr>
              <w:pStyle w:val="TableContents"/>
              <w:bidi w:val="0"/>
              <w:spacing w:before="0" w:after="283"/>
              <w:jc w:val="left"/>
              <w:rPr/>
            </w:pPr>
            <w:r>
              <w:rPr/>
              <w:t> </w:t>
            </w:r>
          </w:p>
        </w:tc>
      </w:tr>
      <w:tr>
        <w:trPr/>
        <w:tc>
          <w:tcPr>
            <w:tcW w:w="6599" w:type="dxa"/>
            <w:tcBorders/>
            <w:shd w:fill="CCEEFF" w:val="clear"/>
          </w:tcPr>
          <w:p>
            <w:pPr>
              <w:pStyle w:val="TableContents"/>
              <w:bidi w:val="0"/>
              <w:spacing w:before="0" w:after="0"/>
              <w:jc w:val="left"/>
              <w:rPr>
                <w:rFonts w:ascii="Arial" w:hAnsi="Arial"/>
                <w:sz w:val="20"/>
              </w:rPr>
            </w:pPr>
            <w:r>
              <w:rPr>
                <w:rFonts w:ascii="Arial" w:hAnsi="Arial"/>
                <w:sz w:val="20"/>
              </w:rPr>
              <w:t>Investment in affiliated companies</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b/>
              </w:rPr>
            </w:pPr>
            <w:r>
              <w:rPr>
                <w:b/>
              </w:rPr>
              <w:t>1,691</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581" w:type="dxa"/>
            <w:tcBorders/>
            <w:shd w:fill="CCEEFF" w:val="clear"/>
            <w:vAlign w:val="bottom"/>
          </w:tcPr>
          <w:p>
            <w:pPr>
              <w:pStyle w:val="TableContents"/>
              <w:bidi w:val="0"/>
              <w:spacing w:before="0" w:after="283"/>
              <w:jc w:val="right"/>
              <w:rPr/>
            </w:pPr>
            <w:r>
              <w:rPr/>
              <w:t>1,783</w:t>
            </w:r>
          </w:p>
        </w:tc>
        <w:tc>
          <w:tcPr>
            <w:tcW w:w="64" w:type="dxa"/>
            <w:tcBorders/>
            <w:shd w:fill="CCEEFF" w:val="clear"/>
            <w:vAlign w:val="bottom"/>
          </w:tcPr>
          <w:p>
            <w:pPr>
              <w:pStyle w:val="TableContents"/>
              <w:bidi w:val="0"/>
              <w:spacing w:before="0" w:after="283"/>
              <w:jc w:val="left"/>
              <w:rPr/>
            </w:pPr>
            <w:r>
              <w:rPr/>
              <w:t> </w:t>
            </w:r>
          </w:p>
        </w:tc>
      </w:tr>
      <w:tr>
        <w:trPr/>
        <w:tc>
          <w:tcPr>
            <w:tcW w:w="6599" w:type="dxa"/>
            <w:tcBorders/>
          </w:tcPr>
          <w:p>
            <w:pPr>
              <w:pStyle w:val="TableContents"/>
              <w:bidi w:val="0"/>
              <w:spacing w:before="0" w:after="0"/>
              <w:jc w:val="left"/>
              <w:rPr>
                <w:rFonts w:ascii="Arial" w:hAnsi="Arial"/>
                <w:sz w:val="20"/>
              </w:rPr>
            </w:pPr>
            <w:r>
              <w:rPr>
                <w:rFonts w:ascii="Arial" w:hAnsi="Arial"/>
                <w:sz w:val="20"/>
              </w:rPr>
              <w:t>Fixed assets</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b/>
              </w:rPr>
            </w:pPr>
            <w:r>
              <w:rPr>
                <w:b/>
              </w:rPr>
              <w:t>7,745</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581" w:type="dxa"/>
            <w:tcBorders/>
            <w:vAlign w:val="bottom"/>
          </w:tcPr>
          <w:p>
            <w:pPr>
              <w:pStyle w:val="TableContents"/>
              <w:bidi w:val="0"/>
              <w:spacing w:before="0" w:after="283"/>
              <w:jc w:val="right"/>
              <w:rPr/>
            </w:pPr>
            <w:r>
              <w:rPr/>
              <w:t>7,894</w:t>
            </w:r>
          </w:p>
        </w:tc>
        <w:tc>
          <w:tcPr>
            <w:tcW w:w="64" w:type="dxa"/>
            <w:tcBorders/>
            <w:vAlign w:val="bottom"/>
          </w:tcPr>
          <w:p>
            <w:pPr>
              <w:pStyle w:val="TableContents"/>
              <w:bidi w:val="0"/>
              <w:spacing w:before="0" w:after="283"/>
              <w:jc w:val="left"/>
              <w:rPr/>
            </w:pPr>
            <w:r>
              <w:rPr/>
              <w:t> </w:t>
            </w:r>
          </w:p>
        </w:tc>
      </w:tr>
      <w:tr>
        <w:trPr/>
        <w:tc>
          <w:tcPr>
            <w:tcW w:w="6599" w:type="dxa"/>
            <w:tcBorders/>
            <w:shd w:fill="CCEEFF" w:val="clear"/>
          </w:tcPr>
          <w:p>
            <w:pPr>
              <w:pStyle w:val="TableContents"/>
              <w:bidi w:val="0"/>
              <w:spacing w:before="0" w:after="0"/>
              <w:jc w:val="left"/>
              <w:rPr>
                <w:rFonts w:ascii="Arial" w:hAnsi="Arial"/>
                <w:sz w:val="20"/>
              </w:rPr>
            </w:pPr>
            <w:r>
              <w:rPr>
                <w:rFonts w:ascii="Arial" w:hAnsi="Arial"/>
                <w:sz w:val="20"/>
              </w:rPr>
              <w:t>Goodwill</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b/>
              </w:rPr>
            </w:pPr>
            <w:r>
              <w:rPr>
                <w:b/>
              </w:rPr>
              <w:t>17,001</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581" w:type="dxa"/>
            <w:tcBorders/>
            <w:shd w:fill="CCEEFF" w:val="clear"/>
            <w:vAlign w:val="bottom"/>
          </w:tcPr>
          <w:p>
            <w:pPr>
              <w:pStyle w:val="TableContents"/>
              <w:bidi w:val="0"/>
              <w:spacing w:before="0" w:after="283"/>
              <w:jc w:val="right"/>
              <w:rPr/>
            </w:pPr>
            <w:r>
              <w:rPr/>
              <w:t>16,794</w:t>
            </w:r>
          </w:p>
        </w:tc>
        <w:tc>
          <w:tcPr>
            <w:tcW w:w="64" w:type="dxa"/>
            <w:tcBorders/>
            <w:shd w:fill="CCEEFF" w:val="clear"/>
            <w:vAlign w:val="bottom"/>
          </w:tcPr>
          <w:p>
            <w:pPr>
              <w:pStyle w:val="TableContents"/>
              <w:bidi w:val="0"/>
              <w:spacing w:before="0" w:after="283"/>
              <w:jc w:val="left"/>
              <w:rPr/>
            </w:pPr>
            <w:r>
              <w:rPr/>
              <w:t> </w:t>
            </w:r>
          </w:p>
        </w:tc>
      </w:tr>
      <w:tr>
        <w:trPr/>
        <w:tc>
          <w:tcPr>
            <w:tcW w:w="6599" w:type="dxa"/>
            <w:tcBorders/>
          </w:tcPr>
          <w:p>
            <w:pPr>
              <w:pStyle w:val="TableContents"/>
              <w:bidi w:val="0"/>
              <w:spacing w:before="0" w:after="0"/>
              <w:jc w:val="left"/>
              <w:rPr>
                <w:rFonts w:ascii="Arial" w:hAnsi="Arial"/>
                <w:sz w:val="20"/>
              </w:rPr>
            </w:pPr>
            <w:r>
              <w:rPr>
                <w:rFonts w:ascii="Arial" w:hAnsi="Arial"/>
                <w:sz w:val="20"/>
              </w:rPr>
              <w:t>Intangible assets</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b/>
              </w:rPr>
            </w:pPr>
            <w:r>
              <w:rPr>
                <w:b/>
              </w:rPr>
              <w:t>4,876</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581" w:type="dxa"/>
            <w:tcBorders/>
            <w:vAlign w:val="bottom"/>
          </w:tcPr>
          <w:p>
            <w:pPr>
              <w:pStyle w:val="TableContents"/>
              <w:bidi w:val="0"/>
              <w:spacing w:before="0" w:after="283"/>
              <w:jc w:val="right"/>
              <w:rPr/>
            </w:pPr>
            <w:r>
              <w:rPr/>
              <w:t>4,988</w:t>
            </w:r>
          </w:p>
        </w:tc>
        <w:tc>
          <w:tcPr>
            <w:tcW w:w="64" w:type="dxa"/>
            <w:tcBorders/>
            <w:vAlign w:val="bottom"/>
          </w:tcPr>
          <w:p>
            <w:pPr>
              <w:pStyle w:val="TableContents"/>
              <w:bidi w:val="0"/>
              <w:spacing w:before="0" w:after="283"/>
              <w:jc w:val="left"/>
              <w:rPr/>
            </w:pPr>
            <w:r>
              <w:rPr/>
              <w:t> </w:t>
            </w:r>
          </w:p>
        </w:tc>
      </w:tr>
      <w:tr>
        <w:trPr/>
        <w:tc>
          <w:tcPr>
            <w:tcW w:w="6599" w:type="dxa"/>
            <w:tcBorders/>
            <w:shd w:fill="CCEEFF" w:val="clear"/>
          </w:tcPr>
          <w:p>
            <w:pPr>
              <w:pStyle w:val="TableContents"/>
              <w:bidi w:val="0"/>
              <w:spacing w:before="0" w:after="0"/>
              <w:jc w:val="left"/>
              <w:rPr>
                <w:rFonts w:ascii="Arial" w:hAnsi="Arial"/>
                <w:sz w:val="20"/>
              </w:rPr>
            </w:pPr>
            <w:r>
              <w:rPr>
                <w:rFonts w:ascii="Arial" w:hAnsi="Arial"/>
                <w:sz w:val="20"/>
              </w:rPr>
              <w:t>Other assets</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b/>
              </w:rPr>
            </w:pPr>
            <w:r>
              <w:rPr>
                <w:b/>
              </w:rPr>
              <w:t>3,975</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581" w:type="dxa"/>
            <w:tcBorders/>
            <w:shd w:fill="CCEEFF" w:val="clear"/>
            <w:vAlign w:val="bottom"/>
          </w:tcPr>
          <w:p>
            <w:pPr>
              <w:pStyle w:val="TableContents"/>
              <w:bidi w:val="0"/>
              <w:spacing w:before="0" w:after="283"/>
              <w:jc w:val="right"/>
              <w:rPr/>
            </w:pPr>
            <w:r>
              <w:rPr/>
              <w:t>3,896</w:t>
            </w:r>
          </w:p>
        </w:tc>
        <w:tc>
          <w:tcPr>
            <w:tcW w:w="64" w:type="dxa"/>
            <w:tcBorders/>
            <w:shd w:fill="CCEEFF" w:val="clear"/>
            <w:vAlign w:val="bottom"/>
          </w:tcPr>
          <w:p>
            <w:pPr>
              <w:pStyle w:val="TableContents"/>
              <w:bidi w:val="0"/>
              <w:spacing w:before="0" w:after="283"/>
              <w:jc w:val="left"/>
              <w:rPr/>
            </w:pPr>
            <w:r>
              <w:rPr/>
              <w:t> </w:t>
            </w:r>
          </w:p>
        </w:tc>
      </w:tr>
      <w:tr>
        <w:trPr/>
        <w:tc>
          <w:tcPr>
            <w:tcW w:w="6599"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58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99" w:type="dxa"/>
            <w:tcBorders/>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9" w:type="dxa"/>
            <w:tcBorders/>
            <w:vAlign w:val="bottom"/>
          </w:tcPr>
          <w:p>
            <w:pPr>
              <w:pStyle w:val="TableContents"/>
              <w:bidi w:val="0"/>
              <w:spacing w:before="0" w:after="283"/>
              <w:jc w:val="right"/>
              <w:rPr>
                <w:b/>
              </w:rPr>
            </w:pPr>
            <w:r>
              <w:rPr>
                <w:b/>
              </w:rPr>
              <w:t>55,532</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w:t>
            </w:r>
          </w:p>
        </w:tc>
        <w:tc>
          <w:tcPr>
            <w:tcW w:w="1581" w:type="dxa"/>
            <w:tcBorders/>
            <w:vAlign w:val="bottom"/>
          </w:tcPr>
          <w:p>
            <w:pPr>
              <w:pStyle w:val="TableContents"/>
              <w:bidi w:val="0"/>
              <w:spacing w:before="0" w:after="283"/>
              <w:jc w:val="right"/>
              <w:rPr/>
            </w:pPr>
            <w:r>
              <w:rPr/>
              <w:t>54,868</w:t>
            </w:r>
          </w:p>
        </w:tc>
        <w:tc>
          <w:tcPr>
            <w:tcW w:w="64" w:type="dxa"/>
            <w:tcBorders/>
            <w:vAlign w:val="bottom"/>
          </w:tcPr>
          <w:p>
            <w:pPr>
              <w:pStyle w:val="TableContents"/>
              <w:bidi w:val="0"/>
              <w:spacing w:before="0" w:after="283"/>
              <w:jc w:val="left"/>
              <w:rPr/>
            </w:pPr>
            <w:r>
              <w:rPr/>
              <w:t> </w:t>
            </w:r>
          </w:p>
        </w:tc>
      </w:tr>
      <w:tr>
        <w:trPr/>
        <w:tc>
          <w:tcPr>
            <w:tcW w:w="6599"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double" w:sz="6" w:space="1" w:color="000000"/>
              </w:pBdr>
              <w:bidi w:val="0"/>
              <w:spacing w:before="0" w:after="0"/>
              <w:jc w:val="left"/>
              <w:rPr/>
            </w:pPr>
            <w:r>
              <w:rPr/>
              <w:t> </w:t>
            </w:r>
          </w:p>
        </w:tc>
        <w:tc>
          <w:tcPr>
            <w:tcW w:w="158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99" w:type="dxa"/>
            <w:tcBorders/>
            <w:shd w:fill="CCEEFF" w:val="clear"/>
          </w:tcPr>
          <w:p>
            <w:pPr>
              <w:pStyle w:val="TableContents"/>
              <w:bidi w:val="0"/>
              <w:spacing w:before="0" w:after="0"/>
              <w:jc w:val="left"/>
              <w:rPr>
                <w:rFonts w:ascii="Arial" w:hAnsi="Arial"/>
                <w:sz w:val="20"/>
              </w:rPr>
            </w:pPr>
            <w:r>
              <w:rPr>
                <w:rFonts w:ascii="Arial" w:hAnsi="Arial"/>
                <w:sz w:val="20"/>
              </w:rPr>
              <w:t>Liabilities and Equity</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sz w:val="4"/>
                <w:szCs w:val="4"/>
              </w:rPr>
            </w:pPr>
            <w:r>
              <w:rPr>
                <w:sz w:val="4"/>
                <w:szCs w:val="4"/>
              </w:rPr>
            </w:r>
          </w:p>
        </w:tc>
        <w:tc>
          <w:tcPr>
            <w:tcW w:w="158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599" w:type="dxa"/>
            <w:tcBorders/>
          </w:tcPr>
          <w:p>
            <w:pPr>
              <w:pStyle w:val="TableContents"/>
              <w:bidi w:val="0"/>
              <w:spacing w:before="0" w:after="0"/>
              <w:jc w:val="left"/>
              <w:rPr>
                <w:rFonts w:ascii="Arial" w:hAnsi="Arial"/>
                <w:sz w:val="20"/>
              </w:rPr>
            </w:pPr>
            <w:r>
              <w:rPr>
                <w:rFonts w:ascii="Arial" w:hAnsi="Arial"/>
                <w:sz w:val="20"/>
              </w:rPr>
              <w:t>Current Liabilities</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sz w:val="4"/>
                <w:szCs w:val="4"/>
              </w:rPr>
            </w:pPr>
            <w:r>
              <w:rPr>
                <w:sz w:val="4"/>
                <w:szCs w:val="4"/>
              </w:rPr>
            </w:r>
          </w:p>
        </w:tc>
        <w:tc>
          <w:tcPr>
            <w:tcW w:w="158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599" w:type="dxa"/>
            <w:tcBorders/>
            <w:shd w:fill="CCEEFF" w:val="clear"/>
          </w:tcPr>
          <w:p>
            <w:pPr>
              <w:pStyle w:val="TableContents"/>
              <w:bidi w:val="0"/>
              <w:spacing w:before="0" w:after="0"/>
              <w:jc w:val="left"/>
              <w:rPr>
                <w:rFonts w:ascii="Arial" w:hAnsi="Arial"/>
                <w:sz w:val="20"/>
              </w:rPr>
            </w:pPr>
            <w:r>
              <w:rPr>
                <w:rFonts w:ascii="Arial" w:hAnsi="Arial"/>
                <w:sz w:val="20"/>
              </w:rPr>
              <w:t>Accounts payable and accrued liabilities</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9" w:type="dxa"/>
            <w:tcBorders/>
            <w:shd w:fill="CCEEFF" w:val="clear"/>
            <w:vAlign w:val="bottom"/>
          </w:tcPr>
          <w:p>
            <w:pPr>
              <w:pStyle w:val="TableContents"/>
              <w:bidi w:val="0"/>
              <w:spacing w:before="0" w:after="283"/>
              <w:jc w:val="right"/>
              <w:rPr>
                <w:b/>
              </w:rPr>
            </w:pPr>
            <w:r>
              <w:rPr>
                <w:b/>
              </w:rPr>
              <w:t>11,210</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w:t>
            </w:r>
          </w:p>
        </w:tc>
        <w:tc>
          <w:tcPr>
            <w:tcW w:w="1581" w:type="dxa"/>
            <w:tcBorders/>
            <w:shd w:fill="CCEEFF" w:val="clear"/>
            <w:vAlign w:val="bottom"/>
          </w:tcPr>
          <w:p>
            <w:pPr>
              <w:pStyle w:val="TableContents"/>
              <w:bidi w:val="0"/>
              <w:spacing w:before="0" w:after="283"/>
              <w:jc w:val="right"/>
              <w:rPr/>
            </w:pPr>
            <w:r>
              <w:rPr/>
              <w:t>11,490</w:t>
            </w:r>
          </w:p>
        </w:tc>
        <w:tc>
          <w:tcPr>
            <w:tcW w:w="64" w:type="dxa"/>
            <w:tcBorders/>
            <w:shd w:fill="CCEEFF" w:val="clear"/>
            <w:vAlign w:val="bottom"/>
          </w:tcPr>
          <w:p>
            <w:pPr>
              <w:pStyle w:val="TableContents"/>
              <w:bidi w:val="0"/>
              <w:spacing w:before="0" w:after="283"/>
              <w:jc w:val="left"/>
              <w:rPr/>
            </w:pPr>
            <w:r>
              <w:rPr/>
              <w:t> </w:t>
            </w:r>
          </w:p>
        </w:tc>
      </w:tr>
      <w:tr>
        <w:trPr/>
        <w:tc>
          <w:tcPr>
            <w:tcW w:w="6599" w:type="dxa"/>
            <w:tcBorders/>
          </w:tcPr>
          <w:p>
            <w:pPr>
              <w:pStyle w:val="TableContents"/>
              <w:bidi w:val="0"/>
              <w:spacing w:before="0" w:after="0"/>
              <w:jc w:val="left"/>
              <w:rPr>
                <w:rFonts w:ascii="Arial" w:hAnsi="Arial"/>
                <w:sz w:val="20"/>
              </w:rPr>
            </w:pPr>
            <w:r>
              <w:rPr>
                <w:rFonts w:ascii="Arial" w:hAnsi="Arial"/>
                <w:sz w:val="20"/>
              </w:rPr>
              <w:t>Estimated liability for taxes on income</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b/>
              </w:rPr>
            </w:pPr>
            <w:r>
              <w:rPr>
                <w:b/>
              </w:rPr>
              <w:t>742</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581" w:type="dxa"/>
            <w:tcBorders/>
            <w:vAlign w:val="bottom"/>
          </w:tcPr>
          <w:p>
            <w:pPr>
              <w:pStyle w:val="TableContents"/>
              <w:bidi w:val="0"/>
              <w:spacing w:before="0" w:after="283"/>
              <w:jc w:val="right"/>
              <w:rPr/>
            </w:pPr>
            <w:r>
              <w:rPr/>
              <w:t>894</w:t>
            </w:r>
          </w:p>
        </w:tc>
        <w:tc>
          <w:tcPr>
            <w:tcW w:w="64" w:type="dxa"/>
            <w:tcBorders/>
            <w:vAlign w:val="bottom"/>
          </w:tcPr>
          <w:p>
            <w:pPr>
              <w:pStyle w:val="TableContents"/>
              <w:bidi w:val="0"/>
              <w:spacing w:before="0" w:after="283"/>
              <w:jc w:val="left"/>
              <w:rPr/>
            </w:pPr>
            <w:r>
              <w:rPr/>
              <w:t> </w:t>
            </w:r>
          </w:p>
        </w:tc>
      </w:tr>
      <w:tr>
        <w:trPr/>
        <w:tc>
          <w:tcPr>
            <w:tcW w:w="6599" w:type="dxa"/>
            <w:tcBorders/>
            <w:shd w:fill="CCEEFF" w:val="clear"/>
          </w:tcPr>
          <w:p>
            <w:pPr>
              <w:pStyle w:val="TableContents"/>
              <w:bidi w:val="0"/>
              <w:spacing w:before="0" w:after="0"/>
              <w:jc w:val="left"/>
              <w:rPr>
                <w:rFonts w:ascii="Arial" w:hAnsi="Arial"/>
                <w:sz w:val="20"/>
              </w:rPr>
            </w:pPr>
            <w:r>
              <w:rPr>
                <w:rFonts w:ascii="Arial" w:hAnsi="Arial"/>
                <w:sz w:val="20"/>
              </w:rPr>
              <w:t>Short-term borrowings and current portion of long-term debt</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b/>
              </w:rPr>
            </w:pPr>
            <w:r>
              <w:rPr>
                <w:b/>
              </w:rPr>
              <w:t>1,658</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581" w:type="dxa"/>
            <w:tcBorders/>
            <w:shd w:fill="CCEEFF" w:val="clear"/>
            <w:vAlign w:val="bottom"/>
          </w:tcPr>
          <w:p>
            <w:pPr>
              <w:pStyle w:val="TableContents"/>
              <w:bidi w:val="0"/>
              <w:spacing w:before="0" w:after="283"/>
              <w:jc w:val="right"/>
              <w:rPr/>
            </w:pPr>
            <w:r>
              <w:rPr/>
              <w:t>1,894</w:t>
            </w:r>
          </w:p>
        </w:tc>
        <w:tc>
          <w:tcPr>
            <w:tcW w:w="64" w:type="dxa"/>
            <w:tcBorders/>
            <w:shd w:fill="CCEEFF" w:val="clear"/>
            <w:vAlign w:val="bottom"/>
          </w:tcPr>
          <w:p>
            <w:pPr>
              <w:pStyle w:val="TableContents"/>
              <w:bidi w:val="0"/>
              <w:spacing w:before="0" w:after="283"/>
              <w:jc w:val="left"/>
              <w:rPr/>
            </w:pPr>
            <w:r>
              <w:rPr/>
              <w:t> </w:t>
            </w:r>
          </w:p>
        </w:tc>
      </w:tr>
      <w:tr>
        <w:trPr/>
        <w:tc>
          <w:tcPr>
            <w:tcW w:w="6599" w:type="dxa"/>
            <w:tcBorders/>
          </w:tcPr>
          <w:p>
            <w:pPr>
              <w:pStyle w:val="TableContents"/>
              <w:bidi w:val="0"/>
              <w:spacing w:before="0" w:after="0"/>
              <w:jc w:val="left"/>
              <w:rPr>
                <w:rFonts w:ascii="Arial" w:hAnsi="Arial"/>
                <w:sz w:val="20"/>
              </w:rPr>
            </w:pPr>
            <w:r>
              <w:rPr>
                <w:rFonts w:ascii="Arial" w:hAnsi="Arial"/>
                <w:sz w:val="20"/>
              </w:rPr>
              <w:t>Dividends payable</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b/>
              </w:rPr>
            </w:pPr>
            <w:r>
              <w:rPr>
                <w:b/>
              </w:rPr>
              <w:t>456</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581" w:type="dxa"/>
            <w:tcBorders/>
            <w:vAlign w:val="bottom"/>
          </w:tcPr>
          <w:p>
            <w:pPr>
              <w:pStyle w:val="TableContents"/>
              <w:bidi w:val="0"/>
              <w:spacing w:before="0" w:after="283"/>
              <w:jc w:val="right"/>
              <w:rPr/>
            </w:pPr>
            <w:r>
              <w:rPr/>
              <w:t>443</w:t>
            </w:r>
          </w:p>
        </w:tc>
        <w:tc>
          <w:tcPr>
            <w:tcW w:w="64" w:type="dxa"/>
            <w:tcBorders/>
            <w:vAlign w:val="bottom"/>
          </w:tcPr>
          <w:p>
            <w:pPr>
              <w:pStyle w:val="TableContents"/>
              <w:bidi w:val="0"/>
              <w:spacing w:before="0" w:after="283"/>
              <w:jc w:val="left"/>
              <w:rPr/>
            </w:pPr>
            <w:r>
              <w:rPr/>
              <w:t> </w:t>
            </w:r>
          </w:p>
        </w:tc>
      </w:tr>
      <w:tr>
        <w:trPr/>
        <w:tc>
          <w:tcPr>
            <w:tcW w:w="6599"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58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99" w:type="dxa"/>
            <w:tcBorders/>
            <w:shd w:fill="CCEEFF" w:val="clear"/>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b/>
              </w:rPr>
            </w:pPr>
            <w:r>
              <w:rPr>
                <w:b/>
              </w:rPr>
              <w:t>14,066</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581" w:type="dxa"/>
            <w:tcBorders/>
            <w:shd w:fill="CCEEFF" w:val="clear"/>
            <w:vAlign w:val="bottom"/>
          </w:tcPr>
          <w:p>
            <w:pPr>
              <w:pStyle w:val="TableContents"/>
              <w:bidi w:val="0"/>
              <w:spacing w:before="0" w:after="283"/>
              <w:jc w:val="right"/>
              <w:rPr/>
            </w:pPr>
            <w:r>
              <w:rPr/>
              <w:t>14,721</w:t>
            </w:r>
          </w:p>
        </w:tc>
        <w:tc>
          <w:tcPr>
            <w:tcW w:w="64" w:type="dxa"/>
            <w:tcBorders/>
            <w:shd w:fill="CCEEFF" w:val="clear"/>
            <w:vAlign w:val="bottom"/>
          </w:tcPr>
          <w:p>
            <w:pPr>
              <w:pStyle w:val="TableContents"/>
              <w:bidi w:val="0"/>
              <w:spacing w:before="0" w:after="283"/>
              <w:jc w:val="left"/>
              <w:rPr/>
            </w:pPr>
            <w:r>
              <w:rPr/>
              <w:t> </w:t>
            </w:r>
          </w:p>
        </w:tc>
      </w:tr>
      <w:tr>
        <w:trPr/>
        <w:tc>
          <w:tcPr>
            <w:tcW w:w="6599" w:type="dxa"/>
            <w:tcBorders/>
          </w:tcPr>
          <w:p>
            <w:pPr>
              <w:pStyle w:val="TableContents"/>
              <w:bidi w:val="0"/>
              <w:spacing w:before="0" w:after="0"/>
              <w:jc w:val="left"/>
              <w:rPr>
                <w:rFonts w:ascii="Arial" w:hAnsi="Arial"/>
                <w:sz w:val="20"/>
              </w:rPr>
            </w:pPr>
            <w:r>
              <w:rPr>
                <w:rFonts w:ascii="Arial" w:hAnsi="Arial"/>
                <w:sz w:val="20"/>
              </w:rPr>
              <w:t>Long-term debt</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b/>
              </w:rPr>
            </w:pPr>
            <w:r>
              <w:rPr>
                <w:b/>
              </w:rPr>
              <w:t>11,140</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581" w:type="dxa"/>
            <w:tcBorders/>
            <w:vAlign w:val="bottom"/>
          </w:tcPr>
          <w:p>
            <w:pPr>
              <w:pStyle w:val="TableContents"/>
              <w:bidi w:val="0"/>
              <w:spacing w:before="0" w:after="283"/>
              <w:jc w:val="right"/>
              <w:rPr/>
            </w:pPr>
            <w:r>
              <w:rPr/>
              <w:t>9,742</w:t>
            </w:r>
          </w:p>
        </w:tc>
        <w:tc>
          <w:tcPr>
            <w:tcW w:w="64" w:type="dxa"/>
            <w:tcBorders/>
            <w:vAlign w:val="bottom"/>
          </w:tcPr>
          <w:p>
            <w:pPr>
              <w:pStyle w:val="TableContents"/>
              <w:bidi w:val="0"/>
              <w:spacing w:before="0" w:after="283"/>
              <w:jc w:val="left"/>
              <w:rPr/>
            </w:pPr>
            <w:r>
              <w:rPr/>
              <w:t> </w:t>
            </w:r>
          </w:p>
        </w:tc>
      </w:tr>
      <w:tr>
        <w:trPr/>
        <w:tc>
          <w:tcPr>
            <w:tcW w:w="6599" w:type="dxa"/>
            <w:tcBorders/>
            <w:shd w:fill="CCEEFF" w:val="clear"/>
          </w:tcPr>
          <w:p>
            <w:pPr>
              <w:pStyle w:val="TableContents"/>
              <w:bidi w:val="0"/>
              <w:spacing w:before="0" w:after="0"/>
              <w:jc w:val="left"/>
              <w:rPr>
                <w:rFonts w:ascii="Arial" w:hAnsi="Arial"/>
                <w:sz w:val="20"/>
              </w:rPr>
            </w:pPr>
            <w:r>
              <w:rPr>
                <w:rFonts w:ascii="Arial" w:hAnsi="Arial"/>
                <w:sz w:val="20"/>
              </w:rPr>
              <w:t>Other liabilities</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b/>
              </w:rPr>
            </w:pPr>
            <w:r>
              <w:rPr>
                <w:b/>
              </w:rPr>
              <w:t>3,072</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581" w:type="dxa"/>
            <w:tcBorders/>
            <w:shd w:fill="CCEEFF" w:val="clear"/>
            <w:vAlign w:val="bottom"/>
          </w:tcPr>
          <w:p>
            <w:pPr>
              <w:pStyle w:val="TableContents"/>
              <w:bidi w:val="0"/>
              <w:spacing w:before="0" w:after="283"/>
              <w:jc w:val="right"/>
              <w:rPr/>
            </w:pPr>
            <w:r>
              <w:rPr/>
              <w:t>3,114</w:t>
            </w:r>
          </w:p>
        </w:tc>
        <w:tc>
          <w:tcPr>
            <w:tcW w:w="64" w:type="dxa"/>
            <w:tcBorders/>
            <w:shd w:fill="CCEEFF" w:val="clear"/>
            <w:vAlign w:val="bottom"/>
          </w:tcPr>
          <w:p>
            <w:pPr>
              <w:pStyle w:val="TableContents"/>
              <w:bidi w:val="0"/>
              <w:spacing w:before="0" w:after="283"/>
              <w:jc w:val="left"/>
              <w:rPr/>
            </w:pPr>
            <w:r>
              <w:rPr/>
              <w:t> </w:t>
            </w:r>
          </w:p>
        </w:tc>
      </w:tr>
      <w:tr>
        <w:trPr/>
        <w:tc>
          <w:tcPr>
            <w:tcW w:w="6599"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58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99" w:type="dxa"/>
            <w:tcBorders/>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b/>
              </w:rPr>
            </w:pPr>
            <w:r>
              <w:rPr>
                <w:b/>
              </w:rPr>
              <w:t>28,278</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581" w:type="dxa"/>
            <w:tcBorders/>
            <w:vAlign w:val="bottom"/>
          </w:tcPr>
          <w:p>
            <w:pPr>
              <w:pStyle w:val="TableContents"/>
              <w:bidi w:val="0"/>
              <w:spacing w:before="0" w:after="283"/>
              <w:jc w:val="right"/>
              <w:rPr/>
            </w:pPr>
            <w:r>
              <w:rPr/>
              <w:t>27,577</w:t>
            </w:r>
          </w:p>
        </w:tc>
        <w:tc>
          <w:tcPr>
            <w:tcW w:w="64" w:type="dxa"/>
            <w:tcBorders/>
            <w:vAlign w:val="bottom"/>
          </w:tcPr>
          <w:p>
            <w:pPr>
              <w:pStyle w:val="TableContents"/>
              <w:bidi w:val="0"/>
              <w:spacing w:before="0" w:after="283"/>
              <w:jc w:val="left"/>
              <w:rPr/>
            </w:pPr>
            <w:r>
              <w:rPr/>
              <w:t> </w:t>
            </w:r>
          </w:p>
        </w:tc>
      </w:tr>
      <w:tr>
        <w:trPr/>
        <w:tc>
          <w:tcPr>
            <w:tcW w:w="6599" w:type="dxa"/>
            <w:tcBorders/>
            <w:shd w:fill="CCEEFF" w:val="clear"/>
          </w:tcPr>
          <w:p>
            <w:pPr>
              <w:pStyle w:val="TableContents"/>
              <w:bidi w:val="0"/>
              <w:spacing w:before="0" w:after="0"/>
              <w:jc w:val="left"/>
              <w:rPr>
                <w:rFonts w:ascii="Arial" w:hAnsi="Arial"/>
                <w:sz w:val="20"/>
              </w:rPr>
            </w:pPr>
            <w:r>
              <w:rPr>
                <w:rFonts w:ascii="Arial" w:hAnsi="Arial"/>
                <w:sz w:val="20"/>
              </w:rPr>
              <w:t>Equity</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b/>
              </w:rPr>
            </w:pPr>
            <w:r>
              <w:rPr>
                <w:b/>
              </w:rPr>
              <w:t>27,254</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581" w:type="dxa"/>
            <w:tcBorders/>
            <w:shd w:fill="CCEEFF" w:val="clear"/>
            <w:vAlign w:val="bottom"/>
          </w:tcPr>
          <w:p>
            <w:pPr>
              <w:pStyle w:val="TableContents"/>
              <w:bidi w:val="0"/>
              <w:spacing w:before="0" w:after="283"/>
              <w:jc w:val="right"/>
              <w:rPr/>
            </w:pPr>
            <w:r>
              <w:rPr/>
              <w:t>27,291</w:t>
            </w:r>
          </w:p>
        </w:tc>
        <w:tc>
          <w:tcPr>
            <w:tcW w:w="64" w:type="dxa"/>
            <w:tcBorders/>
            <w:shd w:fill="CCEEFF" w:val="clear"/>
            <w:vAlign w:val="bottom"/>
          </w:tcPr>
          <w:p>
            <w:pPr>
              <w:pStyle w:val="TableContents"/>
              <w:bidi w:val="0"/>
              <w:spacing w:before="0" w:after="283"/>
              <w:jc w:val="left"/>
              <w:rPr/>
            </w:pPr>
            <w:r>
              <w:rPr/>
              <w:t> </w:t>
            </w:r>
          </w:p>
        </w:tc>
      </w:tr>
      <w:tr>
        <w:trPr/>
        <w:tc>
          <w:tcPr>
            <w:tcW w:w="6599"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58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99" w:type="dxa"/>
            <w:tcBorders/>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9" w:type="dxa"/>
            <w:tcBorders/>
            <w:vAlign w:val="bottom"/>
          </w:tcPr>
          <w:p>
            <w:pPr>
              <w:pStyle w:val="TableContents"/>
              <w:bidi w:val="0"/>
              <w:spacing w:before="0" w:after="283"/>
              <w:jc w:val="right"/>
              <w:rPr>
                <w:b/>
              </w:rPr>
            </w:pPr>
            <w:r>
              <w:rPr>
                <w:b/>
              </w:rPr>
              <w:t>55,532</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w:t>
            </w:r>
          </w:p>
        </w:tc>
        <w:tc>
          <w:tcPr>
            <w:tcW w:w="1581" w:type="dxa"/>
            <w:tcBorders/>
            <w:vAlign w:val="bottom"/>
          </w:tcPr>
          <w:p>
            <w:pPr>
              <w:pStyle w:val="TableContents"/>
              <w:bidi w:val="0"/>
              <w:spacing w:before="0" w:after="283"/>
              <w:jc w:val="right"/>
              <w:rPr/>
            </w:pPr>
            <w:r>
              <w:rPr/>
              <w:t>54,868</w:t>
            </w:r>
          </w:p>
        </w:tc>
        <w:tc>
          <w:tcPr>
            <w:tcW w:w="64" w:type="dxa"/>
            <w:tcBorders/>
            <w:vAlign w:val="bottom"/>
          </w:tcPr>
          <w:p>
            <w:pPr>
              <w:pStyle w:val="TableContents"/>
              <w:bidi w:val="0"/>
              <w:spacing w:before="0" w:after="283"/>
              <w:jc w:val="left"/>
              <w:rPr/>
            </w:pPr>
            <w:r>
              <w:rPr/>
              <w:t> </w:t>
            </w:r>
          </w:p>
        </w:tc>
      </w:tr>
      <w:tr>
        <w:trPr/>
        <w:tc>
          <w:tcPr>
            <w:tcW w:w="6599"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double" w:sz="6" w:space="1" w:color="000000"/>
              </w:pBdr>
              <w:bidi w:val="0"/>
              <w:spacing w:before="0" w:after="0"/>
              <w:jc w:val="left"/>
              <w:rPr/>
            </w:pPr>
            <w:r>
              <w:rPr/>
              <w:t> </w:t>
            </w:r>
          </w:p>
        </w:tc>
        <w:tc>
          <w:tcPr>
            <w:tcW w:w="158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Liquidity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59"/>
        <w:gridCol w:w="283"/>
        <w:gridCol w:w="140"/>
        <w:gridCol w:w="759"/>
        <w:gridCol w:w="155"/>
        <w:gridCol w:w="234"/>
        <w:gridCol w:w="140"/>
        <w:gridCol w:w="669"/>
        <w:gridCol w:w="155"/>
        <w:gridCol w:w="234"/>
        <w:gridCol w:w="140"/>
        <w:gridCol w:w="759"/>
        <w:gridCol w:w="155"/>
        <w:gridCol w:w="234"/>
        <w:gridCol w:w="140"/>
        <w:gridCol w:w="669"/>
        <w:gridCol w:w="163"/>
      </w:tblGrid>
      <w:tr>
        <w:trPr/>
        <w:tc>
          <w:tcPr>
            <w:tcW w:w="4359"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5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899"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809"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097" w:type="dxa"/>
            <w:gridSpan w:val="6"/>
            <w:tcBorders/>
            <w:vAlign w:val="bottom"/>
          </w:tcPr>
          <w:p>
            <w:pPr>
              <w:pStyle w:val="TableContents"/>
              <w:bidi w:val="0"/>
              <w:spacing w:before="0" w:after="283"/>
              <w:jc w:val="center"/>
              <w:rPr/>
            </w:pPr>
            <w:r>
              <w:rPr/>
              <w:t>(Stated in millions)</w:t>
            </w:r>
          </w:p>
        </w:tc>
        <w:tc>
          <w:tcPr>
            <w:tcW w:w="163" w:type="dxa"/>
            <w:tcBorders/>
            <w:vAlign w:val="bottom"/>
          </w:tcPr>
          <w:p>
            <w:pPr>
              <w:pStyle w:val="TableContents"/>
              <w:bidi w:val="0"/>
              <w:spacing w:before="0" w:after="283"/>
              <w:jc w:val="left"/>
              <w:rPr/>
            </w:pPr>
            <w:r>
              <w:rPr/>
              <w:t> </w:t>
            </w:r>
          </w:p>
        </w:tc>
      </w:tr>
      <w:tr>
        <w:trPr/>
        <w:tc>
          <w:tcPr>
            <w:tcW w:w="4359" w:type="dxa"/>
            <w:tcBorders/>
            <w:vAlign w:val="bottom"/>
          </w:tcPr>
          <w:p>
            <w:pPr>
              <w:pStyle w:val="TableContents"/>
              <w:pBdr>
                <w:bottom w:val="single" w:sz="8" w:space="1" w:color="000000"/>
              </w:pBdr>
              <w:bidi w:val="0"/>
              <w:spacing w:before="0" w:after="0"/>
              <w:jc w:val="left"/>
              <w:rPr>
                <w:rFonts w:ascii="Arial" w:hAnsi="Arial"/>
                <w:sz w:val="16"/>
              </w:rPr>
            </w:pPr>
            <w:r>
              <w:rPr>
                <w:rFonts w:ascii="Arial" w:hAnsi="Arial"/>
                <w:sz w:val="16"/>
              </w:rPr>
              <w:t>Components of Liquidity</w:t>
            </w:r>
          </w:p>
        </w:tc>
        <w:tc>
          <w:tcPr>
            <w:tcW w:w="283" w:type="dxa"/>
            <w:tcBorders/>
            <w:vAlign w:val="bottom"/>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2026</w:t>
            </w:r>
          </w:p>
        </w:tc>
        <w:tc>
          <w:tcPr>
            <w:tcW w:w="15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809" w:type="dxa"/>
            <w:gridSpan w:val="2"/>
            <w:tcBorders>
              <w:bottom w:val="single" w:sz="8" w:space="0" w:color="000000"/>
            </w:tcBorders>
            <w:tcMar>
              <w:bottom w:w="28" w:type="dxa"/>
            </w:tcMar>
            <w:vAlign w:val="bottom"/>
          </w:tcPr>
          <w:p>
            <w:pPr>
              <w:pStyle w:val="TableContents"/>
              <w:bidi w:val="0"/>
              <w:spacing w:before="0" w:after="283"/>
              <w:jc w:val="center"/>
              <w:rPr/>
            </w:pPr>
            <w:r>
              <w:rPr/>
              <w:t>Mar. 31,</w:t>
              <w:br/>
              <w:t>2026</w:t>
            </w:r>
          </w:p>
        </w:tc>
        <w:tc>
          <w:tcPr>
            <w:tcW w:w="15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2025</w:t>
            </w:r>
          </w:p>
        </w:tc>
        <w:tc>
          <w:tcPr>
            <w:tcW w:w="15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809" w:type="dxa"/>
            <w:gridSpan w:val="2"/>
            <w:tcBorders>
              <w:bottom w:val="single" w:sz="8" w:space="0" w:color="000000"/>
            </w:tcBorders>
            <w:tcMar>
              <w:bottom w:w="28" w:type="dxa"/>
            </w:tcMar>
            <w:vAlign w:val="bottom"/>
          </w:tcPr>
          <w:p>
            <w:pPr>
              <w:pStyle w:val="TableContents"/>
              <w:bidi w:val="0"/>
              <w:spacing w:before="0" w:after="283"/>
              <w:jc w:val="center"/>
              <w:rPr/>
            </w:pPr>
            <w:r>
              <w:rPr/>
              <w:t>Dec. 31,</w:t>
              <w:br/>
              <w:t>2025</w:t>
            </w:r>
          </w:p>
        </w:tc>
        <w:tc>
          <w:tcPr>
            <w:tcW w:w="163" w:type="dxa"/>
            <w:tcBorders/>
            <w:vAlign w:val="bottom"/>
          </w:tcPr>
          <w:p>
            <w:pPr>
              <w:pStyle w:val="TableContents"/>
              <w:bidi w:val="0"/>
              <w:spacing w:before="0" w:after="283"/>
              <w:jc w:val="left"/>
              <w:rPr/>
            </w:pPr>
            <w:r>
              <w:rPr/>
              <w:t> </w:t>
            </w:r>
          </w:p>
        </w:tc>
      </w:tr>
      <w:tr>
        <w:trPr/>
        <w:tc>
          <w:tcPr>
            <w:tcW w:w="4359" w:type="dxa"/>
            <w:tcBorders/>
            <w:shd w:fill="CCEEFF" w:val="clear"/>
          </w:tcPr>
          <w:p>
            <w:pPr>
              <w:pStyle w:val="TableContents"/>
              <w:bidi w:val="0"/>
              <w:spacing w:before="0" w:after="0"/>
              <w:jc w:val="left"/>
              <w:rPr>
                <w:rFonts w:ascii="Arial" w:hAnsi="Arial"/>
                <w:sz w:val="20"/>
              </w:rPr>
            </w:pPr>
            <w:r>
              <w:rPr>
                <w:rFonts w:ascii="Arial" w:hAnsi="Arial"/>
                <w:sz w:val="20"/>
              </w:rPr>
              <w:t>Cash and short-term investments</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59" w:type="dxa"/>
            <w:tcBorders/>
            <w:shd w:fill="CCEEFF" w:val="clear"/>
            <w:vAlign w:val="bottom"/>
          </w:tcPr>
          <w:p>
            <w:pPr>
              <w:pStyle w:val="TableContents"/>
              <w:bidi w:val="0"/>
              <w:spacing w:before="0" w:after="283"/>
              <w:jc w:val="right"/>
              <w:rPr>
                <w:b/>
              </w:rPr>
            </w:pPr>
            <w:r>
              <w:rPr>
                <w:b/>
              </w:rPr>
              <w:t>4,071</w:t>
            </w:r>
          </w:p>
        </w:tc>
        <w:tc>
          <w:tcPr>
            <w:tcW w:w="15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69" w:type="dxa"/>
            <w:tcBorders/>
            <w:shd w:fill="CCEEFF" w:val="clear"/>
            <w:vAlign w:val="bottom"/>
          </w:tcPr>
          <w:p>
            <w:pPr>
              <w:pStyle w:val="TableContents"/>
              <w:bidi w:val="0"/>
              <w:spacing w:before="0" w:after="283"/>
              <w:jc w:val="right"/>
              <w:rPr/>
            </w:pPr>
            <w:r>
              <w:rPr/>
              <w:t>3,387</w:t>
            </w:r>
          </w:p>
        </w:tc>
        <w:tc>
          <w:tcPr>
            <w:tcW w:w="15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3,747</w:t>
            </w:r>
          </w:p>
        </w:tc>
        <w:tc>
          <w:tcPr>
            <w:tcW w:w="15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69" w:type="dxa"/>
            <w:tcBorders/>
            <w:shd w:fill="CCEEFF" w:val="clear"/>
            <w:vAlign w:val="bottom"/>
          </w:tcPr>
          <w:p>
            <w:pPr>
              <w:pStyle w:val="TableContents"/>
              <w:bidi w:val="0"/>
              <w:spacing w:before="0" w:after="283"/>
              <w:jc w:val="right"/>
              <w:rPr/>
            </w:pPr>
            <w:r>
              <w:rPr/>
              <w:t>4,212</w:t>
            </w:r>
          </w:p>
        </w:tc>
        <w:tc>
          <w:tcPr>
            <w:tcW w:w="163" w:type="dxa"/>
            <w:tcBorders/>
            <w:shd w:fill="CCEEFF" w:val="clear"/>
            <w:vAlign w:val="bottom"/>
          </w:tcPr>
          <w:p>
            <w:pPr>
              <w:pStyle w:val="TableContents"/>
              <w:bidi w:val="0"/>
              <w:spacing w:before="0" w:after="283"/>
              <w:jc w:val="left"/>
              <w:rPr/>
            </w:pPr>
            <w:r>
              <w:rPr/>
              <w:t> </w:t>
            </w:r>
          </w:p>
        </w:tc>
      </w:tr>
      <w:tr>
        <w:trPr/>
        <w:tc>
          <w:tcPr>
            <w:tcW w:w="4359" w:type="dxa"/>
            <w:tcBorders/>
          </w:tcPr>
          <w:p>
            <w:pPr>
              <w:pStyle w:val="TableContents"/>
              <w:bidi w:val="0"/>
              <w:spacing w:before="0" w:after="0"/>
              <w:jc w:val="left"/>
              <w:rPr>
                <w:rFonts w:ascii="Arial" w:hAnsi="Arial"/>
                <w:sz w:val="20"/>
              </w:rPr>
            </w:pPr>
            <w:r>
              <w:rPr>
                <w:rFonts w:ascii="Arial" w:hAnsi="Arial"/>
                <w:sz w:val="20"/>
              </w:rPr>
              <w:t>Short-term borrowings and current portion of long-term debt</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b/>
              </w:rPr>
            </w:pPr>
            <w:r>
              <w:rPr>
                <w:b/>
              </w:rPr>
              <w:t>(1,658</w:t>
            </w:r>
          </w:p>
        </w:tc>
        <w:tc>
          <w:tcPr>
            <w:tcW w:w="155" w:type="dxa"/>
            <w:tcBorders/>
            <w:vAlign w:val="bottom"/>
          </w:tcPr>
          <w:p>
            <w:pPr>
              <w:pStyle w:val="TableContents"/>
              <w:bidi w:val="0"/>
              <w:spacing w:before="0" w:after="283"/>
              <w:jc w:val="left"/>
              <w:rPr>
                <w:b/>
              </w:rPr>
            </w:pPr>
            <w:r>
              <w:rPr>
                <w:b/>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283"/>
              <w:jc w:val="right"/>
              <w:rPr/>
            </w:pPr>
            <w:r>
              <w:rPr/>
              <w:t>(1,938</w:t>
            </w:r>
          </w:p>
        </w:tc>
        <w:tc>
          <w:tcPr>
            <w:tcW w:w="15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(2,807</w:t>
            </w:r>
          </w:p>
        </w:tc>
        <w:tc>
          <w:tcPr>
            <w:tcW w:w="15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283"/>
              <w:jc w:val="right"/>
              <w:rPr/>
            </w:pPr>
            <w:r>
              <w:rPr/>
              <w:t>(1,894</w:t>
            </w:r>
          </w:p>
        </w:tc>
        <w:tc>
          <w:tcPr>
            <w:tcW w:w="163" w:type="dxa"/>
            <w:tcBorders/>
            <w:vAlign w:val="bottom"/>
          </w:tcPr>
          <w:p>
            <w:pPr>
              <w:pStyle w:val="TableContents"/>
              <w:bidi w:val="0"/>
              <w:spacing w:before="0" w:after="283"/>
              <w:jc w:val="left"/>
              <w:rPr/>
            </w:pPr>
            <w:r>
              <w:rPr/>
              <w:t>) </w:t>
            </w:r>
          </w:p>
        </w:tc>
      </w:tr>
      <w:tr>
        <w:trPr/>
        <w:tc>
          <w:tcPr>
            <w:tcW w:w="4359" w:type="dxa"/>
            <w:tcBorders/>
            <w:shd w:fill="CCEEFF" w:val="clear"/>
          </w:tcPr>
          <w:p>
            <w:pPr>
              <w:pStyle w:val="TableContents"/>
              <w:bidi w:val="0"/>
              <w:spacing w:before="0" w:after="0"/>
              <w:jc w:val="left"/>
              <w:rPr>
                <w:rFonts w:ascii="Arial" w:hAnsi="Arial"/>
                <w:sz w:val="20"/>
              </w:rPr>
            </w:pPr>
            <w:r>
              <w:rPr>
                <w:rFonts w:ascii="Arial" w:hAnsi="Arial"/>
                <w:sz w:val="20"/>
              </w:rPr>
              <w:t>Long-term debt</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b/>
              </w:rPr>
            </w:pPr>
            <w:r>
              <w:rPr>
                <w:b/>
              </w:rPr>
              <w:t>(11,140</w:t>
            </w:r>
          </w:p>
        </w:tc>
        <w:tc>
          <w:tcPr>
            <w:tcW w:w="155" w:type="dxa"/>
            <w:tcBorders/>
            <w:shd w:fill="CCEEFF" w:val="clear"/>
            <w:vAlign w:val="bottom"/>
          </w:tcPr>
          <w:p>
            <w:pPr>
              <w:pStyle w:val="TableContents"/>
              <w:bidi w:val="0"/>
              <w:spacing w:before="0" w:after="283"/>
              <w:jc w:val="left"/>
              <w:rPr>
                <w:b/>
              </w:rPr>
            </w:pPr>
            <w:r>
              <w:rPr>
                <w:b/>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283"/>
              <w:jc w:val="right"/>
              <w:rPr/>
            </w:pPr>
            <w:r>
              <w:rPr/>
              <w:t>(9,670</w:t>
            </w:r>
          </w:p>
        </w:tc>
        <w:tc>
          <w:tcPr>
            <w:tcW w:w="15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(10,891</w:t>
            </w:r>
          </w:p>
        </w:tc>
        <w:tc>
          <w:tcPr>
            <w:tcW w:w="15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283"/>
              <w:jc w:val="right"/>
              <w:rPr/>
            </w:pPr>
            <w:r>
              <w:rPr/>
              <w:t>(9,742</w:t>
            </w:r>
          </w:p>
        </w:tc>
        <w:tc>
          <w:tcPr>
            <w:tcW w:w="163" w:type="dxa"/>
            <w:tcBorders/>
            <w:shd w:fill="CCEEFF" w:val="clear"/>
            <w:vAlign w:val="bottom"/>
          </w:tcPr>
          <w:p>
            <w:pPr>
              <w:pStyle w:val="TableContents"/>
              <w:bidi w:val="0"/>
              <w:spacing w:before="0" w:after="283"/>
              <w:jc w:val="left"/>
              <w:rPr/>
            </w:pPr>
            <w:r>
              <w:rPr/>
              <w:t>) </w:t>
            </w:r>
          </w:p>
        </w:tc>
      </w:tr>
      <w:tr>
        <w:trPr/>
        <w:tc>
          <w:tcPr>
            <w:tcW w:w="4359"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359" w:type="dxa"/>
            <w:tcBorders/>
          </w:tcPr>
          <w:p>
            <w:pPr>
              <w:pStyle w:val="TableContents"/>
              <w:bidi w:val="0"/>
              <w:spacing w:before="0" w:after="0"/>
              <w:jc w:val="left"/>
              <w:rPr>
                <w:rFonts w:ascii="Arial" w:hAnsi="Arial"/>
                <w:sz w:val="20"/>
              </w:rPr>
            </w:pPr>
            <w:r>
              <w:rPr>
                <w:rFonts w:ascii="Arial" w:hAnsi="Arial"/>
                <w:sz w:val="20"/>
              </w:rPr>
              <w:t>Net Debt (1)</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59" w:type="dxa"/>
            <w:tcBorders/>
            <w:vAlign w:val="bottom"/>
          </w:tcPr>
          <w:p>
            <w:pPr>
              <w:pStyle w:val="TableContents"/>
              <w:bidi w:val="0"/>
              <w:spacing w:before="0" w:after="283"/>
              <w:jc w:val="right"/>
              <w:rPr>
                <w:b/>
              </w:rPr>
            </w:pPr>
            <w:r>
              <w:rPr>
                <w:b/>
              </w:rPr>
              <w:t>(8,727</w:t>
            </w:r>
          </w:p>
        </w:tc>
        <w:tc>
          <w:tcPr>
            <w:tcW w:w="155" w:type="dxa"/>
            <w:tcBorders/>
            <w:vAlign w:val="bottom"/>
          </w:tcPr>
          <w:p>
            <w:pPr>
              <w:pStyle w:val="TableContents"/>
              <w:bidi w:val="0"/>
              <w:spacing w:before="0" w:after="283"/>
              <w:jc w:val="left"/>
              <w:rPr>
                <w:b/>
              </w:rPr>
            </w:pPr>
            <w:r>
              <w:rPr>
                <w:b/>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69" w:type="dxa"/>
            <w:tcBorders/>
            <w:vAlign w:val="bottom"/>
          </w:tcPr>
          <w:p>
            <w:pPr>
              <w:pStyle w:val="TableContents"/>
              <w:bidi w:val="0"/>
              <w:spacing w:before="0" w:after="283"/>
              <w:jc w:val="right"/>
              <w:rPr/>
            </w:pPr>
            <w:r>
              <w:rPr/>
              <w:t>(8,221</w:t>
            </w:r>
          </w:p>
        </w:tc>
        <w:tc>
          <w:tcPr>
            <w:tcW w:w="15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(9,951</w:t>
            </w:r>
          </w:p>
        </w:tc>
        <w:tc>
          <w:tcPr>
            <w:tcW w:w="15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69" w:type="dxa"/>
            <w:tcBorders/>
            <w:vAlign w:val="bottom"/>
          </w:tcPr>
          <w:p>
            <w:pPr>
              <w:pStyle w:val="TableContents"/>
              <w:bidi w:val="0"/>
              <w:spacing w:before="0" w:after="283"/>
              <w:jc w:val="right"/>
              <w:rPr/>
            </w:pPr>
            <w:r>
              <w:rPr/>
              <w:t>(7,424</w:t>
            </w:r>
          </w:p>
        </w:tc>
        <w:tc>
          <w:tcPr>
            <w:tcW w:w="163" w:type="dxa"/>
            <w:tcBorders/>
            <w:vAlign w:val="bottom"/>
          </w:tcPr>
          <w:p>
            <w:pPr>
              <w:pStyle w:val="TableContents"/>
              <w:bidi w:val="0"/>
              <w:spacing w:before="0" w:after="283"/>
              <w:jc w:val="left"/>
              <w:rPr/>
            </w:pPr>
            <w:r>
              <w:rPr/>
              <w:t>) </w:t>
            </w:r>
          </w:p>
        </w:tc>
      </w:tr>
      <w:tr>
        <w:trPr/>
        <w:tc>
          <w:tcPr>
            <w:tcW w:w="4359"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69"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Details of changes in liquidity follow: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34"/>
        <w:gridCol w:w="285"/>
        <w:gridCol w:w="144"/>
        <w:gridCol w:w="703"/>
        <w:gridCol w:w="155"/>
        <w:gridCol w:w="237"/>
        <w:gridCol w:w="152"/>
        <w:gridCol w:w="732"/>
        <w:gridCol w:w="155"/>
        <w:gridCol w:w="237"/>
        <w:gridCol w:w="140"/>
        <w:gridCol w:w="638"/>
        <w:gridCol w:w="160"/>
      </w:tblGrid>
      <w:tr>
        <w:trPr/>
        <w:tc>
          <w:tcPr>
            <w:tcW w:w="4834"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34" w:type="dxa"/>
            <w:tcBorders/>
            <w:vAlign w:val="bottom"/>
          </w:tcPr>
          <w:p>
            <w:pPr>
              <w:pStyle w:val="TableContents"/>
              <w:pBdr>
                <w:bottom w:val="single" w:sz="8" w:space="1" w:color="000000"/>
              </w:pBdr>
              <w:bidi w:val="0"/>
              <w:spacing w:before="0" w:after="0"/>
              <w:jc w:val="left"/>
              <w:rPr>
                <w:rFonts w:ascii="Arial" w:hAnsi="Arial"/>
                <w:sz w:val="16"/>
              </w:rPr>
            </w:pPr>
            <w:r>
              <w:rPr>
                <w:rFonts w:ascii="Arial" w:hAnsi="Arial"/>
                <w:sz w:val="16"/>
              </w:rPr>
              <w:t>Periods Ended June 30,</w:t>
            </w:r>
          </w:p>
        </w:tc>
        <w:tc>
          <w:tcPr>
            <w:tcW w:w="285" w:type="dxa"/>
            <w:tcBorders/>
            <w:vAlign w:val="bottom"/>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w:t>
              <w:br/>
              <w:t>Months</w:t>
              <w:br/>
              <w:t>2026</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8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Second</w:t>
              <w:br/>
              <w:t>Quarter</w:t>
              <w:br/>
              <w:t>2026</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778" w:type="dxa"/>
            <w:gridSpan w:val="2"/>
            <w:tcBorders>
              <w:bottom w:val="single" w:sz="8" w:space="0" w:color="000000"/>
            </w:tcBorders>
            <w:tcMar>
              <w:bottom w:w="28" w:type="dxa"/>
            </w:tcMar>
            <w:vAlign w:val="bottom"/>
          </w:tcPr>
          <w:p>
            <w:pPr>
              <w:pStyle w:val="TableContents"/>
              <w:bidi w:val="0"/>
              <w:spacing w:before="0" w:after="283"/>
              <w:jc w:val="center"/>
              <w:rPr/>
            </w:pPr>
            <w:r>
              <w:rPr/>
              <w:t>Six</w:t>
              <w:br/>
              <w:t>Months</w:t>
              <w:br/>
              <w:t>2025</w:t>
            </w:r>
          </w:p>
        </w:tc>
        <w:tc>
          <w:tcPr>
            <w:tcW w:w="160" w:type="dxa"/>
            <w:tcBorders/>
            <w:vAlign w:val="bottom"/>
          </w:tcPr>
          <w:p>
            <w:pPr>
              <w:pStyle w:val="TableContents"/>
              <w:bidi w:val="0"/>
              <w:spacing w:before="0" w:after="283"/>
              <w:jc w:val="left"/>
              <w:rPr/>
            </w:pPr>
            <w:r>
              <w:rPr/>
              <w:t> </w:t>
            </w:r>
          </w:p>
        </w:tc>
      </w:tr>
      <w:tr>
        <w:trPr/>
        <w:tc>
          <w:tcPr>
            <w:tcW w:w="4834" w:type="dxa"/>
            <w:tcBorders/>
            <w:shd w:fill="CCEEFF" w:val="clear"/>
            <w:vAlign w:val="bottom"/>
          </w:tcPr>
          <w:p>
            <w:pPr>
              <w:pStyle w:val="TableContents"/>
              <w:bidi w:val="0"/>
              <w:spacing w:before="0" w:after="0"/>
              <w:jc w:val="left"/>
              <w:rPr>
                <w:rFonts w:ascii="Arial" w:hAnsi="Arial"/>
                <w:sz w:val="20"/>
              </w:rPr>
            </w:pPr>
            <w:r>
              <w:rPr>
                <w:rFonts w:ascii="Arial" w:hAnsi="Arial"/>
                <w:sz w:val="20"/>
              </w:rPr>
              <w:t>Net income</w:t>
            </w:r>
          </w:p>
        </w:tc>
        <w:tc>
          <w:tcPr>
            <w:tcW w:w="2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b/>
              </w:rPr>
            </w:pPr>
            <w:r>
              <w:rPr>
                <w:b/>
              </w:rPr>
              <w:t>$</w:t>
            </w:r>
          </w:p>
        </w:tc>
        <w:tc>
          <w:tcPr>
            <w:tcW w:w="703" w:type="dxa"/>
            <w:tcBorders/>
            <w:shd w:fill="CCEEFF" w:val="clear"/>
            <w:vAlign w:val="bottom"/>
          </w:tcPr>
          <w:p>
            <w:pPr>
              <w:pStyle w:val="TableContents"/>
              <w:bidi w:val="0"/>
              <w:spacing w:before="0" w:after="283"/>
              <w:jc w:val="right"/>
              <w:rPr>
                <w:b/>
              </w:rPr>
            </w:pPr>
            <w:r>
              <w:rPr>
                <w:b/>
              </w:rPr>
              <w:t>1,576</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b/>
              </w:rPr>
            </w:pPr>
            <w:r>
              <w:rPr>
                <w:b/>
              </w:rPr>
              <w:t>$</w:t>
            </w:r>
          </w:p>
        </w:tc>
        <w:tc>
          <w:tcPr>
            <w:tcW w:w="732" w:type="dxa"/>
            <w:tcBorders/>
            <w:shd w:fill="CCEEFF" w:val="clear"/>
            <w:vAlign w:val="bottom"/>
          </w:tcPr>
          <w:p>
            <w:pPr>
              <w:pStyle w:val="TableContents"/>
              <w:bidi w:val="0"/>
              <w:spacing w:before="0" w:after="283"/>
              <w:jc w:val="right"/>
              <w:rPr>
                <w:b/>
              </w:rPr>
            </w:pPr>
            <w:r>
              <w:rPr>
                <w:b/>
              </w:rPr>
              <w:t>815</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8" w:type="dxa"/>
            <w:tcBorders/>
            <w:shd w:fill="CCEEFF" w:val="clear"/>
            <w:vAlign w:val="bottom"/>
          </w:tcPr>
          <w:p>
            <w:pPr>
              <w:pStyle w:val="TableContents"/>
              <w:bidi w:val="0"/>
              <w:spacing w:before="0" w:after="283"/>
              <w:jc w:val="right"/>
              <w:rPr/>
            </w:pPr>
            <w:r>
              <w:rPr/>
              <w:t>1,877</w:t>
            </w:r>
          </w:p>
        </w:tc>
        <w:tc>
          <w:tcPr>
            <w:tcW w:w="160" w:type="dxa"/>
            <w:tcBorders/>
            <w:shd w:fill="CCEEFF" w:val="clear"/>
            <w:vAlign w:val="bottom"/>
          </w:tcPr>
          <w:p>
            <w:pPr>
              <w:pStyle w:val="TableContents"/>
              <w:bidi w:val="0"/>
              <w:spacing w:before="0" w:after="283"/>
              <w:jc w:val="left"/>
              <w:rPr/>
            </w:pPr>
            <w:r>
              <w:rPr/>
              <w:t> </w:t>
            </w:r>
          </w:p>
        </w:tc>
      </w:tr>
      <w:tr>
        <w:trPr/>
        <w:tc>
          <w:tcPr>
            <w:tcW w:w="4834" w:type="dxa"/>
            <w:tcBorders/>
            <w:vAlign w:val="bottom"/>
          </w:tcPr>
          <w:p>
            <w:pPr>
              <w:pStyle w:val="TableContents"/>
              <w:bidi w:val="0"/>
              <w:spacing w:before="0" w:after="0"/>
              <w:jc w:val="left"/>
              <w:rPr>
                <w:rFonts w:ascii="Arial" w:hAnsi="Arial"/>
                <w:sz w:val="20"/>
              </w:rPr>
            </w:pPr>
            <w:r>
              <w:rPr>
                <w:rFonts w:ascii="Arial" w:hAnsi="Arial"/>
                <w:sz w:val="20"/>
              </w:rPr>
              <w:t>Gain on sale of APS project</w:t>
            </w:r>
          </w:p>
        </w:tc>
        <w:tc>
          <w:tcPr>
            <w:tcW w:w="2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(149</w:t>
            </w:r>
          </w:p>
        </w:tc>
        <w:tc>
          <w:tcPr>
            <w:tcW w:w="160" w:type="dxa"/>
            <w:tcBorders/>
            <w:vAlign w:val="bottom"/>
          </w:tcPr>
          <w:p>
            <w:pPr>
              <w:pStyle w:val="TableContents"/>
              <w:bidi w:val="0"/>
              <w:spacing w:before="0" w:after="283"/>
              <w:jc w:val="left"/>
              <w:rPr/>
            </w:pPr>
            <w:r>
              <w:rPr/>
              <w:t>) </w:t>
            </w:r>
          </w:p>
        </w:tc>
      </w:tr>
      <w:tr>
        <w:trPr/>
        <w:tc>
          <w:tcPr>
            <w:tcW w:w="4834" w:type="dxa"/>
            <w:tcBorders/>
            <w:shd w:fill="CCEEFF" w:val="clear"/>
            <w:vAlign w:val="bottom"/>
          </w:tcPr>
          <w:p>
            <w:pPr>
              <w:pStyle w:val="TableContents"/>
              <w:bidi w:val="0"/>
              <w:spacing w:before="0" w:after="0"/>
              <w:jc w:val="left"/>
              <w:rPr>
                <w:rFonts w:ascii="Arial" w:hAnsi="Arial"/>
                <w:sz w:val="20"/>
              </w:rPr>
            </w:pPr>
            <w:r>
              <w:rPr>
                <w:rFonts w:ascii="Arial" w:hAnsi="Arial"/>
                <w:sz w:val="20"/>
              </w:rPr>
              <w:t>Impairment of equity method investment</w:t>
            </w:r>
          </w:p>
        </w:tc>
        <w:tc>
          <w:tcPr>
            <w:tcW w:w="2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69</w:t>
            </w:r>
          </w:p>
        </w:tc>
        <w:tc>
          <w:tcPr>
            <w:tcW w:w="160" w:type="dxa"/>
            <w:tcBorders/>
            <w:shd w:fill="CCEEFF" w:val="clear"/>
            <w:vAlign w:val="bottom"/>
          </w:tcPr>
          <w:p>
            <w:pPr>
              <w:pStyle w:val="TableContents"/>
              <w:bidi w:val="0"/>
              <w:spacing w:before="0" w:after="283"/>
              <w:jc w:val="left"/>
              <w:rPr/>
            </w:pPr>
            <w:r>
              <w:rPr/>
              <w:t> </w:t>
            </w:r>
          </w:p>
        </w:tc>
      </w:tr>
      <w:tr>
        <w:trPr/>
        <w:tc>
          <w:tcPr>
            <w:tcW w:w="4834" w:type="dxa"/>
            <w:tcBorders/>
            <w:vAlign w:val="bottom"/>
          </w:tcPr>
          <w:p>
            <w:pPr>
              <w:pStyle w:val="TableContents"/>
              <w:bidi w:val="0"/>
              <w:spacing w:before="0" w:after="0"/>
              <w:jc w:val="left"/>
              <w:rPr>
                <w:rFonts w:ascii="Arial" w:hAnsi="Arial"/>
                <w:sz w:val="20"/>
              </w:rPr>
            </w:pPr>
            <w:r>
              <w:rPr>
                <w:rFonts w:ascii="Arial" w:hAnsi="Arial"/>
                <w:sz w:val="20"/>
              </w:rPr>
              <w:t>Depreciation and amortization (3)</w:t>
            </w:r>
          </w:p>
        </w:tc>
        <w:tc>
          <w:tcPr>
            <w:tcW w:w="2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b/>
              </w:rPr>
            </w:pPr>
            <w:r>
              <w:rPr>
                <w:b/>
              </w:rPr>
              <w:t>1,397</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712</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1,273</w:t>
            </w:r>
          </w:p>
        </w:tc>
        <w:tc>
          <w:tcPr>
            <w:tcW w:w="160" w:type="dxa"/>
            <w:tcBorders/>
            <w:vAlign w:val="bottom"/>
          </w:tcPr>
          <w:p>
            <w:pPr>
              <w:pStyle w:val="TableContents"/>
              <w:bidi w:val="0"/>
              <w:spacing w:before="0" w:after="283"/>
              <w:jc w:val="left"/>
              <w:rPr/>
            </w:pPr>
            <w:r>
              <w:rPr/>
              <w:t> </w:t>
            </w:r>
          </w:p>
        </w:tc>
      </w:tr>
      <w:tr>
        <w:trPr/>
        <w:tc>
          <w:tcPr>
            <w:tcW w:w="4834" w:type="dxa"/>
            <w:tcBorders/>
            <w:shd w:fill="CCEEFF" w:val="clear"/>
            <w:vAlign w:val="bottom"/>
          </w:tcPr>
          <w:p>
            <w:pPr>
              <w:pStyle w:val="TableContents"/>
              <w:bidi w:val="0"/>
              <w:spacing w:before="0" w:after="0"/>
              <w:jc w:val="left"/>
              <w:rPr>
                <w:rFonts w:ascii="Arial" w:hAnsi="Arial"/>
                <w:sz w:val="20"/>
              </w:rPr>
            </w:pPr>
            <w:r>
              <w:rPr>
                <w:rFonts w:ascii="Arial" w:hAnsi="Arial"/>
                <w:sz w:val="20"/>
              </w:rPr>
              <w:t>Stock-based compensation expense</w:t>
            </w:r>
          </w:p>
        </w:tc>
        <w:tc>
          <w:tcPr>
            <w:tcW w:w="2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b/>
              </w:rPr>
            </w:pPr>
            <w:r>
              <w:rPr>
                <w:b/>
              </w:rPr>
              <w:t>179</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78</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168</w:t>
            </w:r>
          </w:p>
        </w:tc>
        <w:tc>
          <w:tcPr>
            <w:tcW w:w="160" w:type="dxa"/>
            <w:tcBorders/>
            <w:shd w:fill="CCEEFF" w:val="clear"/>
            <w:vAlign w:val="bottom"/>
          </w:tcPr>
          <w:p>
            <w:pPr>
              <w:pStyle w:val="TableContents"/>
              <w:bidi w:val="0"/>
              <w:spacing w:before="0" w:after="283"/>
              <w:jc w:val="left"/>
              <w:rPr/>
            </w:pPr>
            <w:r>
              <w:rPr/>
              <w:t> </w:t>
            </w:r>
          </w:p>
        </w:tc>
      </w:tr>
      <w:tr>
        <w:trPr/>
        <w:tc>
          <w:tcPr>
            <w:tcW w:w="4834" w:type="dxa"/>
            <w:tcBorders/>
            <w:vAlign w:val="bottom"/>
          </w:tcPr>
          <w:p>
            <w:pPr>
              <w:pStyle w:val="TableContents"/>
              <w:bidi w:val="0"/>
              <w:spacing w:before="0" w:after="0"/>
              <w:jc w:val="left"/>
              <w:rPr>
                <w:rFonts w:ascii="Arial" w:hAnsi="Arial"/>
                <w:sz w:val="20"/>
              </w:rPr>
            </w:pPr>
            <w:r>
              <w:rPr>
                <w:rFonts w:ascii="Arial" w:hAnsi="Arial"/>
                <w:sz w:val="20"/>
              </w:rPr>
              <w:t>Change in working capital</w:t>
            </w:r>
          </w:p>
        </w:tc>
        <w:tc>
          <w:tcPr>
            <w:tcW w:w="2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b/>
              </w:rPr>
            </w:pPr>
            <w:r>
              <w:rPr>
                <w:b/>
              </w:rPr>
              <w:t>(1,344</w:t>
            </w:r>
          </w:p>
        </w:tc>
        <w:tc>
          <w:tcPr>
            <w:tcW w:w="155" w:type="dxa"/>
            <w:tcBorders/>
            <w:vAlign w:val="bottom"/>
          </w:tcPr>
          <w:p>
            <w:pPr>
              <w:pStyle w:val="TableContents"/>
              <w:bidi w:val="0"/>
              <w:spacing w:before="0" w:after="283"/>
              <w:jc w:val="left"/>
              <w:rPr>
                <w:b/>
              </w:rPr>
            </w:pPr>
            <w:r>
              <w:rPr>
                <w:b/>
              </w:rPr>
              <w:t>) </w:t>
            </w:r>
          </w:p>
        </w:tc>
        <w:tc>
          <w:tcPr>
            <w:tcW w:w="23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(242</w:t>
            </w:r>
          </w:p>
        </w:tc>
        <w:tc>
          <w:tcPr>
            <w:tcW w:w="155" w:type="dxa"/>
            <w:tcBorders/>
            <w:vAlign w:val="bottom"/>
          </w:tcPr>
          <w:p>
            <w:pPr>
              <w:pStyle w:val="TableContents"/>
              <w:bidi w:val="0"/>
              <w:spacing w:before="0" w:after="283"/>
              <w:jc w:val="left"/>
              <w:rPr>
                <w:b/>
              </w:rPr>
            </w:pPr>
            <w:r>
              <w:rPr>
                <w:b/>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(1,401</w:t>
            </w:r>
          </w:p>
        </w:tc>
        <w:tc>
          <w:tcPr>
            <w:tcW w:w="160" w:type="dxa"/>
            <w:tcBorders/>
            <w:vAlign w:val="bottom"/>
          </w:tcPr>
          <w:p>
            <w:pPr>
              <w:pStyle w:val="TableContents"/>
              <w:bidi w:val="0"/>
              <w:spacing w:before="0" w:after="283"/>
              <w:jc w:val="left"/>
              <w:rPr/>
            </w:pPr>
            <w:r>
              <w:rPr/>
              <w:t>) </w:t>
            </w:r>
          </w:p>
        </w:tc>
      </w:tr>
      <w:tr>
        <w:trPr/>
        <w:tc>
          <w:tcPr>
            <w:tcW w:w="4834" w:type="dxa"/>
            <w:tcBorders/>
            <w:shd w:fill="CCEEFF" w:val="clear"/>
            <w:vAlign w:val="bottom"/>
          </w:tcPr>
          <w:p>
            <w:pPr>
              <w:pStyle w:val="TableContents"/>
              <w:bidi w:val="0"/>
              <w:spacing w:before="0" w:after="0"/>
              <w:jc w:val="left"/>
              <w:rPr>
                <w:rFonts w:ascii="Arial" w:hAnsi="Arial"/>
                <w:sz w:val="20"/>
              </w:rPr>
            </w:pPr>
            <w:r>
              <w:rPr>
                <w:rFonts w:ascii="Arial" w:hAnsi="Arial"/>
                <w:sz w:val="20"/>
              </w:rPr>
              <w:t>Other</w:t>
            </w:r>
          </w:p>
        </w:tc>
        <w:tc>
          <w:tcPr>
            <w:tcW w:w="2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b/>
              </w:rPr>
            </w:pPr>
            <w:r>
              <w:rPr>
                <w:b/>
              </w:rPr>
              <w:t>38</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(4</w:t>
            </w:r>
          </w:p>
        </w:tc>
        <w:tc>
          <w:tcPr>
            <w:tcW w:w="155" w:type="dxa"/>
            <w:tcBorders/>
            <w:shd w:fill="CCEEFF" w:val="clear"/>
            <w:vAlign w:val="bottom"/>
          </w:tcPr>
          <w:p>
            <w:pPr>
              <w:pStyle w:val="TableContents"/>
              <w:bidi w:val="0"/>
              <w:spacing w:before="0" w:after="283"/>
              <w:jc w:val="left"/>
              <w:rPr>
                <w:b/>
              </w:rPr>
            </w:pPr>
            <w:r>
              <w:rPr>
                <w:b/>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(35</w:t>
            </w:r>
          </w:p>
        </w:tc>
        <w:tc>
          <w:tcPr>
            <w:tcW w:w="160" w:type="dxa"/>
            <w:tcBorders/>
            <w:shd w:fill="CCEEFF" w:val="clear"/>
            <w:vAlign w:val="bottom"/>
          </w:tcPr>
          <w:p>
            <w:pPr>
              <w:pStyle w:val="TableContents"/>
              <w:bidi w:val="0"/>
              <w:spacing w:before="0" w:after="283"/>
              <w:jc w:val="left"/>
              <w:rPr/>
            </w:pPr>
            <w:r>
              <w:rPr/>
              <w:t>) </w:t>
            </w:r>
          </w:p>
        </w:tc>
      </w:tr>
      <w:tr>
        <w:trPr/>
        <w:tc>
          <w:tcPr>
            <w:tcW w:w="4834"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34" w:type="dxa"/>
            <w:tcBorders/>
            <w:vAlign w:val="bottom"/>
          </w:tcPr>
          <w:p>
            <w:pPr>
              <w:pStyle w:val="TableContents"/>
              <w:bidi w:val="0"/>
              <w:spacing w:before="0" w:after="0"/>
              <w:jc w:val="left"/>
              <w:rPr>
                <w:rFonts w:ascii="Arial" w:hAnsi="Arial"/>
                <w:b/>
                <w:sz w:val="20"/>
              </w:rPr>
            </w:pPr>
            <w:r>
              <w:rPr>
                <w:rFonts w:ascii="Arial" w:hAnsi="Arial"/>
                <w:b/>
                <w:sz w:val="20"/>
              </w:rPr>
              <w:t xml:space="preserve">Cash flow from operations </w:t>
            </w:r>
          </w:p>
        </w:tc>
        <w:tc>
          <w:tcPr>
            <w:tcW w:w="2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b/>
              </w:rPr>
            </w:pPr>
            <w:r>
              <w:rPr>
                <w:b/>
              </w:rPr>
              <w:t>$</w:t>
            </w:r>
          </w:p>
        </w:tc>
        <w:tc>
          <w:tcPr>
            <w:tcW w:w="703" w:type="dxa"/>
            <w:tcBorders/>
            <w:vAlign w:val="bottom"/>
          </w:tcPr>
          <w:p>
            <w:pPr>
              <w:pStyle w:val="TableContents"/>
              <w:bidi w:val="0"/>
              <w:spacing w:before="0" w:after="283"/>
              <w:jc w:val="right"/>
              <w:rPr>
                <w:b/>
              </w:rPr>
            </w:pPr>
            <w:r>
              <w:rPr>
                <w:b/>
              </w:rPr>
              <w:t>1,846</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b/>
              </w:rPr>
            </w:pPr>
            <w:r>
              <w:rPr>
                <w:b/>
              </w:rPr>
              <w:t>$</w:t>
            </w:r>
          </w:p>
        </w:tc>
        <w:tc>
          <w:tcPr>
            <w:tcW w:w="732" w:type="dxa"/>
            <w:tcBorders/>
            <w:vAlign w:val="bottom"/>
          </w:tcPr>
          <w:p>
            <w:pPr>
              <w:pStyle w:val="TableContents"/>
              <w:bidi w:val="0"/>
              <w:spacing w:before="0" w:after="283"/>
              <w:jc w:val="right"/>
              <w:rPr>
                <w:b/>
              </w:rPr>
            </w:pPr>
            <w:r>
              <w:rPr>
                <w:b/>
              </w:rPr>
              <w:t>1,359</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8" w:type="dxa"/>
            <w:tcBorders/>
            <w:vAlign w:val="bottom"/>
          </w:tcPr>
          <w:p>
            <w:pPr>
              <w:pStyle w:val="TableContents"/>
              <w:bidi w:val="0"/>
              <w:spacing w:before="0" w:after="283"/>
              <w:jc w:val="right"/>
              <w:rPr/>
            </w:pPr>
            <w:r>
              <w:rPr/>
              <w:t>1,802</w:t>
            </w:r>
          </w:p>
        </w:tc>
        <w:tc>
          <w:tcPr>
            <w:tcW w:w="160" w:type="dxa"/>
            <w:tcBorders/>
            <w:vAlign w:val="bottom"/>
          </w:tcPr>
          <w:p>
            <w:pPr>
              <w:pStyle w:val="TableContents"/>
              <w:bidi w:val="0"/>
              <w:spacing w:before="0" w:after="283"/>
              <w:jc w:val="left"/>
              <w:rPr/>
            </w:pPr>
            <w:r>
              <w:rPr/>
              <w:t> </w:t>
            </w:r>
          </w:p>
        </w:tc>
      </w:tr>
      <w:tr>
        <w:trPr/>
        <w:tc>
          <w:tcPr>
            <w:tcW w:w="4834"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34" w:type="dxa"/>
            <w:tcBorders/>
            <w:shd w:fill="CCEEFF" w:val="clear"/>
            <w:vAlign w:val="bottom"/>
          </w:tcPr>
          <w:p>
            <w:pPr>
              <w:pStyle w:val="TableContents"/>
              <w:bidi w:val="0"/>
              <w:spacing w:before="0" w:after="0"/>
              <w:jc w:val="left"/>
              <w:rPr>
                <w:rFonts w:ascii="Arial" w:hAnsi="Arial"/>
                <w:sz w:val="20"/>
              </w:rPr>
            </w:pPr>
            <w:r>
              <w:rPr>
                <w:rFonts w:ascii="Arial" w:hAnsi="Arial"/>
                <w:sz w:val="20"/>
              </w:rPr>
              <w:t>Capital expenditures</w:t>
            </w:r>
          </w:p>
        </w:tc>
        <w:tc>
          <w:tcPr>
            <w:tcW w:w="2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b/>
              </w:rPr>
            </w:pPr>
            <w:r>
              <w:rPr>
                <w:b/>
              </w:rPr>
              <w:t>(802</w:t>
            </w:r>
          </w:p>
        </w:tc>
        <w:tc>
          <w:tcPr>
            <w:tcW w:w="155" w:type="dxa"/>
            <w:tcBorders/>
            <w:shd w:fill="CCEEFF" w:val="clear"/>
            <w:vAlign w:val="bottom"/>
          </w:tcPr>
          <w:p>
            <w:pPr>
              <w:pStyle w:val="TableContents"/>
              <w:bidi w:val="0"/>
              <w:spacing w:before="0" w:after="283"/>
              <w:jc w:val="left"/>
              <w:rPr>
                <w:b/>
              </w:rPr>
            </w:pPr>
            <w:r>
              <w:rPr>
                <w:b/>
              </w:rPr>
              <w:t>) </w:t>
            </w:r>
          </w:p>
        </w:tc>
        <w:tc>
          <w:tcPr>
            <w:tcW w:w="23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(459</w:t>
            </w:r>
          </w:p>
        </w:tc>
        <w:tc>
          <w:tcPr>
            <w:tcW w:w="155" w:type="dxa"/>
            <w:tcBorders/>
            <w:shd w:fill="CCEEFF" w:val="clear"/>
            <w:vAlign w:val="bottom"/>
          </w:tcPr>
          <w:p>
            <w:pPr>
              <w:pStyle w:val="TableContents"/>
              <w:bidi w:val="0"/>
              <w:spacing w:before="0" w:after="283"/>
              <w:jc w:val="left"/>
              <w:rPr>
                <w:b/>
              </w:rPr>
            </w:pPr>
            <w:r>
              <w:rPr>
                <w:b/>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(769</w:t>
            </w:r>
          </w:p>
        </w:tc>
        <w:tc>
          <w:tcPr>
            <w:tcW w:w="160" w:type="dxa"/>
            <w:tcBorders/>
            <w:shd w:fill="CCEEFF" w:val="clear"/>
            <w:vAlign w:val="bottom"/>
          </w:tcPr>
          <w:p>
            <w:pPr>
              <w:pStyle w:val="TableContents"/>
              <w:bidi w:val="0"/>
              <w:spacing w:before="0" w:after="283"/>
              <w:jc w:val="left"/>
              <w:rPr/>
            </w:pPr>
            <w:r>
              <w:rPr/>
              <w:t>) </w:t>
            </w:r>
          </w:p>
        </w:tc>
      </w:tr>
      <w:tr>
        <w:trPr/>
        <w:tc>
          <w:tcPr>
            <w:tcW w:w="4834" w:type="dxa"/>
            <w:tcBorders/>
            <w:vAlign w:val="bottom"/>
          </w:tcPr>
          <w:p>
            <w:pPr>
              <w:pStyle w:val="TableContents"/>
              <w:bidi w:val="0"/>
              <w:spacing w:before="0" w:after="0"/>
              <w:jc w:val="left"/>
              <w:rPr>
                <w:rFonts w:ascii="Arial" w:hAnsi="Arial"/>
                <w:sz w:val="20"/>
              </w:rPr>
            </w:pPr>
            <w:r>
              <w:rPr>
                <w:rFonts w:ascii="Arial" w:hAnsi="Arial"/>
                <w:sz w:val="20"/>
              </w:rPr>
              <w:t>APS investments</w:t>
            </w:r>
          </w:p>
        </w:tc>
        <w:tc>
          <w:tcPr>
            <w:tcW w:w="2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b/>
              </w:rPr>
            </w:pPr>
            <w:r>
              <w:rPr>
                <w:b/>
              </w:rPr>
              <w:t>(226</w:t>
            </w:r>
          </w:p>
        </w:tc>
        <w:tc>
          <w:tcPr>
            <w:tcW w:w="155" w:type="dxa"/>
            <w:tcBorders/>
            <w:vAlign w:val="bottom"/>
          </w:tcPr>
          <w:p>
            <w:pPr>
              <w:pStyle w:val="TableContents"/>
              <w:bidi w:val="0"/>
              <w:spacing w:before="0" w:after="283"/>
              <w:jc w:val="left"/>
              <w:rPr>
                <w:b/>
              </w:rPr>
            </w:pPr>
            <w:r>
              <w:rPr>
                <w:b/>
              </w:rPr>
              <w:t>) </w:t>
            </w:r>
          </w:p>
        </w:tc>
        <w:tc>
          <w:tcPr>
            <w:tcW w:w="23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(123</w:t>
            </w:r>
          </w:p>
        </w:tc>
        <w:tc>
          <w:tcPr>
            <w:tcW w:w="155" w:type="dxa"/>
            <w:tcBorders/>
            <w:vAlign w:val="bottom"/>
          </w:tcPr>
          <w:p>
            <w:pPr>
              <w:pStyle w:val="TableContents"/>
              <w:bidi w:val="0"/>
              <w:spacing w:before="0" w:after="283"/>
              <w:jc w:val="left"/>
              <w:rPr>
                <w:b/>
              </w:rPr>
            </w:pPr>
            <w:r>
              <w:rPr>
                <w:b/>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(225</w:t>
            </w:r>
          </w:p>
        </w:tc>
        <w:tc>
          <w:tcPr>
            <w:tcW w:w="160" w:type="dxa"/>
            <w:tcBorders/>
            <w:vAlign w:val="bottom"/>
          </w:tcPr>
          <w:p>
            <w:pPr>
              <w:pStyle w:val="TableContents"/>
              <w:bidi w:val="0"/>
              <w:spacing w:before="0" w:after="283"/>
              <w:jc w:val="left"/>
              <w:rPr/>
            </w:pPr>
            <w:r>
              <w:rPr/>
              <w:t>) </w:t>
            </w:r>
          </w:p>
        </w:tc>
      </w:tr>
      <w:tr>
        <w:trPr/>
        <w:tc>
          <w:tcPr>
            <w:tcW w:w="4834" w:type="dxa"/>
            <w:tcBorders/>
            <w:shd w:fill="CCEEFF" w:val="clear"/>
            <w:vAlign w:val="bottom"/>
          </w:tcPr>
          <w:p>
            <w:pPr>
              <w:pStyle w:val="TableContents"/>
              <w:bidi w:val="0"/>
              <w:spacing w:before="0" w:after="0"/>
              <w:jc w:val="left"/>
              <w:rPr>
                <w:rFonts w:ascii="Arial" w:hAnsi="Arial"/>
                <w:sz w:val="20"/>
              </w:rPr>
            </w:pPr>
            <w:r>
              <w:rPr>
                <w:rFonts w:ascii="Arial" w:hAnsi="Arial"/>
                <w:sz w:val="20"/>
              </w:rPr>
              <w:t>Exploration data capitalized</w:t>
            </w:r>
          </w:p>
        </w:tc>
        <w:tc>
          <w:tcPr>
            <w:tcW w:w="2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b/>
              </w:rPr>
            </w:pPr>
            <w:r>
              <w:rPr>
                <w:b/>
              </w:rPr>
              <w:t>(125</w:t>
            </w:r>
          </w:p>
        </w:tc>
        <w:tc>
          <w:tcPr>
            <w:tcW w:w="155" w:type="dxa"/>
            <w:tcBorders/>
            <w:shd w:fill="CCEEFF" w:val="clear"/>
            <w:vAlign w:val="bottom"/>
          </w:tcPr>
          <w:p>
            <w:pPr>
              <w:pStyle w:val="TableContents"/>
              <w:bidi w:val="0"/>
              <w:spacing w:before="0" w:after="283"/>
              <w:jc w:val="left"/>
              <w:rPr>
                <w:b/>
              </w:rPr>
            </w:pPr>
            <w:r>
              <w:rPr>
                <w:b/>
              </w:rPr>
              <w:t>) </w:t>
            </w:r>
          </w:p>
        </w:tc>
        <w:tc>
          <w:tcPr>
            <w:tcW w:w="23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(61</w:t>
            </w:r>
          </w:p>
        </w:tc>
        <w:tc>
          <w:tcPr>
            <w:tcW w:w="155" w:type="dxa"/>
            <w:tcBorders/>
            <w:shd w:fill="CCEEFF" w:val="clear"/>
            <w:vAlign w:val="bottom"/>
          </w:tcPr>
          <w:p>
            <w:pPr>
              <w:pStyle w:val="TableContents"/>
              <w:bidi w:val="0"/>
              <w:spacing w:before="0" w:after="283"/>
              <w:jc w:val="left"/>
              <w:rPr>
                <w:b/>
              </w:rPr>
            </w:pPr>
            <w:r>
              <w:rPr>
                <w:b/>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(83</w:t>
            </w:r>
          </w:p>
        </w:tc>
        <w:tc>
          <w:tcPr>
            <w:tcW w:w="160" w:type="dxa"/>
            <w:tcBorders/>
            <w:shd w:fill="CCEEFF" w:val="clear"/>
            <w:vAlign w:val="bottom"/>
          </w:tcPr>
          <w:p>
            <w:pPr>
              <w:pStyle w:val="TableContents"/>
              <w:bidi w:val="0"/>
              <w:spacing w:before="0" w:after="283"/>
              <w:jc w:val="left"/>
              <w:rPr/>
            </w:pPr>
            <w:r>
              <w:rPr/>
              <w:t>) </w:t>
            </w:r>
          </w:p>
        </w:tc>
      </w:tr>
      <w:tr>
        <w:trPr/>
        <w:tc>
          <w:tcPr>
            <w:tcW w:w="4834"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34" w:type="dxa"/>
            <w:tcBorders/>
            <w:vAlign w:val="bottom"/>
          </w:tcPr>
          <w:p>
            <w:pPr>
              <w:pStyle w:val="TableContents"/>
              <w:bidi w:val="0"/>
              <w:spacing w:before="0" w:after="0"/>
              <w:jc w:val="left"/>
              <w:rPr>
                <w:rFonts w:ascii="Arial" w:hAnsi="Arial"/>
                <w:sz w:val="20"/>
              </w:rPr>
            </w:pPr>
            <w:r>
              <w:rPr>
                <w:rFonts w:ascii="Arial" w:hAnsi="Arial"/>
                <w:b/>
                <w:sz w:val="20"/>
              </w:rPr>
              <w:t xml:space="preserve">Free cash flow </w:t>
            </w:r>
            <w:r>
              <w:rPr>
                <w:rFonts w:ascii="Arial" w:hAnsi="Arial"/>
                <w:sz w:val="20"/>
              </w:rPr>
              <w:t>(3)</w:t>
            </w:r>
          </w:p>
        </w:tc>
        <w:tc>
          <w:tcPr>
            <w:tcW w:w="2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b/>
              </w:rPr>
            </w:pPr>
            <w:r>
              <w:rPr>
                <w:b/>
              </w:rPr>
              <w:t>693</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716</w:t>
            </w:r>
          </w:p>
        </w:tc>
        <w:tc>
          <w:tcPr>
            <w:tcW w:w="155"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725</w:t>
            </w:r>
          </w:p>
        </w:tc>
        <w:tc>
          <w:tcPr>
            <w:tcW w:w="160" w:type="dxa"/>
            <w:tcBorders/>
            <w:vAlign w:val="bottom"/>
          </w:tcPr>
          <w:p>
            <w:pPr>
              <w:pStyle w:val="TableContents"/>
              <w:bidi w:val="0"/>
              <w:spacing w:before="0" w:after="283"/>
              <w:jc w:val="left"/>
              <w:rPr/>
            </w:pPr>
            <w:r>
              <w:rPr/>
              <w:t> </w:t>
            </w:r>
          </w:p>
        </w:tc>
      </w:tr>
      <w:tr>
        <w:trPr/>
        <w:tc>
          <w:tcPr>
            <w:tcW w:w="4834"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34" w:type="dxa"/>
            <w:tcBorders/>
            <w:shd w:fill="CCEEFF" w:val="clear"/>
            <w:vAlign w:val="bottom"/>
          </w:tcPr>
          <w:p>
            <w:pPr>
              <w:pStyle w:val="TableContents"/>
              <w:bidi w:val="0"/>
              <w:spacing w:before="0" w:after="0"/>
              <w:jc w:val="left"/>
              <w:rPr>
                <w:rFonts w:ascii="Arial" w:hAnsi="Arial"/>
                <w:sz w:val="20"/>
              </w:rPr>
            </w:pPr>
            <w:r>
              <w:rPr>
                <w:rFonts w:ascii="Arial" w:hAnsi="Arial"/>
                <w:sz w:val="20"/>
              </w:rPr>
              <w:t>Stock repurchase program</w:t>
            </w:r>
          </w:p>
        </w:tc>
        <w:tc>
          <w:tcPr>
            <w:tcW w:w="2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b/>
              </w:rPr>
            </w:pPr>
            <w:r>
              <w:rPr>
                <w:b/>
              </w:rPr>
              <w:t>(1,099</w:t>
            </w:r>
          </w:p>
        </w:tc>
        <w:tc>
          <w:tcPr>
            <w:tcW w:w="155" w:type="dxa"/>
            <w:tcBorders/>
            <w:shd w:fill="CCEEFF" w:val="clear"/>
            <w:vAlign w:val="bottom"/>
          </w:tcPr>
          <w:p>
            <w:pPr>
              <w:pStyle w:val="TableContents"/>
              <w:bidi w:val="0"/>
              <w:spacing w:before="0" w:after="283"/>
              <w:jc w:val="left"/>
              <w:rPr>
                <w:b/>
              </w:rPr>
            </w:pPr>
            <w:r>
              <w:rPr>
                <w:b/>
              </w:rPr>
              <w:t>) </w:t>
            </w:r>
          </w:p>
        </w:tc>
        <w:tc>
          <w:tcPr>
            <w:tcW w:w="23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(648</w:t>
            </w:r>
          </w:p>
        </w:tc>
        <w:tc>
          <w:tcPr>
            <w:tcW w:w="155" w:type="dxa"/>
            <w:tcBorders/>
            <w:shd w:fill="CCEEFF" w:val="clear"/>
            <w:vAlign w:val="bottom"/>
          </w:tcPr>
          <w:p>
            <w:pPr>
              <w:pStyle w:val="TableContents"/>
              <w:bidi w:val="0"/>
              <w:spacing w:before="0" w:after="283"/>
              <w:jc w:val="left"/>
              <w:rPr>
                <w:b/>
              </w:rPr>
            </w:pPr>
            <w:r>
              <w:rPr>
                <w:b/>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(2,300</w:t>
            </w:r>
          </w:p>
        </w:tc>
        <w:tc>
          <w:tcPr>
            <w:tcW w:w="160" w:type="dxa"/>
            <w:tcBorders/>
            <w:shd w:fill="CCEEFF" w:val="clear"/>
            <w:vAlign w:val="bottom"/>
          </w:tcPr>
          <w:p>
            <w:pPr>
              <w:pStyle w:val="TableContents"/>
              <w:bidi w:val="0"/>
              <w:spacing w:before="0" w:after="283"/>
              <w:jc w:val="left"/>
              <w:rPr/>
            </w:pPr>
            <w:r>
              <w:rPr/>
              <w:t>) </w:t>
            </w:r>
          </w:p>
        </w:tc>
      </w:tr>
      <w:tr>
        <w:trPr/>
        <w:tc>
          <w:tcPr>
            <w:tcW w:w="4834" w:type="dxa"/>
            <w:tcBorders/>
            <w:vAlign w:val="bottom"/>
          </w:tcPr>
          <w:p>
            <w:pPr>
              <w:pStyle w:val="TableContents"/>
              <w:bidi w:val="0"/>
              <w:spacing w:before="0" w:after="0"/>
              <w:jc w:val="left"/>
              <w:rPr>
                <w:rFonts w:ascii="Arial" w:hAnsi="Arial"/>
                <w:sz w:val="20"/>
              </w:rPr>
            </w:pPr>
            <w:r>
              <w:rPr>
                <w:rFonts w:ascii="Arial" w:hAnsi="Arial"/>
                <w:sz w:val="20"/>
              </w:rPr>
              <w:t>Dividends paid</w:t>
            </w:r>
          </w:p>
        </w:tc>
        <w:tc>
          <w:tcPr>
            <w:tcW w:w="2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b/>
              </w:rPr>
            </w:pPr>
            <w:r>
              <w:rPr>
                <w:b/>
              </w:rPr>
              <w:t>(866</w:t>
            </w:r>
          </w:p>
        </w:tc>
        <w:tc>
          <w:tcPr>
            <w:tcW w:w="155" w:type="dxa"/>
            <w:tcBorders/>
            <w:vAlign w:val="bottom"/>
          </w:tcPr>
          <w:p>
            <w:pPr>
              <w:pStyle w:val="TableContents"/>
              <w:bidi w:val="0"/>
              <w:spacing w:before="0" w:after="283"/>
              <w:jc w:val="left"/>
              <w:rPr>
                <w:b/>
              </w:rPr>
            </w:pPr>
            <w:r>
              <w:rPr>
                <w:b/>
              </w:rPr>
              <w:t>) </w:t>
            </w:r>
          </w:p>
        </w:tc>
        <w:tc>
          <w:tcPr>
            <w:tcW w:w="23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(440</w:t>
            </w:r>
          </w:p>
        </w:tc>
        <w:tc>
          <w:tcPr>
            <w:tcW w:w="155" w:type="dxa"/>
            <w:tcBorders/>
            <w:vAlign w:val="bottom"/>
          </w:tcPr>
          <w:p>
            <w:pPr>
              <w:pStyle w:val="TableContents"/>
              <w:bidi w:val="0"/>
              <w:spacing w:before="0" w:after="283"/>
              <w:jc w:val="left"/>
              <w:rPr>
                <w:b/>
              </w:rPr>
            </w:pPr>
            <w:r>
              <w:rPr>
                <w:b/>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(773</w:t>
            </w:r>
          </w:p>
        </w:tc>
        <w:tc>
          <w:tcPr>
            <w:tcW w:w="160" w:type="dxa"/>
            <w:tcBorders/>
            <w:vAlign w:val="bottom"/>
          </w:tcPr>
          <w:p>
            <w:pPr>
              <w:pStyle w:val="TableContents"/>
              <w:bidi w:val="0"/>
              <w:spacing w:before="0" w:after="283"/>
              <w:jc w:val="left"/>
              <w:rPr/>
            </w:pPr>
            <w:r>
              <w:rPr/>
              <w:t>) </w:t>
            </w:r>
          </w:p>
        </w:tc>
      </w:tr>
      <w:tr>
        <w:trPr/>
        <w:tc>
          <w:tcPr>
            <w:tcW w:w="4834" w:type="dxa"/>
            <w:tcBorders/>
            <w:shd w:fill="CCEEFF" w:val="clear"/>
            <w:vAlign w:val="bottom"/>
          </w:tcPr>
          <w:p>
            <w:pPr>
              <w:pStyle w:val="TableContents"/>
              <w:bidi w:val="0"/>
              <w:spacing w:before="0" w:after="0"/>
              <w:jc w:val="left"/>
              <w:rPr>
                <w:rFonts w:ascii="Arial" w:hAnsi="Arial"/>
                <w:sz w:val="20"/>
              </w:rPr>
            </w:pPr>
            <w:r>
              <w:rPr>
                <w:rFonts w:ascii="Arial" w:hAnsi="Arial"/>
                <w:sz w:val="20"/>
              </w:rPr>
              <w:t>Proceeds from employee stock plans</w:t>
            </w:r>
          </w:p>
        </w:tc>
        <w:tc>
          <w:tcPr>
            <w:tcW w:w="2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b/>
              </w:rPr>
            </w:pPr>
            <w:r>
              <w:rPr>
                <w:b/>
              </w:rPr>
              <w:t>211</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33</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113</w:t>
            </w:r>
          </w:p>
        </w:tc>
        <w:tc>
          <w:tcPr>
            <w:tcW w:w="160" w:type="dxa"/>
            <w:tcBorders/>
            <w:shd w:fill="CCEEFF" w:val="clear"/>
            <w:vAlign w:val="bottom"/>
          </w:tcPr>
          <w:p>
            <w:pPr>
              <w:pStyle w:val="TableContents"/>
              <w:bidi w:val="0"/>
              <w:spacing w:before="0" w:after="283"/>
              <w:jc w:val="left"/>
              <w:rPr/>
            </w:pPr>
            <w:r>
              <w:rPr/>
              <w:t> </w:t>
            </w:r>
          </w:p>
        </w:tc>
      </w:tr>
      <w:tr>
        <w:trPr/>
        <w:tc>
          <w:tcPr>
            <w:tcW w:w="4834" w:type="dxa"/>
            <w:tcBorders/>
            <w:vAlign w:val="bottom"/>
          </w:tcPr>
          <w:p>
            <w:pPr>
              <w:pStyle w:val="TableContents"/>
              <w:bidi w:val="0"/>
              <w:spacing w:before="0" w:after="0"/>
              <w:jc w:val="left"/>
              <w:rPr>
                <w:rFonts w:ascii="Arial" w:hAnsi="Arial"/>
                <w:sz w:val="20"/>
              </w:rPr>
            </w:pPr>
            <w:r>
              <w:rPr>
                <w:rFonts w:ascii="Arial" w:hAnsi="Arial"/>
                <w:sz w:val="20"/>
              </w:rPr>
              <w:t>Business acquisitions and investments, net of cash acquired plus debt assumed</w:t>
            </w:r>
          </w:p>
        </w:tc>
        <w:tc>
          <w:tcPr>
            <w:tcW w:w="2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b/>
              </w:rPr>
            </w:pPr>
            <w:r>
              <w:rPr>
                <w:b/>
              </w:rPr>
              <w:t>(249</w:t>
            </w:r>
          </w:p>
        </w:tc>
        <w:tc>
          <w:tcPr>
            <w:tcW w:w="155" w:type="dxa"/>
            <w:tcBorders/>
            <w:vAlign w:val="bottom"/>
          </w:tcPr>
          <w:p>
            <w:pPr>
              <w:pStyle w:val="TableContents"/>
              <w:bidi w:val="0"/>
              <w:spacing w:before="0" w:after="283"/>
              <w:jc w:val="left"/>
              <w:rPr>
                <w:b/>
              </w:rPr>
            </w:pPr>
            <w:r>
              <w:rPr>
                <w:b/>
              </w:rPr>
              <w:t>) </w:t>
            </w:r>
          </w:p>
        </w:tc>
        <w:tc>
          <w:tcPr>
            <w:tcW w:w="23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(179</w:t>
            </w:r>
          </w:p>
        </w:tc>
        <w:tc>
          <w:tcPr>
            <w:tcW w:w="155" w:type="dxa"/>
            <w:tcBorders/>
            <w:vAlign w:val="bottom"/>
          </w:tcPr>
          <w:p>
            <w:pPr>
              <w:pStyle w:val="TableContents"/>
              <w:bidi w:val="0"/>
              <w:spacing w:before="0" w:after="283"/>
              <w:jc w:val="left"/>
              <w:rPr>
                <w:b/>
              </w:rPr>
            </w:pPr>
            <w:r>
              <w:rPr>
                <w:b/>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(47</w:t>
            </w:r>
          </w:p>
        </w:tc>
        <w:tc>
          <w:tcPr>
            <w:tcW w:w="160" w:type="dxa"/>
            <w:tcBorders/>
            <w:vAlign w:val="bottom"/>
          </w:tcPr>
          <w:p>
            <w:pPr>
              <w:pStyle w:val="TableContents"/>
              <w:bidi w:val="0"/>
              <w:spacing w:before="0" w:after="283"/>
              <w:jc w:val="left"/>
              <w:rPr/>
            </w:pPr>
            <w:r>
              <w:rPr/>
              <w:t>) </w:t>
            </w:r>
          </w:p>
        </w:tc>
      </w:tr>
      <w:tr>
        <w:trPr/>
        <w:tc>
          <w:tcPr>
            <w:tcW w:w="4834" w:type="dxa"/>
            <w:tcBorders/>
            <w:shd w:fill="CCEEFF" w:val="clear"/>
            <w:vAlign w:val="bottom"/>
          </w:tcPr>
          <w:p>
            <w:pPr>
              <w:pStyle w:val="TableContents"/>
              <w:bidi w:val="0"/>
              <w:spacing w:before="0" w:after="0"/>
              <w:jc w:val="left"/>
              <w:rPr>
                <w:rFonts w:ascii="Arial" w:hAnsi="Arial"/>
                <w:sz w:val="20"/>
              </w:rPr>
            </w:pPr>
            <w:r>
              <w:rPr>
                <w:rFonts w:ascii="Arial" w:hAnsi="Arial"/>
                <w:sz w:val="20"/>
              </w:rPr>
              <w:t>Proceeds from sale of APS project</w:t>
            </w:r>
          </w:p>
        </w:tc>
        <w:tc>
          <w:tcPr>
            <w:tcW w:w="2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316</w:t>
            </w:r>
          </w:p>
        </w:tc>
        <w:tc>
          <w:tcPr>
            <w:tcW w:w="160" w:type="dxa"/>
            <w:tcBorders/>
            <w:shd w:fill="CCEEFF" w:val="clear"/>
            <w:vAlign w:val="bottom"/>
          </w:tcPr>
          <w:p>
            <w:pPr>
              <w:pStyle w:val="TableContents"/>
              <w:bidi w:val="0"/>
              <w:spacing w:before="0" w:after="283"/>
              <w:jc w:val="left"/>
              <w:rPr/>
            </w:pPr>
            <w:r>
              <w:rPr/>
              <w:t> </w:t>
            </w:r>
          </w:p>
        </w:tc>
      </w:tr>
      <w:tr>
        <w:trPr/>
        <w:tc>
          <w:tcPr>
            <w:tcW w:w="4834" w:type="dxa"/>
            <w:tcBorders/>
            <w:vAlign w:val="bottom"/>
          </w:tcPr>
          <w:p>
            <w:pPr>
              <w:pStyle w:val="TableContents"/>
              <w:bidi w:val="0"/>
              <w:spacing w:before="0" w:after="0"/>
              <w:jc w:val="left"/>
              <w:rPr>
                <w:rFonts w:ascii="Arial" w:hAnsi="Arial"/>
                <w:sz w:val="20"/>
              </w:rPr>
            </w:pPr>
            <w:r>
              <w:rPr>
                <w:rFonts w:ascii="Arial" w:hAnsi="Arial"/>
                <w:sz w:val="20"/>
              </w:rPr>
              <w:t>Taxes paid on net settled stock-based compensation awards</w:t>
            </w:r>
          </w:p>
        </w:tc>
        <w:tc>
          <w:tcPr>
            <w:tcW w:w="2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b/>
              </w:rPr>
            </w:pPr>
            <w:r>
              <w:rPr>
                <w:b/>
              </w:rPr>
              <w:t>(63</w:t>
            </w:r>
          </w:p>
        </w:tc>
        <w:tc>
          <w:tcPr>
            <w:tcW w:w="155" w:type="dxa"/>
            <w:tcBorders/>
            <w:vAlign w:val="bottom"/>
          </w:tcPr>
          <w:p>
            <w:pPr>
              <w:pStyle w:val="TableContents"/>
              <w:bidi w:val="0"/>
              <w:spacing w:before="0" w:after="283"/>
              <w:jc w:val="left"/>
              <w:rPr>
                <w:b/>
              </w:rPr>
            </w:pPr>
            <w:r>
              <w:rPr>
                <w:b/>
              </w:rPr>
              <w:t>) </w:t>
            </w:r>
          </w:p>
        </w:tc>
        <w:tc>
          <w:tcPr>
            <w:tcW w:w="23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(4</w:t>
            </w:r>
          </w:p>
        </w:tc>
        <w:tc>
          <w:tcPr>
            <w:tcW w:w="155" w:type="dxa"/>
            <w:tcBorders/>
            <w:vAlign w:val="bottom"/>
          </w:tcPr>
          <w:p>
            <w:pPr>
              <w:pStyle w:val="TableContents"/>
              <w:bidi w:val="0"/>
              <w:spacing w:before="0" w:after="283"/>
              <w:jc w:val="left"/>
              <w:rPr>
                <w:b/>
              </w:rPr>
            </w:pPr>
            <w:r>
              <w:rPr>
                <w:b/>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(55</w:t>
            </w:r>
          </w:p>
        </w:tc>
        <w:tc>
          <w:tcPr>
            <w:tcW w:w="160" w:type="dxa"/>
            <w:tcBorders/>
            <w:vAlign w:val="bottom"/>
          </w:tcPr>
          <w:p>
            <w:pPr>
              <w:pStyle w:val="TableContents"/>
              <w:bidi w:val="0"/>
              <w:spacing w:before="0" w:after="283"/>
              <w:jc w:val="left"/>
              <w:rPr/>
            </w:pPr>
            <w:r>
              <w:rPr/>
              <w:t>) </w:t>
            </w:r>
          </w:p>
        </w:tc>
      </w:tr>
      <w:tr>
        <w:trPr/>
        <w:tc>
          <w:tcPr>
            <w:tcW w:w="4834" w:type="dxa"/>
            <w:tcBorders/>
            <w:shd w:fill="CCEEFF" w:val="clear"/>
            <w:vAlign w:val="bottom"/>
          </w:tcPr>
          <w:p>
            <w:pPr>
              <w:pStyle w:val="TableContents"/>
              <w:bidi w:val="0"/>
              <w:spacing w:before="0" w:after="0"/>
              <w:jc w:val="left"/>
              <w:rPr>
                <w:rFonts w:ascii="Arial" w:hAnsi="Arial"/>
                <w:sz w:val="20"/>
              </w:rPr>
            </w:pPr>
            <w:r>
              <w:rPr>
                <w:rFonts w:ascii="Arial" w:hAnsi="Arial"/>
                <w:sz w:val="20"/>
              </w:rPr>
              <w:t>Other</w:t>
            </w:r>
          </w:p>
        </w:tc>
        <w:tc>
          <w:tcPr>
            <w:tcW w:w="2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b/>
              </w:rPr>
            </w:pPr>
            <w:r>
              <w:rPr>
                <w:b/>
              </w:rPr>
              <w:t>(42</w:t>
            </w:r>
          </w:p>
        </w:tc>
        <w:tc>
          <w:tcPr>
            <w:tcW w:w="155" w:type="dxa"/>
            <w:tcBorders/>
            <w:shd w:fill="CCEEFF" w:val="clear"/>
            <w:vAlign w:val="bottom"/>
          </w:tcPr>
          <w:p>
            <w:pPr>
              <w:pStyle w:val="TableContents"/>
              <w:bidi w:val="0"/>
              <w:spacing w:before="0" w:after="283"/>
              <w:jc w:val="left"/>
              <w:rPr>
                <w:b/>
              </w:rPr>
            </w:pPr>
            <w:r>
              <w:rPr>
                <w:b/>
              </w:rPr>
              <w:t>) </w:t>
            </w:r>
          </w:p>
        </w:tc>
        <w:tc>
          <w:tcPr>
            <w:tcW w:w="23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(12</w:t>
            </w:r>
          </w:p>
        </w:tc>
        <w:tc>
          <w:tcPr>
            <w:tcW w:w="155" w:type="dxa"/>
            <w:tcBorders/>
            <w:shd w:fill="CCEEFF" w:val="clear"/>
            <w:vAlign w:val="bottom"/>
          </w:tcPr>
          <w:p>
            <w:pPr>
              <w:pStyle w:val="TableContents"/>
              <w:bidi w:val="0"/>
              <w:spacing w:before="0" w:after="283"/>
              <w:jc w:val="left"/>
              <w:rPr>
                <w:b/>
              </w:rPr>
            </w:pPr>
            <w:r>
              <w:rPr>
                <w:b/>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(30</w:t>
            </w:r>
          </w:p>
        </w:tc>
        <w:tc>
          <w:tcPr>
            <w:tcW w:w="160" w:type="dxa"/>
            <w:tcBorders/>
            <w:shd w:fill="CCEEFF" w:val="clear"/>
            <w:vAlign w:val="bottom"/>
          </w:tcPr>
          <w:p>
            <w:pPr>
              <w:pStyle w:val="TableContents"/>
              <w:bidi w:val="0"/>
              <w:spacing w:before="0" w:after="283"/>
              <w:jc w:val="left"/>
              <w:rPr/>
            </w:pPr>
            <w:r>
              <w:rPr/>
              <w:t>) </w:t>
            </w:r>
          </w:p>
        </w:tc>
      </w:tr>
      <w:tr>
        <w:trPr/>
        <w:tc>
          <w:tcPr>
            <w:tcW w:w="4834"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34" w:type="dxa"/>
            <w:tcBorders/>
            <w:vAlign w:val="bottom"/>
          </w:tcPr>
          <w:p>
            <w:pPr>
              <w:pStyle w:val="TableContents"/>
              <w:bidi w:val="0"/>
              <w:spacing w:before="0" w:after="0"/>
              <w:jc w:val="left"/>
              <w:rPr>
                <w:rFonts w:ascii="Arial" w:hAnsi="Arial"/>
                <w:b/>
                <w:sz w:val="20"/>
              </w:rPr>
            </w:pPr>
            <w:r>
              <w:rPr>
                <w:rFonts w:ascii="Arial" w:hAnsi="Arial"/>
                <w:b/>
                <w:sz w:val="20"/>
              </w:rPr>
              <w:t>Increase in Net Debt before impact of changes in foreign exchange rates</w:t>
            </w:r>
          </w:p>
        </w:tc>
        <w:tc>
          <w:tcPr>
            <w:tcW w:w="2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b/>
              </w:rPr>
            </w:pPr>
            <w:r>
              <w:rPr>
                <w:b/>
              </w:rPr>
              <w:t>(1,415</w:t>
            </w:r>
          </w:p>
        </w:tc>
        <w:tc>
          <w:tcPr>
            <w:tcW w:w="155" w:type="dxa"/>
            <w:tcBorders/>
            <w:vAlign w:val="bottom"/>
          </w:tcPr>
          <w:p>
            <w:pPr>
              <w:pStyle w:val="TableContents"/>
              <w:bidi w:val="0"/>
              <w:spacing w:before="0" w:after="283"/>
              <w:jc w:val="left"/>
              <w:rPr>
                <w:b/>
              </w:rPr>
            </w:pPr>
            <w:r>
              <w:rPr>
                <w:b/>
              </w:rPr>
              <w:t>) </w:t>
            </w:r>
          </w:p>
        </w:tc>
        <w:tc>
          <w:tcPr>
            <w:tcW w:w="23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(534</w:t>
            </w:r>
          </w:p>
        </w:tc>
        <w:tc>
          <w:tcPr>
            <w:tcW w:w="155" w:type="dxa"/>
            <w:tcBorders/>
            <w:vAlign w:val="bottom"/>
          </w:tcPr>
          <w:p>
            <w:pPr>
              <w:pStyle w:val="TableContents"/>
              <w:bidi w:val="0"/>
              <w:spacing w:before="0" w:after="283"/>
              <w:jc w:val="left"/>
              <w:rPr>
                <w:b/>
              </w:rPr>
            </w:pPr>
            <w:r>
              <w:rPr>
                <w:b/>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(2,051</w:t>
            </w:r>
          </w:p>
        </w:tc>
        <w:tc>
          <w:tcPr>
            <w:tcW w:w="160" w:type="dxa"/>
            <w:tcBorders/>
            <w:vAlign w:val="bottom"/>
          </w:tcPr>
          <w:p>
            <w:pPr>
              <w:pStyle w:val="TableContents"/>
              <w:bidi w:val="0"/>
              <w:spacing w:before="0" w:after="283"/>
              <w:jc w:val="left"/>
              <w:rPr/>
            </w:pPr>
            <w:r>
              <w:rPr/>
              <w:t>) </w:t>
            </w:r>
          </w:p>
        </w:tc>
      </w:tr>
      <w:tr>
        <w:trPr/>
        <w:tc>
          <w:tcPr>
            <w:tcW w:w="4834" w:type="dxa"/>
            <w:tcBorders/>
            <w:shd w:fill="CCEEFF" w:val="clear"/>
            <w:vAlign w:val="bottom"/>
          </w:tcPr>
          <w:p>
            <w:pPr>
              <w:pStyle w:val="TableContents"/>
              <w:bidi w:val="0"/>
              <w:spacing w:before="0" w:after="0"/>
              <w:jc w:val="left"/>
              <w:rPr>
                <w:rFonts w:ascii="Arial" w:hAnsi="Arial"/>
                <w:sz w:val="20"/>
              </w:rPr>
            </w:pPr>
            <w:r>
              <w:rPr>
                <w:rFonts w:ascii="Arial" w:hAnsi="Arial"/>
                <w:sz w:val="20"/>
              </w:rPr>
              <w:t>Impact of changes in foreign exchange rates on net debt</w:t>
            </w:r>
          </w:p>
        </w:tc>
        <w:tc>
          <w:tcPr>
            <w:tcW w:w="2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b/>
              </w:rPr>
            </w:pPr>
            <w:r>
              <w:rPr>
                <w:b/>
              </w:rPr>
              <w:t>112</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28</w:t>
            </w:r>
          </w:p>
        </w:tc>
        <w:tc>
          <w:tcPr>
            <w:tcW w:w="155"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(495</w:t>
            </w:r>
          </w:p>
        </w:tc>
        <w:tc>
          <w:tcPr>
            <w:tcW w:w="160" w:type="dxa"/>
            <w:tcBorders/>
            <w:shd w:fill="CCEEFF" w:val="clear"/>
            <w:vAlign w:val="bottom"/>
          </w:tcPr>
          <w:p>
            <w:pPr>
              <w:pStyle w:val="TableContents"/>
              <w:bidi w:val="0"/>
              <w:spacing w:before="0" w:after="283"/>
              <w:jc w:val="left"/>
              <w:rPr/>
            </w:pPr>
            <w:r>
              <w:rPr/>
              <w:t>) </w:t>
            </w:r>
          </w:p>
        </w:tc>
      </w:tr>
      <w:tr>
        <w:trPr/>
        <w:tc>
          <w:tcPr>
            <w:tcW w:w="4834"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34" w:type="dxa"/>
            <w:tcBorders/>
            <w:vAlign w:val="bottom"/>
          </w:tcPr>
          <w:p>
            <w:pPr>
              <w:pStyle w:val="TableContents"/>
              <w:bidi w:val="0"/>
              <w:spacing w:before="0" w:after="0"/>
              <w:jc w:val="left"/>
              <w:rPr>
                <w:rFonts w:ascii="Arial" w:hAnsi="Arial"/>
                <w:b/>
                <w:sz w:val="20"/>
              </w:rPr>
            </w:pPr>
            <w:r>
              <w:rPr>
                <w:rFonts w:ascii="Arial" w:hAnsi="Arial"/>
                <w:b/>
                <w:sz w:val="20"/>
              </w:rPr>
              <w:t>Increase in Net Debt</w:t>
            </w:r>
          </w:p>
        </w:tc>
        <w:tc>
          <w:tcPr>
            <w:tcW w:w="2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b/>
              </w:rPr>
            </w:pPr>
            <w:r>
              <w:rPr>
                <w:b/>
              </w:rPr>
              <w:t>(1,303</w:t>
            </w:r>
          </w:p>
        </w:tc>
        <w:tc>
          <w:tcPr>
            <w:tcW w:w="155" w:type="dxa"/>
            <w:tcBorders/>
            <w:vAlign w:val="bottom"/>
          </w:tcPr>
          <w:p>
            <w:pPr>
              <w:pStyle w:val="TableContents"/>
              <w:bidi w:val="0"/>
              <w:spacing w:before="0" w:after="283"/>
              <w:jc w:val="left"/>
              <w:rPr>
                <w:b/>
              </w:rPr>
            </w:pPr>
            <w:r>
              <w:rPr>
                <w:b/>
              </w:rPr>
              <w:t>) </w:t>
            </w:r>
          </w:p>
        </w:tc>
        <w:tc>
          <w:tcPr>
            <w:tcW w:w="23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283"/>
              <w:jc w:val="right"/>
              <w:rPr>
                <w:b/>
              </w:rPr>
            </w:pPr>
            <w:r>
              <w:rPr>
                <w:b/>
              </w:rPr>
              <w:t>(506</w:t>
            </w:r>
          </w:p>
        </w:tc>
        <w:tc>
          <w:tcPr>
            <w:tcW w:w="155" w:type="dxa"/>
            <w:tcBorders/>
            <w:vAlign w:val="bottom"/>
          </w:tcPr>
          <w:p>
            <w:pPr>
              <w:pStyle w:val="TableContents"/>
              <w:bidi w:val="0"/>
              <w:spacing w:before="0" w:after="283"/>
              <w:jc w:val="left"/>
              <w:rPr>
                <w:b/>
              </w:rPr>
            </w:pPr>
            <w:r>
              <w:rPr>
                <w:b/>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(2,546</w:t>
            </w:r>
          </w:p>
        </w:tc>
        <w:tc>
          <w:tcPr>
            <w:tcW w:w="160" w:type="dxa"/>
            <w:tcBorders/>
            <w:vAlign w:val="bottom"/>
          </w:tcPr>
          <w:p>
            <w:pPr>
              <w:pStyle w:val="TableContents"/>
              <w:bidi w:val="0"/>
              <w:spacing w:before="0" w:after="283"/>
              <w:jc w:val="left"/>
              <w:rPr/>
            </w:pPr>
            <w:r>
              <w:rPr/>
              <w:t>) </w:t>
            </w:r>
          </w:p>
        </w:tc>
      </w:tr>
      <w:tr>
        <w:trPr/>
        <w:tc>
          <w:tcPr>
            <w:tcW w:w="4834" w:type="dxa"/>
            <w:tcBorders/>
            <w:shd w:fill="CCEEFF" w:val="clear"/>
            <w:vAlign w:val="bottom"/>
          </w:tcPr>
          <w:p>
            <w:pPr>
              <w:pStyle w:val="TableContents"/>
              <w:bidi w:val="0"/>
              <w:spacing w:before="0" w:after="0"/>
              <w:jc w:val="left"/>
              <w:rPr>
                <w:rFonts w:ascii="Arial" w:hAnsi="Arial"/>
                <w:sz w:val="20"/>
              </w:rPr>
            </w:pPr>
            <w:r>
              <w:rPr>
                <w:rFonts w:ascii="Arial" w:hAnsi="Arial"/>
                <w:sz w:val="20"/>
              </w:rPr>
              <w:t>Net Debt, beginning of period</w:t>
            </w:r>
          </w:p>
        </w:tc>
        <w:tc>
          <w:tcPr>
            <w:tcW w:w="2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b/>
              </w:rPr>
            </w:pPr>
            <w:r>
              <w:rPr>
                <w:b/>
              </w:rPr>
              <w:t>(7,424</w:t>
            </w:r>
          </w:p>
        </w:tc>
        <w:tc>
          <w:tcPr>
            <w:tcW w:w="155" w:type="dxa"/>
            <w:tcBorders/>
            <w:shd w:fill="CCEEFF" w:val="clear"/>
            <w:vAlign w:val="bottom"/>
          </w:tcPr>
          <w:p>
            <w:pPr>
              <w:pStyle w:val="TableContents"/>
              <w:bidi w:val="0"/>
              <w:spacing w:before="0" w:after="283"/>
              <w:jc w:val="left"/>
              <w:rPr>
                <w:b/>
              </w:rPr>
            </w:pPr>
            <w:r>
              <w:rPr>
                <w:b/>
              </w:rPr>
              <w:t>) </w:t>
            </w:r>
          </w:p>
        </w:tc>
        <w:tc>
          <w:tcPr>
            <w:tcW w:w="23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b/>
              </w:rPr>
            </w:pPr>
            <w:r>
              <w:rPr>
                <w:b/>
              </w:rPr>
              <w:t>(8,221</w:t>
            </w:r>
          </w:p>
        </w:tc>
        <w:tc>
          <w:tcPr>
            <w:tcW w:w="155" w:type="dxa"/>
            <w:tcBorders/>
            <w:shd w:fill="CCEEFF" w:val="clear"/>
            <w:vAlign w:val="bottom"/>
          </w:tcPr>
          <w:p>
            <w:pPr>
              <w:pStyle w:val="TableContents"/>
              <w:bidi w:val="0"/>
              <w:spacing w:before="0" w:after="283"/>
              <w:jc w:val="left"/>
              <w:rPr>
                <w:b/>
              </w:rPr>
            </w:pPr>
            <w:r>
              <w:rPr>
                <w:b/>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(7,405</w:t>
            </w:r>
          </w:p>
        </w:tc>
        <w:tc>
          <w:tcPr>
            <w:tcW w:w="160" w:type="dxa"/>
            <w:tcBorders/>
            <w:shd w:fill="CCEEFF" w:val="clear"/>
            <w:vAlign w:val="bottom"/>
          </w:tcPr>
          <w:p>
            <w:pPr>
              <w:pStyle w:val="TableContents"/>
              <w:bidi w:val="0"/>
              <w:spacing w:before="0" w:after="283"/>
              <w:jc w:val="left"/>
              <w:rPr/>
            </w:pPr>
            <w:r>
              <w:rPr/>
              <w:t>) </w:t>
            </w:r>
          </w:p>
        </w:tc>
      </w:tr>
      <w:tr>
        <w:trPr/>
        <w:tc>
          <w:tcPr>
            <w:tcW w:w="4834"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34" w:type="dxa"/>
            <w:tcBorders/>
            <w:vAlign w:val="bottom"/>
          </w:tcPr>
          <w:p>
            <w:pPr>
              <w:pStyle w:val="TableContents"/>
              <w:bidi w:val="0"/>
              <w:spacing w:before="0" w:after="0"/>
              <w:jc w:val="left"/>
              <w:rPr>
                <w:rFonts w:ascii="Arial" w:hAnsi="Arial"/>
                <w:b/>
                <w:sz w:val="20"/>
              </w:rPr>
            </w:pPr>
            <w:r>
              <w:rPr>
                <w:rFonts w:ascii="Arial" w:hAnsi="Arial"/>
                <w:b/>
                <w:sz w:val="20"/>
              </w:rPr>
              <w:t>Net Debt, end of period</w:t>
            </w:r>
          </w:p>
        </w:tc>
        <w:tc>
          <w:tcPr>
            <w:tcW w:w="2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b/>
              </w:rPr>
            </w:pPr>
            <w:r>
              <w:rPr>
                <w:b/>
              </w:rPr>
              <w:t>$</w:t>
            </w:r>
          </w:p>
        </w:tc>
        <w:tc>
          <w:tcPr>
            <w:tcW w:w="703" w:type="dxa"/>
            <w:tcBorders/>
            <w:vAlign w:val="bottom"/>
          </w:tcPr>
          <w:p>
            <w:pPr>
              <w:pStyle w:val="TableContents"/>
              <w:bidi w:val="0"/>
              <w:spacing w:before="0" w:after="283"/>
              <w:jc w:val="right"/>
              <w:rPr>
                <w:b/>
              </w:rPr>
            </w:pPr>
            <w:r>
              <w:rPr>
                <w:b/>
              </w:rPr>
              <w:t>(8,727</w:t>
            </w:r>
          </w:p>
        </w:tc>
        <w:tc>
          <w:tcPr>
            <w:tcW w:w="155" w:type="dxa"/>
            <w:tcBorders/>
            <w:vAlign w:val="bottom"/>
          </w:tcPr>
          <w:p>
            <w:pPr>
              <w:pStyle w:val="TableContents"/>
              <w:bidi w:val="0"/>
              <w:spacing w:before="0" w:after="283"/>
              <w:jc w:val="left"/>
              <w:rPr>
                <w:b/>
              </w:rPr>
            </w:pPr>
            <w:r>
              <w:rPr>
                <w:b/>
              </w:rPr>
              <w:t>) </w:t>
            </w:r>
          </w:p>
        </w:tc>
        <w:tc>
          <w:tcPr>
            <w:tcW w:w="23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b/>
              </w:rPr>
            </w:pPr>
            <w:r>
              <w:rPr>
                <w:b/>
              </w:rPr>
              <w:t>$</w:t>
            </w:r>
          </w:p>
        </w:tc>
        <w:tc>
          <w:tcPr>
            <w:tcW w:w="732" w:type="dxa"/>
            <w:tcBorders/>
            <w:vAlign w:val="bottom"/>
          </w:tcPr>
          <w:p>
            <w:pPr>
              <w:pStyle w:val="TableContents"/>
              <w:bidi w:val="0"/>
              <w:spacing w:before="0" w:after="283"/>
              <w:jc w:val="right"/>
              <w:rPr>
                <w:b/>
              </w:rPr>
            </w:pPr>
            <w:r>
              <w:rPr>
                <w:b/>
              </w:rPr>
              <w:t>(8,727</w:t>
            </w:r>
          </w:p>
        </w:tc>
        <w:tc>
          <w:tcPr>
            <w:tcW w:w="155" w:type="dxa"/>
            <w:tcBorders/>
            <w:vAlign w:val="bottom"/>
          </w:tcPr>
          <w:p>
            <w:pPr>
              <w:pStyle w:val="TableContents"/>
              <w:bidi w:val="0"/>
              <w:spacing w:before="0" w:after="283"/>
              <w:jc w:val="left"/>
              <w:rPr>
                <w:b/>
              </w:rPr>
            </w:pPr>
            <w:r>
              <w:rPr>
                <w:b/>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8" w:type="dxa"/>
            <w:tcBorders/>
            <w:vAlign w:val="bottom"/>
          </w:tcPr>
          <w:p>
            <w:pPr>
              <w:pStyle w:val="TableContents"/>
              <w:bidi w:val="0"/>
              <w:spacing w:before="0" w:after="283"/>
              <w:jc w:val="right"/>
              <w:rPr/>
            </w:pPr>
            <w:r>
              <w:rPr/>
              <w:t>(9,951</w:t>
            </w:r>
          </w:p>
        </w:tc>
        <w:tc>
          <w:tcPr>
            <w:tcW w:w="160" w:type="dxa"/>
            <w:tcBorders/>
            <w:vAlign w:val="bottom"/>
          </w:tcPr>
          <w:p>
            <w:pPr>
              <w:pStyle w:val="TableContents"/>
              <w:bidi w:val="0"/>
              <w:spacing w:before="0" w:after="283"/>
              <w:jc w:val="left"/>
              <w:rPr/>
            </w:pPr>
            <w:r>
              <w:rPr/>
              <w:t>) </w:t>
            </w:r>
          </w:p>
        </w:tc>
      </w:tr>
      <w:tr>
        <w:trPr/>
        <w:tc>
          <w:tcPr>
            <w:tcW w:w="4834"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7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pPr>
            <w:r>
              <w:rPr/>
              <w:t>“</w:t>
            </w:r>
            <w:r>
              <w:rPr>
                <w:rFonts w:ascii="Arial" w:hAnsi="Arial"/>
                <w:sz w:val="20"/>
              </w:rPr>
              <w:t xml:space="preserve">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Includes depreciation of fixed assets and amortization of intangible assets, exploration data costs, and APS investments.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pPr>
            <w:r>
              <w:rPr/>
              <w:t>“</w:t>
            </w:r>
            <w:r>
              <w:rPr>
                <w:rFonts w:ascii="Arial" w:hAnsi="Arial"/>
                <w:sz w:val="20"/>
              </w:rPr>
              <w:t xml:space="preserve">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Charges &amp; Credits </w:t>
      </w:r>
    </w:p>
    <w:p>
      <w:pPr>
        <w:pStyle w:val="TextBody"/>
        <w:bidi w:val="0"/>
        <w:spacing w:before="120" w:after="0"/>
        <w:jc w:val="left"/>
        <w:rPr>
          <w:rFonts w:ascii="Arial" w:hAnsi="Arial"/>
          <w:sz w:val="20"/>
        </w:rPr>
      </w:pPr>
      <w:r>
        <w:rPr>
          <w:rFonts w:ascii="Arial" w:hAnsi="Arial"/>
          <w:sz w:val="20"/>
        </w:rPr>
        <w:t xml:space="preserve">In addition to financial results determined in accordance with US generally accepted accounting principles (GAAP), this second-quarter 2026 earnings release also includes non-GAAP financial measures (as defined under the SEC’s Regulation G). In addition to the non-GAAP financial measures discussed under “Liquidity”, SLB net income, excluding charges &amp; credits, as well as measures derived from it (including diluted EPS, excluding charges &amp; credits; effective tax rate, excluding charges &amp; credits; adjusted EBITDA and adjusted EBITDA margin) are non-GAAP financial measures. Management believes that the exclusion of charges &amp; credits from these financial measures provides useful perspective on SLB’s underlying business results and operating trends, and a means to evaluate SLB’s operations period over period.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“Supplementary Information” (Question 8).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8"/>
        <w:gridCol w:w="226"/>
        <w:gridCol w:w="140"/>
        <w:gridCol w:w="579"/>
        <w:gridCol w:w="60"/>
        <w:gridCol w:w="226"/>
        <w:gridCol w:w="231"/>
        <w:gridCol w:w="640"/>
        <w:gridCol w:w="99"/>
        <w:gridCol w:w="296"/>
        <w:gridCol w:w="322"/>
        <w:gridCol w:w="605"/>
        <w:gridCol w:w="98"/>
        <w:gridCol w:w="296"/>
        <w:gridCol w:w="231"/>
        <w:gridCol w:w="640"/>
        <w:gridCol w:w="99"/>
        <w:gridCol w:w="296"/>
        <w:gridCol w:w="231"/>
        <w:gridCol w:w="735"/>
        <w:gridCol w:w="67"/>
      </w:tblGrid>
      <w:tr>
        <w:trPr/>
        <w:tc>
          <w:tcPr>
            <w:tcW w:w="4088"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033" w:type="dxa"/>
            <w:gridSpan w:val="4"/>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4819" w:type="dxa"/>
            <w:gridSpan w:val="14"/>
            <w:tcBorders/>
            <w:vAlign w:val="bottom"/>
          </w:tcPr>
          <w:p>
            <w:pPr>
              <w:pStyle w:val="TableContents"/>
              <w:bidi w:val="0"/>
              <w:spacing w:before="0" w:after="283"/>
              <w:jc w:val="right"/>
              <w:rPr/>
            </w:pPr>
            <w:r>
              <w:rPr/>
              <w:t>(Stated in millions, except per share amounts)</w:t>
            </w:r>
          </w:p>
        </w:tc>
        <w:tc>
          <w:tcPr>
            <w:tcW w:w="67" w:type="dxa"/>
            <w:tcBorders/>
            <w:vAlign w:val="bottom"/>
          </w:tcPr>
          <w:p>
            <w:pPr>
              <w:pStyle w:val="TableContents"/>
              <w:bidi w:val="0"/>
              <w:spacing w:before="0" w:after="283"/>
              <w:jc w:val="left"/>
              <w:rPr/>
            </w:pPr>
            <w:r>
              <w:rPr/>
              <w:t> </w:t>
            </w:r>
          </w:p>
        </w:tc>
      </w:tr>
      <w:tr>
        <w:trPr/>
        <w:tc>
          <w:tcPr>
            <w:tcW w:w="4088"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5824"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Second Quarter 2026</w:t>
            </w:r>
          </w:p>
        </w:tc>
        <w:tc>
          <w:tcPr>
            <w:tcW w:w="67" w:type="dxa"/>
            <w:tcBorders/>
            <w:vAlign w:val="bottom"/>
          </w:tcPr>
          <w:p>
            <w:pPr>
              <w:pStyle w:val="TableContents"/>
              <w:bidi w:val="0"/>
              <w:spacing w:before="0" w:after="283"/>
              <w:jc w:val="left"/>
              <w:rPr/>
            </w:pPr>
            <w:r>
              <w:rPr/>
              <w:t> </w:t>
            </w:r>
          </w:p>
        </w:tc>
      </w:tr>
      <w:tr>
        <w:trPr/>
        <w:tc>
          <w:tcPr>
            <w:tcW w:w="4088"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719" w:type="dxa"/>
            <w:gridSpan w:val="2"/>
            <w:tcBorders>
              <w:bottom w:val="single" w:sz="8" w:space="0" w:color="000000"/>
            </w:tcBorders>
            <w:tcMar>
              <w:bottom w:w="28" w:type="dxa"/>
            </w:tcMar>
            <w:vAlign w:val="bottom"/>
          </w:tcPr>
          <w:p>
            <w:pPr>
              <w:pStyle w:val="TableContents"/>
              <w:bidi w:val="0"/>
              <w:spacing w:before="0" w:after="283"/>
              <w:jc w:val="center"/>
              <w:rPr/>
            </w:pPr>
            <w:r>
              <w:rPr/>
              <w:t>Pretax</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871" w:type="dxa"/>
            <w:gridSpan w:val="2"/>
            <w:tcBorders>
              <w:bottom w:val="single" w:sz="8" w:space="0" w:color="000000"/>
            </w:tcBorders>
            <w:tcMar>
              <w:bottom w:w="28" w:type="dxa"/>
            </w:tcMar>
            <w:vAlign w:val="bottom"/>
          </w:tcPr>
          <w:p>
            <w:pPr>
              <w:pStyle w:val="TableContents"/>
              <w:bidi w:val="0"/>
              <w:spacing w:before="0" w:after="283"/>
              <w:jc w:val="center"/>
              <w:rPr/>
            </w:pPr>
            <w:r>
              <w:rPr/>
              <w:t>Tax</w:t>
            </w:r>
          </w:p>
        </w:tc>
        <w:tc>
          <w:tcPr>
            <w:tcW w:w="9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bottom"/>
          </w:tcPr>
          <w:p>
            <w:pPr>
              <w:pStyle w:val="TableContents"/>
              <w:bidi w:val="0"/>
              <w:spacing w:before="0" w:after="283"/>
              <w:jc w:val="center"/>
              <w:rPr/>
            </w:pPr>
            <w:r>
              <w:rPr/>
              <w:t>Noncont.</w:t>
              <w:br/>
              <w:t>Interests</w:t>
            </w:r>
          </w:p>
        </w:tc>
        <w:tc>
          <w:tcPr>
            <w:tcW w:w="9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71"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9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pPr>
            <w:r>
              <w:rPr/>
              <w:t>Diluted</w:t>
              <w:br/>
              <w:t>EPS</w:t>
            </w:r>
          </w:p>
        </w:tc>
        <w:tc>
          <w:tcPr>
            <w:tcW w:w="67" w:type="dxa"/>
            <w:tcBorders/>
            <w:vAlign w:val="bottom"/>
          </w:tcPr>
          <w:p>
            <w:pPr>
              <w:pStyle w:val="TableContents"/>
              <w:bidi w:val="0"/>
              <w:spacing w:before="0" w:after="283"/>
              <w:jc w:val="left"/>
              <w:rPr/>
            </w:pPr>
            <w:r>
              <w:rPr/>
              <w:t> </w:t>
            </w:r>
          </w:p>
        </w:tc>
      </w:tr>
      <w:tr>
        <w:trPr/>
        <w:tc>
          <w:tcPr>
            <w:tcW w:w="4088"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 (GAAP basis)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9" w:type="dxa"/>
            <w:tcBorders/>
            <w:shd w:fill="CCEEFF" w:val="clear"/>
            <w:vAlign w:val="bottom"/>
          </w:tcPr>
          <w:p>
            <w:pPr>
              <w:pStyle w:val="TableContents"/>
              <w:bidi w:val="0"/>
              <w:spacing w:before="0" w:after="283"/>
              <w:jc w:val="right"/>
              <w:rPr/>
            </w:pPr>
            <w:r>
              <w:rPr/>
              <w:t>1,019</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40" w:type="dxa"/>
            <w:tcBorders/>
            <w:shd w:fill="CCEEFF" w:val="clear"/>
            <w:vAlign w:val="bottom"/>
          </w:tcPr>
          <w:p>
            <w:pPr>
              <w:pStyle w:val="TableContents"/>
              <w:bidi w:val="0"/>
              <w:spacing w:before="0" w:after="283"/>
              <w:jc w:val="right"/>
              <w:rPr/>
            </w:pPr>
            <w:r>
              <w:rPr/>
              <w:t>204</w:t>
            </w:r>
          </w:p>
        </w:tc>
        <w:tc>
          <w:tcPr>
            <w:tcW w:w="9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605" w:type="dxa"/>
            <w:tcBorders/>
            <w:shd w:fill="CCEEFF" w:val="clear"/>
            <w:vAlign w:val="bottom"/>
          </w:tcPr>
          <w:p>
            <w:pPr>
              <w:pStyle w:val="TableContents"/>
              <w:bidi w:val="0"/>
              <w:spacing w:before="0" w:after="283"/>
              <w:jc w:val="right"/>
              <w:rPr/>
            </w:pPr>
            <w:r>
              <w:rPr/>
              <w:t>29</w:t>
            </w:r>
          </w:p>
        </w:tc>
        <w:tc>
          <w:tcPr>
            <w:tcW w:w="9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40" w:type="dxa"/>
            <w:tcBorders/>
            <w:shd w:fill="CCEEFF" w:val="clear"/>
            <w:vAlign w:val="bottom"/>
          </w:tcPr>
          <w:p>
            <w:pPr>
              <w:pStyle w:val="TableContents"/>
              <w:bidi w:val="0"/>
              <w:spacing w:before="0" w:after="283"/>
              <w:jc w:val="right"/>
              <w:rPr/>
            </w:pPr>
            <w:r>
              <w:rPr/>
              <w:t>786</w:t>
            </w:r>
          </w:p>
        </w:tc>
        <w:tc>
          <w:tcPr>
            <w:tcW w:w="9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0.52</w:t>
            </w:r>
          </w:p>
        </w:tc>
        <w:tc>
          <w:tcPr>
            <w:tcW w:w="67" w:type="dxa"/>
            <w:tcBorders/>
            <w:shd w:fill="CCEEFF" w:val="clear"/>
            <w:vAlign w:val="bottom"/>
          </w:tcPr>
          <w:p>
            <w:pPr>
              <w:pStyle w:val="TableContents"/>
              <w:bidi w:val="0"/>
              <w:spacing w:before="0" w:after="283"/>
              <w:jc w:val="left"/>
              <w:rPr/>
            </w:pPr>
            <w:r>
              <w:rPr/>
              <w:t> </w:t>
            </w:r>
          </w:p>
        </w:tc>
      </w:tr>
      <w:tr>
        <w:trPr/>
        <w:tc>
          <w:tcPr>
            <w:tcW w:w="4088" w:type="dxa"/>
            <w:tcBorders/>
          </w:tcPr>
          <w:p>
            <w:pPr>
              <w:pStyle w:val="TableContents"/>
              <w:bidi w:val="0"/>
              <w:spacing w:before="0" w:after="0"/>
              <w:jc w:val="left"/>
              <w:rPr>
                <w:rFonts w:ascii="Arial" w:hAnsi="Arial"/>
                <w:sz w:val="20"/>
              </w:rPr>
            </w:pPr>
            <w:r>
              <w:rPr>
                <w:rFonts w:ascii="Arial" w:hAnsi="Arial"/>
                <w:sz w:val="20"/>
              </w:rPr>
              <w:t>Merger and integration (1)</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69</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19</w:t>
            </w:r>
          </w:p>
        </w:tc>
        <w:tc>
          <w:tcPr>
            <w:tcW w:w="9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3</w:t>
            </w:r>
          </w:p>
        </w:tc>
        <w:tc>
          <w:tcPr>
            <w:tcW w:w="9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47</w:t>
            </w:r>
          </w:p>
        </w:tc>
        <w:tc>
          <w:tcPr>
            <w:tcW w:w="9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0.03</w:t>
            </w:r>
          </w:p>
        </w:tc>
        <w:tc>
          <w:tcPr>
            <w:tcW w:w="67" w:type="dxa"/>
            <w:tcBorders/>
            <w:vAlign w:val="bottom"/>
          </w:tcPr>
          <w:p>
            <w:pPr>
              <w:pStyle w:val="TableContents"/>
              <w:bidi w:val="0"/>
              <w:spacing w:before="0" w:after="283"/>
              <w:jc w:val="left"/>
              <w:rPr/>
            </w:pPr>
            <w:r>
              <w:rPr/>
              <w:t> </w:t>
            </w:r>
          </w:p>
        </w:tc>
      </w:tr>
      <w:tr>
        <w:trPr/>
        <w:tc>
          <w:tcPr>
            <w:tcW w:w="4088"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99"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605" w:type="dxa"/>
            <w:tcBorders/>
            <w:vAlign w:val="bottom"/>
          </w:tcPr>
          <w:p>
            <w:pPr>
              <w:pStyle w:val="TableContents"/>
              <w:pBdr>
                <w:top w:val="single" w:sz="2" w:space="1" w:color="000000"/>
              </w:pBdr>
              <w:bidi w:val="0"/>
              <w:spacing w:before="0" w:after="0"/>
              <w:jc w:val="left"/>
              <w:rPr/>
            </w:pPr>
            <w:r>
              <w:rPr/>
              <w:t> </w:t>
            </w:r>
          </w:p>
        </w:tc>
        <w:tc>
          <w:tcPr>
            <w:tcW w:w="98"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99"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088"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 excluding charges &amp; credits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9" w:type="dxa"/>
            <w:tcBorders/>
            <w:shd w:fill="CCEEFF" w:val="clear"/>
            <w:vAlign w:val="bottom"/>
          </w:tcPr>
          <w:p>
            <w:pPr>
              <w:pStyle w:val="TableContents"/>
              <w:bidi w:val="0"/>
              <w:spacing w:before="0" w:after="283"/>
              <w:jc w:val="right"/>
              <w:rPr/>
            </w:pPr>
            <w:r>
              <w:rPr/>
              <w:t>1,088</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40" w:type="dxa"/>
            <w:tcBorders/>
            <w:shd w:fill="CCEEFF" w:val="clear"/>
            <w:vAlign w:val="bottom"/>
          </w:tcPr>
          <w:p>
            <w:pPr>
              <w:pStyle w:val="TableContents"/>
              <w:bidi w:val="0"/>
              <w:spacing w:before="0" w:after="283"/>
              <w:jc w:val="right"/>
              <w:rPr/>
            </w:pPr>
            <w:r>
              <w:rPr/>
              <w:t>223</w:t>
            </w:r>
          </w:p>
        </w:tc>
        <w:tc>
          <w:tcPr>
            <w:tcW w:w="9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605" w:type="dxa"/>
            <w:tcBorders/>
            <w:shd w:fill="CCEEFF" w:val="clear"/>
            <w:vAlign w:val="bottom"/>
          </w:tcPr>
          <w:p>
            <w:pPr>
              <w:pStyle w:val="TableContents"/>
              <w:bidi w:val="0"/>
              <w:spacing w:before="0" w:after="283"/>
              <w:jc w:val="right"/>
              <w:rPr/>
            </w:pPr>
            <w:r>
              <w:rPr/>
              <w:t>32</w:t>
            </w:r>
          </w:p>
        </w:tc>
        <w:tc>
          <w:tcPr>
            <w:tcW w:w="9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40" w:type="dxa"/>
            <w:tcBorders/>
            <w:shd w:fill="CCEEFF" w:val="clear"/>
            <w:vAlign w:val="bottom"/>
          </w:tcPr>
          <w:p>
            <w:pPr>
              <w:pStyle w:val="TableContents"/>
              <w:bidi w:val="0"/>
              <w:spacing w:before="0" w:after="283"/>
              <w:jc w:val="right"/>
              <w:rPr/>
            </w:pPr>
            <w:r>
              <w:rPr/>
              <w:t>833</w:t>
            </w:r>
          </w:p>
        </w:tc>
        <w:tc>
          <w:tcPr>
            <w:tcW w:w="9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0.55</w:t>
            </w:r>
          </w:p>
        </w:tc>
        <w:tc>
          <w:tcPr>
            <w:tcW w:w="67" w:type="dxa"/>
            <w:tcBorders/>
            <w:shd w:fill="CCEEFF" w:val="clear"/>
            <w:vAlign w:val="bottom"/>
          </w:tcPr>
          <w:p>
            <w:pPr>
              <w:pStyle w:val="TableContents"/>
              <w:bidi w:val="0"/>
              <w:spacing w:before="0" w:after="283"/>
              <w:jc w:val="left"/>
              <w:rPr/>
            </w:pPr>
            <w:r>
              <w:rPr/>
              <w:t> </w:t>
            </w:r>
          </w:p>
        </w:tc>
      </w:tr>
      <w:tr>
        <w:trPr/>
        <w:tc>
          <w:tcPr>
            <w:tcW w:w="4088"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40" w:type="dxa"/>
            <w:tcBorders/>
            <w:vAlign w:val="bottom"/>
          </w:tcPr>
          <w:p>
            <w:pPr>
              <w:pStyle w:val="TableContents"/>
              <w:pBdr>
                <w:top w:val="double" w:sz="6" w:space="1" w:color="000000"/>
              </w:pBdr>
              <w:bidi w:val="0"/>
              <w:spacing w:before="0" w:after="0"/>
              <w:jc w:val="left"/>
              <w:rPr/>
            </w:pPr>
            <w:r>
              <w:rPr/>
              <w:t> </w:t>
            </w:r>
          </w:p>
        </w:tc>
        <w:tc>
          <w:tcPr>
            <w:tcW w:w="99"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605" w:type="dxa"/>
            <w:tcBorders/>
            <w:vAlign w:val="bottom"/>
          </w:tcPr>
          <w:p>
            <w:pPr>
              <w:pStyle w:val="TableContents"/>
              <w:pBdr>
                <w:top w:val="double" w:sz="6" w:space="1" w:color="000000"/>
              </w:pBdr>
              <w:bidi w:val="0"/>
              <w:spacing w:before="0" w:after="0"/>
              <w:jc w:val="left"/>
              <w:rPr/>
            </w:pPr>
            <w:r>
              <w:rPr/>
              <w:t> </w:t>
            </w:r>
          </w:p>
        </w:tc>
        <w:tc>
          <w:tcPr>
            <w:tcW w:w="98"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40" w:type="dxa"/>
            <w:tcBorders/>
            <w:vAlign w:val="bottom"/>
          </w:tcPr>
          <w:p>
            <w:pPr>
              <w:pStyle w:val="TableContents"/>
              <w:pBdr>
                <w:top w:val="double" w:sz="6" w:space="1" w:color="000000"/>
              </w:pBdr>
              <w:bidi w:val="0"/>
              <w:spacing w:before="0" w:after="0"/>
              <w:jc w:val="left"/>
              <w:rPr/>
            </w:pPr>
            <w:r>
              <w:rPr/>
              <w:t> </w:t>
            </w:r>
          </w:p>
        </w:tc>
        <w:tc>
          <w:tcPr>
            <w:tcW w:w="99"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73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13"/>
        <w:gridCol w:w="214"/>
        <w:gridCol w:w="166"/>
        <w:gridCol w:w="456"/>
        <w:gridCol w:w="60"/>
        <w:gridCol w:w="214"/>
        <w:gridCol w:w="140"/>
        <w:gridCol w:w="391"/>
        <w:gridCol w:w="60"/>
        <w:gridCol w:w="214"/>
        <w:gridCol w:w="334"/>
        <w:gridCol w:w="630"/>
        <w:gridCol w:w="60"/>
        <w:gridCol w:w="214"/>
        <w:gridCol w:w="140"/>
        <w:gridCol w:w="390"/>
        <w:gridCol w:w="60"/>
        <w:gridCol w:w="214"/>
        <w:gridCol w:w="175"/>
        <w:gridCol w:w="595"/>
        <w:gridCol w:w="65"/>
      </w:tblGrid>
      <w:tr>
        <w:trPr/>
        <w:tc>
          <w:tcPr>
            <w:tcW w:w="5413"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41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4513"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First Quarter 2026</w:t>
            </w:r>
          </w:p>
        </w:tc>
        <w:tc>
          <w:tcPr>
            <w:tcW w:w="65" w:type="dxa"/>
            <w:tcBorders/>
            <w:vAlign w:val="bottom"/>
          </w:tcPr>
          <w:p>
            <w:pPr>
              <w:pStyle w:val="TableContents"/>
              <w:bidi w:val="0"/>
              <w:spacing w:before="0" w:after="283"/>
              <w:jc w:val="left"/>
              <w:rPr/>
            </w:pPr>
            <w:r>
              <w:rPr/>
              <w:t> </w:t>
            </w:r>
          </w:p>
        </w:tc>
      </w:tr>
      <w:tr>
        <w:trPr/>
        <w:tc>
          <w:tcPr>
            <w:tcW w:w="541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pPr>
            <w:r>
              <w:rPr/>
              <w:t>Pretax</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531" w:type="dxa"/>
            <w:gridSpan w:val="2"/>
            <w:tcBorders>
              <w:bottom w:val="single" w:sz="8" w:space="0" w:color="000000"/>
            </w:tcBorders>
            <w:tcMar>
              <w:bottom w:w="28" w:type="dxa"/>
            </w:tcMar>
            <w:vAlign w:val="bottom"/>
          </w:tcPr>
          <w:p>
            <w:pPr>
              <w:pStyle w:val="TableContents"/>
              <w:bidi w:val="0"/>
              <w:spacing w:before="0" w:after="283"/>
              <w:jc w:val="center"/>
              <w:rPr/>
            </w:pPr>
            <w:r>
              <w:rPr/>
              <w:t>Tax</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pPr>
            <w:r>
              <w:rPr/>
              <w:t>Noncont.</w:t>
              <w:br/>
              <w:t>Interests</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pPr>
            <w:r>
              <w:rPr/>
              <w:t>Diluted</w:t>
              <w:br/>
              <w:t>EPS</w:t>
            </w:r>
          </w:p>
        </w:tc>
        <w:tc>
          <w:tcPr>
            <w:tcW w:w="65" w:type="dxa"/>
            <w:tcBorders/>
            <w:vAlign w:val="bottom"/>
          </w:tcPr>
          <w:p>
            <w:pPr>
              <w:pStyle w:val="TableContents"/>
              <w:bidi w:val="0"/>
              <w:spacing w:before="0" w:after="283"/>
              <w:jc w:val="left"/>
              <w:rPr/>
            </w:pPr>
            <w:r>
              <w:rPr/>
              <w:t> </w:t>
            </w:r>
          </w:p>
        </w:tc>
      </w:tr>
      <w:tr>
        <w:trPr/>
        <w:tc>
          <w:tcPr>
            <w:tcW w:w="5413"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 (GAAP basis)</w:t>
            </w:r>
          </w:p>
        </w:tc>
        <w:tc>
          <w:tcPr>
            <w:tcW w:w="21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456" w:type="dxa"/>
            <w:tcBorders/>
            <w:shd w:fill="CCEEFF" w:val="clear"/>
            <w:vAlign w:val="bottom"/>
          </w:tcPr>
          <w:p>
            <w:pPr>
              <w:pStyle w:val="TableContents"/>
              <w:bidi w:val="0"/>
              <w:spacing w:before="0" w:after="283"/>
              <w:jc w:val="right"/>
              <w:rPr/>
            </w:pPr>
            <w:r>
              <w:rPr/>
              <w:t>956</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1" w:type="dxa"/>
            <w:tcBorders/>
            <w:shd w:fill="CCEEFF" w:val="clear"/>
            <w:vAlign w:val="bottom"/>
          </w:tcPr>
          <w:p>
            <w:pPr>
              <w:pStyle w:val="TableContents"/>
              <w:bidi w:val="0"/>
              <w:spacing w:before="0" w:after="283"/>
              <w:jc w:val="right"/>
              <w:rPr/>
            </w:pPr>
            <w:r>
              <w:rPr/>
              <w:t>195</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w:t>
            </w:r>
          </w:p>
        </w:tc>
        <w:tc>
          <w:tcPr>
            <w:tcW w:w="630"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0" w:type="dxa"/>
            <w:tcBorders/>
            <w:shd w:fill="CCEEFF" w:val="clear"/>
            <w:vAlign w:val="bottom"/>
          </w:tcPr>
          <w:p>
            <w:pPr>
              <w:pStyle w:val="TableContents"/>
              <w:bidi w:val="0"/>
              <w:spacing w:before="0" w:after="283"/>
              <w:jc w:val="right"/>
              <w:rPr/>
            </w:pPr>
            <w:r>
              <w:rPr/>
              <w:t>752</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0.50</w:t>
            </w:r>
          </w:p>
        </w:tc>
        <w:tc>
          <w:tcPr>
            <w:tcW w:w="65" w:type="dxa"/>
            <w:tcBorders/>
            <w:shd w:fill="CCEEFF" w:val="clear"/>
            <w:vAlign w:val="bottom"/>
          </w:tcPr>
          <w:p>
            <w:pPr>
              <w:pStyle w:val="TableContents"/>
              <w:bidi w:val="0"/>
              <w:spacing w:before="0" w:after="283"/>
              <w:jc w:val="left"/>
              <w:rPr/>
            </w:pPr>
            <w:r>
              <w:rPr/>
              <w:t> </w:t>
            </w:r>
          </w:p>
        </w:tc>
      </w:tr>
      <w:tr>
        <w:trPr/>
        <w:tc>
          <w:tcPr>
            <w:tcW w:w="5413" w:type="dxa"/>
            <w:tcBorders/>
          </w:tcPr>
          <w:p>
            <w:pPr>
              <w:pStyle w:val="TableContents"/>
              <w:bidi w:val="0"/>
              <w:spacing w:before="0" w:after="0"/>
              <w:jc w:val="left"/>
              <w:rPr>
                <w:rFonts w:ascii="Arial" w:hAnsi="Arial"/>
                <w:sz w:val="20"/>
              </w:rPr>
            </w:pPr>
            <w:r>
              <w:rPr>
                <w:rFonts w:ascii="Arial" w:hAnsi="Arial"/>
                <w:sz w:val="20"/>
              </w:rPr>
              <w:t>Merger and integration (1)</w:t>
            </w:r>
          </w:p>
        </w:tc>
        <w:tc>
          <w:tcPr>
            <w:tcW w:w="21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0.02</w:t>
            </w:r>
          </w:p>
        </w:tc>
        <w:tc>
          <w:tcPr>
            <w:tcW w:w="65" w:type="dxa"/>
            <w:tcBorders/>
            <w:vAlign w:val="bottom"/>
          </w:tcPr>
          <w:p>
            <w:pPr>
              <w:pStyle w:val="TableContents"/>
              <w:bidi w:val="0"/>
              <w:spacing w:before="0" w:after="283"/>
              <w:jc w:val="left"/>
              <w:rPr/>
            </w:pPr>
            <w:r>
              <w:rPr/>
              <w:t> </w:t>
            </w:r>
          </w:p>
        </w:tc>
      </w:tr>
      <w:tr>
        <w:trPr/>
        <w:tc>
          <w:tcPr>
            <w:tcW w:w="5413"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334"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413"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 excluding charges &amp; credits</w:t>
            </w:r>
          </w:p>
        </w:tc>
        <w:tc>
          <w:tcPr>
            <w:tcW w:w="21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456" w:type="dxa"/>
            <w:tcBorders/>
            <w:shd w:fill="CCEEFF" w:val="clear"/>
            <w:vAlign w:val="bottom"/>
          </w:tcPr>
          <w:p>
            <w:pPr>
              <w:pStyle w:val="TableContents"/>
              <w:bidi w:val="0"/>
              <w:spacing w:before="0" w:after="283"/>
              <w:jc w:val="right"/>
              <w:rPr/>
            </w:pPr>
            <w:r>
              <w:rPr/>
              <w:t>997</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1" w:type="dxa"/>
            <w:tcBorders/>
            <w:shd w:fill="CCEEFF" w:val="clear"/>
            <w:vAlign w:val="bottom"/>
          </w:tcPr>
          <w:p>
            <w:pPr>
              <w:pStyle w:val="TableContents"/>
              <w:bidi w:val="0"/>
              <w:spacing w:before="0" w:after="283"/>
              <w:jc w:val="right"/>
              <w:rPr/>
            </w:pPr>
            <w:r>
              <w:rPr/>
              <w:t>203</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w:t>
            </w:r>
          </w:p>
        </w:tc>
        <w:tc>
          <w:tcPr>
            <w:tcW w:w="630"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0" w:type="dxa"/>
            <w:tcBorders/>
            <w:shd w:fill="CCEEFF" w:val="clear"/>
            <w:vAlign w:val="bottom"/>
          </w:tcPr>
          <w:p>
            <w:pPr>
              <w:pStyle w:val="TableContents"/>
              <w:bidi w:val="0"/>
              <w:spacing w:before="0" w:after="283"/>
              <w:jc w:val="right"/>
              <w:rPr/>
            </w:pPr>
            <w:r>
              <w:rPr/>
              <w:t>783</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0.52</w:t>
            </w:r>
          </w:p>
        </w:tc>
        <w:tc>
          <w:tcPr>
            <w:tcW w:w="65" w:type="dxa"/>
            <w:tcBorders/>
            <w:shd w:fill="CCEEFF" w:val="clear"/>
            <w:vAlign w:val="bottom"/>
          </w:tcPr>
          <w:p>
            <w:pPr>
              <w:pStyle w:val="TableContents"/>
              <w:bidi w:val="0"/>
              <w:spacing w:before="0" w:after="283"/>
              <w:jc w:val="left"/>
              <w:rPr/>
            </w:pPr>
            <w:r>
              <w:rPr/>
              <w:t> </w:t>
            </w:r>
          </w:p>
        </w:tc>
      </w:tr>
      <w:tr>
        <w:trPr/>
        <w:tc>
          <w:tcPr>
            <w:tcW w:w="5413"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4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334" w:type="dxa"/>
            <w:tcBorders/>
            <w:vAlign w:val="bottom"/>
          </w:tcPr>
          <w:p>
            <w:pPr>
              <w:pStyle w:val="TableContents"/>
              <w:pBdr>
                <w:top w:val="double" w:sz="6" w:space="1" w:color="000000"/>
              </w:pBdr>
              <w:bidi w:val="0"/>
              <w:spacing w:before="0" w:after="0"/>
              <w:jc w:val="left"/>
              <w:rPr/>
            </w:pPr>
            <w:r>
              <w:rPr/>
              <w:t> </w:t>
            </w:r>
          </w:p>
        </w:tc>
        <w:tc>
          <w:tcPr>
            <w:tcW w:w="6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95"/>
        <w:gridCol w:w="202"/>
        <w:gridCol w:w="140"/>
        <w:gridCol w:w="589"/>
        <w:gridCol w:w="155"/>
        <w:gridCol w:w="149"/>
        <w:gridCol w:w="140"/>
        <w:gridCol w:w="382"/>
        <w:gridCol w:w="155"/>
        <w:gridCol w:w="149"/>
        <w:gridCol w:w="262"/>
        <w:gridCol w:w="678"/>
        <w:gridCol w:w="60"/>
        <w:gridCol w:w="202"/>
        <w:gridCol w:w="140"/>
        <w:gridCol w:w="589"/>
        <w:gridCol w:w="155"/>
        <w:gridCol w:w="148"/>
        <w:gridCol w:w="154"/>
        <w:gridCol w:w="598"/>
        <w:gridCol w:w="163"/>
      </w:tblGrid>
      <w:tr>
        <w:trPr/>
        <w:tc>
          <w:tcPr>
            <w:tcW w:w="499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9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484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Second Quarter 2025</w:t>
            </w:r>
          </w:p>
        </w:tc>
        <w:tc>
          <w:tcPr>
            <w:tcW w:w="163" w:type="dxa"/>
            <w:tcBorders/>
            <w:vAlign w:val="bottom"/>
          </w:tcPr>
          <w:p>
            <w:pPr>
              <w:pStyle w:val="TableContents"/>
              <w:bidi w:val="0"/>
              <w:spacing w:before="0" w:after="283"/>
              <w:jc w:val="left"/>
              <w:rPr/>
            </w:pPr>
            <w:r>
              <w:rPr/>
              <w:t> </w:t>
            </w:r>
          </w:p>
        </w:tc>
      </w:tr>
      <w:tr>
        <w:trPr/>
        <w:tc>
          <w:tcPr>
            <w:tcW w:w="499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29" w:type="dxa"/>
            <w:gridSpan w:val="2"/>
            <w:tcBorders>
              <w:bottom w:val="single" w:sz="8" w:space="0" w:color="000000"/>
            </w:tcBorders>
            <w:tcMar>
              <w:bottom w:w="28" w:type="dxa"/>
            </w:tcMar>
            <w:vAlign w:val="bottom"/>
          </w:tcPr>
          <w:p>
            <w:pPr>
              <w:pStyle w:val="TableContents"/>
              <w:bidi w:val="0"/>
              <w:spacing w:before="0" w:after="283"/>
              <w:jc w:val="center"/>
              <w:rPr/>
            </w:pPr>
            <w:r>
              <w:rPr/>
              <w:t>Pretax</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bottom"/>
          </w:tcPr>
          <w:p>
            <w:pPr>
              <w:pStyle w:val="TableContents"/>
              <w:bidi w:val="0"/>
              <w:spacing w:before="0" w:after="283"/>
              <w:jc w:val="center"/>
              <w:rPr/>
            </w:pPr>
            <w:r>
              <w:rPr/>
              <w:t>Tax</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Noncont.</w:t>
              <w:br/>
              <w:t>Interests</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29"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52" w:type="dxa"/>
            <w:gridSpan w:val="2"/>
            <w:tcBorders>
              <w:bottom w:val="single" w:sz="8" w:space="0" w:color="000000"/>
            </w:tcBorders>
            <w:tcMar>
              <w:bottom w:w="28" w:type="dxa"/>
            </w:tcMar>
            <w:vAlign w:val="bottom"/>
          </w:tcPr>
          <w:p>
            <w:pPr>
              <w:pStyle w:val="TableContents"/>
              <w:bidi w:val="0"/>
              <w:spacing w:before="0" w:after="283"/>
              <w:jc w:val="center"/>
              <w:rPr/>
            </w:pPr>
            <w:r>
              <w:rPr/>
              <w:t>Diluted</w:t>
              <w:br/>
              <w:t>EPS</w:t>
            </w:r>
          </w:p>
        </w:tc>
        <w:tc>
          <w:tcPr>
            <w:tcW w:w="163" w:type="dxa"/>
            <w:tcBorders/>
            <w:vAlign w:val="bottom"/>
          </w:tcPr>
          <w:p>
            <w:pPr>
              <w:pStyle w:val="TableContents"/>
              <w:bidi w:val="0"/>
              <w:spacing w:before="0" w:after="283"/>
              <w:jc w:val="left"/>
              <w:rPr/>
            </w:pPr>
            <w:r>
              <w:rPr/>
              <w:t> </w:t>
            </w:r>
          </w:p>
        </w:tc>
      </w:tr>
      <w:tr>
        <w:trPr/>
        <w:tc>
          <w:tcPr>
            <w:tcW w:w="4995"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 (GAAP basis)</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9" w:type="dxa"/>
            <w:tcBorders/>
            <w:shd w:fill="CCEEFF" w:val="clear"/>
            <w:vAlign w:val="bottom"/>
          </w:tcPr>
          <w:p>
            <w:pPr>
              <w:pStyle w:val="TableContents"/>
              <w:bidi w:val="0"/>
              <w:spacing w:before="0" w:after="283"/>
              <w:jc w:val="right"/>
              <w:rPr/>
            </w:pPr>
            <w:r>
              <w:rPr/>
              <w:t>1,285</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2" w:type="dxa"/>
            <w:tcBorders/>
            <w:shd w:fill="CCEEFF" w:val="clear"/>
            <w:vAlign w:val="bottom"/>
          </w:tcPr>
          <w:p>
            <w:pPr>
              <w:pStyle w:val="TableContents"/>
              <w:bidi w:val="0"/>
              <w:spacing w:before="0" w:after="283"/>
              <w:jc w:val="right"/>
              <w:rPr/>
            </w:pPr>
            <w:r>
              <w:rPr/>
              <w:t>237</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678"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9" w:type="dxa"/>
            <w:tcBorders/>
            <w:shd w:fill="CCEEFF" w:val="clear"/>
            <w:vAlign w:val="bottom"/>
          </w:tcPr>
          <w:p>
            <w:pPr>
              <w:pStyle w:val="TableContents"/>
              <w:bidi w:val="0"/>
              <w:spacing w:before="0" w:after="283"/>
              <w:jc w:val="right"/>
              <w:rPr/>
            </w:pPr>
            <w:r>
              <w:rPr/>
              <w:t>1,014</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598" w:type="dxa"/>
            <w:tcBorders/>
            <w:shd w:fill="CCEEFF" w:val="clear"/>
            <w:vAlign w:val="bottom"/>
          </w:tcPr>
          <w:p>
            <w:pPr>
              <w:pStyle w:val="TableContents"/>
              <w:bidi w:val="0"/>
              <w:spacing w:before="0" w:after="283"/>
              <w:jc w:val="right"/>
              <w:rPr/>
            </w:pPr>
            <w:r>
              <w:rPr/>
              <w:t>0.74</w:t>
            </w:r>
          </w:p>
        </w:tc>
        <w:tc>
          <w:tcPr>
            <w:tcW w:w="163" w:type="dxa"/>
            <w:tcBorders/>
            <w:shd w:fill="CCEEFF" w:val="clear"/>
            <w:vAlign w:val="bottom"/>
          </w:tcPr>
          <w:p>
            <w:pPr>
              <w:pStyle w:val="TableContents"/>
              <w:bidi w:val="0"/>
              <w:spacing w:before="0" w:after="283"/>
              <w:jc w:val="left"/>
              <w:rPr/>
            </w:pPr>
            <w:r>
              <w:rPr/>
              <w:t> </w:t>
            </w:r>
          </w:p>
        </w:tc>
      </w:tr>
      <w:tr>
        <w:trPr/>
        <w:tc>
          <w:tcPr>
            <w:tcW w:w="4995" w:type="dxa"/>
            <w:tcBorders/>
          </w:tcPr>
          <w:p>
            <w:pPr>
              <w:pStyle w:val="TableContents"/>
              <w:bidi w:val="0"/>
              <w:spacing w:before="0" w:after="0"/>
              <w:jc w:val="left"/>
              <w:rPr>
                <w:rFonts w:ascii="Arial" w:hAnsi="Arial"/>
                <w:sz w:val="20"/>
              </w:rPr>
            </w:pPr>
            <w:r>
              <w:rPr>
                <w:rFonts w:ascii="Arial" w:hAnsi="Arial"/>
                <w:sz w:val="20"/>
              </w:rPr>
              <w:t>Impairment of equity method investment (2)</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69</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0.04</w:t>
            </w:r>
          </w:p>
        </w:tc>
        <w:tc>
          <w:tcPr>
            <w:tcW w:w="163" w:type="dxa"/>
            <w:tcBorders/>
            <w:vAlign w:val="bottom"/>
          </w:tcPr>
          <w:p>
            <w:pPr>
              <w:pStyle w:val="TableContents"/>
              <w:bidi w:val="0"/>
              <w:spacing w:before="0" w:after="283"/>
              <w:jc w:val="left"/>
              <w:rPr/>
            </w:pPr>
            <w:r>
              <w:rPr/>
              <w:t> </w:t>
            </w:r>
          </w:p>
        </w:tc>
      </w:tr>
      <w:tr>
        <w:trPr/>
        <w:tc>
          <w:tcPr>
            <w:tcW w:w="4995" w:type="dxa"/>
            <w:tcBorders/>
            <w:shd w:fill="CCEEFF" w:val="clear"/>
          </w:tcPr>
          <w:p>
            <w:pPr>
              <w:pStyle w:val="TableContents"/>
              <w:bidi w:val="0"/>
              <w:spacing w:before="0" w:after="0"/>
              <w:jc w:val="left"/>
              <w:rPr>
                <w:rFonts w:ascii="Arial" w:hAnsi="Arial"/>
                <w:sz w:val="20"/>
              </w:rPr>
            </w:pPr>
            <w:r>
              <w:rPr>
                <w:rFonts w:ascii="Arial" w:hAnsi="Arial"/>
                <w:sz w:val="20"/>
              </w:rPr>
              <w:t>Workforce reductions (2)</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63</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0.05</w:t>
            </w:r>
          </w:p>
        </w:tc>
        <w:tc>
          <w:tcPr>
            <w:tcW w:w="163" w:type="dxa"/>
            <w:tcBorders/>
            <w:shd w:fill="CCEEFF" w:val="clear"/>
            <w:vAlign w:val="bottom"/>
          </w:tcPr>
          <w:p>
            <w:pPr>
              <w:pStyle w:val="TableContents"/>
              <w:bidi w:val="0"/>
              <w:spacing w:before="0" w:after="283"/>
              <w:jc w:val="left"/>
              <w:rPr/>
            </w:pPr>
            <w:r>
              <w:rPr/>
              <w:t> </w:t>
            </w:r>
          </w:p>
        </w:tc>
      </w:tr>
      <w:tr>
        <w:trPr/>
        <w:tc>
          <w:tcPr>
            <w:tcW w:w="4995" w:type="dxa"/>
            <w:tcBorders/>
          </w:tcPr>
          <w:p>
            <w:pPr>
              <w:pStyle w:val="TableContents"/>
              <w:bidi w:val="0"/>
              <w:spacing w:before="0" w:after="0"/>
              <w:jc w:val="left"/>
              <w:rPr>
                <w:rFonts w:ascii="Arial" w:hAnsi="Arial"/>
                <w:sz w:val="20"/>
              </w:rPr>
            </w:pPr>
            <w:r>
              <w:rPr>
                <w:rFonts w:ascii="Arial" w:hAnsi="Arial"/>
                <w:sz w:val="20"/>
              </w:rPr>
              <w:t>Merger &amp; integration (1)</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0.02</w:t>
            </w:r>
          </w:p>
        </w:tc>
        <w:tc>
          <w:tcPr>
            <w:tcW w:w="163" w:type="dxa"/>
            <w:tcBorders/>
            <w:vAlign w:val="bottom"/>
          </w:tcPr>
          <w:p>
            <w:pPr>
              <w:pStyle w:val="TableContents"/>
              <w:bidi w:val="0"/>
              <w:spacing w:before="0" w:after="283"/>
              <w:jc w:val="left"/>
              <w:rPr/>
            </w:pPr>
            <w:r>
              <w:rPr/>
              <w:t> </w:t>
            </w:r>
          </w:p>
        </w:tc>
      </w:tr>
      <w:tr>
        <w:trPr/>
        <w:tc>
          <w:tcPr>
            <w:tcW w:w="4995" w:type="dxa"/>
            <w:tcBorders/>
            <w:shd w:fill="CCEEFF" w:val="clear"/>
          </w:tcPr>
          <w:p>
            <w:pPr>
              <w:pStyle w:val="TableContents"/>
              <w:bidi w:val="0"/>
              <w:spacing w:before="0" w:after="0"/>
              <w:jc w:val="left"/>
              <w:rPr>
                <w:rFonts w:ascii="Arial" w:hAnsi="Arial"/>
                <w:sz w:val="20"/>
              </w:rPr>
            </w:pPr>
            <w:r>
              <w:rPr>
                <w:rFonts w:ascii="Arial" w:hAnsi="Arial"/>
                <w:sz w:val="20"/>
              </w:rPr>
              <w:t>Gain on sale of Palliser APS project (3)</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(149</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(145</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(0.11</w:t>
            </w:r>
          </w:p>
        </w:tc>
        <w:tc>
          <w:tcPr>
            <w:tcW w:w="163" w:type="dxa"/>
            <w:tcBorders/>
            <w:shd w:fill="CCEEFF" w:val="clear"/>
            <w:vAlign w:val="bottom"/>
          </w:tcPr>
          <w:p>
            <w:pPr>
              <w:pStyle w:val="TableContents"/>
              <w:bidi w:val="0"/>
              <w:spacing w:before="0" w:after="283"/>
              <w:jc w:val="left"/>
              <w:rPr/>
            </w:pPr>
            <w:r>
              <w:rPr/>
              <w:t>) </w:t>
            </w:r>
          </w:p>
        </w:tc>
      </w:tr>
      <w:tr>
        <w:trPr/>
        <w:tc>
          <w:tcPr>
            <w:tcW w:w="499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5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995" w:type="dxa"/>
            <w:tcBorders/>
          </w:tcPr>
          <w:p>
            <w:pPr>
              <w:pStyle w:val="TableContents"/>
              <w:bidi w:val="0"/>
              <w:spacing w:before="0" w:after="0"/>
              <w:jc w:val="left"/>
              <w:rPr>
                <w:rFonts w:ascii="Arial" w:hAnsi="Arial"/>
                <w:sz w:val="20"/>
              </w:rPr>
            </w:pPr>
            <w:r>
              <w:rPr>
                <w:rFonts w:ascii="Arial" w:hAnsi="Arial"/>
                <w:sz w:val="20"/>
              </w:rPr>
              <w:t>Net income attributable to SLB, excluding charges &amp; credits</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9" w:type="dxa"/>
            <w:tcBorders/>
            <w:vAlign w:val="bottom"/>
          </w:tcPr>
          <w:p>
            <w:pPr>
              <w:pStyle w:val="TableContents"/>
              <w:bidi w:val="0"/>
              <w:spacing w:before="0" w:after="283"/>
              <w:jc w:val="right"/>
              <w:rPr/>
            </w:pPr>
            <w:r>
              <w:rPr/>
              <w:t>1,306</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2" w:type="dxa"/>
            <w:tcBorders/>
            <w:vAlign w:val="bottom"/>
          </w:tcPr>
          <w:p>
            <w:pPr>
              <w:pStyle w:val="TableContents"/>
              <w:bidi w:val="0"/>
              <w:spacing w:before="0" w:after="283"/>
              <w:jc w:val="right"/>
              <w:rPr/>
            </w:pPr>
            <w:r>
              <w:rPr/>
              <w:t>252</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w:t>
            </w:r>
          </w:p>
        </w:tc>
        <w:tc>
          <w:tcPr>
            <w:tcW w:w="678"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9" w:type="dxa"/>
            <w:tcBorders/>
            <w:vAlign w:val="bottom"/>
          </w:tcPr>
          <w:p>
            <w:pPr>
              <w:pStyle w:val="TableContents"/>
              <w:bidi w:val="0"/>
              <w:spacing w:before="0" w:after="283"/>
              <w:jc w:val="right"/>
              <w:rPr/>
            </w:pPr>
            <w:r>
              <w:rPr/>
              <w:t>1,016</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598" w:type="dxa"/>
            <w:tcBorders/>
            <w:vAlign w:val="bottom"/>
          </w:tcPr>
          <w:p>
            <w:pPr>
              <w:pStyle w:val="TableContents"/>
              <w:bidi w:val="0"/>
              <w:spacing w:before="0" w:after="283"/>
              <w:jc w:val="right"/>
              <w:rPr/>
            </w:pPr>
            <w:r>
              <w:rPr/>
              <w:t>0.74</w:t>
            </w:r>
          </w:p>
        </w:tc>
        <w:tc>
          <w:tcPr>
            <w:tcW w:w="163" w:type="dxa"/>
            <w:tcBorders/>
            <w:vAlign w:val="bottom"/>
          </w:tcPr>
          <w:p>
            <w:pPr>
              <w:pStyle w:val="TableContents"/>
              <w:bidi w:val="0"/>
              <w:spacing w:before="0" w:after="283"/>
              <w:jc w:val="left"/>
              <w:rPr/>
            </w:pPr>
            <w:r>
              <w:rPr/>
              <w:t> </w:t>
            </w:r>
          </w:p>
        </w:tc>
      </w:tr>
      <w:tr>
        <w:trPr/>
        <w:tc>
          <w:tcPr>
            <w:tcW w:w="499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59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995"/>
        <w:gridCol w:w="202"/>
        <w:gridCol w:w="140"/>
        <w:gridCol w:w="589"/>
        <w:gridCol w:w="155"/>
        <w:gridCol w:w="149"/>
        <w:gridCol w:w="140"/>
        <w:gridCol w:w="382"/>
        <w:gridCol w:w="155"/>
        <w:gridCol w:w="149"/>
        <w:gridCol w:w="262"/>
        <w:gridCol w:w="678"/>
        <w:gridCol w:w="60"/>
        <w:gridCol w:w="202"/>
        <w:gridCol w:w="140"/>
        <w:gridCol w:w="589"/>
        <w:gridCol w:w="155"/>
        <w:gridCol w:w="148"/>
        <w:gridCol w:w="154"/>
        <w:gridCol w:w="598"/>
        <w:gridCol w:w="163"/>
      </w:tblGrid>
      <w:tr>
        <w:trPr/>
        <w:tc>
          <w:tcPr>
            <w:tcW w:w="499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20"/>
            <w:tcBorders/>
            <w:vAlign w:val="bottom"/>
          </w:tcPr>
          <w:p>
            <w:pPr>
              <w:pStyle w:val="TableContents"/>
              <w:bidi w:val="0"/>
              <w:spacing w:before="0" w:after="283"/>
              <w:jc w:val="right"/>
              <w:rPr>
                <w:sz w:val="16"/>
              </w:rPr>
            </w:pPr>
            <w:r>
              <w:rPr>
                <w:sz w:val="16"/>
              </w:rPr>
              <w:t>(Stated in millions, except per share amounts)</w:t>
            </w:r>
          </w:p>
        </w:tc>
        <w:tc>
          <w:tcPr>
            <w:tcW w:w="163" w:type="dxa"/>
            <w:tcBorders/>
            <w:vAlign w:val="bottom"/>
          </w:tcPr>
          <w:p>
            <w:pPr>
              <w:pStyle w:val="TableContents"/>
              <w:bidi w:val="0"/>
              <w:spacing w:before="0" w:after="283"/>
              <w:jc w:val="left"/>
              <w:rPr/>
            </w:pPr>
            <w:r>
              <w:rPr/>
              <w:t> </w:t>
            </w:r>
          </w:p>
        </w:tc>
      </w:tr>
      <w:tr>
        <w:trPr/>
        <w:tc>
          <w:tcPr>
            <w:tcW w:w="499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484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Six Months 2026</w:t>
            </w:r>
          </w:p>
        </w:tc>
        <w:tc>
          <w:tcPr>
            <w:tcW w:w="163" w:type="dxa"/>
            <w:tcBorders/>
            <w:vAlign w:val="bottom"/>
          </w:tcPr>
          <w:p>
            <w:pPr>
              <w:pStyle w:val="TableContents"/>
              <w:bidi w:val="0"/>
              <w:spacing w:before="0" w:after="283"/>
              <w:jc w:val="left"/>
              <w:rPr/>
            </w:pPr>
            <w:r>
              <w:rPr/>
              <w:t> </w:t>
            </w:r>
          </w:p>
        </w:tc>
      </w:tr>
      <w:tr>
        <w:trPr/>
        <w:tc>
          <w:tcPr>
            <w:tcW w:w="499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29" w:type="dxa"/>
            <w:gridSpan w:val="2"/>
            <w:tcBorders>
              <w:bottom w:val="single" w:sz="8" w:space="0" w:color="000000"/>
            </w:tcBorders>
            <w:tcMar>
              <w:bottom w:w="28" w:type="dxa"/>
            </w:tcMar>
            <w:vAlign w:val="bottom"/>
          </w:tcPr>
          <w:p>
            <w:pPr>
              <w:pStyle w:val="TableContents"/>
              <w:bidi w:val="0"/>
              <w:spacing w:before="0" w:after="283"/>
              <w:jc w:val="center"/>
              <w:rPr/>
            </w:pPr>
            <w:r>
              <w:rPr/>
              <w:t>Pretax</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bottom"/>
          </w:tcPr>
          <w:p>
            <w:pPr>
              <w:pStyle w:val="TableContents"/>
              <w:bidi w:val="0"/>
              <w:spacing w:before="0" w:after="283"/>
              <w:jc w:val="center"/>
              <w:rPr/>
            </w:pPr>
            <w:r>
              <w:rPr/>
              <w:t>Tax</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Noncont.</w:t>
              <w:br/>
              <w:t>Interests</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29"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52" w:type="dxa"/>
            <w:gridSpan w:val="2"/>
            <w:tcBorders>
              <w:bottom w:val="single" w:sz="8" w:space="0" w:color="000000"/>
            </w:tcBorders>
            <w:tcMar>
              <w:bottom w:w="28" w:type="dxa"/>
            </w:tcMar>
            <w:vAlign w:val="bottom"/>
          </w:tcPr>
          <w:p>
            <w:pPr>
              <w:pStyle w:val="TableContents"/>
              <w:bidi w:val="0"/>
              <w:spacing w:before="0" w:after="283"/>
              <w:jc w:val="center"/>
              <w:rPr/>
            </w:pPr>
            <w:r>
              <w:rPr/>
              <w:t>Diluted</w:t>
              <w:br/>
              <w:t>EPS</w:t>
            </w:r>
          </w:p>
        </w:tc>
        <w:tc>
          <w:tcPr>
            <w:tcW w:w="163" w:type="dxa"/>
            <w:tcBorders/>
            <w:vAlign w:val="bottom"/>
          </w:tcPr>
          <w:p>
            <w:pPr>
              <w:pStyle w:val="TableContents"/>
              <w:bidi w:val="0"/>
              <w:spacing w:before="0" w:after="283"/>
              <w:jc w:val="left"/>
              <w:rPr/>
            </w:pPr>
            <w:r>
              <w:rPr/>
              <w:t> </w:t>
            </w:r>
          </w:p>
        </w:tc>
      </w:tr>
      <w:tr>
        <w:trPr/>
        <w:tc>
          <w:tcPr>
            <w:tcW w:w="4995"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 (GAAP basis)</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9" w:type="dxa"/>
            <w:tcBorders/>
            <w:shd w:fill="CCEEFF" w:val="clear"/>
            <w:vAlign w:val="bottom"/>
          </w:tcPr>
          <w:p>
            <w:pPr>
              <w:pStyle w:val="TableContents"/>
              <w:bidi w:val="0"/>
              <w:spacing w:before="0" w:after="283"/>
              <w:jc w:val="right"/>
              <w:rPr/>
            </w:pPr>
            <w:r>
              <w:rPr/>
              <w:t>1,975</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2" w:type="dxa"/>
            <w:tcBorders/>
            <w:shd w:fill="CCEEFF" w:val="clear"/>
            <w:vAlign w:val="bottom"/>
          </w:tcPr>
          <w:p>
            <w:pPr>
              <w:pStyle w:val="TableContents"/>
              <w:bidi w:val="0"/>
              <w:spacing w:before="0" w:after="283"/>
              <w:jc w:val="right"/>
              <w:rPr/>
            </w:pPr>
            <w:r>
              <w:rPr/>
              <w:t>399</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678"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9" w:type="dxa"/>
            <w:tcBorders/>
            <w:shd w:fill="CCEEFF" w:val="clear"/>
            <w:vAlign w:val="bottom"/>
          </w:tcPr>
          <w:p>
            <w:pPr>
              <w:pStyle w:val="TableContents"/>
              <w:bidi w:val="0"/>
              <w:spacing w:before="0" w:after="283"/>
              <w:jc w:val="right"/>
              <w:rPr/>
            </w:pPr>
            <w:r>
              <w:rPr/>
              <w:t>1,538</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598" w:type="dxa"/>
            <w:tcBorders/>
            <w:shd w:fill="CCEEFF" w:val="clear"/>
            <w:vAlign w:val="bottom"/>
          </w:tcPr>
          <w:p>
            <w:pPr>
              <w:pStyle w:val="TableContents"/>
              <w:bidi w:val="0"/>
              <w:spacing w:before="0" w:after="283"/>
              <w:jc w:val="right"/>
              <w:rPr/>
            </w:pPr>
            <w:r>
              <w:rPr/>
              <w:t>1.02</w:t>
            </w:r>
          </w:p>
        </w:tc>
        <w:tc>
          <w:tcPr>
            <w:tcW w:w="163" w:type="dxa"/>
            <w:tcBorders/>
            <w:shd w:fill="CCEEFF" w:val="clear"/>
            <w:vAlign w:val="bottom"/>
          </w:tcPr>
          <w:p>
            <w:pPr>
              <w:pStyle w:val="TableContents"/>
              <w:bidi w:val="0"/>
              <w:spacing w:before="0" w:after="283"/>
              <w:jc w:val="left"/>
              <w:rPr/>
            </w:pPr>
            <w:r>
              <w:rPr/>
              <w:t> </w:t>
            </w:r>
          </w:p>
        </w:tc>
      </w:tr>
      <w:tr>
        <w:trPr/>
        <w:tc>
          <w:tcPr>
            <w:tcW w:w="4995" w:type="dxa"/>
            <w:tcBorders/>
          </w:tcPr>
          <w:p>
            <w:pPr>
              <w:pStyle w:val="TableContents"/>
              <w:bidi w:val="0"/>
              <w:spacing w:before="0" w:after="0"/>
              <w:jc w:val="left"/>
              <w:rPr>
                <w:rFonts w:ascii="Arial" w:hAnsi="Arial"/>
                <w:sz w:val="20"/>
              </w:rPr>
            </w:pPr>
            <w:r>
              <w:rPr>
                <w:rFonts w:ascii="Arial" w:hAnsi="Arial"/>
                <w:sz w:val="20"/>
              </w:rPr>
              <w:t>Merger and integration (1)</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110</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78</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0.05</w:t>
            </w:r>
          </w:p>
        </w:tc>
        <w:tc>
          <w:tcPr>
            <w:tcW w:w="163" w:type="dxa"/>
            <w:tcBorders/>
            <w:vAlign w:val="bottom"/>
          </w:tcPr>
          <w:p>
            <w:pPr>
              <w:pStyle w:val="TableContents"/>
              <w:bidi w:val="0"/>
              <w:spacing w:before="0" w:after="283"/>
              <w:jc w:val="left"/>
              <w:rPr/>
            </w:pPr>
            <w:r>
              <w:rPr/>
              <w:t> </w:t>
            </w:r>
          </w:p>
        </w:tc>
      </w:tr>
      <w:tr>
        <w:trPr/>
        <w:tc>
          <w:tcPr>
            <w:tcW w:w="499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5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995"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 excluding charges &amp; credits</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9" w:type="dxa"/>
            <w:tcBorders/>
            <w:shd w:fill="CCEEFF" w:val="clear"/>
            <w:vAlign w:val="bottom"/>
          </w:tcPr>
          <w:p>
            <w:pPr>
              <w:pStyle w:val="TableContents"/>
              <w:bidi w:val="0"/>
              <w:spacing w:before="0" w:after="283"/>
              <w:jc w:val="right"/>
              <w:rPr/>
            </w:pPr>
            <w:r>
              <w:rPr/>
              <w:t>2,085</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2" w:type="dxa"/>
            <w:tcBorders/>
            <w:shd w:fill="CCEEFF" w:val="clear"/>
            <w:vAlign w:val="bottom"/>
          </w:tcPr>
          <w:p>
            <w:pPr>
              <w:pStyle w:val="TableContents"/>
              <w:bidi w:val="0"/>
              <w:spacing w:before="0" w:after="283"/>
              <w:jc w:val="right"/>
              <w:rPr/>
            </w:pPr>
            <w:r>
              <w:rPr/>
              <w:t>426</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678" w:type="dxa"/>
            <w:tcBorders/>
            <w:shd w:fill="CCEEFF" w:val="clear"/>
            <w:vAlign w:val="bottom"/>
          </w:tcPr>
          <w:p>
            <w:pPr>
              <w:pStyle w:val="TableContents"/>
              <w:bidi w:val="0"/>
              <w:spacing w:before="0" w:after="283"/>
              <w:jc w:val="right"/>
              <w:rPr/>
            </w:pPr>
            <w:r>
              <w:rPr/>
              <w:t>43</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9" w:type="dxa"/>
            <w:tcBorders/>
            <w:shd w:fill="CCEEFF" w:val="clear"/>
            <w:vAlign w:val="bottom"/>
          </w:tcPr>
          <w:p>
            <w:pPr>
              <w:pStyle w:val="TableContents"/>
              <w:bidi w:val="0"/>
              <w:spacing w:before="0" w:after="283"/>
              <w:jc w:val="right"/>
              <w:rPr/>
            </w:pPr>
            <w:r>
              <w:rPr/>
              <w:t>1,616</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598" w:type="dxa"/>
            <w:tcBorders/>
            <w:shd w:fill="CCEEFF" w:val="clear"/>
            <w:vAlign w:val="bottom"/>
          </w:tcPr>
          <w:p>
            <w:pPr>
              <w:pStyle w:val="TableContents"/>
              <w:bidi w:val="0"/>
              <w:spacing w:before="0" w:after="283"/>
              <w:jc w:val="right"/>
              <w:rPr/>
            </w:pPr>
            <w:r>
              <w:rPr/>
              <w:t>1.07</w:t>
            </w:r>
          </w:p>
        </w:tc>
        <w:tc>
          <w:tcPr>
            <w:tcW w:w="163" w:type="dxa"/>
            <w:tcBorders/>
            <w:shd w:fill="CCEEFF" w:val="clear"/>
            <w:vAlign w:val="bottom"/>
          </w:tcPr>
          <w:p>
            <w:pPr>
              <w:pStyle w:val="TableContents"/>
              <w:bidi w:val="0"/>
              <w:spacing w:before="0" w:after="283"/>
              <w:jc w:val="left"/>
              <w:rPr/>
            </w:pPr>
            <w:r>
              <w:rPr/>
              <w:t> </w:t>
            </w:r>
          </w:p>
        </w:tc>
      </w:tr>
      <w:tr>
        <w:trPr/>
        <w:tc>
          <w:tcPr>
            <w:tcW w:w="499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59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rHeight w:val="240" w:hRule="atLeast"/>
        </w:trPr>
        <w:tc>
          <w:tcPr>
            <w:tcW w:w="4995" w:type="dxa"/>
            <w:tcBorders/>
            <w:vAlign w:val="center"/>
          </w:tcPr>
          <w:p>
            <w:pPr>
              <w:pStyle w:val="TableContents"/>
              <w:bidi w:val="0"/>
              <w:spacing w:before="0" w:after="283"/>
              <w:jc w:val="left"/>
              <w:rPr>
                <w:sz w:val="4"/>
                <w:szCs w:val="4"/>
              </w:rPr>
            </w:pPr>
            <w:r>
              <w:rPr>
                <w:sz w:val="4"/>
                <w:szCs w:val="4"/>
              </w:rPr>
            </w:r>
          </w:p>
        </w:tc>
        <w:tc>
          <w:tcPr>
            <w:tcW w:w="5210" w:type="dxa"/>
            <w:gridSpan w:val="20"/>
            <w:tcBorders/>
            <w:vAlign w:val="center"/>
          </w:tcPr>
          <w:p>
            <w:pPr>
              <w:pStyle w:val="TableContents"/>
              <w:bidi w:val="0"/>
              <w:spacing w:before="0" w:after="283"/>
              <w:jc w:val="left"/>
              <w:rPr>
                <w:sz w:val="4"/>
                <w:szCs w:val="4"/>
              </w:rPr>
            </w:pPr>
            <w:r>
              <w:rPr>
                <w:sz w:val="4"/>
                <w:szCs w:val="4"/>
              </w:rPr>
            </w:r>
          </w:p>
        </w:tc>
      </w:tr>
      <w:tr>
        <w:trPr/>
        <w:tc>
          <w:tcPr>
            <w:tcW w:w="499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484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Six Months 2025</w:t>
            </w:r>
          </w:p>
        </w:tc>
        <w:tc>
          <w:tcPr>
            <w:tcW w:w="163" w:type="dxa"/>
            <w:tcBorders/>
            <w:vAlign w:val="bottom"/>
          </w:tcPr>
          <w:p>
            <w:pPr>
              <w:pStyle w:val="TableContents"/>
              <w:bidi w:val="0"/>
              <w:spacing w:before="0" w:after="283"/>
              <w:jc w:val="left"/>
              <w:rPr/>
            </w:pPr>
            <w:r>
              <w:rPr/>
              <w:t> </w:t>
            </w:r>
          </w:p>
        </w:tc>
      </w:tr>
      <w:tr>
        <w:trPr/>
        <w:tc>
          <w:tcPr>
            <w:tcW w:w="499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29" w:type="dxa"/>
            <w:gridSpan w:val="2"/>
            <w:tcBorders>
              <w:bottom w:val="single" w:sz="8" w:space="0" w:color="000000"/>
            </w:tcBorders>
            <w:tcMar>
              <w:bottom w:w="28" w:type="dxa"/>
            </w:tcMar>
            <w:vAlign w:val="bottom"/>
          </w:tcPr>
          <w:p>
            <w:pPr>
              <w:pStyle w:val="TableContents"/>
              <w:bidi w:val="0"/>
              <w:spacing w:before="0" w:after="283"/>
              <w:jc w:val="center"/>
              <w:rPr/>
            </w:pPr>
            <w:r>
              <w:rPr/>
              <w:t>Pretax</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bottom"/>
          </w:tcPr>
          <w:p>
            <w:pPr>
              <w:pStyle w:val="TableContents"/>
              <w:bidi w:val="0"/>
              <w:spacing w:before="0" w:after="283"/>
              <w:jc w:val="center"/>
              <w:rPr/>
            </w:pPr>
            <w:r>
              <w:rPr/>
              <w:t>Tax</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t>Noncont.</w:t>
              <w:br/>
              <w:t>Interests</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29"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52" w:type="dxa"/>
            <w:gridSpan w:val="2"/>
            <w:tcBorders>
              <w:bottom w:val="single" w:sz="8" w:space="0" w:color="000000"/>
            </w:tcBorders>
            <w:tcMar>
              <w:bottom w:w="28" w:type="dxa"/>
            </w:tcMar>
            <w:vAlign w:val="bottom"/>
          </w:tcPr>
          <w:p>
            <w:pPr>
              <w:pStyle w:val="TableContents"/>
              <w:bidi w:val="0"/>
              <w:spacing w:before="0" w:after="283"/>
              <w:jc w:val="center"/>
              <w:rPr/>
            </w:pPr>
            <w:r>
              <w:rPr/>
              <w:t>Diluted</w:t>
              <w:br/>
              <w:t>EPS *</w:t>
            </w:r>
          </w:p>
        </w:tc>
        <w:tc>
          <w:tcPr>
            <w:tcW w:w="163" w:type="dxa"/>
            <w:tcBorders/>
            <w:vAlign w:val="bottom"/>
          </w:tcPr>
          <w:p>
            <w:pPr>
              <w:pStyle w:val="TableContents"/>
              <w:bidi w:val="0"/>
              <w:spacing w:before="0" w:after="283"/>
              <w:jc w:val="left"/>
              <w:rPr/>
            </w:pPr>
            <w:r>
              <w:rPr/>
              <w:t> </w:t>
            </w:r>
          </w:p>
        </w:tc>
      </w:tr>
      <w:tr>
        <w:trPr/>
        <w:tc>
          <w:tcPr>
            <w:tcW w:w="4995"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 (GAAP basis)</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9" w:type="dxa"/>
            <w:tcBorders/>
            <w:shd w:fill="CCEEFF" w:val="clear"/>
            <w:vAlign w:val="bottom"/>
          </w:tcPr>
          <w:p>
            <w:pPr>
              <w:pStyle w:val="TableContents"/>
              <w:bidi w:val="0"/>
              <w:spacing w:before="0" w:after="283"/>
              <w:jc w:val="right"/>
              <w:rPr/>
            </w:pPr>
            <w:r>
              <w:rPr/>
              <w:t>2,348</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2" w:type="dxa"/>
            <w:tcBorders/>
            <w:shd w:fill="CCEEFF" w:val="clear"/>
            <w:vAlign w:val="bottom"/>
          </w:tcPr>
          <w:p>
            <w:pPr>
              <w:pStyle w:val="TableContents"/>
              <w:bidi w:val="0"/>
              <w:spacing w:before="0" w:after="283"/>
              <w:jc w:val="right"/>
              <w:rPr/>
            </w:pPr>
            <w:r>
              <w:rPr/>
              <w:t>471</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678" w:type="dxa"/>
            <w:tcBorders/>
            <w:shd w:fill="CCEEFF" w:val="clear"/>
            <w:vAlign w:val="bottom"/>
          </w:tcPr>
          <w:p>
            <w:pPr>
              <w:pStyle w:val="TableContents"/>
              <w:bidi w:val="0"/>
              <w:spacing w:before="0" w:after="283"/>
              <w:jc w:val="right"/>
              <w:rPr/>
            </w:pPr>
            <w:r>
              <w:rPr/>
              <w:t>66</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9" w:type="dxa"/>
            <w:tcBorders/>
            <w:shd w:fill="CCEEFF" w:val="clear"/>
            <w:vAlign w:val="bottom"/>
          </w:tcPr>
          <w:p>
            <w:pPr>
              <w:pStyle w:val="TableContents"/>
              <w:bidi w:val="0"/>
              <w:spacing w:before="0" w:after="283"/>
              <w:jc w:val="right"/>
              <w:rPr/>
            </w:pPr>
            <w:r>
              <w:rPr/>
              <w:t>1,811</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598" w:type="dxa"/>
            <w:tcBorders/>
            <w:shd w:fill="CCEEFF" w:val="clear"/>
            <w:vAlign w:val="bottom"/>
          </w:tcPr>
          <w:p>
            <w:pPr>
              <w:pStyle w:val="TableContents"/>
              <w:bidi w:val="0"/>
              <w:spacing w:before="0" w:after="283"/>
              <w:jc w:val="right"/>
              <w:rPr/>
            </w:pPr>
            <w:r>
              <w:rPr/>
              <w:t>1.32</w:t>
            </w:r>
          </w:p>
        </w:tc>
        <w:tc>
          <w:tcPr>
            <w:tcW w:w="163" w:type="dxa"/>
            <w:tcBorders/>
            <w:shd w:fill="CCEEFF" w:val="clear"/>
            <w:vAlign w:val="bottom"/>
          </w:tcPr>
          <w:p>
            <w:pPr>
              <w:pStyle w:val="TableContents"/>
              <w:bidi w:val="0"/>
              <w:spacing w:before="0" w:after="283"/>
              <w:jc w:val="left"/>
              <w:rPr/>
            </w:pPr>
            <w:r>
              <w:rPr/>
              <w:t> </w:t>
            </w:r>
          </w:p>
        </w:tc>
      </w:tr>
      <w:tr>
        <w:trPr/>
        <w:tc>
          <w:tcPr>
            <w:tcW w:w="4995" w:type="dxa"/>
            <w:tcBorders/>
          </w:tcPr>
          <w:p>
            <w:pPr>
              <w:pStyle w:val="TableContents"/>
              <w:bidi w:val="0"/>
              <w:spacing w:before="0" w:after="0"/>
              <w:jc w:val="left"/>
              <w:rPr>
                <w:rFonts w:ascii="Arial" w:hAnsi="Arial"/>
                <w:sz w:val="20"/>
              </w:rPr>
            </w:pPr>
            <w:r>
              <w:rPr>
                <w:rFonts w:ascii="Arial" w:hAnsi="Arial"/>
                <w:sz w:val="20"/>
              </w:rPr>
              <w:t>Workforce reductions (2)</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224</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0.15</w:t>
            </w:r>
          </w:p>
        </w:tc>
        <w:tc>
          <w:tcPr>
            <w:tcW w:w="163" w:type="dxa"/>
            <w:tcBorders/>
            <w:vAlign w:val="bottom"/>
          </w:tcPr>
          <w:p>
            <w:pPr>
              <w:pStyle w:val="TableContents"/>
              <w:bidi w:val="0"/>
              <w:spacing w:before="0" w:after="283"/>
              <w:jc w:val="left"/>
              <w:rPr/>
            </w:pPr>
            <w:r>
              <w:rPr/>
              <w:t> </w:t>
            </w:r>
          </w:p>
        </w:tc>
      </w:tr>
      <w:tr>
        <w:trPr/>
        <w:tc>
          <w:tcPr>
            <w:tcW w:w="4995" w:type="dxa"/>
            <w:tcBorders/>
            <w:shd w:fill="CCEEFF" w:val="clear"/>
          </w:tcPr>
          <w:p>
            <w:pPr>
              <w:pStyle w:val="TableContents"/>
              <w:bidi w:val="0"/>
              <w:spacing w:before="0" w:after="0"/>
              <w:jc w:val="left"/>
              <w:rPr>
                <w:rFonts w:ascii="Arial" w:hAnsi="Arial"/>
                <w:sz w:val="20"/>
              </w:rPr>
            </w:pPr>
            <w:r>
              <w:rPr>
                <w:rFonts w:ascii="Arial" w:hAnsi="Arial"/>
                <w:sz w:val="20"/>
              </w:rPr>
              <w:t>Merger &amp; integration (1)</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84</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72</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0.05</w:t>
            </w:r>
          </w:p>
        </w:tc>
        <w:tc>
          <w:tcPr>
            <w:tcW w:w="163" w:type="dxa"/>
            <w:tcBorders/>
            <w:shd w:fill="CCEEFF" w:val="clear"/>
            <w:vAlign w:val="bottom"/>
          </w:tcPr>
          <w:p>
            <w:pPr>
              <w:pStyle w:val="TableContents"/>
              <w:bidi w:val="0"/>
              <w:spacing w:before="0" w:after="283"/>
              <w:jc w:val="left"/>
              <w:rPr/>
            </w:pPr>
            <w:r>
              <w:rPr/>
              <w:t> </w:t>
            </w:r>
          </w:p>
        </w:tc>
      </w:tr>
      <w:tr>
        <w:trPr/>
        <w:tc>
          <w:tcPr>
            <w:tcW w:w="4995" w:type="dxa"/>
            <w:tcBorders/>
          </w:tcPr>
          <w:p>
            <w:pPr>
              <w:pStyle w:val="TableContents"/>
              <w:bidi w:val="0"/>
              <w:spacing w:before="0" w:after="0"/>
              <w:jc w:val="left"/>
              <w:rPr>
                <w:rFonts w:ascii="Arial" w:hAnsi="Arial"/>
                <w:sz w:val="20"/>
              </w:rPr>
            </w:pPr>
            <w:r>
              <w:rPr>
                <w:rFonts w:ascii="Arial" w:hAnsi="Arial"/>
                <w:sz w:val="20"/>
              </w:rPr>
              <w:t>Impairment of equity method investment (2)</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69</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0.04</w:t>
            </w:r>
          </w:p>
        </w:tc>
        <w:tc>
          <w:tcPr>
            <w:tcW w:w="163" w:type="dxa"/>
            <w:tcBorders/>
            <w:vAlign w:val="bottom"/>
          </w:tcPr>
          <w:p>
            <w:pPr>
              <w:pStyle w:val="TableContents"/>
              <w:bidi w:val="0"/>
              <w:spacing w:before="0" w:after="283"/>
              <w:jc w:val="left"/>
              <w:rPr/>
            </w:pPr>
            <w:r>
              <w:rPr/>
              <w:t> </w:t>
            </w:r>
          </w:p>
        </w:tc>
      </w:tr>
      <w:tr>
        <w:trPr/>
        <w:tc>
          <w:tcPr>
            <w:tcW w:w="4995" w:type="dxa"/>
            <w:tcBorders/>
            <w:shd w:fill="CCEEFF" w:val="clear"/>
          </w:tcPr>
          <w:p>
            <w:pPr>
              <w:pStyle w:val="TableContents"/>
              <w:bidi w:val="0"/>
              <w:spacing w:before="0" w:after="0"/>
              <w:jc w:val="left"/>
              <w:rPr>
                <w:rFonts w:ascii="Arial" w:hAnsi="Arial"/>
                <w:sz w:val="20"/>
              </w:rPr>
            </w:pPr>
            <w:r>
              <w:rPr>
                <w:rFonts w:ascii="Arial" w:hAnsi="Arial"/>
                <w:sz w:val="20"/>
              </w:rPr>
              <w:t>Gain on sale of Palliser APS project (3)</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(149</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(145</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(0.11</w:t>
            </w:r>
          </w:p>
        </w:tc>
        <w:tc>
          <w:tcPr>
            <w:tcW w:w="163" w:type="dxa"/>
            <w:tcBorders/>
            <w:shd w:fill="CCEEFF" w:val="clear"/>
            <w:vAlign w:val="bottom"/>
          </w:tcPr>
          <w:p>
            <w:pPr>
              <w:pStyle w:val="TableContents"/>
              <w:bidi w:val="0"/>
              <w:spacing w:before="0" w:after="283"/>
              <w:jc w:val="left"/>
              <w:rPr/>
            </w:pPr>
            <w:r>
              <w:rPr/>
              <w:t>) </w:t>
            </w:r>
          </w:p>
        </w:tc>
      </w:tr>
      <w:tr>
        <w:trPr/>
        <w:tc>
          <w:tcPr>
            <w:tcW w:w="499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5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995" w:type="dxa"/>
            <w:tcBorders/>
          </w:tcPr>
          <w:p>
            <w:pPr>
              <w:pStyle w:val="TableContents"/>
              <w:bidi w:val="0"/>
              <w:spacing w:before="0" w:after="0"/>
              <w:jc w:val="left"/>
              <w:rPr>
                <w:rFonts w:ascii="Arial" w:hAnsi="Arial"/>
                <w:sz w:val="20"/>
              </w:rPr>
            </w:pPr>
            <w:r>
              <w:rPr>
                <w:rFonts w:ascii="Arial" w:hAnsi="Arial"/>
                <w:sz w:val="20"/>
              </w:rPr>
              <w:t>Net income attributable to SLB, excluding charges &amp; credits</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9" w:type="dxa"/>
            <w:tcBorders/>
            <w:vAlign w:val="bottom"/>
          </w:tcPr>
          <w:p>
            <w:pPr>
              <w:pStyle w:val="TableContents"/>
              <w:bidi w:val="0"/>
              <w:spacing w:before="0" w:after="283"/>
              <w:jc w:val="right"/>
              <w:rPr/>
            </w:pPr>
            <w:r>
              <w:rPr/>
              <w:t>2,576</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2" w:type="dxa"/>
            <w:tcBorders/>
            <w:vAlign w:val="bottom"/>
          </w:tcPr>
          <w:p>
            <w:pPr>
              <w:pStyle w:val="TableContents"/>
              <w:bidi w:val="0"/>
              <w:spacing w:before="0" w:after="283"/>
              <w:jc w:val="right"/>
              <w:rPr/>
            </w:pPr>
            <w:r>
              <w:rPr/>
              <w:t>497</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w:t>
            </w:r>
          </w:p>
        </w:tc>
        <w:tc>
          <w:tcPr>
            <w:tcW w:w="678"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9" w:type="dxa"/>
            <w:tcBorders/>
            <w:vAlign w:val="bottom"/>
          </w:tcPr>
          <w:p>
            <w:pPr>
              <w:pStyle w:val="TableContents"/>
              <w:bidi w:val="0"/>
              <w:spacing w:before="0" w:after="283"/>
              <w:jc w:val="right"/>
              <w:rPr/>
            </w:pPr>
            <w:r>
              <w:rPr/>
              <w:t>2,005</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598" w:type="dxa"/>
            <w:tcBorders/>
            <w:vAlign w:val="bottom"/>
          </w:tcPr>
          <w:p>
            <w:pPr>
              <w:pStyle w:val="TableContents"/>
              <w:bidi w:val="0"/>
              <w:spacing w:before="0" w:after="283"/>
              <w:jc w:val="right"/>
              <w:rPr/>
            </w:pPr>
            <w:r>
              <w:rPr/>
              <w:t>1.46</w:t>
            </w:r>
          </w:p>
        </w:tc>
        <w:tc>
          <w:tcPr>
            <w:tcW w:w="163" w:type="dxa"/>
            <w:tcBorders/>
            <w:vAlign w:val="bottom"/>
          </w:tcPr>
          <w:p>
            <w:pPr>
              <w:pStyle w:val="TableContents"/>
              <w:bidi w:val="0"/>
              <w:spacing w:before="0" w:after="283"/>
              <w:jc w:val="left"/>
              <w:rPr/>
            </w:pPr>
            <w:r>
              <w:rPr/>
              <w:t> </w:t>
            </w:r>
          </w:p>
        </w:tc>
      </w:tr>
      <w:tr>
        <w:trPr/>
        <w:tc>
          <w:tcPr>
            <w:tcW w:w="4995"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59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Does not add due to rounding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Classified in </w:t>
            </w:r>
            <w:r>
              <w:rPr>
                <w:rFonts w:ascii="Arial" w:hAnsi="Arial"/>
                <w:i/>
                <w:sz w:val="20"/>
              </w:rPr>
              <w:t>Merger</w:t>
            </w:r>
            <w:r>
              <w:rPr>
                <w:rFonts w:ascii="Arial" w:hAnsi="Arial"/>
                <w:sz w:val="20"/>
              </w:rPr>
              <w:t> </w:t>
            </w:r>
            <w:r>
              <w:rPr>
                <w:rFonts w:ascii="Arial" w:hAnsi="Arial"/>
                <w:i/>
                <w:sz w:val="20"/>
              </w:rPr>
              <w:t>&amp; integration</w:t>
            </w:r>
            <w:r>
              <w:rPr>
                <w:rFonts w:ascii="Arial" w:hAnsi="Arial"/>
                <w:sz w:val="20"/>
              </w:rPr>
              <w:t xml:space="preserve"> in the </w:t>
            </w:r>
            <w:r>
              <w:rPr>
                <w:rFonts w:ascii="Arial" w:hAnsi="Arial"/>
                <w:i/>
                <w:sz w:val="20"/>
              </w:rPr>
              <w:t>Condensed Consolidated Statement of Income</w:t>
            </w:r>
            <w:r>
              <w:rPr>
                <w:rFonts w:ascii="Arial" w:hAnsi="Arial"/>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Classified in </w:t>
            </w:r>
            <w:r>
              <w:rPr>
                <w:rFonts w:ascii="Arial" w:hAnsi="Arial"/>
                <w:i/>
                <w:sz w:val="20"/>
              </w:rPr>
              <w:t>Restructuring</w:t>
            </w:r>
            <w:r>
              <w:rPr>
                <w:rFonts w:ascii="Arial" w:hAnsi="Arial"/>
                <w:sz w:val="20"/>
              </w:rPr>
              <w:t> </w:t>
            </w:r>
            <w:r>
              <w:rPr>
                <w:rFonts w:ascii="Arial" w:hAnsi="Arial"/>
                <w:i/>
                <w:sz w:val="20"/>
              </w:rPr>
              <w:t xml:space="preserve">&amp; other </w:t>
            </w:r>
            <w:r>
              <w:rPr>
                <w:rFonts w:ascii="Arial" w:hAnsi="Arial"/>
                <w:sz w:val="20"/>
              </w:rPr>
              <w:t xml:space="preserve">in the </w:t>
            </w:r>
            <w:r>
              <w:rPr>
                <w:rFonts w:ascii="Arial" w:hAnsi="Arial"/>
                <w:i/>
                <w:sz w:val="20"/>
              </w:rPr>
              <w:t>Condensed Consolidated Statement of Income</w:t>
            </w:r>
            <w:r>
              <w:rPr>
                <w:rFonts w:ascii="Arial" w:hAnsi="Arial"/>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Classified in </w:t>
            </w:r>
            <w:r>
              <w:rPr>
                <w:rFonts w:ascii="Arial" w:hAnsi="Arial"/>
                <w:i/>
                <w:sz w:val="20"/>
              </w:rPr>
              <w:t>Interest</w:t>
            </w:r>
            <w:r>
              <w:rPr>
                <w:rFonts w:ascii="Arial" w:hAnsi="Arial"/>
                <w:sz w:val="20"/>
              </w:rPr>
              <w:t> </w:t>
            </w:r>
            <w:r>
              <w:rPr>
                <w:rFonts w:ascii="Arial" w:hAnsi="Arial"/>
                <w:i/>
                <w:sz w:val="20"/>
              </w:rPr>
              <w:t xml:space="preserve">&amp; other income </w:t>
            </w:r>
            <w:r>
              <w:rPr>
                <w:rFonts w:ascii="Arial" w:hAnsi="Arial"/>
                <w:sz w:val="20"/>
              </w:rPr>
              <w:t xml:space="preserve">in the </w:t>
            </w:r>
            <w:r>
              <w:rPr>
                <w:rFonts w:ascii="Arial" w:hAnsi="Arial"/>
                <w:i/>
                <w:sz w:val="20"/>
              </w:rPr>
              <w:t>Condensed Consolidated Statement of Income</w:t>
            </w:r>
            <w:r>
              <w:rPr>
                <w:rFonts w:ascii="Arial" w:hAnsi="Arial"/>
                <w:sz w:val="20"/>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Divisions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87"/>
        <w:gridCol w:w="135"/>
        <w:gridCol w:w="188"/>
        <w:gridCol w:w="766"/>
        <w:gridCol w:w="209"/>
        <w:gridCol w:w="98"/>
        <w:gridCol w:w="188"/>
        <w:gridCol w:w="770"/>
        <w:gridCol w:w="155"/>
        <w:gridCol w:w="80"/>
        <w:gridCol w:w="172"/>
        <w:gridCol w:w="705"/>
        <w:gridCol w:w="155"/>
        <w:gridCol w:w="80"/>
        <w:gridCol w:w="151"/>
        <w:gridCol w:w="574"/>
        <w:gridCol w:w="155"/>
        <w:gridCol w:w="80"/>
        <w:gridCol w:w="177"/>
        <w:gridCol w:w="724"/>
        <w:gridCol w:w="196"/>
        <w:gridCol w:w="94"/>
        <w:gridCol w:w="177"/>
        <w:gridCol w:w="725"/>
        <w:gridCol w:w="164"/>
      </w:tblGrid>
      <w:tr>
        <w:trPr/>
        <w:tc>
          <w:tcPr>
            <w:tcW w:w="3287"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4"/>
            <w:tcBorders/>
            <w:vAlign w:val="bottom"/>
          </w:tcPr>
          <w:p>
            <w:pPr>
              <w:pStyle w:val="TableContents"/>
              <w:bidi w:val="0"/>
              <w:spacing w:before="0" w:after="283"/>
              <w:jc w:val="right"/>
              <w:rPr/>
            </w:pPr>
            <w:r>
              <w:rPr/>
              <w:t>(Stated in millions)</w:t>
            </w:r>
          </w:p>
        </w:tc>
        <w:tc>
          <w:tcPr>
            <w:tcW w:w="164" w:type="dxa"/>
            <w:tcBorders/>
            <w:vAlign w:val="bottom"/>
          </w:tcPr>
          <w:p>
            <w:pPr>
              <w:pStyle w:val="TableContents"/>
              <w:bidi w:val="0"/>
              <w:spacing w:before="0" w:after="283"/>
              <w:jc w:val="left"/>
              <w:rPr/>
            </w:pPr>
            <w:r>
              <w:rPr/>
              <w:t> </w:t>
            </w:r>
          </w:p>
        </w:tc>
      </w:tr>
      <w:tr>
        <w:trPr/>
        <w:tc>
          <w:tcPr>
            <w:tcW w:w="3287"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2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Second Quarter 2026</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37" w:type="dxa"/>
            <w:gridSpan w:val="6"/>
            <w:tcBorders>
              <w:bottom w:val="single" w:sz="8" w:space="0" w:color="000000"/>
            </w:tcBorders>
            <w:tcMar>
              <w:bottom w:w="28" w:type="dxa"/>
            </w:tcMar>
            <w:vAlign w:val="bottom"/>
          </w:tcPr>
          <w:p>
            <w:pPr>
              <w:pStyle w:val="TableContents"/>
              <w:bidi w:val="0"/>
              <w:spacing w:before="0" w:after="283"/>
              <w:jc w:val="center"/>
              <w:rPr/>
            </w:pPr>
            <w:r>
              <w:rPr/>
              <w:t>First Quarter 2026</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093" w:type="dxa"/>
            <w:gridSpan w:val="6"/>
            <w:tcBorders>
              <w:bottom w:val="single" w:sz="8" w:space="0" w:color="000000"/>
            </w:tcBorders>
            <w:tcMar>
              <w:bottom w:w="28" w:type="dxa"/>
            </w:tcMar>
            <w:vAlign w:val="bottom"/>
          </w:tcPr>
          <w:p>
            <w:pPr>
              <w:pStyle w:val="TableContents"/>
              <w:bidi w:val="0"/>
              <w:spacing w:before="0" w:after="283"/>
              <w:jc w:val="center"/>
              <w:rPr/>
            </w:pPr>
            <w:r>
              <w:rPr/>
              <w:t>Second Quarter 2025</w:t>
            </w:r>
          </w:p>
        </w:tc>
        <w:tc>
          <w:tcPr>
            <w:tcW w:w="164" w:type="dxa"/>
            <w:tcBorders/>
            <w:vAlign w:val="bottom"/>
          </w:tcPr>
          <w:p>
            <w:pPr>
              <w:pStyle w:val="TableContents"/>
              <w:bidi w:val="0"/>
              <w:spacing w:before="0" w:after="283"/>
              <w:jc w:val="left"/>
              <w:rPr/>
            </w:pPr>
            <w:r>
              <w:rPr/>
              <w:t> </w:t>
            </w:r>
          </w:p>
        </w:tc>
      </w:tr>
      <w:tr>
        <w:trPr/>
        <w:tc>
          <w:tcPr>
            <w:tcW w:w="3287"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0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Income</w:t>
              <w:br/>
              <w:t>Before</w:t>
              <w:br/>
              <w:t>Taxes</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bottom"/>
          </w:tcPr>
          <w:p>
            <w:pPr>
              <w:pStyle w:val="TableContents"/>
              <w:bidi w:val="0"/>
              <w:spacing w:before="0" w:after="283"/>
              <w:jc w:val="center"/>
              <w:rPr/>
            </w:pPr>
            <w:r>
              <w:rPr/>
              <w:t>Revenue</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pPr>
            <w:r>
              <w:rPr/>
              <w:t>Income</w:t>
              <w:br/>
              <w:t>Before</w:t>
              <w:br/>
              <w:t>Taxes</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01" w:type="dxa"/>
            <w:gridSpan w:val="2"/>
            <w:tcBorders>
              <w:bottom w:val="single" w:sz="8" w:space="0" w:color="000000"/>
            </w:tcBorders>
            <w:tcMar>
              <w:bottom w:w="28" w:type="dxa"/>
            </w:tcMar>
            <w:vAlign w:val="bottom"/>
          </w:tcPr>
          <w:p>
            <w:pPr>
              <w:pStyle w:val="TableContents"/>
              <w:bidi w:val="0"/>
              <w:spacing w:before="0" w:after="283"/>
              <w:jc w:val="center"/>
              <w:rPr/>
            </w:pPr>
            <w:r>
              <w:rPr/>
              <w:t>Revenue</w:t>
            </w:r>
          </w:p>
        </w:tc>
        <w:tc>
          <w:tcPr>
            <w:tcW w:w="19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2" w:type="dxa"/>
            <w:gridSpan w:val="2"/>
            <w:tcBorders>
              <w:bottom w:val="single" w:sz="8" w:space="0" w:color="000000"/>
            </w:tcBorders>
            <w:tcMar>
              <w:bottom w:w="28" w:type="dxa"/>
            </w:tcMar>
            <w:vAlign w:val="bottom"/>
          </w:tcPr>
          <w:p>
            <w:pPr>
              <w:pStyle w:val="TableContents"/>
              <w:bidi w:val="0"/>
              <w:spacing w:before="0" w:after="283"/>
              <w:jc w:val="center"/>
              <w:rPr/>
            </w:pPr>
            <w:r>
              <w:rPr/>
              <w:t>Income</w:t>
              <w:br/>
              <w:t>Before</w:t>
              <w:br/>
              <w:t>Taxes</w:t>
            </w:r>
          </w:p>
        </w:tc>
        <w:tc>
          <w:tcPr>
            <w:tcW w:w="164" w:type="dxa"/>
            <w:tcBorders/>
            <w:vAlign w:val="bottom"/>
          </w:tcPr>
          <w:p>
            <w:pPr>
              <w:pStyle w:val="TableContents"/>
              <w:bidi w:val="0"/>
              <w:spacing w:before="0" w:after="283"/>
              <w:jc w:val="left"/>
              <w:rPr/>
            </w:pPr>
            <w:r>
              <w:rPr/>
              <w:t> </w:t>
            </w:r>
          </w:p>
        </w:tc>
      </w:tr>
      <w:tr>
        <w:trPr/>
        <w:tc>
          <w:tcPr>
            <w:tcW w:w="3287" w:type="dxa"/>
            <w:tcBorders/>
            <w:shd w:fill="CCEEFF" w:val="clear"/>
            <w:vAlign w:val="bottom"/>
          </w:tcPr>
          <w:p>
            <w:pPr>
              <w:pStyle w:val="TableContents"/>
              <w:bidi w:val="0"/>
              <w:spacing w:before="0" w:after="0"/>
              <w:jc w:val="left"/>
              <w:rPr>
                <w:rFonts w:ascii="Arial" w:hAnsi="Arial"/>
                <w:sz w:val="20"/>
              </w:rPr>
            </w:pPr>
            <w:r>
              <w:rPr>
                <w:rFonts w:ascii="Arial" w:hAnsi="Arial"/>
                <w:sz w:val="20"/>
              </w:rPr>
              <w:t>Digital</w:t>
            </w:r>
          </w:p>
        </w:tc>
        <w:tc>
          <w:tcPr>
            <w:tcW w:w="13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b/>
              </w:rPr>
            </w:pPr>
            <w:r>
              <w:rPr>
                <w:b/>
              </w:rPr>
              <w:t>$</w:t>
            </w:r>
          </w:p>
        </w:tc>
        <w:tc>
          <w:tcPr>
            <w:tcW w:w="766" w:type="dxa"/>
            <w:tcBorders/>
            <w:shd w:fill="CCEEFF" w:val="clear"/>
            <w:vAlign w:val="bottom"/>
          </w:tcPr>
          <w:p>
            <w:pPr>
              <w:pStyle w:val="TableContents"/>
              <w:bidi w:val="0"/>
              <w:spacing w:before="0" w:after="283"/>
              <w:jc w:val="right"/>
              <w:rPr>
                <w:b/>
              </w:rPr>
            </w:pPr>
            <w:r>
              <w:rPr>
                <w:b/>
              </w:rPr>
              <w:t>697</w:t>
            </w:r>
          </w:p>
        </w:tc>
        <w:tc>
          <w:tcPr>
            <w:tcW w:w="20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b/>
              </w:rPr>
            </w:pPr>
            <w:r>
              <w:rPr>
                <w:b/>
              </w:rPr>
              <w:t>$</w:t>
            </w:r>
          </w:p>
        </w:tc>
        <w:tc>
          <w:tcPr>
            <w:tcW w:w="770" w:type="dxa"/>
            <w:tcBorders/>
            <w:shd w:fill="CCEEFF" w:val="clear"/>
            <w:vAlign w:val="bottom"/>
          </w:tcPr>
          <w:p>
            <w:pPr>
              <w:pStyle w:val="TableContents"/>
              <w:bidi w:val="0"/>
              <w:spacing w:before="0" w:after="283"/>
              <w:jc w:val="right"/>
              <w:rPr>
                <w:b/>
              </w:rPr>
            </w:pPr>
            <w:r>
              <w:rPr>
                <w:b/>
              </w:rPr>
              <w:t>194</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705" w:type="dxa"/>
            <w:tcBorders/>
            <w:shd w:fill="CCEEFF" w:val="clear"/>
            <w:vAlign w:val="bottom"/>
          </w:tcPr>
          <w:p>
            <w:pPr>
              <w:pStyle w:val="TableContents"/>
              <w:bidi w:val="0"/>
              <w:spacing w:before="0" w:after="283"/>
              <w:jc w:val="right"/>
              <w:rPr/>
            </w:pPr>
            <w:r>
              <w:rPr/>
              <w:t>640</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134</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591</w:t>
            </w:r>
          </w:p>
        </w:tc>
        <w:tc>
          <w:tcPr>
            <w:tcW w:w="19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153</w:t>
            </w:r>
          </w:p>
        </w:tc>
        <w:tc>
          <w:tcPr>
            <w:tcW w:w="164" w:type="dxa"/>
            <w:tcBorders/>
            <w:shd w:fill="CCEEFF" w:val="clear"/>
            <w:vAlign w:val="bottom"/>
          </w:tcPr>
          <w:p>
            <w:pPr>
              <w:pStyle w:val="TableContents"/>
              <w:bidi w:val="0"/>
              <w:spacing w:before="0" w:after="283"/>
              <w:jc w:val="left"/>
              <w:rPr/>
            </w:pPr>
            <w:r>
              <w:rPr/>
              <w:t> </w:t>
            </w:r>
          </w:p>
        </w:tc>
      </w:tr>
      <w:tr>
        <w:trPr/>
        <w:tc>
          <w:tcPr>
            <w:tcW w:w="3287" w:type="dxa"/>
            <w:tcBorders/>
            <w:vAlign w:val="bottom"/>
          </w:tcPr>
          <w:p>
            <w:pPr>
              <w:pStyle w:val="TableContents"/>
              <w:bidi w:val="0"/>
              <w:spacing w:before="0" w:after="0"/>
              <w:jc w:val="left"/>
              <w:rPr>
                <w:rFonts w:ascii="Arial" w:hAnsi="Arial"/>
                <w:sz w:val="20"/>
              </w:rPr>
            </w:pPr>
            <w:r>
              <w:rPr>
                <w:rFonts w:ascii="Arial" w:hAnsi="Arial"/>
                <w:sz w:val="20"/>
              </w:rPr>
              <w:t>Reservoir Performance</w:t>
            </w:r>
          </w:p>
        </w:tc>
        <w:tc>
          <w:tcPr>
            <w:tcW w:w="13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b/>
              </w:rPr>
            </w:pPr>
            <w:r>
              <w:rPr>
                <w:b/>
              </w:rPr>
              <w:t>1,556</w:t>
            </w:r>
          </w:p>
        </w:tc>
        <w:tc>
          <w:tcPr>
            <w:tcW w:w="20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b/>
              </w:rPr>
            </w:pPr>
            <w:r>
              <w:rPr>
                <w:b/>
              </w:rPr>
              <w:t>232</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1,594</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257</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1,691</w:t>
            </w:r>
          </w:p>
        </w:tc>
        <w:tc>
          <w:tcPr>
            <w:tcW w:w="19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314</w:t>
            </w:r>
          </w:p>
        </w:tc>
        <w:tc>
          <w:tcPr>
            <w:tcW w:w="164" w:type="dxa"/>
            <w:tcBorders/>
            <w:vAlign w:val="bottom"/>
          </w:tcPr>
          <w:p>
            <w:pPr>
              <w:pStyle w:val="TableContents"/>
              <w:bidi w:val="0"/>
              <w:spacing w:before="0" w:after="283"/>
              <w:jc w:val="left"/>
              <w:rPr/>
            </w:pPr>
            <w:r>
              <w:rPr/>
              <w:t> </w:t>
            </w:r>
          </w:p>
        </w:tc>
      </w:tr>
      <w:tr>
        <w:trPr/>
        <w:tc>
          <w:tcPr>
            <w:tcW w:w="3287" w:type="dxa"/>
            <w:tcBorders/>
            <w:shd w:fill="CCEEFF" w:val="clear"/>
            <w:vAlign w:val="bottom"/>
          </w:tcPr>
          <w:p>
            <w:pPr>
              <w:pStyle w:val="TableContents"/>
              <w:bidi w:val="0"/>
              <w:spacing w:before="0" w:after="0"/>
              <w:jc w:val="left"/>
              <w:rPr>
                <w:rFonts w:ascii="Arial" w:hAnsi="Arial"/>
                <w:sz w:val="20"/>
              </w:rPr>
            </w:pPr>
            <w:r>
              <w:rPr>
                <w:rFonts w:ascii="Arial" w:hAnsi="Arial"/>
                <w:sz w:val="20"/>
              </w:rPr>
              <w:t>Well Construction</w:t>
            </w:r>
          </w:p>
        </w:tc>
        <w:tc>
          <w:tcPr>
            <w:tcW w:w="13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b/>
              </w:rPr>
            </w:pPr>
            <w:r>
              <w:rPr>
                <w:b/>
              </w:rPr>
              <w:t>2,742</w:t>
            </w:r>
          </w:p>
        </w:tc>
        <w:tc>
          <w:tcPr>
            <w:tcW w:w="20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b/>
              </w:rPr>
            </w:pPr>
            <w:r>
              <w:rPr>
                <w:b/>
              </w:rPr>
              <w:t>417</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2,797</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424</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2,963</w:t>
            </w:r>
          </w:p>
        </w:tc>
        <w:tc>
          <w:tcPr>
            <w:tcW w:w="19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551</w:t>
            </w:r>
          </w:p>
        </w:tc>
        <w:tc>
          <w:tcPr>
            <w:tcW w:w="164" w:type="dxa"/>
            <w:tcBorders/>
            <w:shd w:fill="CCEEFF" w:val="clear"/>
            <w:vAlign w:val="bottom"/>
          </w:tcPr>
          <w:p>
            <w:pPr>
              <w:pStyle w:val="TableContents"/>
              <w:bidi w:val="0"/>
              <w:spacing w:before="0" w:after="283"/>
              <w:jc w:val="left"/>
              <w:rPr/>
            </w:pPr>
            <w:r>
              <w:rPr/>
              <w:t> </w:t>
            </w:r>
          </w:p>
        </w:tc>
      </w:tr>
      <w:tr>
        <w:trPr/>
        <w:tc>
          <w:tcPr>
            <w:tcW w:w="3287" w:type="dxa"/>
            <w:tcBorders/>
            <w:vAlign w:val="bottom"/>
          </w:tcPr>
          <w:p>
            <w:pPr>
              <w:pStyle w:val="TableContents"/>
              <w:bidi w:val="0"/>
              <w:spacing w:before="0" w:after="0"/>
              <w:jc w:val="left"/>
              <w:rPr>
                <w:rFonts w:ascii="Arial" w:hAnsi="Arial"/>
                <w:sz w:val="20"/>
              </w:rPr>
            </w:pPr>
            <w:r>
              <w:rPr>
                <w:rFonts w:ascii="Arial" w:hAnsi="Arial"/>
                <w:sz w:val="20"/>
              </w:rPr>
              <w:t>Production Systems</w:t>
            </w:r>
          </w:p>
        </w:tc>
        <w:tc>
          <w:tcPr>
            <w:tcW w:w="13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b/>
              </w:rPr>
            </w:pPr>
            <w:r>
              <w:rPr>
                <w:b/>
              </w:rPr>
              <w:t>3,771</w:t>
            </w:r>
          </w:p>
        </w:tc>
        <w:tc>
          <w:tcPr>
            <w:tcW w:w="20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b/>
              </w:rPr>
            </w:pPr>
            <w:r>
              <w:rPr>
                <w:b/>
              </w:rPr>
              <w:t>586</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3,508</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497</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2,932</w:t>
            </w:r>
          </w:p>
        </w:tc>
        <w:tc>
          <w:tcPr>
            <w:tcW w:w="19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491</w:t>
            </w:r>
          </w:p>
        </w:tc>
        <w:tc>
          <w:tcPr>
            <w:tcW w:w="164" w:type="dxa"/>
            <w:tcBorders/>
            <w:vAlign w:val="bottom"/>
          </w:tcPr>
          <w:p>
            <w:pPr>
              <w:pStyle w:val="TableContents"/>
              <w:bidi w:val="0"/>
              <w:spacing w:before="0" w:after="283"/>
              <w:jc w:val="left"/>
              <w:rPr/>
            </w:pPr>
            <w:r>
              <w:rPr/>
              <w:t> </w:t>
            </w:r>
          </w:p>
        </w:tc>
      </w:tr>
      <w:tr>
        <w:trPr/>
        <w:tc>
          <w:tcPr>
            <w:tcW w:w="3287" w:type="dxa"/>
            <w:tcBorders/>
            <w:shd w:fill="CCEEFF" w:val="clear"/>
            <w:vAlign w:val="bottom"/>
          </w:tcPr>
          <w:p>
            <w:pPr>
              <w:pStyle w:val="TableContents"/>
              <w:bidi w:val="0"/>
              <w:spacing w:before="0" w:after="0"/>
              <w:jc w:val="left"/>
              <w:rPr>
                <w:rFonts w:ascii="Arial" w:hAnsi="Arial"/>
                <w:sz w:val="20"/>
              </w:rPr>
            </w:pPr>
            <w:r>
              <w:rPr>
                <w:rFonts w:ascii="Arial" w:hAnsi="Arial"/>
                <w:sz w:val="20"/>
              </w:rPr>
              <w:t>All Other</w:t>
            </w:r>
          </w:p>
        </w:tc>
        <w:tc>
          <w:tcPr>
            <w:tcW w:w="13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b/>
              </w:rPr>
            </w:pPr>
            <w:r>
              <w:rPr>
                <w:b/>
              </w:rPr>
              <w:t>505</w:t>
            </w:r>
          </w:p>
        </w:tc>
        <w:tc>
          <w:tcPr>
            <w:tcW w:w="20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b/>
              </w:rPr>
            </w:pPr>
            <w:r>
              <w:rPr>
                <w:b/>
              </w:rPr>
              <w:t>142</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443</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113</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583</w:t>
            </w:r>
          </w:p>
        </w:tc>
        <w:tc>
          <w:tcPr>
            <w:tcW w:w="19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155</w:t>
            </w:r>
          </w:p>
        </w:tc>
        <w:tc>
          <w:tcPr>
            <w:tcW w:w="164" w:type="dxa"/>
            <w:tcBorders/>
            <w:shd w:fill="CCEEFF" w:val="clear"/>
            <w:vAlign w:val="bottom"/>
          </w:tcPr>
          <w:p>
            <w:pPr>
              <w:pStyle w:val="TableContents"/>
              <w:bidi w:val="0"/>
              <w:spacing w:before="0" w:after="283"/>
              <w:jc w:val="left"/>
              <w:rPr/>
            </w:pPr>
            <w:r>
              <w:rPr/>
              <w:t> </w:t>
            </w:r>
          </w:p>
        </w:tc>
      </w:tr>
      <w:tr>
        <w:trPr/>
        <w:tc>
          <w:tcPr>
            <w:tcW w:w="3287" w:type="dxa"/>
            <w:tcBorders/>
            <w:vAlign w:val="bottom"/>
          </w:tcPr>
          <w:p>
            <w:pPr>
              <w:pStyle w:val="TableContents"/>
              <w:bidi w:val="0"/>
              <w:spacing w:before="0" w:after="0"/>
              <w:jc w:val="left"/>
              <w:rPr>
                <w:rFonts w:ascii="Arial" w:hAnsi="Arial"/>
                <w:sz w:val="20"/>
              </w:rPr>
            </w:pPr>
            <w:r>
              <w:rPr>
                <w:rFonts w:ascii="Arial" w:hAnsi="Arial"/>
                <w:sz w:val="20"/>
              </w:rPr>
              <w:t>Eliminations &amp; other</w:t>
            </w:r>
          </w:p>
        </w:tc>
        <w:tc>
          <w:tcPr>
            <w:tcW w:w="13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b/>
              </w:rPr>
            </w:pPr>
            <w:r>
              <w:rPr>
                <w:b/>
              </w:rPr>
              <w:t>(299</w:t>
            </w:r>
          </w:p>
        </w:tc>
        <w:tc>
          <w:tcPr>
            <w:tcW w:w="209" w:type="dxa"/>
            <w:tcBorders/>
            <w:vAlign w:val="bottom"/>
          </w:tcPr>
          <w:p>
            <w:pPr>
              <w:pStyle w:val="TableContents"/>
              <w:bidi w:val="0"/>
              <w:spacing w:before="0" w:after="283"/>
              <w:jc w:val="left"/>
              <w:rPr>
                <w:b/>
              </w:rPr>
            </w:pPr>
            <w:r>
              <w:rPr>
                <w:b/>
              </w:rPr>
              <w:t>) </w:t>
            </w:r>
          </w:p>
        </w:tc>
        <w:tc>
          <w:tcPr>
            <w:tcW w:w="9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b/>
              </w:rPr>
            </w:pPr>
            <w:r>
              <w:rPr>
                <w:b/>
              </w:rPr>
              <w:t>(167</w:t>
            </w:r>
          </w:p>
        </w:tc>
        <w:tc>
          <w:tcPr>
            <w:tcW w:w="155" w:type="dxa"/>
            <w:tcBorders/>
            <w:vAlign w:val="bottom"/>
          </w:tcPr>
          <w:p>
            <w:pPr>
              <w:pStyle w:val="TableContents"/>
              <w:bidi w:val="0"/>
              <w:spacing w:before="0" w:after="283"/>
              <w:jc w:val="left"/>
              <w:rPr>
                <w:b/>
              </w:rPr>
            </w:pPr>
            <w:r>
              <w:rPr>
                <w:b/>
              </w:rPr>
              <w:t>) </w:t>
            </w:r>
          </w:p>
        </w:tc>
        <w:tc>
          <w:tcPr>
            <w:tcW w:w="8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(261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(104</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(214</w:t>
            </w:r>
          </w:p>
        </w:tc>
        <w:tc>
          <w:tcPr>
            <w:tcW w:w="19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(80</w:t>
            </w:r>
          </w:p>
        </w:tc>
        <w:tc>
          <w:tcPr>
            <w:tcW w:w="164" w:type="dxa"/>
            <w:tcBorders/>
            <w:vAlign w:val="bottom"/>
          </w:tcPr>
          <w:p>
            <w:pPr>
              <w:pStyle w:val="TableContents"/>
              <w:bidi w:val="0"/>
              <w:spacing w:before="0" w:after="283"/>
              <w:jc w:val="left"/>
              <w:rPr/>
            </w:pPr>
            <w:r>
              <w:rPr/>
              <w:t>) </w:t>
            </w:r>
          </w:p>
        </w:tc>
      </w:tr>
      <w:tr>
        <w:trPr/>
        <w:tc>
          <w:tcPr>
            <w:tcW w:w="3287"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7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376" w:type="dxa"/>
            <w:gridSpan w:val="4"/>
            <w:tcBorders/>
            <w:shd w:fill="CCEEFF" w:val="clear"/>
          </w:tcPr>
          <w:p>
            <w:pPr>
              <w:pStyle w:val="TableContents"/>
              <w:bidi w:val="0"/>
              <w:spacing w:before="0" w:after="0"/>
              <w:jc w:val="left"/>
              <w:rPr>
                <w:rFonts w:ascii="Arial" w:hAnsi="Arial"/>
                <w:sz w:val="20"/>
              </w:rPr>
            </w:pPr>
            <w:r>
              <w:rPr>
                <w:rFonts w:ascii="Arial" w:hAnsi="Arial"/>
                <w:sz w:val="20"/>
              </w:rPr>
              <w:t>Pretax segment operating income</w:t>
            </w:r>
          </w:p>
        </w:tc>
        <w:tc>
          <w:tcPr>
            <w:tcW w:w="209" w:type="dxa"/>
            <w:tcBorders/>
            <w:shd w:fill="CCEEFF" w:val="clear"/>
          </w:tcPr>
          <w:p>
            <w:pPr>
              <w:pStyle w:val="TableContents"/>
              <w:bidi w:val="0"/>
              <w:spacing w:before="0" w:after="0"/>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b/>
              </w:rPr>
            </w:pPr>
            <w:r>
              <w:rPr>
                <w:b/>
              </w:rPr>
              <w:t>1,404</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7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1,321</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724"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1,584</w:t>
            </w:r>
          </w:p>
        </w:tc>
        <w:tc>
          <w:tcPr>
            <w:tcW w:w="164" w:type="dxa"/>
            <w:tcBorders/>
            <w:shd w:fill="CCEEFF" w:val="clear"/>
            <w:vAlign w:val="bottom"/>
          </w:tcPr>
          <w:p>
            <w:pPr>
              <w:pStyle w:val="TableContents"/>
              <w:bidi w:val="0"/>
              <w:spacing w:before="0" w:after="283"/>
              <w:jc w:val="left"/>
              <w:rPr/>
            </w:pPr>
            <w:r>
              <w:rPr/>
              <w:t> </w:t>
            </w:r>
          </w:p>
        </w:tc>
      </w:tr>
      <w:tr>
        <w:trPr/>
        <w:tc>
          <w:tcPr>
            <w:tcW w:w="3287" w:type="dxa"/>
            <w:tcBorders/>
            <w:vAlign w:val="bottom"/>
          </w:tcPr>
          <w:p>
            <w:pPr>
              <w:pStyle w:val="TableContents"/>
              <w:bidi w:val="0"/>
              <w:spacing w:before="0" w:after="0"/>
              <w:jc w:val="left"/>
              <w:rPr>
                <w:rFonts w:ascii="Arial" w:hAnsi="Arial"/>
                <w:sz w:val="20"/>
              </w:rPr>
            </w:pPr>
            <w:r>
              <w:rPr>
                <w:rFonts w:ascii="Arial" w:hAnsi="Arial"/>
                <w:sz w:val="20"/>
              </w:rPr>
              <w:t>Corporate &amp; other</w:t>
            </w:r>
          </w:p>
        </w:tc>
        <w:tc>
          <w:tcPr>
            <w:tcW w:w="13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b/>
              </w:rPr>
            </w:pPr>
            <w:r>
              <w:rPr>
                <w:b/>
              </w:rPr>
              <w:t>(211</w:t>
            </w:r>
          </w:p>
        </w:tc>
        <w:tc>
          <w:tcPr>
            <w:tcW w:w="155" w:type="dxa"/>
            <w:tcBorders/>
            <w:vAlign w:val="bottom"/>
          </w:tcPr>
          <w:p>
            <w:pPr>
              <w:pStyle w:val="TableContents"/>
              <w:bidi w:val="0"/>
              <w:spacing w:before="0" w:after="283"/>
              <w:jc w:val="left"/>
              <w:rPr>
                <w:b/>
              </w:rPr>
            </w:pPr>
            <w:r>
              <w:rPr>
                <w:b/>
              </w:rPr>
              <w:t>) </w:t>
            </w:r>
          </w:p>
        </w:tc>
        <w:tc>
          <w:tcPr>
            <w:tcW w:w="8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7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(228</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(169</w:t>
            </w:r>
          </w:p>
        </w:tc>
        <w:tc>
          <w:tcPr>
            <w:tcW w:w="164" w:type="dxa"/>
            <w:tcBorders/>
            <w:vAlign w:val="bottom"/>
          </w:tcPr>
          <w:p>
            <w:pPr>
              <w:pStyle w:val="TableContents"/>
              <w:bidi w:val="0"/>
              <w:spacing w:before="0" w:after="283"/>
              <w:jc w:val="left"/>
              <w:rPr/>
            </w:pPr>
            <w:r>
              <w:rPr/>
              <w:t>) </w:t>
            </w:r>
          </w:p>
        </w:tc>
      </w:tr>
      <w:tr>
        <w:trPr/>
        <w:tc>
          <w:tcPr>
            <w:tcW w:w="3287" w:type="dxa"/>
            <w:tcBorders/>
            <w:shd w:fill="CCEEFF" w:val="clear"/>
            <w:vAlign w:val="bottom"/>
          </w:tcPr>
          <w:p>
            <w:pPr>
              <w:pStyle w:val="TableContents"/>
              <w:bidi w:val="0"/>
              <w:spacing w:before="0" w:after="0"/>
              <w:jc w:val="left"/>
              <w:rPr>
                <w:rFonts w:ascii="Arial" w:hAnsi="Arial"/>
                <w:sz w:val="20"/>
              </w:rPr>
            </w:pPr>
            <w:r>
              <w:rPr>
                <w:rFonts w:ascii="Arial" w:hAnsi="Arial"/>
                <w:sz w:val="20"/>
              </w:rPr>
              <w:t>Interest income (1)</w:t>
            </w:r>
          </w:p>
        </w:tc>
        <w:tc>
          <w:tcPr>
            <w:tcW w:w="13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766"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b/>
              </w:rPr>
            </w:pPr>
            <w:r>
              <w:rPr>
                <w:b/>
              </w:rPr>
              <w:t>23</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7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724"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30</w:t>
            </w:r>
          </w:p>
        </w:tc>
        <w:tc>
          <w:tcPr>
            <w:tcW w:w="164" w:type="dxa"/>
            <w:tcBorders/>
            <w:shd w:fill="CCEEFF" w:val="clear"/>
            <w:vAlign w:val="bottom"/>
          </w:tcPr>
          <w:p>
            <w:pPr>
              <w:pStyle w:val="TableContents"/>
              <w:bidi w:val="0"/>
              <w:spacing w:before="0" w:after="283"/>
              <w:jc w:val="left"/>
              <w:rPr/>
            </w:pPr>
            <w:r>
              <w:rPr/>
              <w:t> </w:t>
            </w:r>
          </w:p>
        </w:tc>
      </w:tr>
      <w:tr>
        <w:trPr/>
        <w:tc>
          <w:tcPr>
            <w:tcW w:w="3287" w:type="dxa"/>
            <w:tcBorders/>
            <w:vAlign w:val="bottom"/>
          </w:tcPr>
          <w:p>
            <w:pPr>
              <w:pStyle w:val="TableContents"/>
              <w:bidi w:val="0"/>
              <w:spacing w:before="0" w:after="0"/>
              <w:jc w:val="left"/>
              <w:rPr>
                <w:rFonts w:ascii="Arial" w:hAnsi="Arial"/>
                <w:sz w:val="20"/>
              </w:rPr>
            </w:pPr>
            <w:r>
              <w:rPr>
                <w:rFonts w:ascii="Arial" w:hAnsi="Arial"/>
                <w:sz w:val="20"/>
              </w:rPr>
              <w:t>Interest expense (1)</w:t>
            </w:r>
          </w:p>
        </w:tc>
        <w:tc>
          <w:tcPr>
            <w:tcW w:w="13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b/>
              </w:rPr>
            </w:pPr>
            <w:r>
              <w:rPr>
                <w:b/>
              </w:rPr>
              <w:t>(128</w:t>
            </w:r>
          </w:p>
        </w:tc>
        <w:tc>
          <w:tcPr>
            <w:tcW w:w="155" w:type="dxa"/>
            <w:tcBorders/>
            <w:vAlign w:val="bottom"/>
          </w:tcPr>
          <w:p>
            <w:pPr>
              <w:pStyle w:val="TableContents"/>
              <w:bidi w:val="0"/>
              <w:spacing w:before="0" w:after="283"/>
              <w:jc w:val="left"/>
              <w:rPr>
                <w:b/>
              </w:rPr>
            </w:pPr>
            <w:r>
              <w:rPr>
                <w:b/>
              </w:rPr>
              <w:t>) </w:t>
            </w:r>
          </w:p>
        </w:tc>
        <w:tc>
          <w:tcPr>
            <w:tcW w:w="8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7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(116</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(139</w:t>
            </w:r>
          </w:p>
        </w:tc>
        <w:tc>
          <w:tcPr>
            <w:tcW w:w="164" w:type="dxa"/>
            <w:tcBorders/>
            <w:vAlign w:val="bottom"/>
          </w:tcPr>
          <w:p>
            <w:pPr>
              <w:pStyle w:val="TableContents"/>
              <w:bidi w:val="0"/>
              <w:spacing w:before="0" w:after="283"/>
              <w:jc w:val="left"/>
              <w:rPr/>
            </w:pPr>
            <w:r>
              <w:rPr/>
              <w:t>) </w:t>
            </w:r>
          </w:p>
        </w:tc>
      </w:tr>
      <w:tr>
        <w:trPr/>
        <w:tc>
          <w:tcPr>
            <w:tcW w:w="3287" w:type="dxa"/>
            <w:tcBorders/>
            <w:shd w:fill="CCEEFF" w:val="clear"/>
            <w:vAlign w:val="bottom"/>
          </w:tcPr>
          <w:p>
            <w:pPr>
              <w:pStyle w:val="TableContents"/>
              <w:bidi w:val="0"/>
              <w:spacing w:before="0" w:after="0"/>
              <w:jc w:val="left"/>
              <w:rPr>
                <w:rFonts w:ascii="Arial" w:hAnsi="Arial"/>
                <w:sz w:val="20"/>
              </w:rPr>
            </w:pPr>
            <w:r>
              <w:rPr>
                <w:rFonts w:ascii="Arial" w:hAnsi="Arial"/>
                <w:sz w:val="20"/>
              </w:rPr>
              <w:t>Charges &amp; credits (2)</w:t>
            </w:r>
          </w:p>
        </w:tc>
        <w:tc>
          <w:tcPr>
            <w:tcW w:w="13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766"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b/>
              </w:rPr>
            </w:pPr>
            <w:r>
              <w:rPr>
                <w:b/>
              </w:rPr>
              <w:t>(69</w:t>
            </w:r>
          </w:p>
        </w:tc>
        <w:tc>
          <w:tcPr>
            <w:tcW w:w="155" w:type="dxa"/>
            <w:tcBorders/>
            <w:shd w:fill="CCEEFF" w:val="clear"/>
            <w:vAlign w:val="bottom"/>
          </w:tcPr>
          <w:p>
            <w:pPr>
              <w:pStyle w:val="TableContents"/>
              <w:bidi w:val="0"/>
              <w:spacing w:before="0" w:after="283"/>
              <w:jc w:val="left"/>
              <w:rPr>
                <w:b/>
              </w:rPr>
            </w:pPr>
            <w:r>
              <w:rPr>
                <w:b/>
              </w:rPr>
              <w:t>) </w:t>
            </w:r>
          </w:p>
        </w:tc>
        <w:tc>
          <w:tcPr>
            <w:tcW w:w="8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7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724"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(21</w:t>
            </w:r>
          </w:p>
        </w:tc>
        <w:tc>
          <w:tcPr>
            <w:tcW w:w="164" w:type="dxa"/>
            <w:tcBorders/>
            <w:shd w:fill="CCEEFF" w:val="clear"/>
            <w:vAlign w:val="bottom"/>
          </w:tcPr>
          <w:p>
            <w:pPr>
              <w:pStyle w:val="TableContents"/>
              <w:bidi w:val="0"/>
              <w:spacing w:before="0" w:after="283"/>
              <w:jc w:val="left"/>
              <w:rPr/>
            </w:pPr>
            <w:r>
              <w:rPr/>
              <w:t>) </w:t>
            </w:r>
          </w:p>
        </w:tc>
      </w:tr>
      <w:tr>
        <w:trPr/>
        <w:tc>
          <w:tcPr>
            <w:tcW w:w="3287"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287"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b/>
              </w:rPr>
            </w:pPr>
            <w:r>
              <w:rPr>
                <w:b/>
              </w:rPr>
              <w:t>$</w:t>
            </w:r>
          </w:p>
        </w:tc>
        <w:tc>
          <w:tcPr>
            <w:tcW w:w="766" w:type="dxa"/>
            <w:tcBorders/>
            <w:vAlign w:val="bottom"/>
          </w:tcPr>
          <w:p>
            <w:pPr>
              <w:pStyle w:val="TableContents"/>
              <w:bidi w:val="0"/>
              <w:spacing w:before="0" w:after="283"/>
              <w:jc w:val="right"/>
              <w:rPr>
                <w:b/>
              </w:rPr>
            </w:pPr>
            <w:r>
              <w:rPr>
                <w:b/>
              </w:rPr>
              <w:t>8,972</w:t>
            </w:r>
          </w:p>
        </w:tc>
        <w:tc>
          <w:tcPr>
            <w:tcW w:w="20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b/>
              </w:rPr>
            </w:pPr>
            <w:r>
              <w:rPr>
                <w:b/>
              </w:rPr>
              <w:t>$</w:t>
            </w:r>
          </w:p>
        </w:tc>
        <w:tc>
          <w:tcPr>
            <w:tcW w:w="770" w:type="dxa"/>
            <w:tcBorders/>
            <w:vAlign w:val="bottom"/>
          </w:tcPr>
          <w:p>
            <w:pPr>
              <w:pStyle w:val="TableContents"/>
              <w:bidi w:val="0"/>
              <w:spacing w:before="0" w:after="283"/>
              <w:jc w:val="right"/>
              <w:rPr>
                <w:b/>
              </w:rPr>
            </w:pPr>
            <w:r>
              <w:rPr>
                <w:b/>
              </w:rPr>
              <w:t>1,019</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705" w:type="dxa"/>
            <w:tcBorders/>
            <w:vAlign w:val="bottom"/>
          </w:tcPr>
          <w:p>
            <w:pPr>
              <w:pStyle w:val="TableContents"/>
              <w:bidi w:val="0"/>
              <w:spacing w:before="0" w:after="283"/>
              <w:jc w:val="right"/>
              <w:rPr/>
            </w:pPr>
            <w:r>
              <w:rPr/>
              <w:t>8,721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956</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724" w:type="dxa"/>
            <w:tcBorders/>
            <w:vAlign w:val="bottom"/>
          </w:tcPr>
          <w:p>
            <w:pPr>
              <w:pStyle w:val="TableContents"/>
              <w:bidi w:val="0"/>
              <w:spacing w:before="0" w:after="283"/>
              <w:jc w:val="right"/>
              <w:rPr/>
            </w:pPr>
            <w:r>
              <w:rPr/>
              <w:t>8,546</w:t>
            </w:r>
          </w:p>
        </w:tc>
        <w:tc>
          <w:tcPr>
            <w:tcW w:w="19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725" w:type="dxa"/>
            <w:tcBorders/>
            <w:vAlign w:val="bottom"/>
          </w:tcPr>
          <w:p>
            <w:pPr>
              <w:pStyle w:val="TableContents"/>
              <w:bidi w:val="0"/>
              <w:spacing w:before="0" w:after="283"/>
              <w:jc w:val="right"/>
              <w:rPr/>
            </w:pPr>
            <w:r>
              <w:rPr/>
              <w:t>1,285</w:t>
            </w:r>
          </w:p>
        </w:tc>
        <w:tc>
          <w:tcPr>
            <w:tcW w:w="164" w:type="dxa"/>
            <w:tcBorders/>
            <w:vAlign w:val="bottom"/>
          </w:tcPr>
          <w:p>
            <w:pPr>
              <w:pStyle w:val="TableContents"/>
              <w:bidi w:val="0"/>
              <w:spacing w:before="0" w:after="283"/>
              <w:jc w:val="left"/>
              <w:rPr/>
            </w:pPr>
            <w:r>
              <w:rPr/>
              <w:t> </w:t>
            </w:r>
          </w:p>
        </w:tc>
      </w:tr>
      <w:tr>
        <w:trPr/>
        <w:tc>
          <w:tcPr>
            <w:tcW w:w="3287"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7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72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03"/>
        <w:gridCol w:w="145"/>
        <w:gridCol w:w="154"/>
        <w:gridCol w:w="772"/>
        <w:gridCol w:w="155"/>
        <w:gridCol w:w="103"/>
        <w:gridCol w:w="154"/>
        <w:gridCol w:w="616"/>
        <w:gridCol w:w="155"/>
        <w:gridCol w:w="103"/>
        <w:gridCol w:w="146"/>
        <w:gridCol w:w="745"/>
        <w:gridCol w:w="155"/>
        <w:gridCol w:w="103"/>
        <w:gridCol w:w="145"/>
        <w:gridCol w:w="590"/>
        <w:gridCol w:w="161"/>
      </w:tblGrid>
      <w:tr>
        <w:trPr/>
        <w:tc>
          <w:tcPr>
            <w:tcW w:w="580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044" w:type="dxa"/>
            <w:gridSpan w:val="16"/>
            <w:tcBorders/>
            <w:vAlign w:val="bottom"/>
          </w:tcPr>
          <w:p>
            <w:pPr>
              <w:pStyle w:val="TableContents"/>
              <w:bidi w:val="0"/>
              <w:spacing w:before="0" w:after="283"/>
              <w:jc w:val="right"/>
              <w:rPr/>
            </w:pPr>
            <w:r>
              <w:rPr/>
              <w:t>(Stated in millions)</w:t>
            </w:r>
          </w:p>
        </w:tc>
        <w:tc>
          <w:tcPr>
            <w:tcW w:w="161" w:type="dxa"/>
            <w:tcBorders/>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409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61" w:type="dxa"/>
            <w:tcBorders/>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9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 30, 2026</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884" w:type="dxa"/>
            <w:gridSpan w:val="6"/>
            <w:tcBorders>
              <w:bottom w:val="single" w:sz="8" w:space="0" w:color="000000"/>
            </w:tcBorders>
            <w:tcMar>
              <w:bottom w:w="28" w:type="dxa"/>
            </w:tcMar>
            <w:vAlign w:val="bottom"/>
          </w:tcPr>
          <w:p>
            <w:pPr>
              <w:pStyle w:val="TableContents"/>
              <w:bidi w:val="0"/>
              <w:spacing w:before="0" w:after="283"/>
              <w:jc w:val="center"/>
              <w:rPr/>
            </w:pPr>
            <w:r>
              <w:rPr/>
              <w:t>Jun. 30, 2025</w:t>
            </w:r>
          </w:p>
        </w:tc>
        <w:tc>
          <w:tcPr>
            <w:tcW w:w="161" w:type="dxa"/>
            <w:tcBorders/>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Income</w:t>
              <w:br/>
              <w:t>Before</w:t>
              <w:br/>
              <w:t>Taxes</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pPr>
            <w:r>
              <w:rPr/>
              <w:t>Revenue</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pPr>
            <w:r>
              <w:rPr/>
              <w:t>Income</w:t>
              <w:br/>
              <w:t>Before</w:t>
              <w:br/>
              <w:t>Taxes</w:t>
            </w:r>
          </w:p>
        </w:tc>
        <w:tc>
          <w:tcPr>
            <w:tcW w:w="161" w:type="dxa"/>
            <w:tcBorders/>
            <w:vAlign w:val="bottom"/>
          </w:tcPr>
          <w:p>
            <w:pPr>
              <w:pStyle w:val="TableContents"/>
              <w:bidi w:val="0"/>
              <w:spacing w:before="0" w:after="283"/>
              <w:jc w:val="left"/>
              <w:rPr/>
            </w:pPr>
            <w:r>
              <w:rPr/>
              <w:t> </w:t>
            </w:r>
          </w:p>
        </w:tc>
      </w:tr>
      <w:tr>
        <w:trPr/>
        <w:tc>
          <w:tcPr>
            <w:tcW w:w="5803" w:type="dxa"/>
            <w:tcBorders/>
            <w:shd w:fill="CCEEFF" w:val="clear"/>
            <w:vAlign w:val="bottom"/>
          </w:tcPr>
          <w:p>
            <w:pPr>
              <w:pStyle w:val="TableContents"/>
              <w:bidi w:val="0"/>
              <w:spacing w:before="0" w:after="0"/>
              <w:jc w:val="left"/>
              <w:rPr>
                <w:rFonts w:ascii="Arial" w:hAnsi="Arial"/>
                <w:sz w:val="20"/>
              </w:rPr>
            </w:pPr>
            <w:r>
              <w:rPr>
                <w:rFonts w:ascii="Arial" w:hAnsi="Arial"/>
                <w:sz w:val="20"/>
              </w:rPr>
              <w:t>Digital</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772" w:type="dxa"/>
            <w:tcBorders/>
            <w:shd w:fill="CCEEFF" w:val="clear"/>
            <w:vAlign w:val="bottom"/>
          </w:tcPr>
          <w:p>
            <w:pPr>
              <w:pStyle w:val="TableContents"/>
              <w:bidi w:val="0"/>
              <w:spacing w:before="0" w:after="283"/>
              <w:jc w:val="right"/>
              <w:rPr>
                <w:b/>
              </w:rPr>
            </w:pPr>
            <w:r>
              <w:rPr>
                <w:b/>
              </w:rPr>
              <w:t>1,337</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616" w:type="dxa"/>
            <w:tcBorders/>
            <w:shd w:fill="CCEEFF" w:val="clear"/>
            <w:vAlign w:val="bottom"/>
          </w:tcPr>
          <w:p>
            <w:pPr>
              <w:pStyle w:val="TableContents"/>
              <w:bidi w:val="0"/>
              <w:spacing w:before="0" w:after="283"/>
              <w:jc w:val="right"/>
              <w:rPr>
                <w:b/>
              </w:rPr>
            </w:pPr>
            <w:r>
              <w:rPr>
                <w:b/>
              </w:rPr>
              <w:t>328</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45" w:type="dxa"/>
            <w:tcBorders/>
            <w:shd w:fill="CCEEFF" w:val="clear"/>
            <w:vAlign w:val="bottom"/>
          </w:tcPr>
          <w:p>
            <w:pPr>
              <w:pStyle w:val="TableContents"/>
              <w:bidi w:val="0"/>
              <w:spacing w:before="0" w:after="283"/>
              <w:jc w:val="right"/>
              <w:rPr/>
            </w:pPr>
            <w:r>
              <w:rPr/>
              <w:t>1,177</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278</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0"/>
              <w:jc w:val="left"/>
              <w:rPr>
                <w:rFonts w:ascii="Arial" w:hAnsi="Arial"/>
                <w:sz w:val="20"/>
              </w:rPr>
            </w:pPr>
            <w:r>
              <w:rPr>
                <w:rFonts w:ascii="Arial" w:hAnsi="Arial"/>
                <w:sz w:val="20"/>
              </w:rPr>
              <w:t>Reservoir Performance</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b/>
              </w:rPr>
            </w:pPr>
            <w:r>
              <w:rPr>
                <w:b/>
              </w:rPr>
              <w:t>3,150</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489</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3,391</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596</w:t>
            </w:r>
          </w:p>
        </w:tc>
        <w:tc>
          <w:tcPr>
            <w:tcW w:w="161" w:type="dxa"/>
            <w:tcBorders/>
            <w:vAlign w:val="bottom"/>
          </w:tcPr>
          <w:p>
            <w:pPr>
              <w:pStyle w:val="TableContents"/>
              <w:bidi w:val="0"/>
              <w:spacing w:before="0" w:after="283"/>
              <w:jc w:val="left"/>
              <w:rPr/>
            </w:pPr>
            <w:r>
              <w:rPr/>
              <w:t> </w:t>
            </w:r>
          </w:p>
        </w:tc>
      </w:tr>
      <w:tr>
        <w:trPr/>
        <w:tc>
          <w:tcPr>
            <w:tcW w:w="5803" w:type="dxa"/>
            <w:tcBorders/>
            <w:shd w:fill="CCEEFF" w:val="clear"/>
            <w:vAlign w:val="bottom"/>
          </w:tcPr>
          <w:p>
            <w:pPr>
              <w:pStyle w:val="TableContents"/>
              <w:bidi w:val="0"/>
              <w:spacing w:before="0" w:after="0"/>
              <w:jc w:val="left"/>
              <w:rPr>
                <w:rFonts w:ascii="Arial" w:hAnsi="Arial"/>
                <w:sz w:val="20"/>
              </w:rPr>
            </w:pPr>
            <w:r>
              <w:rPr>
                <w:rFonts w:ascii="Arial" w:hAnsi="Arial"/>
                <w:sz w:val="20"/>
              </w:rPr>
              <w:t>Well Construction</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b/>
              </w:rPr>
            </w:pPr>
            <w:r>
              <w:rPr>
                <w:b/>
              </w:rPr>
              <w:t>5,539</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841</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5,940</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1,140</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0"/>
              <w:jc w:val="left"/>
              <w:rPr>
                <w:rFonts w:ascii="Arial" w:hAnsi="Arial"/>
                <w:sz w:val="20"/>
              </w:rPr>
            </w:pPr>
            <w:r>
              <w:rPr>
                <w:rFonts w:ascii="Arial" w:hAnsi="Arial"/>
                <w:sz w:val="20"/>
              </w:rPr>
              <w:t>Production Systems</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b/>
              </w:rPr>
            </w:pPr>
            <w:r>
              <w:rPr>
                <w:b/>
              </w:rPr>
              <w:t>7,279</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1,083</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5,773</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962</w:t>
            </w:r>
          </w:p>
        </w:tc>
        <w:tc>
          <w:tcPr>
            <w:tcW w:w="161" w:type="dxa"/>
            <w:tcBorders/>
            <w:vAlign w:val="bottom"/>
          </w:tcPr>
          <w:p>
            <w:pPr>
              <w:pStyle w:val="TableContents"/>
              <w:bidi w:val="0"/>
              <w:spacing w:before="0" w:after="283"/>
              <w:jc w:val="left"/>
              <w:rPr/>
            </w:pPr>
            <w:r>
              <w:rPr/>
              <w:t> </w:t>
            </w:r>
          </w:p>
        </w:tc>
      </w:tr>
      <w:tr>
        <w:trPr/>
        <w:tc>
          <w:tcPr>
            <w:tcW w:w="5803" w:type="dxa"/>
            <w:tcBorders/>
            <w:shd w:fill="CCEEFF" w:val="clear"/>
            <w:vAlign w:val="bottom"/>
          </w:tcPr>
          <w:p>
            <w:pPr>
              <w:pStyle w:val="TableContents"/>
              <w:bidi w:val="0"/>
              <w:spacing w:before="0" w:after="0"/>
              <w:jc w:val="left"/>
              <w:rPr>
                <w:rFonts w:ascii="Arial" w:hAnsi="Arial"/>
                <w:sz w:val="20"/>
              </w:rPr>
            </w:pPr>
            <w:r>
              <w:rPr>
                <w:rFonts w:ascii="Arial" w:hAnsi="Arial"/>
                <w:sz w:val="20"/>
              </w:rPr>
              <w:t>All Other</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b/>
              </w:rPr>
            </w:pPr>
            <w:r>
              <w:rPr>
                <w:b/>
              </w:rPr>
              <w:t>948</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255</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1,145</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317</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0"/>
              <w:jc w:val="left"/>
              <w:rPr>
                <w:rFonts w:ascii="Arial" w:hAnsi="Arial"/>
                <w:sz w:val="20"/>
              </w:rPr>
            </w:pPr>
            <w:r>
              <w:rPr>
                <w:rFonts w:ascii="Arial" w:hAnsi="Arial"/>
                <w:sz w:val="20"/>
              </w:rPr>
              <w:t>Eliminations &amp; other</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b/>
              </w:rPr>
            </w:pPr>
            <w:r>
              <w:rPr>
                <w:b/>
              </w:rPr>
              <w:t>(560</w:t>
            </w:r>
          </w:p>
        </w:tc>
        <w:tc>
          <w:tcPr>
            <w:tcW w:w="155" w:type="dxa"/>
            <w:tcBorders/>
            <w:vAlign w:val="bottom"/>
          </w:tcPr>
          <w:p>
            <w:pPr>
              <w:pStyle w:val="TableContents"/>
              <w:bidi w:val="0"/>
              <w:spacing w:before="0" w:after="283"/>
              <w:jc w:val="left"/>
              <w:rPr>
                <w:b/>
              </w:rPr>
            </w:pPr>
            <w:r>
              <w:rPr>
                <w:b/>
              </w:rPr>
              <w:t>) </w:t>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(271</w:t>
            </w:r>
          </w:p>
        </w:tc>
        <w:tc>
          <w:tcPr>
            <w:tcW w:w="155" w:type="dxa"/>
            <w:tcBorders/>
            <w:vAlign w:val="bottom"/>
          </w:tcPr>
          <w:p>
            <w:pPr>
              <w:pStyle w:val="TableContents"/>
              <w:bidi w:val="0"/>
              <w:spacing w:before="0" w:after="283"/>
              <w:jc w:val="left"/>
              <w:rPr>
                <w:b/>
              </w:rPr>
            </w:pPr>
            <w:r>
              <w:rPr>
                <w:b/>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(391</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(153</w:t>
            </w:r>
          </w:p>
        </w:tc>
        <w:tc>
          <w:tcPr>
            <w:tcW w:w="161" w:type="dxa"/>
            <w:tcBorders/>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874" w:type="dxa"/>
            <w:gridSpan w:val="4"/>
            <w:tcBorders/>
            <w:shd w:fill="CCEEFF" w:val="clear"/>
          </w:tcPr>
          <w:p>
            <w:pPr>
              <w:pStyle w:val="TableContents"/>
              <w:bidi w:val="0"/>
              <w:spacing w:before="0" w:after="0"/>
              <w:jc w:val="left"/>
              <w:rPr>
                <w:rFonts w:ascii="Arial" w:hAnsi="Arial"/>
                <w:sz w:val="20"/>
              </w:rPr>
            </w:pPr>
            <w:r>
              <w:rPr>
                <w:rFonts w:ascii="Arial" w:hAnsi="Arial"/>
                <w:sz w:val="20"/>
              </w:rPr>
              <w:t>Pretax segment operating income</w:t>
            </w:r>
          </w:p>
        </w:tc>
        <w:tc>
          <w:tcPr>
            <w:tcW w:w="155" w:type="dxa"/>
            <w:tcBorders/>
            <w:shd w:fill="CCEEFF" w:val="clear"/>
          </w:tcPr>
          <w:p>
            <w:pPr>
              <w:pStyle w:val="TableContents"/>
              <w:bidi w:val="0"/>
              <w:spacing w:before="0" w:after="0"/>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2,725</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3,140</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0"/>
              <w:jc w:val="left"/>
              <w:rPr>
                <w:rFonts w:ascii="Arial" w:hAnsi="Arial"/>
                <w:sz w:val="20"/>
              </w:rPr>
            </w:pPr>
            <w:r>
              <w:rPr>
                <w:rFonts w:ascii="Arial" w:hAnsi="Arial"/>
                <w:sz w:val="20"/>
              </w:rPr>
              <w:t>Corporate &amp; other</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(439</w:t>
            </w:r>
          </w:p>
        </w:tc>
        <w:tc>
          <w:tcPr>
            <w:tcW w:w="155" w:type="dxa"/>
            <w:tcBorders/>
            <w:vAlign w:val="bottom"/>
          </w:tcPr>
          <w:p>
            <w:pPr>
              <w:pStyle w:val="TableContents"/>
              <w:bidi w:val="0"/>
              <w:spacing w:before="0" w:after="283"/>
              <w:jc w:val="left"/>
              <w:rPr>
                <w:b/>
              </w:rPr>
            </w:pPr>
            <w:r>
              <w:rPr>
                <w:b/>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(347</w:t>
            </w:r>
          </w:p>
        </w:tc>
        <w:tc>
          <w:tcPr>
            <w:tcW w:w="161" w:type="dxa"/>
            <w:tcBorders/>
            <w:vAlign w:val="bottom"/>
          </w:tcPr>
          <w:p>
            <w:pPr>
              <w:pStyle w:val="TableContents"/>
              <w:bidi w:val="0"/>
              <w:spacing w:before="0" w:after="283"/>
              <w:jc w:val="left"/>
              <w:rPr/>
            </w:pPr>
            <w:r>
              <w:rPr/>
              <w:t>) </w:t>
            </w:r>
          </w:p>
        </w:tc>
      </w:tr>
      <w:tr>
        <w:trPr/>
        <w:tc>
          <w:tcPr>
            <w:tcW w:w="5803" w:type="dxa"/>
            <w:tcBorders/>
            <w:shd w:fill="CCEEFF" w:val="clear"/>
            <w:vAlign w:val="bottom"/>
          </w:tcPr>
          <w:p>
            <w:pPr>
              <w:pStyle w:val="TableContents"/>
              <w:bidi w:val="0"/>
              <w:spacing w:before="0" w:after="0"/>
              <w:jc w:val="left"/>
              <w:rPr>
                <w:rFonts w:ascii="Arial" w:hAnsi="Arial"/>
                <w:sz w:val="20"/>
              </w:rPr>
            </w:pPr>
            <w:r>
              <w:rPr>
                <w:rFonts w:ascii="Arial" w:hAnsi="Arial"/>
                <w:sz w:val="20"/>
              </w:rPr>
              <w:t>Interest income (1)</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43</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66</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0"/>
              <w:jc w:val="left"/>
              <w:rPr>
                <w:rFonts w:ascii="Arial" w:hAnsi="Arial"/>
                <w:sz w:val="20"/>
              </w:rPr>
            </w:pPr>
            <w:r>
              <w:rPr>
                <w:rFonts w:ascii="Arial" w:hAnsi="Arial"/>
                <w:sz w:val="20"/>
              </w:rPr>
              <w:t>Interest expense (1)</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(244</w:t>
            </w:r>
          </w:p>
        </w:tc>
        <w:tc>
          <w:tcPr>
            <w:tcW w:w="155" w:type="dxa"/>
            <w:tcBorders/>
            <w:vAlign w:val="bottom"/>
          </w:tcPr>
          <w:p>
            <w:pPr>
              <w:pStyle w:val="TableContents"/>
              <w:bidi w:val="0"/>
              <w:spacing w:before="0" w:after="283"/>
              <w:jc w:val="left"/>
              <w:rPr>
                <w:b/>
              </w:rPr>
            </w:pPr>
            <w:r>
              <w:rPr>
                <w:b/>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(283</w:t>
            </w:r>
          </w:p>
        </w:tc>
        <w:tc>
          <w:tcPr>
            <w:tcW w:w="161" w:type="dxa"/>
            <w:tcBorders/>
            <w:vAlign w:val="bottom"/>
          </w:tcPr>
          <w:p>
            <w:pPr>
              <w:pStyle w:val="TableContents"/>
              <w:bidi w:val="0"/>
              <w:spacing w:before="0" w:after="283"/>
              <w:jc w:val="left"/>
              <w:rPr/>
            </w:pPr>
            <w:r>
              <w:rPr/>
              <w:t>) </w:t>
            </w:r>
          </w:p>
        </w:tc>
      </w:tr>
      <w:tr>
        <w:trPr/>
        <w:tc>
          <w:tcPr>
            <w:tcW w:w="5803" w:type="dxa"/>
            <w:tcBorders/>
            <w:shd w:fill="CCEEFF" w:val="clear"/>
            <w:vAlign w:val="bottom"/>
          </w:tcPr>
          <w:p>
            <w:pPr>
              <w:pStyle w:val="TableContents"/>
              <w:bidi w:val="0"/>
              <w:spacing w:before="0" w:after="0"/>
              <w:jc w:val="left"/>
              <w:rPr>
                <w:rFonts w:ascii="Arial" w:hAnsi="Arial"/>
                <w:sz w:val="20"/>
              </w:rPr>
            </w:pPr>
            <w:r>
              <w:rPr>
                <w:rFonts w:ascii="Arial" w:hAnsi="Arial"/>
                <w:sz w:val="20"/>
              </w:rPr>
              <w:t>Charges &amp; credits (2)</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(110</w:t>
            </w:r>
          </w:p>
        </w:tc>
        <w:tc>
          <w:tcPr>
            <w:tcW w:w="155" w:type="dxa"/>
            <w:tcBorders/>
            <w:shd w:fill="CCEEFF" w:val="clear"/>
            <w:vAlign w:val="bottom"/>
          </w:tcPr>
          <w:p>
            <w:pPr>
              <w:pStyle w:val="TableContents"/>
              <w:bidi w:val="0"/>
              <w:spacing w:before="0" w:after="283"/>
              <w:jc w:val="left"/>
              <w:rPr>
                <w:b/>
              </w:rPr>
            </w:pPr>
            <w:r>
              <w:rPr>
                <w:b/>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(228</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772" w:type="dxa"/>
            <w:tcBorders/>
            <w:vAlign w:val="bottom"/>
          </w:tcPr>
          <w:p>
            <w:pPr>
              <w:pStyle w:val="TableContents"/>
              <w:bidi w:val="0"/>
              <w:spacing w:before="0" w:after="283"/>
              <w:jc w:val="right"/>
              <w:rPr>
                <w:b/>
              </w:rPr>
            </w:pPr>
            <w:r>
              <w:rPr>
                <w:b/>
              </w:rPr>
              <w:t>17,693</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616" w:type="dxa"/>
            <w:tcBorders/>
            <w:vAlign w:val="bottom"/>
          </w:tcPr>
          <w:p>
            <w:pPr>
              <w:pStyle w:val="TableContents"/>
              <w:bidi w:val="0"/>
              <w:spacing w:before="0" w:after="283"/>
              <w:jc w:val="right"/>
              <w:rPr>
                <w:b/>
              </w:rPr>
            </w:pPr>
            <w:r>
              <w:rPr>
                <w:b/>
              </w:rPr>
              <w:t>1,975</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45" w:type="dxa"/>
            <w:tcBorders/>
            <w:vAlign w:val="bottom"/>
          </w:tcPr>
          <w:p>
            <w:pPr>
              <w:pStyle w:val="TableContents"/>
              <w:bidi w:val="0"/>
              <w:spacing w:before="0" w:after="283"/>
              <w:jc w:val="right"/>
              <w:rPr/>
            </w:pPr>
            <w:r>
              <w:rPr/>
              <w:t>17,035</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90" w:type="dxa"/>
            <w:tcBorders/>
            <w:vAlign w:val="bottom"/>
          </w:tcPr>
          <w:p>
            <w:pPr>
              <w:pStyle w:val="TableContents"/>
              <w:bidi w:val="0"/>
              <w:spacing w:before="0" w:after="283"/>
              <w:jc w:val="right"/>
              <w:rPr/>
            </w:pPr>
            <w:r>
              <w:rPr/>
              <w:t>2,348</w:t>
            </w:r>
          </w:p>
        </w:tc>
        <w:tc>
          <w:tcPr>
            <w:tcW w:w="161" w:type="dxa"/>
            <w:tcBorders/>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7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514"/>
        <w:gridCol w:w="189"/>
        <w:gridCol w:w="181"/>
        <w:gridCol w:w="736"/>
        <w:gridCol w:w="155"/>
        <w:gridCol w:w="130"/>
        <w:gridCol w:w="154"/>
        <w:gridCol w:w="616"/>
        <w:gridCol w:w="155"/>
        <w:gridCol w:w="129"/>
        <w:gridCol w:w="445"/>
        <w:gridCol w:w="1215"/>
        <w:gridCol w:w="60"/>
        <w:gridCol w:w="189"/>
        <w:gridCol w:w="300"/>
        <w:gridCol w:w="825"/>
        <w:gridCol w:w="155"/>
        <w:gridCol w:w="130"/>
        <w:gridCol w:w="352"/>
        <w:gridCol w:w="1410"/>
        <w:gridCol w:w="165"/>
      </w:tblGrid>
      <w:tr>
        <w:trPr/>
        <w:tc>
          <w:tcPr>
            <w:tcW w:w="2514"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14"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7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6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62" w:type="dxa"/>
            <w:gridSpan w:val="2"/>
            <w:tcBorders/>
            <w:vAlign w:val="bottom"/>
          </w:tcPr>
          <w:p>
            <w:pPr>
              <w:pStyle w:val="TableContents"/>
              <w:bidi w:val="0"/>
              <w:spacing w:before="0" w:after="283"/>
              <w:jc w:val="center"/>
              <w:rPr/>
            </w:pPr>
            <w:r>
              <w:rPr/>
              <w:t>(Stated in millions)</w:t>
            </w:r>
          </w:p>
        </w:tc>
        <w:tc>
          <w:tcPr>
            <w:tcW w:w="165" w:type="dxa"/>
            <w:tcBorders/>
            <w:vAlign w:val="bottom"/>
          </w:tcPr>
          <w:p>
            <w:pPr>
              <w:pStyle w:val="TableContents"/>
              <w:bidi w:val="0"/>
              <w:spacing w:before="0" w:after="283"/>
              <w:jc w:val="left"/>
              <w:rPr/>
            </w:pPr>
            <w:r>
              <w:rPr/>
              <w:t> </w:t>
            </w:r>
          </w:p>
        </w:tc>
      </w:tr>
      <w:tr>
        <w:trPr/>
        <w:tc>
          <w:tcPr>
            <w:tcW w:w="2514"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337"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Second Quarter 2026</w:t>
            </w:r>
          </w:p>
        </w:tc>
        <w:tc>
          <w:tcPr>
            <w:tcW w:w="165" w:type="dxa"/>
            <w:tcBorders/>
            <w:vAlign w:val="bottom"/>
          </w:tcPr>
          <w:p>
            <w:pPr>
              <w:pStyle w:val="TableContents"/>
              <w:bidi w:val="0"/>
              <w:spacing w:before="0" w:after="283"/>
              <w:jc w:val="left"/>
              <w:rPr/>
            </w:pPr>
            <w:r>
              <w:rPr/>
              <w:t> </w:t>
            </w:r>
          </w:p>
        </w:tc>
      </w:tr>
      <w:tr>
        <w:trPr/>
        <w:tc>
          <w:tcPr>
            <w:tcW w:w="2514"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pPr>
            <w:r>
              <w:rPr>
                <w:b/>
              </w:rPr>
              <w:t>Income</w:t>
              <w:br/>
              <w:t>Before</w:t>
            </w:r>
            <w:r>
              <w:rPr/>
              <w:br/>
            </w:r>
            <w:r>
              <w:rPr>
                <w:b/>
              </w:rPr>
              <w:t>Taxes</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bottom"/>
          </w:tcPr>
          <w:p>
            <w:pPr>
              <w:pStyle w:val="TableContents"/>
              <w:bidi w:val="0"/>
              <w:spacing w:before="0" w:after="283"/>
              <w:jc w:val="center"/>
              <w:rPr/>
            </w:pPr>
            <w:r>
              <w:rPr/>
              <w:t>Depreciation and</w:t>
              <w:br/>
              <w:t>Amortization (3)</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pPr>
            <w:r>
              <w:rPr/>
              <w:t>Net Interest</w:t>
              <w:br/>
              <w:t>Expense</w:t>
              <w:br/>
              <w:t>(Income) (4)</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62" w:type="dxa"/>
            <w:gridSpan w:val="2"/>
            <w:tcBorders>
              <w:bottom w:val="single" w:sz="8" w:space="0" w:color="000000"/>
            </w:tcBorders>
            <w:tcMar>
              <w:bottom w:w="28" w:type="dxa"/>
            </w:tcMar>
            <w:vAlign w:val="bottom"/>
          </w:tcPr>
          <w:p>
            <w:pPr>
              <w:pStyle w:val="TableContents"/>
              <w:bidi w:val="0"/>
              <w:spacing w:before="0" w:after="283"/>
              <w:jc w:val="center"/>
              <w:rPr/>
            </w:pPr>
            <w:r>
              <w:rPr/>
              <w:t>Adjusted</w:t>
              <w:br/>
              <w:t>EBITDA (5)</w:t>
            </w:r>
          </w:p>
        </w:tc>
        <w:tc>
          <w:tcPr>
            <w:tcW w:w="165" w:type="dxa"/>
            <w:tcBorders/>
            <w:vAlign w:val="bottom"/>
          </w:tcPr>
          <w:p>
            <w:pPr>
              <w:pStyle w:val="TableContents"/>
              <w:bidi w:val="0"/>
              <w:spacing w:before="0" w:after="283"/>
              <w:jc w:val="left"/>
              <w:rPr/>
            </w:pPr>
            <w:r>
              <w:rPr/>
              <w:t> </w:t>
            </w:r>
          </w:p>
        </w:tc>
      </w:tr>
      <w:tr>
        <w:trPr/>
        <w:tc>
          <w:tcPr>
            <w:tcW w:w="2514" w:type="dxa"/>
            <w:tcBorders/>
            <w:shd w:fill="CCEEFF" w:val="clear"/>
            <w:vAlign w:val="bottom"/>
          </w:tcPr>
          <w:p>
            <w:pPr>
              <w:pStyle w:val="TableContents"/>
              <w:bidi w:val="0"/>
              <w:spacing w:before="0" w:after="0"/>
              <w:jc w:val="left"/>
              <w:rPr>
                <w:rFonts w:ascii="Arial" w:hAnsi="Arial"/>
                <w:sz w:val="20"/>
              </w:rPr>
            </w:pPr>
            <w:r>
              <w:rPr>
                <w:rFonts w:ascii="Arial" w:hAnsi="Arial"/>
                <w:sz w:val="20"/>
              </w:rPr>
              <w:t>Digital</w:t>
            </w:r>
          </w:p>
        </w:tc>
        <w:tc>
          <w:tcPr>
            <w:tcW w:w="18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b/>
              </w:rPr>
            </w:pPr>
            <w:r>
              <w:rPr>
                <w:b/>
              </w:rPr>
              <w:t>$</w:t>
            </w:r>
          </w:p>
        </w:tc>
        <w:tc>
          <w:tcPr>
            <w:tcW w:w="736" w:type="dxa"/>
            <w:tcBorders/>
            <w:shd w:fill="CCEEFF" w:val="clear"/>
            <w:vAlign w:val="bottom"/>
          </w:tcPr>
          <w:p>
            <w:pPr>
              <w:pStyle w:val="TableContents"/>
              <w:bidi w:val="0"/>
              <w:spacing w:before="0" w:after="283"/>
              <w:jc w:val="right"/>
              <w:rPr>
                <w:b/>
              </w:rPr>
            </w:pPr>
            <w:r>
              <w:rPr>
                <w:b/>
              </w:rPr>
              <w:t>697</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616" w:type="dxa"/>
            <w:tcBorders/>
            <w:shd w:fill="CCEEFF" w:val="clear"/>
            <w:vAlign w:val="bottom"/>
          </w:tcPr>
          <w:p>
            <w:pPr>
              <w:pStyle w:val="TableContents"/>
              <w:bidi w:val="0"/>
              <w:spacing w:before="0" w:after="283"/>
              <w:jc w:val="right"/>
              <w:rPr>
                <w:b/>
              </w:rPr>
            </w:pPr>
            <w:r>
              <w:rPr>
                <w:b/>
              </w:rPr>
              <w:t>194</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w:t>
            </w:r>
          </w:p>
        </w:tc>
        <w:tc>
          <w:tcPr>
            <w:tcW w:w="1215" w:type="dxa"/>
            <w:tcBorders/>
            <w:shd w:fill="CCEEFF" w:val="clear"/>
            <w:vAlign w:val="bottom"/>
          </w:tcPr>
          <w:p>
            <w:pPr>
              <w:pStyle w:val="TableContents"/>
              <w:bidi w:val="0"/>
              <w:spacing w:before="0" w:after="283"/>
              <w:jc w:val="right"/>
              <w:rPr/>
            </w:pPr>
            <w:r>
              <w:rPr/>
              <w:t>48</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1410" w:type="dxa"/>
            <w:tcBorders/>
            <w:shd w:fill="CCEEFF" w:val="clear"/>
            <w:vAlign w:val="bottom"/>
          </w:tcPr>
          <w:p>
            <w:pPr>
              <w:pStyle w:val="TableContents"/>
              <w:bidi w:val="0"/>
              <w:spacing w:before="0" w:after="283"/>
              <w:jc w:val="right"/>
              <w:rPr/>
            </w:pPr>
            <w:r>
              <w:rPr/>
              <w:t>242</w:t>
            </w:r>
          </w:p>
        </w:tc>
        <w:tc>
          <w:tcPr>
            <w:tcW w:w="165" w:type="dxa"/>
            <w:tcBorders/>
            <w:shd w:fill="CCEEFF" w:val="clear"/>
            <w:vAlign w:val="bottom"/>
          </w:tcPr>
          <w:p>
            <w:pPr>
              <w:pStyle w:val="TableContents"/>
              <w:bidi w:val="0"/>
              <w:spacing w:before="0" w:after="283"/>
              <w:jc w:val="left"/>
              <w:rPr/>
            </w:pPr>
            <w:r>
              <w:rPr/>
              <w:t> </w:t>
            </w:r>
          </w:p>
        </w:tc>
      </w:tr>
      <w:tr>
        <w:trPr/>
        <w:tc>
          <w:tcPr>
            <w:tcW w:w="2514" w:type="dxa"/>
            <w:tcBorders/>
            <w:vAlign w:val="bottom"/>
          </w:tcPr>
          <w:p>
            <w:pPr>
              <w:pStyle w:val="TableContents"/>
              <w:bidi w:val="0"/>
              <w:spacing w:before="0" w:after="0"/>
              <w:jc w:val="left"/>
              <w:rPr>
                <w:rFonts w:ascii="Arial" w:hAnsi="Arial"/>
                <w:sz w:val="20"/>
              </w:rPr>
            </w:pPr>
            <w:r>
              <w:rPr>
                <w:rFonts w:ascii="Arial" w:hAnsi="Arial"/>
                <w:sz w:val="20"/>
              </w:rPr>
              <w:t>Reservoir Performance</w:t>
            </w:r>
          </w:p>
        </w:tc>
        <w:tc>
          <w:tcPr>
            <w:tcW w:w="18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1,556</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232</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118</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349</w:t>
            </w:r>
          </w:p>
        </w:tc>
        <w:tc>
          <w:tcPr>
            <w:tcW w:w="165" w:type="dxa"/>
            <w:tcBorders/>
            <w:vAlign w:val="bottom"/>
          </w:tcPr>
          <w:p>
            <w:pPr>
              <w:pStyle w:val="TableContents"/>
              <w:bidi w:val="0"/>
              <w:spacing w:before="0" w:after="283"/>
              <w:jc w:val="left"/>
              <w:rPr/>
            </w:pPr>
            <w:r>
              <w:rPr/>
              <w:t> </w:t>
            </w:r>
          </w:p>
        </w:tc>
      </w:tr>
      <w:tr>
        <w:trPr/>
        <w:tc>
          <w:tcPr>
            <w:tcW w:w="2514" w:type="dxa"/>
            <w:tcBorders/>
            <w:shd w:fill="CCEEFF" w:val="clear"/>
            <w:vAlign w:val="bottom"/>
          </w:tcPr>
          <w:p>
            <w:pPr>
              <w:pStyle w:val="TableContents"/>
              <w:bidi w:val="0"/>
              <w:spacing w:before="0" w:after="0"/>
              <w:jc w:val="left"/>
              <w:rPr>
                <w:rFonts w:ascii="Arial" w:hAnsi="Arial"/>
                <w:sz w:val="20"/>
              </w:rPr>
            </w:pPr>
            <w:r>
              <w:rPr>
                <w:rFonts w:ascii="Arial" w:hAnsi="Arial"/>
                <w:sz w:val="20"/>
              </w:rPr>
              <w:t>Well Construction</w:t>
            </w:r>
          </w:p>
        </w:tc>
        <w:tc>
          <w:tcPr>
            <w:tcW w:w="18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2,742</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417</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161</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578</w:t>
            </w:r>
          </w:p>
        </w:tc>
        <w:tc>
          <w:tcPr>
            <w:tcW w:w="165" w:type="dxa"/>
            <w:tcBorders/>
            <w:shd w:fill="CCEEFF" w:val="clear"/>
            <w:vAlign w:val="bottom"/>
          </w:tcPr>
          <w:p>
            <w:pPr>
              <w:pStyle w:val="TableContents"/>
              <w:bidi w:val="0"/>
              <w:spacing w:before="0" w:after="283"/>
              <w:jc w:val="left"/>
              <w:rPr/>
            </w:pPr>
            <w:r>
              <w:rPr/>
              <w:t> </w:t>
            </w:r>
          </w:p>
        </w:tc>
      </w:tr>
      <w:tr>
        <w:trPr/>
        <w:tc>
          <w:tcPr>
            <w:tcW w:w="2514" w:type="dxa"/>
            <w:tcBorders/>
            <w:vAlign w:val="bottom"/>
          </w:tcPr>
          <w:p>
            <w:pPr>
              <w:pStyle w:val="TableContents"/>
              <w:bidi w:val="0"/>
              <w:spacing w:before="0" w:after="0"/>
              <w:jc w:val="left"/>
              <w:rPr>
                <w:rFonts w:ascii="Arial" w:hAnsi="Arial"/>
                <w:sz w:val="20"/>
              </w:rPr>
            </w:pPr>
            <w:r>
              <w:rPr>
                <w:rFonts w:ascii="Arial" w:hAnsi="Arial"/>
                <w:sz w:val="20"/>
              </w:rPr>
              <w:t>Production Systems</w:t>
            </w:r>
          </w:p>
        </w:tc>
        <w:tc>
          <w:tcPr>
            <w:tcW w:w="18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3,771</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586</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152</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738</w:t>
            </w:r>
          </w:p>
        </w:tc>
        <w:tc>
          <w:tcPr>
            <w:tcW w:w="165" w:type="dxa"/>
            <w:tcBorders/>
            <w:vAlign w:val="bottom"/>
          </w:tcPr>
          <w:p>
            <w:pPr>
              <w:pStyle w:val="TableContents"/>
              <w:bidi w:val="0"/>
              <w:spacing w:before="0" w:after="283"/>
              <w:jc w:val="left"/>
              <w:rPr/>
            </w:pPr>
            <w:r>
              <w:rPr/>
              <w:t> </w:t>
            </w:r>
          </w:p>
        </w:tc>
      </w:tr>
      <w:tr>
        <w:trPr/>
        <w:tc>
          <w:tcPr>
            <w:tcW w:w="2514" w:type="dxa"/>
            <w:tcBorders/>
            <w:shd w:fill="CCEEFF" w:val="clear"/>
            <w:vAlign w:val="bottom"/>
          </w:tcPr>
          <w:p>
            <w:pPr>
              <w:pStyle w:val="TableContents"/>
              <w:bidi w:val="0"/>
              <w:spacing w:before="0" w:after="0"/>
              <w:jc w:val="left"/>
              <w:rPr>
                <w:rFonts w:ascii="Arial" w:hAnsi="Arial"/>
                <w:sz w:val="20"/>
              </w:rPr>
            </w:pPr>
            <w:r>
              <w:rPr>
                <w:rFonts w:ascii="Arial" w:hAnsi="Arial"/>
                <w:sz w:val="20"/>
              </w:rPr>
              <w:t>All Other</w:t>
            </w:r>
          </w:p>
        </w:tc>
        <w:tc>
          <w:tcPr>
            <w:tcW w:w="18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505</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142</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85</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227</w:t>
            </w:r>
          </w:p>
        </w:tc>
        <w:tc>
          <w:tcPr>
            <w:tcW w:w="165" w:type="dxa"/>
            <w:tcBorders/>
            <w:shd w:fill="CCEEFF" w:val="clear"/>
            <w:vAlign w:val="bottom"/>
          </w:tcPr>
          <w:p>
            <w:pPr>
              <w:pStyle w:val="TableContents"/>
              <w:bidi w:val="0"/>
              <w:spacing w:before="0" w:after="283"/>
              <w:jc w:val="left"/>
              <w:rPr/>
            </w:pPr>
            <w:r>
              <w:rPr/>
              <w:t> </w:t>
            </w:r>
          </w:p>
        </w:tc>
      </w:tr>
      <w:tr>
        <w:trPr/>
        <w:tc>
          <w:tcPr>
            <w:tcW w:w="2514" w:type="dxa"/>
            <w:tcBorders/>
            <w:vAlign w:val="bottom"/>
          </w:tcPr>
          <w:p>
            <w:pPr>
              <w:pStyle w:val="TableContents"/>
              <w:bidi w:val="0"/>
              <w:spacing w:before="0" w:after="0"/>
              <w:jc w:val="left"/>
              <w:rPr>
                <w:rFonts w:ascii="Arial" w:hAnsi="Arial"/>
                <w:sz w:val="20"/>
              </w:rPr>
            </w:pPr>
            <w:r>
              <w:rPr>
                <w:rFonts w:ascii="Arial" w:hAnsi="Arial"/>
                <w:sz w:val="20"/>
              </w:rPr>
              <w:t>Eliminations &amp; other</w:t>
            </w:r>
          </w:p>
        </w:tc>
        <w:tc>
          <w:tcPr>
            <w:tcW w:w="18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(299</w:t>
            </w:r>
          </w:p>
        </w:tc>
        <w:tc>
          <w:tcPr>
            <w:tcW w:w="155" w:type="dxa"/>
            <w:tcBorders/>
            <w:vAlign w:val="bottom"/>
          </w:tcPr>
          <w:p>
            <w:pPr>
              <w:pStyle w:val="TableContents"/>
              <w:bidi w:val="0"/>
              <w:spacing w:before="0" w:after="283"/>
              <w:jc w:val="left"/>
              <w:rPr>
                <w:b/>
              </w:rPr>
            </w:pPr>
            <w:r>
              <w:rPr>
                <w:b/>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(167</w:t>
            </w:r>
          </w:p>
        </w:tc>
        <w:tc>
          <w:tcPr>
            <w:tcW w:w="155" w:type="dxa"/>
            <w:tcBorders/>
            <w:vAlign w:val="bottom"/>
          </w:tcPr>
          <w:p>
            <w:pPr>
              <w:pStyle w:val="TableContents"/>
              <w:bidi w:val="0"/>
              <w:spacing w:before="0" w:after="283"/>
              <w:jc w:val="left"/>
              <w:rPr>
                <w:b/>
              </w:rPr>
            </w:pPr>
            <w:r>
              <w:rPr>
                <w:b/>
              </w:rPr>
              <w:t>) </w:t>
            </w:r>
          </w:p>
        </w:tc>
        <w:tc>
          <w:tcPr>
            <w:tcW w:w="129"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(101</w:t>
            </w:r>
          </w:p>
        </w:tc>
        <w:tc>
          <w:tcPr>
            <w:tcW w:w="165" w:type="dxa"/>
            <w:tcBorders/>
            <w:vAlign w:val="bottom"/>
          </w:tcPr>
          <w:p>
            <w:pPr>
              <w:pStyle w:val="TableContents"/>
              <w:bidi w:val="0"/>
              <w:spacing w:before="0" w:after="283"/>
              <w:jc w:val="left"/>
              <w:rPr/>
            </w:pPr>
            <w:r>
              <w:rPr/>
              <w:t>) </w:t>
            </w:r>
          </w:p>
        </w:tc>
      </w:tr>
      <w:tr>
        <w:trPr/>
        <w:tc>
          <w:tcPr>
            <w:tcW w:w="2514"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41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3620" w:type="dxa"/>
            <w:gridSpan w:val="4"/>
            <w:tcBorders/>
            <w:shd w:fill="CCEEFF" w:val="clear"/>
            <w:vAlign w:val="bottom"/>
          </w:tcPr>
          <w:p>
            <w:pPr>
              <w:pStyle w:val="TableContents"/>
              <w:bidi w:val="0"/>
              <w:spacing w:before="0" w:after="0"/>
              <w:jc w:val="left"/>
              <w:rPr>
                <w:rFonts w:ascii="Arial" w:hAnsi="Arial"/>
                <w:sz w:val="20"/>
              </w:rPr>
            </w:pPr>
            <w:r>
              <w:rPr>
                <w:rFonts w:ascii="Arial" w:hAnsi="Arial"/>
                <w:sz w:val="20"/>
              </w:rPr>
              <w:t>Pretax segment operating income</w:t>
            </w:r>
          </w:p>
        </w:tc>
        <w:tc>
          <w:tcPr>
            <w:tcW w:w="155" w:type="dxa"/>
            <w:tcBorders/>
            <w:shd w:fill="CCEEFF" w:val="clear"/>
            <w:vAlign w:val="bottom"/>
          </w:tcPr>
          <w:p>
            <w:pPr>
              <w:pStyle w:val="TableContents"/>
              <w:bidi w:val="0"/>
              <w:spacing w:before="0" w:after="0"/>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1,404</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12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8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141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514" w:type="dxa"/>
            <w:tcBorders/>
            <w:vAlign w:val="bottom"/>
          </w:tcPr>
          <w:p>
            <w:pPr>
              <w:pStyle w:val="TableContents"/>
              <w:bidi w:val="0"/>
              <w:spacing w:before="0" w:after="0"/>
              <w:jc w:val="left"/>
              <w:rPr>
                <w:rFonts w:ascii="Arial" w:hAnsi="Arial"/>
                <w:sz w:val="20"/>
              </w:rPr>
            </w:pPr>
            <w:r>
              <w:rPr>
                <w:rFonts w:ascii="Arial" w:hAnsi="Arial"/>
                <w:sz w:val="20"/>
              </w:rPr>
              <w:t>Corporate &amp; other</w:t>
            </w:r>
          </w:p>
        </w:tc>
        <w:tc>
          <w:tcPr>
            <w:tcW w:w="18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(211</w:t>
            </w:r>
          </w:p>
        </w:tc>
        <w:tc>
          <w:tcPr>
            <w:tcW w:w="155" w:type="dxa"/>
            <w:tcBorders/>
            <w:vAlign w:val="bottom"/>
          </w:tcPr>
          <w:p>
            <w:pPr>
              <w:pStyle w:val="TableContents"/>
              <w:bidi w:val="0"/>
              <w:spacing w:before="0" w:after="283"/>
              <w:jc w:val="left"/>
              <w:rPr>
                <w:b/>
              </w:rPr>
            </w:pPr>
            <w:r>
              <w:rPr>
                <w:b/>
              </w:rPr>
              <w:t>) </w:t>
            </w:r>
          </w:p>
        </w:tc>
        <w:tc>
          <w:tcPr>
            <w:tcW w:w="129"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(134</w:t>
            </w:r>
          </w:p>
        </w:tc>
        <w:tc>
          <w:tcPr>
            <w:tcW w:w="165" w:type="dxa"/>
            <w:tcBorders/>
            <w:vAlign w:val="bottom"/>
          </w:tcPr>
          <w:p>
            <w:pPr>
              <w:pStyle w:val="TableContents"/>
              <w:bidi w:val="0"/>
              <w:spacing w:before="0" w:after="283"/>
              <w:jc w:val="left"/>
              <w:rPr/>
            </w:pPr>
            <w:r>
              <w:rPr/>
              <w:t>) </w:t>
            </w:r>
          </w:p>
        </w:tc>
      </w:tr>
      <w:tr>
        <w:trPr/>
        <w:tc>
          <w:tcPr>
            <w:tcW w:w="2514" w:type="dxa"/>
            <w:tcBorders/>
            <w:shd w:fill="CCEEFF" w:val="clear"/>
            <w:vAlign w:val="bottom"/>
          </w:tcPr>
          <w:p>
            <w:pPr>
              <w:pStyle w:val="TableContents"/>
              <w:bidi w:val="0"/>
              <w:spacing w:before="0" w:after="0"/>
              <w:jc w:val="left"/>
              <w:rPr>
                <w:rFonts w:ascii="Arial" w:hAnsi="Arial"/>
                <w:sz w:val="20"/>
              </w:rPr>
            </w:pPr>
            <w:r>
              <w:rPr>
                <w:rFonts w:ascii="Arial" w:hAnsi="Arial"/>
                <w:sz w:val="20"/>
              </w:rPr>
              <w:t>Interest income (1)</w:t>
            </w:r>
          </w:p>
        </w:tc>
        <w:tc>
          <w:tcPr>
            <w:tcW w:w="18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23</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12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8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141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514" w:type="dxa"/>
            <w:tcBorders/>
            <w:vAlign w:val="bottom"/>
          </w:tcPr>
          <w:p>
            <w:pPr>
              <w:pStyle w:val="TableContents"/>
              <w:bidi w:val="0"/>
              <w:spacing w:before="0" w:after="0"/>
              <w:jc w:val="left"/>
              <w:rPr>
                <w:rFonts w:ascii="Arial" w:hAnsi="Arial"/>
                <w:sz w:val="20"/>
              </w:rPr>
            </w:pPr>
            <w:r>
              <w:rPr>
                <w:rFonts w:ascii="Arial" w:hAnsi="Arial"/>
                <w:sz w:val="20"/>
              </w:rPr>
              <w:t>Interest expense (1)</w:t>
            </w:r>
          </w:p>
        </w:tc>
        <w:tc>
          <w:tcPr>
            <w:tcW w:w="18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(128</w:t>
            </w:r>
          </w:p>
        </w:tc>
        <w:tc>
          <w:tcPr>
            <w:tcW w:w="155" w:type="dxa"/>
            <w:tcBorders/>
            <w:vAlign w:val="bottom"/>
          </w:tcPr>
          <w:p>
            <w:pPr>
              <w:pStyle w:val="TableContents"/>
              <w:bidi w:val="0"/>
              <w:spacing w:before="0" w:after="283"/>
              <w:jc w:val="left"/>
              <w:rPr>
                <w:b/>
              </w:rPr>
            </w:pPr>
            <w:r>
              <w:rPr>
                <w:b/>
              </w:rPr>
              <w:t>) </w:t>
            </w:r>
          </w:p>
        </w:tc>
        <w:tc>
          <w:tcPr>
            <w:tcW w:w="129"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41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514" w:type="dxa"/>
            <w:tcBorders/>
            <w:shd w:fill="CCEEFF" w:val="clear"/>
            <w:vAlign w:val="bottom"/>
          </w:tcPr>
          <w:p>
            <w:pPr>
              <w:pStyle w:val="TableContents"/>
              <w:bidi w:val="0"/>
              <w:spacing w:before="0" w:after="0"/>
              <w:jc w:val="left"/>
              <w:rPr>
                <w:rFonts w:ascii="Arial" w:hAnsi="Arial"/>
                <w:sz w:val="20"/>
              </w:rPr>
            </w:pPr>
            <w:r>
              <w:rPr>
                <w:rFonts w:ascii="Arial" w:hAnsi="Arial"/>
                <w:sz w:val="20"/>
              </w:rPr>
              <w:t>Charges &amp; credits (2)</w:t>
            </w:r>
          </w:p>
        </w:tc>
        <w:tc>
          <w:tcPr>
            <w:tcW w:w="18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(69</w:t>
            </w:r>
          </w:p>
        </w:tc>
        <w:tc>
          <w:tcPr>
            <w:tcW w:w="155" w:type="dxa"/>
            <w:tcBorders/>
            <w:shd w:fill="CCEEFF" w:val="clear"/>
            <w:vAlign w:val="bottom"/>
          </w:tcPr>
          <w:p>
            <w:pPr>
              <w:pStyle w:val="TableContents"/>
              <w:bidi w:val="0"/>
              <w:spacing w:before="0" w:after="283"/>
              <w:jc w:val="left"/>
              <w:rPr>
                <w:b/>
              </w:rPr>
            </w:pPr>
            <w:r>
              <w:rPr>
                <w:b/>
              </w:rPr>
              <w:t>) </w:t>
            </w:r>
          </w:p>
        </w:tc>
        <w:tc>
          <w:tcPr>
            <w:tcW w:w="129"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12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8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141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514"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5" w:type="dxa"/>
            <w:tcBorders/>
            <w:vAlign w:val="bottom"/>
          </w:tcPr>
          <w:p>
            <w:pPr>
              <w:pStyle w:val="TableContents"/>
              <w:pBdr>
                <w:top w:val="single" w:sz="2" w:space="1" w:color="000000"/>
              </w:pBdr>
              <w:bidi w:val="0"/>
              <w:spacing w:before="0" w:after="0"/>
              <w:jc w:val="left"/>
              <w:rPr/>
            </w:pPr>
            <w:r>
              <w:rPr/>
              <w:t> </w:t>
            </w:r>
          </w:p>
        </w:tc>
        <w:tc>
          <w:tcPr>
            <w:tcW w:w="12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514"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b/>
              </w:rPr>
            </w:pPr>
            <w:r>
              <w:rPr>
                <w:b/>
              </w:rPr>
              <w:t>$</w:t>
            </w:r>
          </w:p>
        </w:tc>
        <w:tc>
          <w:tcPr>
            <w:tcW w:w="736" w:type="dxa"/>
            <w:tcBorders/>
            <w:vAlign w:val="bottom"/>
          </w:tcPr>
          <w:p>
            <w:pPr>
              <w:pStyle w:val="TableContents"/>
              <w:bidi w:val="0"/>
              <w:spacing w:before="0" w:after="283"/>
              <w:jc w:val="right"/>
              <w:rPr>
                <w:b/>
              </w:rPr>
            </w:pPr>
            <w:r>
              <w:rPr>
                <w:b/>
              </w:rPr>
              <w:t>8,972</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616" w:type="dxa"/>
            <w:tcBorders/>
            <w:vAlign w:val="bottom"/>
          </w:tcPr>
          <w:p>
            <w:pPr>
              <w:pStyle w:val="TableContents"/>
              <w:bidi w:val="0"/>
              <w:spacing w:before="0" w:after="283"/>
              <w:jc w:val="right"/>
              <w:rPr>
                <w:b/>
              </w:rPr>
            </w:pPr>
            <w:r>
              <w:rPr>
                <w:b/>
              </w:rPr>
              <w:t>1,019</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w:t>
            </w:r>
          </w:p>
        </w:tc>
        <w:tc>
          <w:tcPr>
            <w:tcW w:w="1215" w:type="dxa"/>
            <w:tcBorders/>
            <w:vAlign w:val="bottom"/>
          </w:tcPr>
          <w:p>
            <w:pPr>
              <w:pStyle w:val="TableContents"/>
              <w:bidi w:val="0"/>
              <w:spacing w:before="0" w:after="283"/>
              <w:jc w:val="right"/>
              <w:rPr/>
            </w:pPr>
            <w:r>
              <w:rPr/>
              <w:t>712</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825"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w:t>
            </w:r>
          </w:p>
        </w:tc>
        <w:tc>
          <w:tcPr>
            <w:tcW w:w="1410" w:type="dxa"/>
            <w:tcBorders/>
            <w:vAlign w:val="bottom"/>
          </w:tcPr>
          <w:p>
            <w:pPr>
              <w:pStyle w:val="TableContents"/>
              <w:bidi w:val="0"/>
              <w:spacing w:before="0" w:after="283"/>
              <w:jc w:val="right"/>
              <w:rPr/>
            </w:pPr>
            <w:r>
              <w:rPr/>
              <w:t>1,899</w:t>
            </w:r>
          </w:p>
        </w:tc>
        <w:tc>
          <w:tcPr>
            <w:tcW w:w="165" w:type="dxa"/>
            <w:tcBorders/>
            <w:vAlign w:val="bottom"/>
          </w:tcPr>
          <w:p>
            <w:pPr>
              <w:pStyle w:val="TableContents"/>
              <w:bidi w:val="0"/>
              <w:spacing w:before="0" w:after="283"/>
              <w:jc w:val="left"/>
              <w:rPr/>
            </w:pPr>
            <w:r>
              <w:rPr/>
              <w:t> </w:t>
            </w:r>
          </w:p>
        </w:tc>
      </w:tr>
      <w:tr>
        <w:trPr/>
        <w:tc>
          <w:tcPr>
            <w:tcW w:w="2514"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5" w:type="dxa"/>
            <w:tcBorders/>
            <w:vAlign w:val="bottom"/>
          </w:tcPr>
          <w:p>
            <w:pPr>
              <w:pStyle w:val="TableContents"/>
              <w:pBdr>
                <w:top w:val="double" w:sz="6" w:space="1" w:color="000000"/>
              </w:pBdr>
              <w:bidi w:val="0"/>
              <w:spacing w:before="0" w:after="0"/>
              <w:jc w:val="left"/>
              <w:rPr/>
            </w:pPr>
            <w:r>
              <w:rPr/>
              <w:t> </w:t>
            </w:r>
          </w:p>
        </w:tc>
        <w:tc>
          <w:tcPr>
            <w:tcW w:w="12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double" w:sz="6" w:space="1" w:color="000000"/>
              </w:pBdr>
              <w:bidi w:val="0"/>
              <w:spacing w:before="0" w:after="0"/>
              <w:jc w:val="left"/>
              <w:rPr/>
            </w:pPr>
            <w:r>
              <w:rPr/>
              <w:t> </w:t>
            </w:r>
          </w:p>
        </w:tc>
        <w:tc>
          <w:tcPr>
            <w:tcW w:w="1410"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37"/>
        <w:gridCol w:w="188"/>
        <w:gridCol w:w="181"/>
        <w:gridCol w:w="724"/>
        <w:gridCol w:w="155"/>
        <w:gridCol w:w="130"/>
        <w:gridCol w:w="154"/>
        <w:gridCol w:w="618"/>
        <w:gridCol w:w="155"/>
        <w:gridCol w:w="130"/>
        <w:gridCol w:w="446"/>
        <w:gridCol w:w="1219"/>
        <w:gridCol w:w="59"/>
        <w:gridCol w:w="188"/>
        <w:gridCol w:w="300"/>
        <w:gridCol w:w="828"/>
        <w:gridCol w:w="155"/>
        <w:gridCol w:w="130"/>
        <w:gridCol w:w="346"/>
        <w:gridCol w:w="1400"/>
        <w:gridCol w:w="162"/>
      </w:tblGrid>
      <w:tr>
        <w:trPr/>
        <w:tc>
          <w:tcPr>
            <w:tcW w:w="2537"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3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72"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665" w:type="dxa"/>
            <w:gridSpan w:val="2"/>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28"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46" w:type="dxa"/>
            <w:gridSpan w:val="2"/>
            <w:tcBorders/>
            <w:vAlign w:val="bottom"/>
          </w:tcPr>
          <w:p>
            <w:pPr>
              <w:pStyle w:val="TableContents"/>
              <w:bidi w:val="0"/>
              <w:spacing w:before="0" w:after="283"/>
              <w:jc w:val="center"/>
              <w:rPr/>
            </w:pPr>
            <w:r>
              <w:rPr/>
              <w:t>(Stated in millions)</w:t>
            </w:r>
          </w:p>
        </w:tc>
        <w:tc>
          <w:tcPr>
            <w:tcW w:w="162" w:type="dxa"/>
            <w:tcBorders/>
            <w:vAlign w:val="bottom"/>
          </w:tcPr>
          <w:p>
            <w:pPr>
              <w:pStyle w:val="TableContents"/>
              <w:bidi w:val="0"/>
              <w:spacing w:before="0" w:after="283"/>
              <w:jc w:val="left"/>
              <w:rPr/>
            </w:pPr>
            <w:r>
              <w:rPr/>
              <w:t> </w:t>
            </w:r>
          </w:p>
        </w:tc>
      </w:tr>
      <w:tr>
        <w:trPr/>
        <w:tc>
          <w:tcPr>
            <w:tcW w:w="253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318"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First Quarter 2026</w:t>
            </w:r>
          </w:p>
        </w:tc>
        <w:tc>
          <w:tcPr>
            <w:tcW w:w="162" w:type="dxa"/>
            <w:tcBorders/>
            <w:vAlign w:val="bottom"/>
          </w:tcPr>
          <w:p>
            <w:pPr>
              <w:pStyle w:val="TableContents"/>
              <w:bidi w:val="0"/>
              <w:spacing w:before="0" w:after="283"/>
              <w:jc w:val="left"/>
              <w:rPr/>
            </w:pPr>
            <w:r>
              <w:rPr/>
              <w:t> </w:t>
            </w:r>
          </w:p>
        </w:tc>
      </w:tr>
      <w:tr>
        <w:trPr/>
        <w:tc>
          <w:tcPr>
            <w:tcW w:w="253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Income</w:t>
              <w:br/>
              <w:t>Before</w:t>
              <w:br/>
              <w:t>Taxes</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665" w:type="dxa"/>
            <w:gridSpan w:val="2"/>
            <w:tcBorders>
              <w:bottom w:val="single" w:sz="8" w:space="0" w:color="000000"/>
            </w:tcBorders>
            <w:tcMar>
              <w:bottom w:w="28" w:type="dxa"/>
            </w:tcMar>
            <w:vAlign w:val="bottom"/>
          </w:tcPr>
          <w:p>
            <w:pPr>
              <w:pStyle w:val="TableContents"/>
              <w:bidi w:val="0"/>
              <w:spacing w:before="0" w:after="283"/>
              <w:jc w:val="center"/>
              <w:rPr/>
            </w:pPr>
            <w:r>
              <w:rPr/>
              <w:t>Depreciation and</w:t>
              <w:br/>
              <w:t>Amortization (3)</w:t>
            </w:r>
          </w:p>
        </w:tc>
        <w:tc>
          <w:tcPr>
            <w:tcW w:w="5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28" w:type="dxa"/>
            <w:gridSpan w:val="2"/>
            <w:tcBorders>
              <w:bottom w:val="single" w:sz="8" w:space="0" w:color="000000"/>
            </w:tcBorders>
            <w:tcMar>
              <w:bottom w:w="28" w:type="dxa"/>
            </w:tcMar>
            <w:vAlign w:val="bottom"/>
          </w:tcPr>
          <w:p>
            <w:pPr>
              <w:pStyle w:val="TableContents"/>
              <w:bidi w:val="0"/>
              <w:spacing w:before="0" w:after="283"/>
              <w:jc w:val="center"/>
              <w:rPr/>
            </w:pPr>
            <w:r>
              <w:rPr/>
              <w:t>Net Interest</w:t>
              <w:br/>
              <w:t>Expense</w:t>
              <w:br/>
              <w:t>(Income) (4)</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46" w:type="dxa"/>
            <w:gridSpan w:val="2"/>
            <w:tcBorders>
              <w:bottom w:val="single" w:sz="8" w:space="0" w:color="000000"/>
            </w:tcBorders>
            <w:tcMar>
              <w:bottom w:w="28" w:type="dxa"/>
            </w:tcMar>
            <w:vAlign w:val="bottom"/>
          </w:tcPr>
          <w:p>
            <w:pPr>
              <w:pStyle w:val="TableContents"/>
              <w:bidi w:val="0"/>
              <w:spacing w:before="0" w:after="283"/>
              <w:jc w:val="center"/>
              <w:rPr/>
            </w:pPr>
            <w:r>
              <w:rPr/>
              <w:t>Adjusted</w:t>
              <w:br/>
              <w:t>EBITDA (5)</w:t>
            </w:r>
          </w:p>
        </w:tc>
        <w:tc>
          <w:tcPr>
            <w:tcW w:w="162" w:type="dxa"/>
            <w:tcBorders/>
            <w:vAlign w:val="bottom"/>
          </w:tcPr>
          <w:p>
            <w:pPr>
              <w:pStyle w:val="TableContents"/>
              <w:bidi w:val="0"/>
              <w:spacing w:before="0" w:after="283"/>
              <w:jc w:val="left"/>
              <w:rPr/>
            </w:pPr>
            <w:r>
              <w:rPr/>
              <w:t> </w:t>
            </w:r>
          </w:p>
        </w:tc>
      </w:tr>
      <w:tr>
        <w:trPr/>
        <w:tc>
          <w:tcPr>
            <w:tcW w:w="2537" w:type="dxa"/>
            <w:tcBorders/>
            <w:shd w:fill="CCEEFF" w:val="clear"/>
          </w:tcPr>
          <w:p>
            <w:pPr>
              <w:pStyle w:val="TableContents"/>
              <w:bidi w:val="0"/>
              <w:spacing w:before="0" w:after="0"/>
              <w:jc w:val="left"/>
              <w:rPr>
                <w:rFonts w:ascii="Arial" w:hAnsi="Arial"/>
                <w:sz w:val="20"/>
              </w:rPr>
            </w:pPr>
            <w:r>
              <w:rPr>
                <w:rFonts w:ascii="Arial" w:hAnsi="Arial"/>
                <w:sz w:val="20"/>
              </w:rPr>
              <w:t>Digital</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b/>
              </w:rPr>
            </w:pPr>
            <w:r>
              <w:rPr>
                <w:b/>
              </w:rPr>
              <w:t>$</w:t>
            </w:r>
          </w:p>
        </w:tc>
        <w:tc>
          <w:tcPr>
            <w:tcW w:w="724" w:type="dxa"/>
            <w:tcBorders/>
            <w:shd w:fill="CCEEFF" w:val="clear"/>
            <w:vAlign w:val="bottom"/>
          </w:tcPr>
          <w:p>
            <w:pPr>
              <w:pStyle w:val="TableContents"/>
              <w:bidi w:val="0"/>
              <w:spacing w:before="0" w:after="283"/>
              <w:jc w:val="right"/>
              <w:rPr>
                <w:b/>
              </w:rPr>
            </w:pPr>
            <w:r>
              <w:rPr>
                <w:b/>
              </w:rPr>
              <w:t>640</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618" w:type="dxa"/>
            <w:tcBorders/>
            <w:shd w:fill="CCEEFF" w:val="clear"/>
            <w:vAlign w:val="bottom"/>
          </w:tcPr>
          <w:p>
            <w:pPr>
              <w:pStyle w:val="TableContents"/>
              <w:bidi w:val="0"/>
              <w:spacing w:before="0" w:after="283"/>
              <w:jc w:val="right"/>
              <w:rPr>
                <w:b/>
              </w:rPr>
            </w:pPr>
            <w:r>
              <w:rPr>
                <w:b/>
              </w:rPr>
              <w:t>134</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33</w:t>
            </w:r>
          </w:p>
        </w:tc>
        <w:tc>
          <w:tcPr>
            <w:tcW w:w="5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167</w:t>
            </w:r>
          </w:p>
        </w:tc>
        <w:tc>
          <w:tcPr>
            <w:tcW w:w="162" w:type="dxa"/>
            <w:tcBorders/>
            <w:shd w:fill="CCEEFF" w:val="clear"/>
            <w:vAlign w:val="bottom"/>
          </w:tcPr>
          <w:p>
            <w:pPr>
              <w:pStyle w:val="TableContents"/>
              <w:bidi w:val="0"/>
              <w:spacing w:before="0" w:after="283"/>
              <w:jc w:val="left"/>
              <w:rPr/>
            </w:pPr>
            <w:r>
              <w:rPr/>
              <w:t> </w:t>
            </w:r>
          </w:p>
        </w:tc>
      </w:tr>
      <w:tr>
        <w:trPr/>
        <w:tc>
          <w:tcPr>
            <w:tcW w:w="2537" w:type="dxa"/>
            <w:tcBorders/>
          </w:tcPr>
          <w:p>
            <w:pPr>
              <w:pStyle w:val="TableContents"/>
              <w:bidi w:val="0"/>
              <w:spacing w:before="0" w:after="0"/>
              <w:jc w:val="left"/>
              <w:rPr>
                <w:rFonts w:ascii="Arial" w:hAnsi="Arial"/>
                <w:sz w:val="20"/>
              </w:rPr>
            </w:pPr>
            <w:r>
              <w:rPr>
                <w:rFonts w:ascii="Arial" w:hAnsi="Arial"/>
                <w:sz w:val="20"/>
              </w:rPr>
              <w:t>Reservoir Performance</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b/>
              </w:rPr>
            </w:pPr>
            <w:r>
              <w:rPr>
                <w:b/>
              </w:rPr>
              <w:t>1,594</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b/>
              </w:rPr>
            </w:pPr>
            <w:r>
              <w:rPr>
                <w:b/>
              </w:rPr>
              <w:t>257</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113</w:t>
            </w:r>
          </w:p>
        </w:tc>
        <w:tc>
          <w:tcPr>
            <w:tcW w:w="5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369</w:t>
            </w:r>
          </w:p>
        </w:tc>
        <w:tc>
          <w:tcPr>
            <w:tcW w:w="162" w:type="dxa"/>
            <w:tcBorders/>
            <w:vAlign w:val="bottom"/>
          </w:tcPr>
          <w:p>
            <w:pPr>
              <w:pStyle w:val="TableContents"/>
              <w:bidi w:val="0"/>
              <w:spacing w:before="0" w:after="283"/>
              <w:jc w:val="left"/>
              <w:rPr/>
            </w:pPr>
            <w:r>
              <w:rPr/>
              <w:t> </w:t>
            </w:r>
          </w:p>
        </w:tc>
      </w:tr>
      <w:tr>
        <w:trPr/>
        <w:tc>
          <w:tcPr>
            <w:tcW w:w="2537" w:type="dxa"/>
            <w:tcBorders/>
            <w:shd w:fill="CCEEFF" w:val="clear"/>
          </w:tcPr>
          <w:p>
            <w:pPr>
              <w:pStyle w:val="TableContents"/>
              <w:bidi w:val="0"/>
              <w:spacing w:before="0" w:after="0"/>
              <w:jc w:val="left"/>
              <w:rPr>
                <w:rFonts w:ascii="Arial" w:hAnsi="Arial"/>
                <w:sz w:val="20"/>
              </w:rPr>
            </w:pPr>
            <w:r>
              <w:rPr>
                <w:rFonts w:ascii="Arial" w:hAnsi="Arial"/>
                <w:sz w:val="20"/>
              </w:rPr>
              <w:t>Well Construction</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b/>
              </w:rPr>
            </w:pPr>
            <w:r>
              <w:rPr>
                <w:b/>
              </w:rPr>
              <w:t>2,797</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b/>
              </w:rPr>
            </w:pPr>
            <w:r>
              <w:rPr>
                <w:b/>
              </w:rPr>
              <w:t>424</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161</w:t>
            </w:r>
          </w:p>
        </w:tc>
        <w:tc>
          <w:tcPr>
            <w:tcW w:w="5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584</w:t>
            </w:r>
          </w:p>
        </w:tc>
        <w:tc>
          <w:tcPr>
            <w:tcW w:w="162" w:type="dxa"/>
            <w:tcBorders/>
            <w:shd w:fill="CCEEFF" w:val="clear"/>
            <w:vAlign w:val="bottom"/>
          </w:tcPr>
          <w:p>
            <w:pPr>
              <w:pStyle w:val="TableContents"/>
              <w:bidi w:val="0"/>
              <w:spacing w:before="0" w:after="283"/>
              <w:jc w:val="left"/>
              <w:rPr/>
            </w:pPr>
            <w:r>
              <w:rPr/>
              <w:t> </w:t>
            </w:r>
          </w:p>
        </w:tc>
      </w:tr>
      <w:tr>
        <w:trPr/>
        <w:tc>
          <w:tcPr>
            <w:tcW w:w="2537" w:type="dxa"/>
            <w:tcBorders/>
          </w:tcPr>
          <w:p>
            <w:pPr>
              <w:pStyle w:val="TableContents"/>
              <w:bidi w:val="0"/>
              <w:spacing w:before="0" w:after="0"/>
              <w:jc w:val="left"/>
              <w:rPr>
                <w:rFonts w:ascii="Arial" w:hAnsi="Arial"/>
                <w:sz w:val="20"/>
              </w:rPr>
            </w:pPr>
            <w:r>
              <w:rPr>
                <w:rFonts w:ascii="Arial" w:hAnsi="Arial"/>
                <w:sz w:val="20"/>
              </w:rPr>
              <w:t>Production Systems</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b/>
              </w:rPr>
            </w:pPr>
            <w:r>
              <w:rPr>
                <w:b/>
              </w:rPr>
              <w:t>3,508</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b/>
              </w:rPr>
            </w:pPr>
            <w:r>
              <w:rPr>
                <w:b/>
              </w:rPr>
              <w:t>497</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152</w:t>
            </w:r>
          </w:p>
        </w:tc>
        <w:tc>
          <w:tcPr>
            <w:tcW w:w="5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648</w:t>
            </w:r>
          </w:p>
        </w:tc>
        <w:tc>
          <w:tcPr>
            <w:tcW w:w="162" w:type="dxa"/>
            <w:tcBorders/>
            <w:vAlign w:val="bottom"/>
          </w:tcPr>
          <w:p>
            <w:pPr>
              <w:pStyle w:val="TableContents"/>
              <w:bidi w:val="0"/>
              <w:spacing w:before="0" w:after="283"/>
              <w:jc w:val="left"/>
              <w:rPr/>
            </w:pPr>
            <w:r>
              <w:rPr/>
              <w:t> </w:t>
            </w:r>
          </w:p>
        </w:tc>
      </w:tr>
      <w:tr>
        <w:trPr/>
        <w:tc>
          <w:tcPr>
            <w:tcW w:w="2537" w:type="dxa"/>
            <w:tcBorders/>
            <w:shd w:fill="CCEEFF" w:val="clear"/>
          </w:tcPr>
          <w:p>
            <w:pPr>
              <w:pStyle w:val="TableContents"/>
              <w:bidi w:val="0"/>
              <w:spacing w:before="0" w:after="0"/>
              <w:jc w:val="left"/>
              <w:rPr>
                <w:rFonts w:ascii="Arial" w:hAnsi="Arial"/>
                <w:sz w:val="20"/>
              </w:rPr>
            </w:pPr>
            <w:r>
              <w:rPr>
                <w:rFonts w:ascii="Arial" w:hAnsi="Arial"/>
                <w:sz w:val="20"/>
              </w:rPr>
              <w:t>All Other</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b/>
              </w:rPr>
            </w:pPr>
            <w:r>
              <w:rPr>
                <w:b/>
              </w:rPr>
              <w:t>443</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b/>
              </w:rPr>
            </w:pPr>
            <w:r>
              <w:rPr>
                <w:b/>
              </w:rPr>
              <w:t>113</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84</w:t>
            </w:r>
          </w:p>
        </w:tc>
        <w:tc>
          <w:tcPr>
            <w:tcW w:w="5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197</w:t>
            </w:r>
          </w:p>
        </w:tc>
        <w:tc>
          <w:tcPr>
            <w:tcW w:w="162" w:type="dxa"/>
            <w:tcBorders/>
            <w:shd w:fill="CCEEFF" w:val="clear"/>
            <w:vAlign w:val="bottom"/>
          </w:tcPr>
          <w:p>
            <w:pPr>
              <w:pStyle w:val="TableContents"/>
              <w:bidi w:val="0"/>
              <w:spacing w:before="0" w:after="283"/>
              <w:jc w:val="left"/>
              <w:rPr/>
            </w:pPr>
            <w:r>
              <w:rPr/>
              <w:t> </w:t>
            </w:r>
          </w:p>
        </w:tc>
      </w:tr>
      <w:tr>
        <w:trPr/>
        <w:tc>
          <w:tcPr>
            <w:tcW w:w="2537" w:type="dxa"/>
            <w:tcBorders/>
          </w:tcPr>
          <w:p>
            <w:pPr>
              <w:pStyle w:val="TableContents"/>
              <w:bidi w:val="0"/>
              <w:spacing w:before="0" w:after="0"/>
              <w:jc w:val="left"/>
              <w:rPr>
                <w:rFonts w:ascii="Arial" w:hAnsi="Arial"/>
                <w:sz w:val="20"/>
              </w:rPr>
            </w:pPr>
            <w:r>
              <w:rPr>
                <w:rFonts w:ascii="Arial" w:hAnsi="Arial"/>
                <w:sz w:val="20"/>
              </w:rPr>
              <w:t>Eliminations &amp; other</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b/>
              </w:rPr>
            </w:pPr>
            <w:r>
              <w:rPr>
                <w:b/>
              </w:rPr>
              <w:t>(261</w:t>
            </w:r>
          </w:p>
        </w:tc>
        <w:tc>
          <w:tcPr>
            <w:tcW w:w="155" w:type="dxa"/>
            <w:tcBorders/>
            <w:vAlign w:val="bottom"/>
          </w:tcPr>
          <w:p>
            <w:pPr>
              <w:pStyle w:val="TableContents"/>
              <w:bidi w:val="0"/>
              <w:spacing w:before="0" w:after="283"/>
              <w:jc w:val="left"/>
              <w:rPr>
                <w:b/>
              </w:rPr>
            </w:pPr>
            <w:r>
              <w:rPr>
                <w:b/>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b/>
              </w:rPr>
            </w:pPr>
            <w:r>
              <w:rPr>
                <w:b/>
              </w:rPr>
              <w:t>(104</w:t>
            </w:r>
          </w:p>
        </w:tc>
        <w:tc>
          <w:tcPr>
            <w:tcW w:w="155" w:type="dxa"/>
            <w:tcBorders/>
            <w:vAlign w:val="bottom"/>
          </w:tcPr>
          <w:p>
            <w:pPr>
              <w:pStyle w:val="TableContents"/>
              <w:bidi w:val="0"/>
              <w:spacing w:before="0" w:after="283"/>
              <w:jc w:val="left"/>
              <w:rPr>
                <w:b/>
              </w:rPr>
            </w:pPr>
            <w:r>
              <w:rPr>
                <w:b/>
              </w:rPr>
              <w:t>) </w:t>
            </w:r>
          </w:p>
        </w:tc>
        <w:tc>
          <w:tcPr>
            <w:tcW w:w="13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69</w:t>
            </w:r>
          </w:p>
        </w:tc>
        <w:tc>
          <w:tcPr>
            <w:tcW w:w="5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(37</w:t>
            </w:r>
          </w:p>
        </w:tc>
        <w:tc>
          <w:tcPr>
            <w:tcW w:w="162" w:type="dxa"/>
            <w:tcBorders/>
            <w:vAlign w:val="bottom"/>
          </w:tcPr>
          <w:p>
            <w:pPr>
              <w:pStyle w:val="TableContents"/>
              <w:bidi w:val="0"/>
              <w:spacing w:before="0" w:after="283"/>
              <w:jc w:val="left"/>
              <w:rPr/>
            </w:pPr>
            <w:r>
              <w:rPr/>
              <w:t>) </w:t>
            </w:r>
          </w:p>
        </w:tc>
      </w:tr>
      <w:tr>
        <w:trPr/>
        <w:tc>
          <w:tcPr>
            <w:tcW w:w="2537"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630" w:type="dxa"/>
            <w:gridSpan w:val="4"/>
            <w:tcBorders/>
            <w:shd w:fill="CCEEFF" w:val="clear"/>
          </w:tcPr>
          <w:p>
            <w:pPr>
              <w:pStyle w:val="TableContents"/>
              <w:bidi w:val="0"/>
              <w:spacing w:before="0" w:after="0"/>
              <w:jc w:val="left"/>
              <w:rPr>
                <w:rFonts w:ascii="Arial" w:hAnsi="Arial"/>
                <w:sz w:val="20"/>
              </w:rPr>
            </w:pPr>
            <w:r>
              <w:rPr>
                <w:rFonts w:ascii="Arial" w:hAnsi="Arial"/>
                <w:sz w:val="20"/>
              </w:rPr>
              <w:t>Pretax segment operating income</w:t>
            </w:r>
          </w:p>
        </w:tc>
        <w:tc>
          <w:tcPr>
            <w:tcW w:w="155" w:type="dxa"/>
            <w:tcBorders/>
            <w:shd w:fill="CCEEFF" w:val="clear"/>
          </w:tcPr>
          <w:p>
            <w:pPr>
              <w:pStyle w:val="TableContents"/>
              <w:bidi w:val="0"/>
              <w:spacing w:before="0" w:after="0"/>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b/>
              </w:rPr>
            </w:pPr>
            <w:r>
              <w:rPr>
                <w:b/>
              </w:rPr>
              <w:t>1,321</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537" w:type="dxa"/>
            <w:tcBorders/>
          </w:tcPr>
          <w:p>
            <w:pPr>
              <w:pStyle w:val="TableContents"/>
              <w:bidi w:val="0"/>
              <w:spacing w:before="0" w:after="0"/>
              <w:jc w:val="left"/>
              <w:rPr>
                <w:rFonts w:ascii="Arial" w:hAnsi="Arial"/>
                <w:sz w:val="20"/>
              </w:rPr>
            </w:pPr>
            <w:r>
              <w:rPr>
                <w:rFonts w:ascii="Arial" w:hAnsi="Arial"/>
                <w:sz w:val="20"/>
              </w:rPr>
              <w:t>Corporate &amp; other</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b/>
              </w:rPr>
            </w:pPr>
            <w:r>
              <w:rPr>
                <w:b/>
              </w:rPr>
              <w:t>(228</w:t>
            </w:r>
          </w:p>
        </w:tc>
        <w:tc>
          <w:tcPr>
            <w:tcW w:w="155" w:type="dxa"/>
            <w:tcBorders/>
            <w:vAlign w:val="bottom"/>
          </w:tcPr>
          <w:p>
            <w:pPr>
              <w:pStyle w:val="TableContents"/>
              <w:bidi w:val="0"/>
              <w:spacing w:before="0" w:after="283"/>
              <w:jc w:val="left"/>
              <w:rPr>
                <w:b/>
              </w:rPr>
            </w:pPr>
            <w:r>
              <w:rPr>
                <w:b/>
              </w:rPr>
              <w:t>) </w:t>
            </w:r>
          </w:p>
        </w:tc>
        <w:tc>
          <w:tcPr>
            <w:tcW w:w="13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73</w:t>
            </w:r>
          </w:p>
        </w:tc>
        <w:tc>
          <w:tcPr>
            <w:tcW w:w="5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(155</w:t>
            </w:r>
          </w:p>
        </w:tc>
        <w:tc>
          <w:tcPr>
            <w:tcW w:w="162" w:type="dxa"/>
            <w:tcBorders/>
            <w:vAlign w:val="bottom"/>
          </w:tcPr>
          <w:p>
            <w:pPr>
              <w:pStyle w:val="TableContents"/>
              <w:bidi w:val="0"/>
              <w:spacing w:before="0" w:after="283"/>
              <w:jc w:val="left"/>
              <w:rPr/>
            </w:pPr>
            <w:r>
              <w:rPr/>
              <w:t>) </w:t>
            </w:r>
          </w:p>
        </w:tc>
      </w:tr>
      <w:tr>
        <w:trPr/>
        <w:tc>
          <w:tcPr>
            <w:tcW w:w="2537" w:type="dxa"/>
            <w:tcBorders/>
            <w:shd w:fill="CCEEFF" w:val="clear"/>
          </w:tcPr>
          <w:p>
            <w:pPr>
              <w:pStyle w:val="TableContents"/>
              <w:bidi w:val="0"/>
              <w:spacing w:before="0" w:after="0"/>
              <w:jc w:val="left"/>
              <w:rPr>
                <w:rFonts w:ascii="Arial" w:hAnsi="Arial"/>
                <w:sz w:val="20"/>
              </w:rPr>
            </w:pPr>
            <w:r>
              <w:rPr>
                <w:rFonts w:ascii="Arial" w:hAnsi="Arial"/>
                <w:sz w:val="20"/>
              </w:rPr>
              <w:t>Interest income (1)</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b/>
              </w:rPr>
            </w:pPr>
            <w:r>
              <w:rPr>
                <w:b/>
              </w:rPr>
              <w:t>20</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537" w:type="dxa"/>
            <w:tcBorders/>
          </w:tcPr>
          <w:p>
            <w:pPr>
              <w:pStyle w:val="TableContents"/>
              <w:bidi w:val="0"/>
              <w:spacing w:before="0" w:after="0"/>
              <w:jc w:val="left"/>
              <w:rPr>
                <w:rFonts w:ascii="Arial" w:hAnsi="Arial"/>
                <w:sz w:val="20"/>
              </w:rPr>
            </w:pPr>
            <w:r>
              <w:rPr>
                <w:rFonts w:ascii="Arial" w:hAnsi="Arial"/>
                <w:sz w:val="20"/>
              </w:rPr>
              <w:t>Interest expense (1)</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b/>
              </w:rPr>
            </w:pPr>
            <w:r>
              <w:rPr>
                <w:b/>
              </w:rPr>
              <w:t>(116</w:t>
            </w:r>
          </w:p>
        </w:tc>
        <w:tc>
          <w:tcPr>
            <w:tcW w:w="155" w:type="dxa"/>
            <w:tcBorders/>
            <w:vAlign w:val="bottom"/>
          </w:tcPr>
          <w:p>
            <w:pPr>
              <w:pStyle w:val="TableContents"/>
              <w:bidi w:val="0"/>
              <w:spacing w:before="0" w:after="283"/>
              <w:jc w:val="left"/>
              <w:rPr>
                <w:b/>
              </w:rPr>
            </w:pPr>
            <w:r>
              <w:rPr>
                <w:b/>
              </w:rPr>
              <w:t>) </w:t>
            </w:r>
          </w:p>
        </w:tc>
        <w:tc>
          <w:tcPr>
            <w:tcW w:w="13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537" w:type="dxa"/>
            <w:tcBorders/>
            <w:shd w:fill="CCEEFF" w:val="clear"/>
            <w:vAlign w:val="bottom"/>
          </w:tcPr>
          <w:p>
            <w:pPr>
              <w:pStyle w:val="TableContents"/>
              <w:bidi w:val="0"/>
              <w:spacing w:before="0" w:after="0"/>
              <w:jc w:val="left"/>
              <w:rPr>
                <w:rFonts w:ascii="Arial" w:hAnsi="Arial"/>
                <w:sz w:val="20"/>
              </w:rPr>
            </w:pPr>
            <w:r>
              <w:rPr>
                <w:rFonts w:ascii="Arial" w:hAnsi="Arial"/>
                <w:sz w:val="20"/>
              </w:rPr>
              <w:t>Charges &amp; credits (2)</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b/>
              </w:rPr>
            </w:pPr>
            <w:r>
              <w:rPr>
                <w:b/>
              </w:rPr>
              <w:t>(41</w:t>
            </w:r>
          </w:p>
        </w:tc>
        <w:tc>
          <w:tcPr>
            <w:tcW w:w="155" w:type="dxa"/>
            <w:tcBorders/>
            <w:shd w:fill="CCEEFF" w:val="clear"/>
            <w:vAlign w:val="bottom"/>
          </w:tcPr>
          <w:p>
            <w:pPr>
              <w:pStyle w:val="TableContents"/>
              <w:bidi w:val="0"/>
              <w:spacing w:before="0" w:after="283"/>
              <w:jc w:val="left"/>
              <w:rPr>
                <w:b/>
              </w:rPr>
            </w:pPr>
            <w:r>
              <w:rPr>
                <w:b/>
              </w:rPr>
              <w:t>) </w:t>
            </w:r>
          </w:p>
        </w:tc>
        <w:tc>
          <w:tcPr>
            <w:tcW w:w="13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537"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46"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537" w:type="dxa"/>
            <w:tcBorders/>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b/>
              </w:rPr>
            </w:pPr>
            <w:r>
              <w:rPr>
                <w:b/>
              </w:rPr>
              <w:t>$</w:t>
            </w:r>
          </w:p>
        </w:tc>
        <w:tc>
          <w:tcPr>
            <w:tcW w:w="724" w:type="dxa"/>
            <w:tcBorders/>
            <w:vAlign w:val="bottom"/>
          </w:tcPr>
          <w:p>
            <w:pPr>
              <w:pStyle w:val="TableContents"/>
              <w:bidi w:val="0"/>
              <w:spacing w:before="0" w:after="283"/>
              <w:jc w:val="right"/>
              <w:rPr>
                <w:b/>
              </w:rPr>
            </w:pPr>
            <w:r>
              <w:rPr>
                <w:b/>
              </w:rPr>
              <w:t>8,721</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618" w:type="dxa"/>
            <w:tcBorders/>
            <w:vAlign w:val="bottom"/>
          </w:tcPr>
          <w:p>
            <w:pPr>
              <w:pStyle w:val="TableContents"/>
              <w:bidi w:val="0"/>
              <w:spacing w:before="0" w:after="283"/>
              <w:jc w:val="right"/>
              <w:rPr>
                <w:b/>
              </w:rPr>
            </w:pPr>
            <w:r>
              <w:rPr>
                <w:b/>
              </w:rPr>
              <w:t>956</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685</w:t>
            </w:r>
          </w:p>
        </w:tc>
        <w:tc>
          <w:tcPr>
            <w:tcW w:w="5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1,773</w:t>
            </w:r>
          </w:p>
        </w:tc>
        <w:tc>
          <w:tcPr>
            <w:tcW w:w="162" w:type="dxa"/>
            <w:tcBorders/>
            <w:vAlign w:val="bottom"/>
          </w:tcPr>
          <w:p>
            <w:pPr>
              <w:pStyle w:val="TableContents"/>
              <w:bidi w:val="0"/>
              <w:spacing w:before="0" w:after="283"/>
              <w:jc w:val="left"/>
              <w:rPr/>
            </w:pPr>
            <w:r>
              <w:rPr/>
              <w:t> </w:t>
            </w:r>
          </w:p>
        </w:tc>
      </w:tr>
      <w:tr>
        <w:trPr/>
        <w:tc>
          <w:tcPr>
            <w:tcW w:w="2537"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446"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8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46"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504"/>
        <w:gridCol w:w="188"/>
        <w:gridCol w:w="181"/>
        <w:gridCol w:w="736"/>
        <w:gridCol w:w="155"/>
        <w:gridCol w:w="129"/>
        <w:gridCol w:w="154"/>
        <w:gridCol w:w="616"/>
        <w:gridCol w:w="155"/>
        <w:gridCol w:w="129"/>
        <w:gridCol w:w="445"/>
        <w:gridCol w:w="1214"/>
        <w:gridCol w:w="60"/>
        <w:gridCol w:w="188"/>
        <w:gridCol w:w="304"/>
        <w:gridCol w:w="836"/>
        <w:gridCol w:w="155"/>
        <w:gridCol w:w="129"/>
        <w:gridCol w:w="352"/>
        <w:gridCol w:w="1410"/>
        <w:gridCol w:w="165"/>
      </w:tblGrid>
      <w:tr>
        <w:trPr/>
        <w:tc>
          <w:tcPr>
            <w:tcW w:w="2504"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0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7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65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62" w:type="dxa"/>
            <w:gridSpan w:val="2"/>
            <w:tcBorders/>
            <w:vAlign w:val="bottom"/>
          </w:tcPr>
          <w:p>
            <w:pPr>
              <w:pStyle w:val="TableContents"/>
              <w:bidi w:val="0"/>
              <w:spacing w:before="0" w:after="283"/>
              <w:jc w:val="center"/>
              <w:rPr/>
            </w:pPr>
            <w:r>
              <w:rPr/>
              <w:t>(Stated in millions)</w:t>
            </w:r>
          </w:p>
        </w:tc>
        <w:tc>
          <w:tcPr>
            <w:tcW w:w="165" w:type="dxa"/>
            <w:tcBorders/>
            <w:vAlign w:val="bottom"/>
          </w:tcPr>
          <w:p>
            <w:pPr>
              <w:pStyle w:val="TableContents"/>
              <w:bidi w:val="0"/>
              <w:spacing w:before="0" w:after="283"/>
              <w:jc w:val="left"/>
              <w:rPr/>
            </w:pPr>
            <w:r>
              <w:rPr/>
              <w:t> </w:t>
            </w:r>
          </w:p>
        </w:tc>
      </w:tr>
      <w:tr>
        <w:trPr/>
        <w:tc>
          <w:tcPr>
            <w:tcW w:w="250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348"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Second Quarter 2025</w:t>
            </w:r>
          </w:p>
        </w:tc>
        <w:tc>
          <w:tcPr>
            <w:tcW w:w="165" w:type="dxa"/>
            <w:tcBorders/>
            <w:vAlign w:val="bottom"/>
          </w:tcPr>
          <w:p>
            <w:pPr>
              <w:pStyle w:val="TableContents"/>
              <w:bidi w:val="0"/>
              <w:spacing w:before="0" w:after="283"/>
              <w:jc w:val="left"/>
              <w:rPr/>
            </w:pPr>
            <w:r>
              <w:rPr/>
              <w:t> </w:t>
            </w:r>
          </w:p>
        </w:tc>
      </w:tr>
      <w:tr>
        <w:trPr/>
        <w:tc>
          <w:tcPr>
            <w:tcW w:w="250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Income</w:t>
              <w:br/>
              <w:t>Before</w:t>
              <w:br/>
              <w:t>Taxes</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659" w:type="dxa"/>
            <w:gridSpan w:val="2"/>
            <w:tcBorders>
              <w:bottom w:val="single" w:sz="8" w:space="0" w:color="000000"/>
            </w:tcBorders>
            <w:tcMar>
              <w:bottom w:w="28" w:type="dxa"/>
            </w:tcMar>
            <w:vAlign w:val="bottom"/>
          </w:tcPr>
          <w:p>
            <w:pPr>
              <w:pStyle w:val="TableContents"/>
              <w:bidi w:val="0"/>
              <w:spacing w:before="0" w:after="283"/>
              <w:jc w:val="center"/>
              <w:rPr/>
            </w:pPr>
            <w:r>
              <w:rPr/>
              <w:t>Depreciation and</w:t>
              <w:br/>
              <w:t>Amortization (3)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40" w:type="dxa"/>
            <w:gridSpan w:val="2"/>
            <w:tcBorders>
              <w:bottom w:val="single" w:sz="8" w:space="0" w:color="000000"/>
            </w:tcBorders>
            <w:tcMar>
              <w:bottom w:w="28" w:type="dxa"/>
            </w:tcMar>
            <w:vAlign w:val="bottom"/>
          </w:tcPr>
          <w:p>
            <w:pPr>
              <w:pStyle w:val="TableContents"/>
              <w:bidi w:val="0"/>
              <w:spacing w:before="0" w:after="283"/>
              <w:jc w:val="center"/>
              <w:rPr/>
            </w:pPr>
            <w:r>
              <w:rPr/>
              <w:t>Net Interest</w:t>
              <w:br/>
              <w:t>Expense</w:t>
              <w:br/>
              <w:t>(Income) (4)</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62" w:type="dxa"/>
            <w:gridSpan w:val="2"/>
            <w:tcBorders>
              <w:bottom w:val="single" w:sz="8" w:space="0" w:color="000000"/>
            </w:tcBorders>
            <w:tcMar>
              <w:bottom w:w="28" w:type="dxa"/>
            </w:tcMar>
            <w:vAlign w:val="bottom"/>
          </w:tcPr>
          <w:p>
            <w:pPr>
              <w:pStyle w:val="TableContents"/>
              <w:bidi w:val="0"/>
              <w:spacing w:before="0" w:after="283"/>
              <w:jc w:val="center"/>
              <w:rPr/>
            </w:pPr>
            <w:r>
              <w:rPr/>
              <w:t>Adjusted</w:t>
              <w:br/>
              <w:t>EBITDA (5)</w:t>
            </w:r>
          </w:p>
        </w:tc>
        <w:tc>
          <w:tcPr>
            <w:tcW w:w="165"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Arial" w:hAnsi="Arial"/>
                <w:sz w:val="20"/>
              </w:rPr>
            </w:pPr>
            <w:r>
              <w:rPr>
                <w:rFonts w:ascii="Arial" w:hAnsi="Arial"/>
                <w:sz w:val="20"/>
              </w:rPr>
              <w:t>Digital</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b/>
              </w:rPr>
            </w:pPr>
            <w:r>
              <w:rPr>
                <w:b/>
              </w:rPr>
              <w:t>$</w:t>
            </w:r>
          </w:p>
        </w:tc>
        <w:tc>
          <w:tcPr>
            <w:tcW w:w="736" w:type="dxa"/>
            <w:tcBorders/>
            <w:shd w:fill="CCEEFF" w:val="clear"/>
            <w:vAlign w:val="bottom"/>
          </w:tcPr>
          <w:p>
            <w:pPr>
              <w:pStyle w:val="TableContents"/>
              <w:bidi w:val="0"/>
              <w:spacing w:before="0" w:after="283"/>
              <w:jc w:val="right"/>
              <w:rPr>
                <w:b/>
              </w:rPr>
            </w:pPr>
            <w:r>
              <w:rPr>
                <w:b/>
              </w:rPr>
              <w:t>591</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616" w:type="dxa"/>
            <w:tcBorders/>
            <w:shd w:fill="CCEEFF" w:val="clear"/>
            <w:vAlign w:val="bottom"/>
          </w:tcPr>
          <w:p>
            <w:pPr>
              <w:pStyle w:val="TableContents"/>
              <w:bidi w:val="0"/>
              <w:spacing w:before="0" w:after="283"/>
              <w:jc w:val="right"/>
              <w:rPr>
                <w:b/>
              </w:rPr>
            </w:pPr>
            <w:r>
              <w:rPr>
                <w:b/>
              </w:rPr>
              <w:t>153</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w:t>
            </w:r>
          </w:p>
        </w:tc>
        <w:tc>
          <w:tcPr>
            <w:tcW w:w="1214" w:type="dxa"/>
            <w:tcBorders/>
            <w:shd w:fill="CCEEFF" w:val="clear"/>
            <w:vAlign w:val="bottom"/>
          </w:tcPr>
          <w:p>
            <w:pPr>
              <w:pStyle w:val="TableContents"/>
              <w:bidi w:val="0"/>
              <w:spacing w:before="0" w:after="283"/>
              <w:jc w:val="right"/>
              <w:rPr/>
            </w:pPr>
            <w:r>
              <w:rPr/>
              <w:t>33</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8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1410" w:type="dxa"/>
            <w:tcBorders/>
            <w:shd w:fill="CCEEFF" w:val="clear"/>
            <w:vAlign w:val="bottom"/>
          </w:tcPr>
          <w:p>
            <w:pPr>
              <w:pStyle w:val="TableContents"/>
              <w:bidi w:val="0"/>
              <w:spacing w:before="0" w:after="283"/>
              <w:jc w:val="right"/>
              <w:rPr/>
            </w:pPr>
            <w:r>
              <w:rPr/>
              <w:t>186</w:t>
            </w:r>
          </w:p>
        </w:tc>
        <w:tc>
          <w:tcPr>
            <w:tcW w:w="165"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Arial" w:hAnsi="Arial"/>
                <w:sz w:val="20"/>
              </w:rPr>
            </w:pPr>
            <w:r>
              <w:rPr>
                <w:rFonts w:ascii="Arial" w:hAnsi="Arial"/>
                <w:sz w:val="20"/>
              </w:rPr>
              <w:t>Reservoir Performance</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1,691</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314</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421</w:t>
            </w:r>
          </w:p>
        </w:tc>
        <w:tc>
          <w:tcPr>
            <w:tcW w:w="165"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Arial" w:hAnsi="Arial"/>
                <w:sz w:val="20"/>
              </w:rPr>
            </w:pPr>
            <w:r>
              <w:rPr>
                <w:rFonts w:ascii="Arial" w:hAnsi="Arial"/>
                <w:sz w:val="20"/>
              </w:rPr>
              <w:t>Well Construction</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2,963</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551</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169</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720</w:t>
            </w:r>
          </w:p>
        </w:tc>
        <w:tc>
          <w:tcPr>
            <w:tcW w:w="165"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Arial" w:hAnsi="Arial"/>
                <w:sz w:val="20"/>
              </w:rPr>
            </w:pPr>
            <w:r>
              <w:rPr>
                <w:rFonts w:ascii="Arial" w:hAnsi="Arial"/>
                <w:sz w:val="20"/>
              </w:rPr>
              <w:t>Production Systems</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2,932</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491</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91</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582</w:t>
            </w:r>
          </w:p>
        </w:tc>
        <w:tc>
          <w:tcPr>
            <w:tcW w:w="165"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Arial" w:hAnsi="Arial"/>
                <w:sz w:val="20"/>
              </w:rPr>
            </w:pPr>
            <w:r>
              <w:rPr>
                <w:rFonts w:ascii="Arial" w:hAnsi="Arial"/>
                <w:sz w:val="20"/>
              </w:rPr>
              <w:t>All Other</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583</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155</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117</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275</w:t>
            </w:r>
          </w:p>
        </w:tc>
        <w:tc>
          <w:tcPr>
            <w:tcW w:w="165" w:type="dxa"/>
            <w:tcBorders/>
            <w:shd w:fill="CCEEFF" w:val="clear"/>
            <w:vAlign w:val="bottom"/>
          </w:tcPr>
          <w:p>
            <w:pPr>
              <w:pStyle w:val="TableContents"/>
              <w:bidi w:val="0"/>
              <w:spacing w:before="0" w:after="283"/>
              <w:jc w:val="left"/>
              <w:rPr/>
            </w:pPr>
            <w:r>
              <w:rPr/>
              <w:t> </w:t>
            </w:r>
          </w:p>
        </w:tc>
      </w:tr>
      <w:tr>
        <w:trPr/>
        <w:tc>
          <w:tcPr>
            <w:tcW w:w="2504" w:type="dxa"/>
            <w:tcBorders/>
          </w:tcPr>
          <w:p>
            <w:pPr>
              <w:pStyle w:val="TableContents"/>
              <w:bidi w:val="0"/>
              <w:spacing w:before="0" w:after="0"/>
              <w:jc w:val="left"/>
              <w:rPr>
                <w:rFonts w:ascii="Arial" w:hAnsi="Arial"/>
                <w:sz w:val="20"/>
              </w:rPr>
            </w:pPr>
            <w:r>
              <w:rPr>
                <w:rFonts w:ascii="Arial" w:hAnsi="Arial"/>
                <w:sz w:val="20"/>
              </w:rPr>
              <w:t>Eliminations &amp; other</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(214</w:t>
            </w:r>
          </w:p>
        </w:tc>
        <w:tc>
          <w:tcPr>
            <w:tcW w:w="155" w:type="dxa"/>
            <w:tcBorders/>
            <w:vAlign w:val="bottom"/>
          </w:tcPr>
          <w:p>
            <w:pPr>
              <w:pStyle w:val="TableContents"/>
              <w:bidi w:val="0"/>
              <w:spacing w:before="0" w:after="283"/>
              <w:jc w:val="left"/>
              <w:rPr>
                <w:b/>
              </w:rPr>
            </w:pPr>
            <w:r>
              <w:rPr>
                <w:b/>
              </w:rPr>
              <w:t>) </w:t>
            </w:r>
          </w:p>
        </w:tc>
        <w:tc>
          <w:tcPr>
            <w:tcW w:w="12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(80</w:t>
            </w:r>
          </w:p>
        </w:tc>
        <w:tc>
          <w:tcPr>
            <w:tcW w:w="155" w:type="dxa"/>
            <w:tcBorders/>
            <w:vAlign w:val="bottom"/>
          </w:tcPr>
          <w:p>
            <w:pPr>
              <w:pStyle w:val="TableContents"/>
              <w:bidi w:val="0"/>
              <w:spacing w:before="0" w:after="283"/>
              <w:jc w:val="left"/>
              <w:rPr>
                <w:b/>
              </w:rPr>
            </w:pPr>
            <w:r>
              <w:rPr>
                <w:b/>
              </w:rPr>
              <w:t>) </w:t>
            </w:r>
          </w:p>
        </w:tc>
        <w:tc>
          <w:tcPr>
            <w:tcW w:w="129"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(10</w:t>
            </w:r>
          </w:p>
        </w:tc>
        <w:tc>
          <w:tcPr>
            <w:tcW w:w="165" w:type="dxa"/>
            <w:tcBorders/>
            <w:vAlign w:val="bottom"/>
          </w:tcPr>
          <w:p>
            <w:pPr>
              <w:pStyle w:val="TableContents"/>
              <w:bidi w:val="0"/>
              <w:spacing w:before="0" w:after="283"/>
              <w:jc w:val="left"/>
              <w:rPr/>
            </w:pPr>
            <w:r>
              <w:rPr/>
              <w:t>) </w:t>
            </w:r>
          </w:p>
        </w:tc>
      </w:tr>
      <w:tr>
        <w:trPr/>
        <w:tc>
          <w:tcPr>
            <w:tcW w:w="2504"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41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3609" w:type="dxa"/>
            <w:gridSpan w:val="4"/>
            <w:tcBorders/>
            <w:shd w:fill="CCEEFF" w:val="clear"/>
          </w:tcPr>
          <w:p>
            <w:pPr>
              <w:pStyle w:val="TableContents"/>
              <w:bidi w:val="0"/>
              <w:spacing w:before="0" w:after="0"/>
              <w:jc w:val="left"/>
              <w:rPr>
                <w:rFonts w:ascii="Arial" w:hAnsi="Arial"/>
                <w:sz w:val="20"/>
              </w:rPr>
            </w:pPr>
            <w:r>
              <w:rPr>
                <w:rFonts w:ascii="Arial" w:hAnsi="Arial"/>
                <w:sz w:val="20"/>
              </w:rPr>
              <w:t>Pretax segment operating income</w:t>
            </w:r>
          </w:p>
        </w:tc>
        <w:tc>
          <w:tcPr>
            <w:tcW w:w="155" w:type="dxa"/>
            <w:tcBorders/>
            <w:shd w:fill="CCEEFF" w:val="clear"/>
          </w:tcPr>
          <w:p>
            <w:pPr>
              <w:pStyle w:val="TableContents"/>
              <w:bidi w:val="0"/>
              <w:spacing w:before="0" w:after="0"/>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1,584</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8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141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504" w:type="dxa"/>
            <w:tcBorders/>
          </w:tcPr>
          <w:p>
            <w:pPr>
              <w:pStyle w:val="TableContents"/>
              <w:bidi w:val="0"/>
              <w:spacing w:before="0" w:after="0"/>
              <w:jc w:val="left"/>
              <w:rPr>
                <w:rFonts w:ascii="Arial" w:hAnsi="Arial"/>
                <w:sz w:val="20"/>
              </w:rPr>
            </w:pPr>
            <w:r>
              <w:rPr>
                <w:rFonts w:ascii="Arial" w:hAnsi="Arial"/>
                <w:sz w:val="20"/>
              </w:rPr>
              <w:t>Corporate &amp; other</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(169</w:t>
            </w:r>
          </w:p>
        </w:tc>
        <w:tc>
          <w:tcPr>
            <w:tcW w:w="155" w:type="dxa"/>
            <w:tcBorders/>
            <w:vAlign w:val="bottom"/>
          </w:tcPr>
          <w:p>
            <w:pPr>
              <w:pStyle w:val="TableContents"/>
              <w:bidi w:val="0"/>
              <w:spacing w:before="0" w:after="283"/>
              <w:jc w:val="left"/>
              <w:rPr>
                <w:b/>
              </w:rPr>
            </w:pPr>
            <w:r>
              <w:rPr>
                <w:b/>
              </w:rPr>
              <w:t>) </w:t>
            </w:r>
          </w:p>
        </w:tc>
        <w:tc>
          <w:tcPr>
            <w:tcW w:w="129"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(123</w:t>
            </w:r>
          </w:p>
        </w:tc>
        <w:tc>
          <w:tcPr>
            <w:tcW w:w="165" w:type="dxa"/>
            <w:tcBorders/>
            <w:vAlign w:val="bottom"/>
          </w:tcPr>
          <w:p>
            <w:pPr>
              <w:pStyle w:val="TableContents"/>
              <w:bidi w:val="0"/>
              <w:spacing w:before="0" w:after="283"/>
              <w:jc w:val="left"/>
              <w:rPr/>
            </w:pPr>
            <w:r>
              <w:rPr/>
              <w:t>) </w:t>
            </w:r>
          </w:p>
        </w:tc>
      </w:tr>
      <w:tr>
        <w:trPr/>
        <w:tc>
          <w:tcPr>
            <w:tcW w:w="2504" w:type="dxa"/>
            <w:tcBorders/>
            <w:shd w:fill="CCEEFF" w:val="clear"/>
          </w:tcPr>
          <w:p>
            <w:pPr>
              <w:pStyle w:val="TableContents"/>
              <w:bidi w:val="0"/>
              <w:spacing w:before="0" w:after="0"/>
              <w:jc w:val="left"/>
              <w:rPr>
                <w:rFonts w:ascii="Arial" w:hAnsi="Arial"/>
                <w:sz w:val="20"/>
              </w:rPr>
            </w:pPr>
            <w:r>
              <w:rPr>
                <w:rFonts w:ascii="Arial" w:hAnsi="Arial"/>
                <w:sz w:val="20"/>
              </w:rPr>
              <w:t>Interest income (1)</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30</w:t>
            </w:r>
          </w:p>
        </w:tc>
        <w:tc>
          <w:tcPr>
            <w:tcW w:w="1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8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141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504" w:type="dxa"/>
            <w:tcBorders/>
          </w:tcPr>
          <w:p>
            <w:pPr>
              <w:pStyle w:val="TableContents"/>
              <w:bidi w:val="0"/>
              <w:spacing w:before="0" w:after="0"/>
              <w:jc w:val="left"/>
              <w:rPr>
                <w:rFonts w:ascii="Arial" w:hAnsi="Arial"/>
                <w:sz w:val="20"/>
              </w:rPr>
            </w:pPr>
            <w:r>
              <w:rPr>
                <w:rFonts w:ascii="Arial" w:hAnsi="Arial"/>
                <w:sz w:val="20"/>
              </w:rPr>
              <w:t>Interest expense (1)</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(139</w:t>
            </w:r>
          </w:p>
        </w:tc>
        <w:tc>
          <w:tcPr>
            <w:tcW w:w="155" w:type="dxa"/>
            <w:tcBorders/>
            <w:vAlign w:val="bottom"/>
          </w:tcPr>
          <w:p>
            <w:pPr>
              <w:pStyle w:val="TableContents"/>
              <w:bidi w:val="0"/>
              <w:spacing w:before="0" w:after="283"/>
              <w:jc w:val="left"/>
              <w:rPr>
                <w:b/>
              </w:rPr>
            </w:pPr>
            <w:r>
              <w:rPr>
                <w:b/>
              </w:rPr>
              <w:t>) </w:t>
            </w:r>
          </w:p>
        </w:tc>
        <w:tc>
          <w:tcPr>
            <w:tcW w:w="129"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41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2504" w:type="dxa"/>
            <w:tcBorders/>
            <w:shd w:fill="CCEEFF" w:val="clear"/>
            <w:vAlign w:val="bottom"/>
          </w:tcPr>
          <w:p>
            <w:pPr>
              <w:pStyle w:val="TableContents"/>
              <w:bidi w:val="0"/>
              <w:spacing w:before="0" w:after="0"/>
              <w:jc w:val="left"/>
              <w:rPr>
                <w:rFonts w:ascii="Arial" w:hAnsi="Arial"/>
                <w:sz w:val="20"/>
              </w:rPr>
            </w:pPr>
            <w:r>
              <w:rPr>
                <w:rFonts w:ascii="Arial" w:hAnsi="Arial"/>
                <w:sz w:val="20"/>
              </w:rPr>
              <w:t>Charges &amp; credits (2)</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(21</w:t>
            </w:r>
          </w:p>
        </w:tc>
        <w:tc>
          <w:tcPr>
            <w:tcW w:w="155" w:type="dxa"/>
            <w:tcBorders/>
            <w:shd w:fill="CCEEFF" w:val="clear"/>
            <w:vAlign w:val="bottom"/>
          </w:tcPr>
          <w:p>
            <w:pPr>
              <w:pStyle w:val="TableContents"/>
              <w:bidi w:val="0"/>
              <w:spacing w:before="0" w:after="283"/>
              <w:jc w:val="left"/>
              <w:rPr>
                <w:b/>
              </w:rPr>
            </w:pPr>
            <w:r>
              <w:rPr>
                <w:b/>
              </w:rPr>
              <w:t>) </w:t>
            </w:r>
          </w:p>
        </w:tc>
        <w:tc>
          <w:tcPr>
            <w:tcW w:w="129"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8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141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2504"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5"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504"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b/>
              </w:rPr>
            </w:pPr>
            <w:r>
              <w:rPr>
                <w:b/>
              </w:rPr>
              <w:t>$</w:t>
            </w:r>
          </w:p>
        </w:tc>
        <w:tc>
          <w:tcPr>
            <w:tcW w:w="736" w:type="dxa"/>
            <w:tcBorders/>
            <w:vAlign w:val="bottom"/>
          </w:tcPr>
          <w:p>
            <w:pPr>
              <w:pStyle w:val="TableContents"/>
              <w:bidi w:val="0"/>
              <w:spacing w:before="0" w:after="283"/>
              <w:jc w:val="right"/>
              <w:rPr>
                <w:b/>
              </w:rPr>
            </w:pPr>
            <w:r>
              <w:rPr>
                <w:b/>
              </w:rPr>
              <w:t>8,546</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616" w:type="dxa"/>
            <w:tcBorders/>
            <w:vAlign w:val="bottom"/>
          </w:tcPr>
          <w:p>
            <w:pPr>
              <w:pStyle w:val="TableContents"/>
              <w:bidi w:val="0"/>
              <w:spacing w:before="0" w:after="283"/>
              <w:jc w:val="right"/>
              <w:rPr>
                <w:b/>
              </w:rPr>
            </w:pPr>
            <w:r>
              <w:rPr>
                <w:b/>
              </w:rPr>
              <w:t>1,285</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633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w:t>
            </w:r>
          </w:p>
        </w:tc>
        <w:tc>
          <w:tcPr>
            <w:tcW w:w="836"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w:t>
            </w:r>
          </w:p>
        </w:tc>
        <w:tc>
          <w:tcPr>
            <w:tcW w:w="1410" w:type="dxa"/>
            <w:tcBorders/>
            <w:vAlign w:val="bottom"/>
          </w:tcPr>
          <w:p>
            <w:pPr>
              <w:pStyle w:val="TableContents"/>
              <w:bidi w:val="0"/>
              <w:spacing w:before="0" w:after="283"/>
              <w:jc w:val="right"/>
              <w:rPr/>
            </w:pPr>
            <w:r>
              <w:rPr/>
              <w:t>2,051</w:t>
            </w:r>
          </w:p>
        </w:tc>
        <w:tc>
          <w:tcPr>
            <w:tcW w:w="165" w:type="dxa"/>
            <w:tcBorders/>
            <w:vAlign w:val="bottom"/>
          </w:tcPr>
          <w:p>
            <w:pPr>
              <w:pStyle w:val="TableContents"/>
              <w:bidi w:val="0"/>
              <w:spacing w:before="0" w:after="283"/>
              <w:jc w:val="left"/>
              <w:rPr/>
            </w:pPr>
            <w:r>
              <w:rPr/>
              <w:t> </w:t>
            </w:r>
          </w:p>
        </w:tc>
      </w:tr>
      <w:tr>
        <w:trPr/>
        <w:tc>
          <w:tcPr>
            <w:tcW w:w="2504"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5"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8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double" w:sz="6" w:space="1" w:color="000000"/>
              </w:pBdr>
              <w:bidi w:val="0"/>
              <w:spacing w:before="0" w:after="0"/>
              <w:jc w:val="left"/>
              <w:rPr/>
            </w:pPr>
            <w:r>
              <w:rPr/>
              <w:t> </w:t>
            </w:r>
          </w:p>
        </w:tc>
        <w:tc>
          <w:tcPr>
            <w:tcW w:w="1410"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0"/>
        <w:gridCol w:w="179"/>
        <w:gridCol w:w="154"/>
        <w:gridCol w:w="751"/>
        <w:gridCol w:w="155"/>
        <w:gridCol w:w="121"/>
        <w:gridCol w:w="154"/>
        <w:gridCol w:w="621"/>
        <w:gridCol w:w="155"/>
        <w:gridCol w:w="121"/>
        <w:gridCol w:w="330"/>
        <w:gridCol w:w="1320"/>
        <w:gridCol w:w="59"/>
        <w:gridCol w:w="179"/>
        <w:gridCol w:w="303"/>
        <w:gridCol w:w="828"/>
        <w:gridCol w:w="155"/>
        <w:gridCol w:w="121"/>
        <w:gridCol w:w="347"/>
        <w:gridCol w:w="1389"/>
        <w:gridCol w:w="163"/>
      </w:tblGrid>
      <w:tr>
        <w:trPr/>
        <w:tc>
          <w:tcPr>
            <w:tcW w:w="2600"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650" w:type="dxa"/>
            <w:gridSpan w:val="2"/>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3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736" w:type="dxa"/>
            <w:gridSpan w:val="2"/>
            <w:tcBorders/>
            <w:vAlign w:val="bottom"/>
          </w:tcPr>
          <w:p>
            <w:pPr>
              <w:pStyle w:val="TableContents"/>
              <w:bidi w:val="0"/>
              <w:spacing w:before="0" w:after="283"/>
              <w:jc w:val="center"/>
              <w:rPr/>
            </w:pPr>
            <w:r>
              <w:rPr/>
              <w:t>(Stated in millions)</w:t>
            </w:r>
          </w:p>
        </w:tc>
        <w:tc>
          <w:tcPr>
            <w:tcW w:w="163" w:type="dxa"/>
            <w:tcBorders/>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7263"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Six Months 2026</w:t>
            </w:r>
          </w:p>
        </w:tc>
        <w:tc>
          <w:tcPr>
            <w:tcW w:w="163" w:type="dxa"/>
            <w:tcBorders/>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Income</w:t>
              <w:br/>
              <w:t>Before</w:t>
              <w:br/>
              <w:t>Taxes</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650" w:type="dxa"/>
            <w:gridSpan w:val="2"/>
            <w:tcBorders>
              <w:bottom w:val="single" w:sz="8" w:space="0" w:color="000000"/>
            </w:tcBorders>
            <w:tcMar>
              <w:bottom w:w="28" w:type="dxa"/>
            </w:tcMar>
            <w:vAlign w:val="bottom"/>
          </w:tcPr>
          <w:p>
            <w:pPr>
              <w:pStyle w:val="TableContents"/>
              <w:bidi w:val="0"/>
              <w:spacing w:before="0" w:after="283"/>
              <w:jc w:val="center"/>
              <w:rPr/>
            </w:pPr>
            <w:r>
              <w:rPr/>
              <w:t>Depreciation and</w:t>
              <w:br/>
              <w:t>Amortization (3)</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pPr>
            <w:r>
              <w:rPr/>
              <w:t>Net Interest</w:t>
              <w:br/>
              <w:t>Expense</w:t>
              <w:br/>
              <w:t>(Income) (4)</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736" w:type="dxa"/>
            <w:gridSpan w:val="2"/>
            <w:tcBorders>
              <w:bottom w:val="single" w:sz="8" w:space="0" w:color="000000"/>
            </w:tcBorders>
            <w:tcMar>
              <w:bottom w:w="28" w:type="dxa"/>
            </w:tcMar>
            <w:vAlign w:val="bottom"/>
          </w:tcPr>
          <w:p>
            <w:pPr>
              <w:pStyle w:val="TableContents"/>
              <w:bidi w:val="0"/>
              <w:spacing w:before="0" w:after="283"/>
              <w:jc w:val="center"/>
              <w:rPr/>
            </w:pPr>
            <w:r>
              <w:rPr/>
              <w:t>Adjusted</w:t>
              <w:br/>
              <w:t>EBITDA (5)</w:t>
            </w:r>
          </w:p>
        </w:tc>
        <w:tc>
          <w:tcPr>
            <w:tcW w:w="163"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jc w:val="left"/>
              <w:rPr>
                <w:rFonts w:ascii="Arial" w:hAnsi="Arial"/>
                <w:sz w:val="20"/>
              </w:rPr>
            </w:pPr>
            <w:r>
              <w:rPr>
                <w:rFonts w:ascii="Arial" w:hAnsi="Arial"/>
                <w:sz w:val="20"/>
              </w:rPr>
              <w:t>Digital</w:t>
            </w:r>
          </w:p>
        </w:tc>
        <w:tc>
          <w:tcPr>
            <w:tcW w:w="17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751" w:type="dxa"/>
            <w:tcBorders/>
            <w:shd w:fill="CCEEFF" w:val="clear"/>
            <w:vAlign w:val="bottom"/>
          </w:tcPr>
          <w:p>
            <w:pPr>
              <w:pStyle w:val="TableContents"/>
              <w:bidi w:val="0"/>
              <w:spacing w:before="0" w:after="283"/>
              <w:jc w:val="right"/>
              <w:rPr>
                <w:b/>
              </w:rPr>
            </w:pPr>
            <w:r>
              <w:rPr>
                <w:b/>
              </w:rPr>
              <w:t>1,337</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621" w:type="dxa"/>
            <w:tcBorders/>
            <w:shd w:fill="CCEEFF" w:val="clear"/>
            <w:vAlign w:val="bottom"/>
          </w:tcPr>
          <w:p>
            <w:pPr>
              <w:pStyle w:val="TableContents"/>
              <w:bidi w:val="0"/>
              <w:spacing w:before="0" w:after="283"/>
              <w:jc w:val="right"/>
              <w:rPr>
                <w:b/>
              </w:rPr>
            </w:pPr>
            <w:r>
              <w:rPr>
                <w:b/>
              </w:rPr>
              <w:t>328</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81</w:t>
            </w:r>
          </w:p>
        </w:tc>
        <w:tc>
          <w:tcPr>
            <w:tcW w:w="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w:t>
            </w:r>
          </w:p>
        </w:tc>
        <w:tc>
          <w:tcPr>
            <w:tcW w:w="1389" w:type="dxa"/>
            <w:tcBorders/>
            <w:shd w:fill="CCEEFF" w:val="clear"/>
            <w:vAlign w:val="bottom"/>
          </w:tcPr>
          <w:p>
            <w:pPr>
              <w:pStyle w:val="TableContents"/>
              <w:bidi w:val="0"/>
              <w:spacing w:before="0" w:after="283"/>
              <w:jc w:val="right"/>
              <w:rPr/>
            </w:pPr>
            <w:r>
              <w:rPr/>
              <w:t>409</w:t>
            </w:r>
          </w:p>
        </w:tc>
        <w:tc>
          <w:tcPr>
            <w:tcW w:w="163"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0"/>
              <w:jc w:val="left"/>
              <w:rPr>
                <w:rFonts w:ascii="Arial" w:hAnsi="Arial"/>
                <w:sz w:val="20"/>
              </w:rPr>
            </w:pPr>
            <w:r>
              <w:rPr>
                <w:rFonts w:ascii="Arial" w:hAnsi="Arial"/>
                <w:sz w:val="20"/>
              </w:rPr>
              <w:t>Reservoir Performance</w:t>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b/>
              </w:rPr>
            </w:pPr>
            <w:r>
              <w:rPr>
                <w:b/>
              </w:rPr>
              <w:t>3,150</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b/>
              </w:rPr>
            </w:pPr>
            <w:r>
              <w:rPr>
                <w:b/>
              </w:rPr>
              <w:t>489</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231</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718</w:t>
            </w:r>
          </w:p>
        </w:tc>
        <w:tc>
          <w:tcPr>
            <w:tcW w:w="163"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jc w:val="left"/>
              <w:rPr>
                <w:rFonts w:ascii="Arial" w:hAnsi="Arial"/>
                <w:sz w:val="20"/>
              </w:rPr>
            </w:pPr>
            <w:r>
              <w:rPr>
                <w:rFonts w:ascii="Arial" w:hAnsi="Arial"/>
                <w:sz w:val="20"/>
              </w:rPr>
              <w:t>Well Construction</w:t>
            </w:r>
          </w:p>
        </w:tc>
        <w:tc>
          <w:tcPr>
            <w:tcW w:w="17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b/>
              </w:rPr>
            </w:pPr>
            <w:r>
              <w:rPr>
                <w:b/>
              </w:rPr>
              <w:t>5,539</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b/>
              </w:rPr>
            </w:pPr>
            <w:r>
              <w:rPr>
                <w:b/>
              </w:rPr>
              <w:t>841</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322</w:t>
            </w:r>
          </w:p>
        </w:tc>
        <w:tc>
          <w:tcPr>
            <w:tcW w:w="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1,162</w:t>
            </w:r>
          </w:p>
        </w:tc>
        <w:tc>
          <w:tcPr>
            <w:tcW w:w="163"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0"/>
              <w:jc w:val="left"/>
              <w:rPr>
                <w:rFonts w:ascii="Arial" w:hAnsi="Arial"/>
                <w:sz w:val="20"/>
              </w:rPr>
            </w:pPr>
            <w:r>
              <w:rPr>
                <w:rFonts w:ascii="Arial" w:hAnsi="Arial"/>
                <w:sz w:val="20"/>
              </w:rPr>
              <w:t>Production Systems</w:t>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b/>
              </w:rPr>
            </w:pPr>
            <w:r>
              <w:rPr>
                <w:b/>
              </w:rPr>
              <w:t>7,279</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b/>
              </w:rPr>
            </w:pPr>
            <w:r>
              <w:rPr>
                <w:b/>
              </w:rPr>
              <w:t>1,083</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304</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1,386</w:t>
            </w:r>
          </w:p>
        </w:tc>
        <w:tc>
          <w:tcPr>
            <w:tcW w:w="163"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jc w:val="left"/>
              <w:rPr>
                <w:rFonts w:ascii="Arial" w:hAnsi="Arial"/>
                <w:sz w:val="20"/>
              </w:rPr>
            </w:pPr>
            <w:r>
              <w:rPr>
                <w:rFonts w:ascii="Arial" w:hAnsi="Arial"/>
                <w:sz w:val="20"/>
              </w:rPr>
              <w:t>All Other</w:t>
            </w:r>
          </w:p>
        </w:tc>
        <w:tc>
          <w:tcPr>
            <w:tcW w:w="17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b/>
              </w:rPr>
            </w:pPr>
            <w:r>
              <w:rPr>
                <w:b/>
              </w:rPr>
              <w:t>948</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b/>
              </w:rPr>
            </w:pPr>
            <w:r>
              <w:rPr>
                <w:b/>
              </w:rPr>
              <w:t>255</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169</w:t>
            </w:r>
          </w:p>
        </w:tc>
        <w:tc>
          <w:tcPr>
            <w:tcW w:w="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424</w:t>
            </w:r>
          </w:p>
        </w:tc>
        <w:tc>
          <w:tcPr>
            <w:tcW w:w="163"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0"/>
              <w:jc w:val="left"/>
              <w:rPr>
                <w:rFonts w:ascii="Arial" w:hAnsi="Arial"/>
                <w:sz w:val="20"/>
              </w:rPr>
            </w:pPr>
            <w:r>
              <w:rPr>
                <w:rFonts w:ascii="Arial" w:hAnsi="Arial"/>
                <w:sz w:val="20"/>
              </w:rPr>
              <w:t>Eliminations &amp; other</w:t>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b/>
              </w:rPr>
            </w:pPr>
            <w:r>
              <w:rPr>
                <w:b/>
              </w:rPr>
              <w:t>(560</w:t>
            </w:r>
          </w:p>
        </w:tc>
        <w:tc>
          <w:tcPr>
            <w:tcW w:w="155" w:type="dxa"/>
            <w:tcBorders/>
            <w:vAlign w:val="bottom"/>
          </w:tcPr>
          <w:p>
            <w:pPr>
              <w:pStyle w:val="TableContents"/>
              <w:bidi w:val="0"/>
              <w:spacing w:before="0" w:after="283"/>
              <w:jc w:val="left"/>
              <w:rPr>
                <w:b/>
              </w:rPr>
            </w:pPr>
            <w:r>
              <w:rPr>
                <w:b/>
              </w:rPr>
              <w:t>) </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b/>
              </w:rPr>
            </w:pPr>
            <w:r>
              <w:rPr>
                <w:b/>
              </w:rPr>
              <w:t>(271</w:t>
            </w:r>
          </w:p>
        </w:tc>
        <w:tc>
          <w:tcPr>
            <w:tcW w:w="155" w:type="dxa"/>
            <w:tcBorders/>
            <w:vAlign w:val="bottom"/>
          </w:tcPr>
          <w:p>
            <w:pPr>
              <w:pStyle w:val="TableContents"/>
              <w:bidi w:val="0"/>
              <w:spacing w:before="0" w:after="283"/>
              <w:jc w:val="left"/>
              <w:rPr>
                <w:b/>
              </w:rPr>
            </w:pPr>
            <w:r>
              <w:rPr>
                <w:b/>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140</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(138</w:t>
            </w:r>
          </w:p>
        </w:tc>
        <w:tc>
          <w:tcPr>
            <w:tcW w:w="163" w:type="dxa"/>
            <w:tcBorders/>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32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sz w:val="4"/>
                <w:szCs w:val="4"/>
              </w:rPr>
            </w:pPr>
            <w:r>
              <w:rPr>
                <w:sz w:val="4"/>
                <w:szCs w:val="4"/>
              </w:rPr>
            </w:r>
          </w:p>
        </w:tc>
        <w:tc>
          <w:tcPr>
            <w:tcW w:w="1389"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684" w:type="dxa"/>
            <w:gridSpan w:val="4"/>
            <w:tcBorders/>
            <w:shd w:fill="CCEEFF" w:val="clear"/>
            <w:vAlign w:val="bottom"/>
          </w:tcPr>
          <w:p>
            <w:pPr>
              <w:pStyle w:val="TableContents"/>
              <w:bidi w:val="0"/>
              <w:spacing w:before="0" w:after="0"/>
              <w:jc w:val="left"/>
              <w:rPr>
                <w:rFonts w:ascii="Arial" w:hAnsi="Arial"/>
                <w:sz w:val="20"/>
              </w:rPr>
            </w:pPr>
            <w:r>
              <w:rPr>
                <w:rFonts w:ascii="Arial" w:hAnsi="Arial"/>
                <w:sz w:val="20"/>
              </w:rPr>
              <w:t>Pretax segment operating income</w:t>
            </w:r>
          </w:p>
        </w:tc>
        <w:tc>
          <w:tcPr>
            <w:tcW w:w="155" w:type="dxa"/>
            <w:tcBorders/>
            <w:shd w:fill="CCEEFF" w:val="clear"/>
            <w:vAlign w:val="bottom"/>
          </w:tcPr>
          <w:p>
            <w:pPr>
              <w:pStyle w:val="TableContents"/>
              <w:bidi w:val="0"/>
              <w:spacing w:before="0" w:after="0"/>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b/>
              </w:rPr>
            </w:pPr>
            <w:r>
              <w:rPr>
                <w:b/>
              </w:rPr>
              <w:t>2,725</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sz w:val="4"/>
                <w:szCs w:val="4"/>
              </w:rPr>
            </w:pPr>
            <w:r>
              <w:rPr>
                <w:sz w:val="4"/>
                <w:szCs w:val="4"/>
              </w:rPr>
            </w:r>
          </w:p>
        </w:tc>
        <w:tc>
          <w:tcPr>
            <w:tcW w:w="1320"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sz w:val="4"/>
                <w:szCs w:val="4"/>
              </w:rPr>
            </w:pPr>
            <w:r>
              <w:rPr>
                <w:sz w:val="4"/>
                <w:szCs w:val="4"/>
              </w:rPr>
            </w:r>
          </w:p>
        </w:tc>
        <w:tc>
          <w:tcPr>
            <w:tcW w:w="138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600" w:type="dxa"/>
            <w:tcBorders/>
            <w:vAlign w:val="bottom"/>
          </w:tcPr>
          <w:p>
            <w:pPr>
              <w:pStyle w:val="TableContents"/>
              <w:bidi w:val="0"/>
              <w:spacing w:before="0" w:after="0"/>
              <w:jc w:val="left"/>
              <w:rPr>
                <w:rFonts w:ascii="Arial" w:hAnsi="Arial"/>
                <w:sz w:val="20"/>
              </w:rPr>
            </w:pPr>
            <w:r>
              <w:rPr>
                <w:rFonts w:ascii="Arial" w:hAnsi="Arial"/>
                <w:sz w:val="20"/>
              </w:rPr>
              <w:t>Corporate &amp; other</w:t>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b/>
              </w:rPr>
            </w:pPr>
            <w:r>
              <w:rPr>
                <w:b/>
              </w:rPr>
              <w:t>(439</w:t>
            </w:r>
          </w:p>
        </w:tc>
        <w:tc>
          <w:tcPr>
            <w:tcW w:w="155" w:type="dxa"/>
            <w:tcBorders/>
            <w:vAlign w:val="bottom"/>
          </w:tcPr>
          <w:p>
            <w:pPr>
              <w:pStyle w:val="TableContents"/>
              <w:bidi w:val="0"/>
              <w:spacing w:before="0" w:after="283"/>
              <w:jc w:val="left"/>
              <w:rPr>
                <w:b/>
              </w:rPr>
            </w:pPr>
            <w:r>
              <w:rPr>
                <w:b/>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150</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(289</w:t>
            </w:r>
          </w:p>
        </w:tc>
        <w:tc>
          <w:tcPr>
            <w:tcW w:w="163"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jc w:val="left"/>
              <w:rPr>
                <w:rFonts w:ascii="Arial" w:hAnsi="Arial"/>
                <w:sz w:val="20"/>
              </w:rPr>
            </w:pPr>
            <w:r>
              <w:rPr>
                <w:rFonts w:ascii="Arial" w:hAnsi="Arial"/>
                <w:sz w:val="20"/>
              </w:rPr>
              <w:t>Interest income (1)</w:t>
            </w:r>
          </w:p>
        </w:tc>
        <w:tc>
          <w:tcPr>
            <w:tcW w:w="17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b/>
              </w:rPr>
            </w:pPr>
            <w:r>
              <w:rPr>
                <w:b/>
              </w:rPr>
              <w:t>43</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sz w:val="4"/>
                <w:szCs w:val="4"/>
              </w:rPr>
            </w:pPr>
            <w:r>
              <w:rPr>
                <w:sz w:val="4"/>
                <w:szCs w:val="4"/>
              </w:rPr>
            </w:r>
          </w:p>
        </w:tc>
        <w:tc>
          <w:tcPr>
            <w:tcW w:w="1320"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sz w:val="4"/>
                <w:szCs w:val="4"/>
              </w:rPr>
            </w:pPr>
            <w:r>
              <w:rPr>
                <w:sz w:val="4"/>
                <w:szCs w:val="4"/>
              </w:rPr>
            </w:r>
          </w:p>
        </w:tc>
        <w:tc>
          <w:tcPr>
            <w:tcW w:w="138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600" w:type="dxa"/>
            <w:tcBorders/>
            <w:vAlign w:val="bottom"/>
          </w:tcPr>
          <w:p>
            <w:pPr>
              <w:pStyle w:val="TableContents"/>
              <w:bidi w:val="0"/>
              <w:spacing w:before="0" w:after="0"/>
              <w:jc w:val="left"/>
              <w:rPr>
                <w:rFonts w:ascii="Arial" w:hAnsi="Arial"/>
                <w:sz w:val="20"/>
              </w:rPr>
            </w:pPr>
            <w:r>
              <w:rPr>
                <w:rFonts w:ascii="Arial" w:hAnsi="Arial"/>
                <w:sz w:val="20"/>
              </w:rPr>
              <w:t>Interest expense (1)</w:t>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b/>
              </w:rPr>
            </w:pPr>
            <w:r>
              <w:rPr>
                <w:b/>
              </w:rPr>
              <w:t>(244</w:t>
            </w:r>
          </w:p>
        </w:tc>
        <w:tc>
          <w:tcPr>
            <w:tcW w:w="155" w:type="dxa"/>
            <w:tcBorders/>
            <w:vAlign w:val="bottom"/>
          </w:tcPr>
          <w:p>
            <w:pPr>
              <w:pStyle w:val="TableContents"/>
              <w:bidi w:val="0"/>
              <w:spacing w:before="0" w:after="283"/>
              <w:jc w:val="left"/>
              <w:rPr>
                <w:b/>
              </w:rPr>
            </w:pPr>
            <w:r>
              <w:rPr>
                <w:b/>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32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sz w:val="4"/>
                <w:szCs w:val="4"/>
              </w:rPr>
            </w:pPr>
            <w:r>
              <w:rPr>
                <w:sz w:val="4"/>
                <w:szCs w:val="4"/>
              </w:rPr>
            </w:r>
          </w:p>
        </w:tc>
        <w:tc>
          <w:tcPr>
            <w:tcW w:w="1389"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600" w:type="dxa"/>
            <w:tcBorders/>
            <w:shd w:fill="CCEEFF" w:val="clear"/>
            <w:vAlign w:val="bottom"/>
          </w:tcPr>
          <w:p>
            <w:pPr>
              <w:pStyle w:val="TableContents"/>
              <w:bidi w:val="0"/>
              <w:spacing w:before="0" w:after="0"/>
              <w:jc w:val="left"/>
              <w:rPr>
                <w:rFonts w:ascii="Arial" w:hAnsi="Arial"/>
                <w:sz w:val="20"/>
              </w:rPr>
            </w:pPr>
            <w:r>
              <w:rPr>
                <w:rFonts w:ascii="Arial" w:hAnsi="Arial"/>
                <w:sz w:val="20"/>
              </w:rPr>
              <w:t>Charges &amp; credits (2)</w:t>
            </w:r>
          </w:p>
        </w:tc>
        <w:tc>
          <w:tcPr>
            <w:tcW w:w="17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b/>
              </w:rPr>
            </w:pPr>
            <w:r>
              <w:rPr>
                <w:b/>
              </w:rPr>
              <w:t>(110</w:t>
            </w:r>
          </w:p>
        </w:tc>
        <w:tc>
          <w:tcPr>
            <w:tcW w:w="155" w:type="dxa"/>
            <w:tcBorders/>
            <w:shd w:fill="CCEEFF" w:val="clear"/>
            <w:vAlign w:val="bottom"/>
          </w:tcPr>
          <w:p>
            <w:pPr>
              <w:pStyle w:val="TableContents"/>
              <w:bidi w:val="0"/>
              <w:spacing w:before="0" w:after="283"/>
              <w:jc w:val="left"/>
              <w:rPr>
                <w:b/>
              </w:rPr>
            </w:pPr>
            <w:r>
              <w:rPr>
                <w:b/>
              </w:rPr>
              <w:t>) </w:t>
            </w:r>
          </w:p>
        </w:tc>
        <w:tc>
          <w:tcPr>
            <w:tcW w:w="121"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sz w:val="4"/>
                <w:szCs w:val="4"/>
              </w:rPr>
            </w:pPr>
            <w:r>
              <w:rPr>
                <w:sz w:val="4"/>
                <w:szCs w:val="4"/>
              </w:rPr>
            </w:r>
          </w:p>
        </w:tc>
        <w:tc>
          <w:tcPr>
            <w:tcW w:w="1320"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sz w:val="4"/>
                <w:szCs w:val="4"/>
              </w:rPr>
            </w:pPr>
            <w:r>
              <w:rPr>
                <w:sz w:val="4"/>
                <w:szCs w:val="4"/>
              </w:rPr>
            </w:r>
          </w:p>
        </w:tc>
        <w:tc>
          <w:tcPr>
            <w:tcW w:w="138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600"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single" w:sz="2" w:space="1" w:color="000000"/>
              </w:pBdr>
              <w:bidi w:val="0"/>
              <w:spacing w:before="0" w:after="0"/>
              <w:jc w:val="left"/>
              <w:rPr/>
            </w:pPr>
            <w:r>
              <w:rPr/>
              <w:t> </w:t>
            </w:r>
          </w:p>
        </w:tc>
        <w:tc>
          <w:tcPr>
            <w:tcW w:w="138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00"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751" w:type="dxa"/>
            <w:tcBorders/>
            <w:vAlign w:val="bottom"/>
          </w:tcPr>
          <w:p>
            <w:pPr>
              <w:pStyle w:val="TableContents"/>
              <w:bidi w:val="0"/>
              <w:spacing w:before="0" w:after="283"/>
              <w:jc w:val="right"/>
              <w:rPr>
                <w:b/>
              </w:rPr>
            </w:pPr>
            <w:r>
              <w:rPr>
                <w:b/>
              </w:rPr>
              <w:t>17,693</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621" w:type="dxa"/>
            <w:tcBorders/>
            <w:vAlign w:val="bottom"/>
          </w:tcPr>
          <w:p>
            <w:pPr>
              <w:pStyle w:val="TableContents"/>
              <w:bidi w:val="0"/>
              <w:spacing w:before="0" w:after="283"/>
              <w:jc w:val="right"/>
              <w:rPr>
                <w:b/>
              </w:rPr>
            </w:pPr>
            <w:r>
              <w:rPr>
                <w:b/>
              </w:rPr>
              <w:t>1,975</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1,397</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w:t>
            </w:r>
          </w:p>
        </w:tc>
        <w:tc>
          <w:tcPr>
            <w:tcW w:w="1389" w:type="dxa"/>
            <w:tcBorders/>
            <w:vAlign w:val="bottom"/>
          </w:tcPr>
          <w:p>
            <w:pPr>
              <w:pStyle w:val="TableContents"/>
              <w:bidi w:val="0"/>
              <w:spacing w:before="0" w:after="283"/>
              <w:jc w:val="right"/>
              <w:rPr/>
            </w:pPr>
            <w:r>
              <w:rPr/>
              <w:t>3,672</w:t>
            </w:r>
          </w:p>
        </w:tc>
        <w:tc>
          <w:tcPr>
            <w:tcW w:w="163" w:type="dxa"/>
            <w:tcBorders/>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pBdr>
                <w:top w:val="double" w:sz="6" w:space="1" w:color="000000"/>
              </w:pBdr>
              <w:bidi w:val="0"/>
              <w:spacing w:before="0" w:after="0"/>
              <w:jc w:val="left"/>
              <w:rPr/>
            </w:pPr>
            <w:r>
              <w:rPr/>
              <w:t> </w:t>
            </w:r>
          </w:p>
        </w:tc>
        <w:tc>
          <w:tcPr>
            <w:tcW w:w="8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double" w:sz="6" w:space="1" w:color="000000"/>
              </w:pBdr>
              <w:bidi w:val="0"/>
              <w:spacing w:before="0" w:after="0"/>
              <w:jc w:val="left"/>
              <w:rPr/>
            </w:pPr>
            <w:r>
              <w:rPr/>
              <w:t> </w:t>
            </w:r>
          </w:p>
        </w:tc>
        <w:tc>
          <w:tcPr>
            <w:tcW w:w="1389"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600"/>
        <w:gridCol w:w="179"/>
        <w:gridCol w:w="154"/>
        <w:gridCol w:w="751"/>
        <w:gridCol w:w="155"/>
        <w:gridCol w:w="121"/>
        <w:gridCol w:w="154"/>
        <w:gridCol w:w="621"/>
        <w:gridCol w:w="155"/>
        <w:gridCol w:w="121"/>
        <w:gridCol w:w="330"/>
        <w:gridCol w:w="1320"/>
        <w:gridCol w:w="59"/>
        <w:gridCol w:w="179"/>
        <w:gridCol w:w="303"/>
        <w:gridCol w:w="828"/>
        <w:gridCol w:w="155"/>
        <w:gridCol w:w="121"/>
        <w:gridCol w:w="347"/>
        <w:gridCol w:w="1389"/>
        <w:gridCol w:w="163"/>
      </w:tblGrid>
      <w:tr>
        <w:trPr/>
        <w:tc>
          <w:tcPr>
            <w:tcW w:w="2600"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650" w:type="dxa"/>
            <w:gridSpan w:val="2"/>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3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736" w:type="dxa"/>
            <w:gridSpan w:val="2"/>
            <w:tcBorders/>
            <w:vAlign w:val="bottom"/>
          </w:tcPr>
          <w:p>
            <w:pPr>
              <w:pStyle w:val="TableContents"/>
              <w:bidi w:val="0"/>
              <w:spacing w:before="0" w:after="283"/>
              <w:jc w:val="center"/>
              <w:rPr/>
            </w:pPr>
            <w:r>
              <w:rPr/>
              <w:t>(Stated in millions)</w:t>
            </w:r>
          </w:p>
        </w:tc>
        <w:tc>
          <w:tcPr>
            <w:tcW w:w="163" w:type="dxa"/>
            <w:tcBorders/>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7263"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Six Months 2025</w:t>
            </w:r>
          </w:p>
        </w:tc>
        <w:tc>
          <w:tcPr>
            <w:tcW w:w="163" w:type="dxa"/>
            <w:tcBorders/>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Income</w:t>
              <w:br/>
              <w:t>Before</w:t>
              <w:br/>
              <w:t>Taxes</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650" w:type="dxa"/>
            <w:gridSpan w:val="2"/>
            <w:tcBorders>
              <w:bottom w:val="single" w:sz="8" w:space="0" w:color="000000"/>
            </w:tcBorders>
            <w:tcMar>
              <w:bottom w:w="28" w:type="dxa"/>
            </w:tcMar>
            <w:vAlign w:val="bottom"/>
          </w:tcPr>
          <w:p>
            <w:pPr>
              <w:pStyle w:val="TableContents"/>
              <w:bidi w:val="0"/>
              <w:spacing w:before="0" w:after="283"/>
              <w:jc w:val="center"/>
              <w:rPr/>
            </w:pPr>
            <w:r>
              <w:rPr/>
              <w:t>Depreciation and</w:t>
              <w:br/>
              <w:t>Amortization (3)</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pPr>
            <w:r>
              <w:rPr/>
              <w:t>Net Interest</w:t>
              <w:br/>
              <w:t>Expense</w:t>
              <w:br/>
              <w:t>(Income) (4)</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736" w:type="dxa"/>
            <w:gridSpan w:val="2"/>
            <w:tcBorders>
              <w:bottom w:val="single" w:sz="8" w:space="0" w:color="000000"/>
            </w:tcBorders>
            <w:tcMar>
              <w:bottom w:w="28" w:type="dxa"/>
            </w:tcMar>
            <w:vAlign w:val="bottom"/>
          </w:tcPr>
          <w:p>
            <w:pPr>
              <w:pStyle w:val="TableContents"/>
              <w:bidi w:val="0"/>
              <w:spacing w:before="0" w:after="283"/>
              <w:jc w:val="center"/>
              <w:rPr/>
            </w:pPr>
            <w:r>
              <w:rPr/>
              <w:t>Adjusted</w:t>
              <w:br/>
              <w:t>EBITDA (5)</w:t>
            </w:r>
          </w:p>
        </w:tc>
        <w:tc>
          <w:tcPr>
            <w:tcW w:w="163" w:type="dxa"/>
            <w:tcBorders/>
            <w:vAlign w:val="bottom"/>
          </w:tcPr>
          <w:p>
            <w:pPr>
              <w:pStyle w:val="TableContents"/>
              <w:bidi w:val="0"/>
              <w:spacing w:before="0" w:after="283"/>
              <w:jc w:val="left"/>
              <w:rPr/>
            </w:pPr>
            <w:r>
              <w:rPr/>
              <w:t> </w:t>
            </w:r>
          </w:p>
        </w:tc>
      </w:tr>
      <w:tr>
        <w:trPr/>
        <w:tc>
          <w:tcPr>
            <w:tcW w:w="2600" w:type="dxa"/>
            <w:tcBorders/>
            <w:shd w:fill="CCEEFF" w:val="clear"/>
          </w:tcPr>
          <w:p>
            <w:pPr>
              <w:pStyle w:val="TableContents"/>
              <w:bidi w:val="0"/>
              <w:spacing w:before="0" w:after="0"/>
              <w:jc w:val="left"/>
              <w:rPr>
                <w:rFonts w:ascii="Arial" w:hAnsi="Arial"/>
                <w:sz w:val="20"/>
              </w:rPr>
            </w:pPr>
            <w:r>
              <w:rPr>
                <w:rFonts w:ascii="Arial" w:hAnsi="Arial"/>
                <w:sz w:val="20"/>
              </w:rPr>
              <w:t>Digital</w:t>
            </w:r>
          </w:p>
        </w:tc>
        <w:tc>
          <w:tcPr>
            <w:tcW w:w="17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751" w:type="dxa"/>
            <w:tcBorders/>
            <w:shd w:fill="CCEEFF" w:val="clear"/>
            <w:vAlign w:val="bottom"/>
          </w:tcPr>
          <w:p>
            <w:pPr>
              <w:pStyle w:val="TableContents"/>
              <w:bidi w:val="0"/>
              <w:spacing w:before="0" w:after="283"/>
              <w:jc w:val="right"/>
              <w:rPr>
                <w:b/>
              </w:rPr>
            </w:pPr>
            <w:r>
              <w:rPr>
                <w:b/>
              </w:rPr>
              <w:t>1,177</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621" w:type="dxa"/>
            <w:tcBorders/>
            <w:shd w:fill="CCEEFF" w:val="clear"/>
            <w:vAlign w:val="bottom"/>
          </w:tcPr>
          <w:p>
            <w:pPr>
              <w:pStyle w:val="TableContents"/>
              <w:bidi w:val="0"/>
              <w:spacing w:before="0" w:after="283"/>
              <w:jc w:val="right"/>
              <w:rPr>
                <w:b/>
              </w:rPr>
            </w:pPr>
            <w:r>
              <w:rPr>
                <w:b/>
              </w:rPr>
              <w:t>278</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89</w:t>
            </w:r>
          </w:p>
        </w:tc>
        <w:tc>
          <w:tcPr>
            <w:tcW w:w="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w:t>
            </w:r>
          </w:p>
        </w:tc>
        <w:tc>
          <w:tcPr>
            <w:tcW w:w="1389" w:type="dxa"/>
            <w:tcBorders/>
            <w:shd w:fill="CCEEFF" w:val="clear"/>
            <w:vAlign w:val="bottom"/>
          </w:tcPr>
          <w:p>
            <w:pPr>
              <w:pStyle w:val="TableContents"/>
              <w:bidi w:val="0"/>
              <w:spacing w:before="0" w:after="283"/>
              <w:jc w:val="right"/>
              <w:rPr/>
            </w:pPr>
            <w:r>
              <w:rPr/>
              <w:t>367</w:t>
            </w:r>
          </w:p>
        </w:tc>
        <w:tc>
          <w:tcPr>
            <w:tcW w:w="163" w:type="dxa"/>
            <w:tcBorders/>
            <w:shd w:fill="CCEEFF" w:val="clear"/>
            <w:vAlign w:val="bottom"/>
          </w:tcPr>
          <w:p>
            <w:pPr>
              <w:pStyle w:val="TableContents"/>
              <w:bidi w:val="0"/>
              <w:spacing w:before="0" w:after="283"/>
              <w:jc w:val="left"/>
              <w:rPr/>
            </w:pPr>
            <w:r>
              <w:rPr/>
              <w:t> </w:t>
            </w:r>
          </w:p>
        </w:tc>
      </w:tr>
      <w:tr>
        <w:trPr/>
        <w:tc>
          <w:tcPr>
            <w:tcW w:w="2600" w:type="dxa"/>
            <w:tcBorders/>
          </w:tcPr>
          <w:p>
            <w:pPr>
              <w:pStyle w:val="TableContents"/>
              <w:bidi w:val="0"/>
              <w:spacing w:before="0" w:after="0"/>
              <w:jc w:val="left"/>
              <w:rPr>
                <w:rFonts w:ascii="Arial" w:hAnsi="Arial"/>
                <w:sz w:val="20"/>
              </w:rPr>
            </w:pPr>
            <w:r>
              <w:rPr>
                <w:rFonts w:ascii="Arial" w:hAnsi="Arial"/>
                <w:sz w:val="20"/>
              </w:rPr>
              <w:t>Reservoir Performance</w:t>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b/>
              </w:rPr>
            </w:pPr>
            <w:r>
              <w:rPr>
                <w:b/>
              </w:rPr>
              <w:t>3,391</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b/>
              </w:rPr>
            </w:pPr>
            <w:r>
              <w:rPr>
                <w:b/>
              </w:rPr>
              <w:t>596</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211</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806</w:t>
            </w:r>
          </w:p>
        </w:tc>
        <w:tc>
          <w:tcPr>
            <w:tcW w:w="163" w:type="dxa"/>
            <w:tcBorders/>
            <w:vAlign w:val="bottom"/>
          </w:tcPr>
          <w:p>
            <w:pPr>
              <w:pStyle w:val="TableContents"/>
              <w:bidi w:val="0"/>
              <w:spacing w:before="0" w:after="283"/>
              <w:jc w:val="left"/>
              <w:rPr/>
            </w:pPr>
            <w:r>
              <w:rPr/>
              <w:t> </w:t>
            </w:r>
          </w:p>
        </w:tc>
      </w:tr>
      <w:tr>
        <w:trPr/>
        <w:tc>
          <w:tcPr>
            <w:tcW w:w="2600" w:type="dxa"/>
            <w:tcBorders/>
            <w:shd w:fill="CCEEFF" w:val="clear"/>
          </w:tcPr>
          <w:p>
            <w:pPr>
              <w:pStyle w:val="TableContents"/>
              <w:bidi w:val="0"/>
              <w:spacing w:before="0" w:after="0"/>
              <w:jc w:val="left"/>
              <w:rPr>
                <w:rFonts w:ascii="Arial" w:hAnsi="Arial"/>
                <w:sz w:val="20"/>
              </w:rPr>
            </w:pPr>
            <w:r>
              <w:rPr>
                <w:rFonts w:ascii="Arial" w:hAnsi="Arial"/>
                <w:sz w:val="20"/>
              </w:rPr>
              <w:t>Well Construction</w:t>
            </w:r>
          </w:p>
        </w:tc>
        <w:tc>
          <w:tcPr>
            <w:tcW w:w="17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b/>
              </w:rPr>
            </w:pPr>
            <w:r>
              <w:rPr>
                <w:b/>
              </w:rPr>
              <w:t>5,940</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b/>
              </w:rPr>
            </w:pPr>
            <w:r>
              <w:rPr>
                <w:b/>
              </w:rPr>
              <w:t>1,140</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333</w:t>
            </w:r>
          </w:p>
        </w:tc>
        <w:tc>
          <w:tcPr>
            <w:tcW w:w="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1,472</w:t>
            </w:r>
          </w:p>
        </w:tc>
        <w:tc>
          <w:tcPr>
            <w:tcW w:w="163" w:type="dxa"/>
            <w:tcBorders/>
            <w:shd w:fill="CCEEFF" w:val="clear"/>
            <w:vAlign w:val="bottom"/>
          </w:tcPr>
          <w:p>
            <w:pPr>
              <w:pStyle w:val="TableContents"/>
              <w:bidi w:val="0"/>
              <w:spacing w:before="0" w:after="283"/>
              <w:jc w:val="left"/>
              <w:rPr/>
            </w:pPr>
            <w:r>
              <w:rPr/>
              <w:t> </w:t>
            </w:r>
          </w:p>
        </w:tc>
      </w:tr>
      <w:tr>
        <w:trPr/>
        <w:tc>
          <w:tcPr>
            <w:tcW w:w="2600" w:type="dxa"/>
            <w:tcBorders/>
          </w:tcPr>
          <w:p>
            <w:pPr>
              <w:pStyle w:val="TableContents"/>
              <w:bidi w:val="0"/>
              <w:spacing w:before="0" w:after="0"/>
              <w:jc w:val="left"/>
              <w:rPr>
                <w:rFonts w:ascii="Arial" w:hAnsi="Arial"/>
                <w:sz w:val="20"/>
              </w:rPr>
            </w:pPr>
            <w:r>
              <w:rPr>
                <w:rFonts w:ascii="Arial" w:hAnsi="Arial"/>
                <w:sz w:val="20"/>
              </w:rPr>
              <w:t>Production Systems</w:t>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b/>
              </w:rPr>
            </w:pPr>
            <w:r>
              <w:rPr>
                <w:b/>
              </w:rPr>
              <w:t>5,773</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b/>
              </w:rPr>
            </w:pPr>
            <w:r>
              <w:rPr>
                <w:b/>
              </w:rPr>
              <w:t>962</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181</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1,143</w:t>
            </w:r>
          </w:p>
        </w:tc>
        <w:tc>
          <w:tcPr>
            <w:tcW w:w="163" w:type="dxa"/>
            <w:tcBorders/>
            <w:vAlign w:val="bottom"/>
          </w:tcPr>
          <w:p>
            <w:pPr>
              <w:pStyle w:val="TableContents"/>
              <w:bidi w:val="0"/>
              <w:spacing w:before="0" w:after="283"/>
              <w:jc w:val="left"/>
              <w:rPr/>
            </w:pPr>
            <w:r>
              <w:rPr/>
              <w:t> </w:t>
            </w:r>
          </w:p>
        </w:tc>
      </w:tr>
      <w:tr>
        <w:trPr/>
        <w:tc>
          <w:tcPr>
            <w:tcW w:w="2600" w:type="dxa"/>
            <w:tcBorders/>
            <w:shd w:fill="CCEEFF" w:val="clear"/>
          </w:tcPr>
          <w:p>
            <w:pPr>
              <w:pStyle w:val="TableContents"/>
              <w:bidi w:val="0"/>
              <w:spacing w:before="0" w:after="0"/>
              <w:jc w:val="left"/>
              <w:rPr>
                <w:rFonts w:ascii="Arial" w:hAnsi="Arial"/>
                <w:sz w:val="20"/>
              </w:rPr>
            </w:pPr>
            <w:r>
              <w:rPr>
                <w:rFonts w:ascii="Arial" w:hAnsi="Arial"/>
                <w:sz w:val="20"/>
              </w:rPr>
              <w:t>All Other</w:t>
            </w:r>
          </w:p>
        </w:tc>
        <w:tc>
          <w:tcPr>
            <w:tcW w:w="17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b/>
              </w:rPr>
            </w:pPr>
            <w:r>
              <w:rPr>
                <w:b/>
              </w:rPr>
              <w:t>1,145</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b/>
              </w:rPr>
            </w:pPr>
            <w:r>
              <w:rPr>
                <w:b/>
              </w:rPr>
              <w:t>317</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227</w:t>
            </w:r>
          </w:p>
        </w:tc>
        <w:tc>
          <w:tcPr>
            <w:tcW w:w="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551</w:t>
            </w:r>
          </w:p>
        </w:tc>
        <w:tc>
          <w:tcPr>
            <w:tcW w:w="163" w:type="dxa"/>
            <w:tcBorders/>
            <w:shd w:fill="CCEEFF" w:val="clear"/>
            <w:vAlign w:val="bottom"/>
          </w:tcPr>
          <w:p>
            <w:pPr>
              <w:pStyle w:val="TableContents"/>
              <w:bidi w:val="0"/>
              <w:spacing w:before="0" w:after="283"/>
              <w:jc w:val="left"/>
              <w:rPr/>
            </w:pPr>
            <w:r>
              <w:rPr/>
              <w:t> </w:t>
            </w:r>
          </w:p>
        </w:tc>
      </w:tr>
      <w:tr>
        <w:trPr/>
        <w:tc>
          <w:tcPr>
            <w:tcW w:w="2600" w:type="dxa"/>
            <w:tcBorders/>
          </w:tcPr>
          <w:p>
            <w:pPr>
              <w:pStyle w:val="TableContents"/>
              <w:bidi w:val="0"/>
              <w:spacing w:before="0" w:after="0"/>
              <w:jc w:val="left"/>
              <w:rPr>
                <w:rFonts w:ascii="Arial" w:hAnsi="Arial"/>
                <w:sz w:val="20"/>
              </w:rPr>
            </w:pPr>
            <w:r>
              <w:rPr>
                <w:rFonts w:ascii="Arial" w:hAnsi="Arial"/>
                <w:sz w:val="20"/>
              </w:rPr>
              <w:t>Eliminations &amp; other</w:t>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b/>
              </w:rPr>
            </w:pPr>
            <w:r>
              <w:rPr>
                <w:b/>
              </w:rPr>
              <w:t>(391</w:t>
            </w:r>
          </w:p>
        </w:tc>
        <w:tc>
          <w:tcPr>
            <w:tcW w:w="155" w:type="dxa"/>
            <w:tcBorders/>
            <w:vAlign w:val="bottom"/>
          </w:tcPr>
          <w:p>
            <w:pPr>
              <w:pStyle w:val="TableContents"/>
              <w:bidi w:val="0"/>
              <w:spacing w:before="0" w:after="283"/>
              <w:jc w:val="left"/>
              <w:rPr>
                <w:b/>
              </w:rPr>
            </w:pPr>
            <w:r>
              <w:rPr>
                <w:b/>
              </w:rPr>
              <w:t>) </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b/>
              </w:rPr>
            </w:pPr>
            <w:r>
              <w:rPr>
                <w:b/>
              </w:rPr>
              <w:t>(153</w:t>
            </w:r>
          </w:p>
        </w:tc>
        <w:tc>
          <w:tcPr>
            <w:tcW w:w="155" w:type="dxa"/>
            <w:tcBorders/>
            <w:vAlign w:val="bottom"/>
          </w:tcPr>
          <w:p>
            <w:pPr>
              <w:pStyle w:val="TableContents"/>
              <w:bidi w:val="0"/>
              <w:spacing w:before="0" w:after="283"/>
              <w:jc w:val="left"/>
              <w:rPr>
                <w:b/>
              </w:rPr>
            </w:pPr>
            <w:r>
              <w:rPr>
                <w:b/>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142</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w:t>
            </w:r>
          </w:p>
        </w:tc>
        <w:tc>
          <w:tcPr>
            <w:tcW w:w="163" w:type="dxa"/>
            <w:tcBorders/>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32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sz w:val="4"/>
                <w:szCs w:val="4"/>
              </w:rPr>
            </w:pPr>
            <w:r>
              <w:rPr>
                <w:sz w:val="4"/>
                <w:szCs w:val="4"/>
              </w:rPr>
            </w:r>
          </w:p>
        </w:tc>
        <w:tc>
          <w:tcPr>
            <w:tcW w:w="1389"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684" w:type="dxa"/>
            <w:gridSpan w:val="4"/>
            <w:tcBorders/>
            <w:shd w:fill="CCEEFF" w:val="clear"/>
          </w:tcPr>
          <w:p>
            <w:pPr>
              <w:pStyle w:val="TableContents"/>
              <w:bidi w:val="0"/>
              <w:spacing w:before="0" w:after="0"/>
              <w:jc w:val="left"/>
              <w:rPr>
                <w:rFonts w:ascii="Arial" w:hAnsi="Arial"/>
                <w:sz w:val="20"/>
              </w:rPr>
            </w:pPr>
            <w:r>
              <w:rPr>
                <w:rFonts w:ascii="Arial" w:hAnsi="Arial"/>
                <w:sz w:val="20"/>
              </w:rPr>
              <w:t>Pretax segment operating income</w:t>
            </w:r>
          </w:p>
        </w:tc>
        <w:tc>
          <w:tcPr>
            <w:tcW w:w="155" w:type="dxa"/>
            <w:tcBorders/>
            <w:shd w:fill="CCEEFF" w:val="clear"/>
          </w:tcPr>
          <w:p>
            <w:pPr>
              <w:pStyle w:val="TableContents"/>
              <w:bidi w:val="0"/>
              <w:spacing w:before="0" w:after="0"/>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b/>
              </w:rPr>
            </w:pPr>
            <w:r>
              <w:rPr>
                <w:b/>
              </w:rPr>
              <w:t>3,140</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sz w:val="4"/>
                <w:szCs w:val="4"/>
              </w:rPr>
            </w:pPr>
            <w:r>
              <w:rPr>
                <w:sz w:val="4"/>
                <w:szCs w:val="4"/>
              </w:rPr>
            </w:r>
          </w:p>
        </w:tc>
        <w:tc>
          <w:tcPr>
            <w:tcW w:w="1320"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sz w:val="4"/>
                <w:szCs w:val="4"/>
              </w:rPr>
            </w:pPr>
            <w:r>
              <w:rPr>
                <w:sz w:val="4"/>
                <w:szCs w:val="4"/>
              </w:rPr>
            </w:r>
          </w:p>
        </w:tc>
        <w:tc>
          <w:tcPr>
            <w:tcW w:w="138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0"/>
              <w:jc w:val="left"/>
              <w:rPr>
                <w:rFonts w:ascii="Arial" w:hAnsi="Arial"/>
                <w:sz w:val="20"/>
              </w:rPr>
            </w:pPr>
            <w:r>
              <w:rPr>
                <w:rFonts w:ascii="Arial" w:hAnsi="Arial"/>
                <w:sz w:val="20"/>
              </w:rPr>
              <w:t>Corporate &amp; other</w:t>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b/>
              </w:rPr>
            </w:pPr>
            <w:r>
              <w:rPr>
                <w:b/>
              </w:rPr>
              <w:t>(347</w:t>
            </w:r>
          </w:p>
        </w:tc>
        <w:tc>
          <w:tcPr>
            <w:tcW w:w="155" w:type="dxa"/>
            <w:tcBorders/>
            <w:vAlign w:val="bottom"/>
          </w:tcPr>
          <w:p>
            <w:pPr>
              <w:pStyle w:val="TableContents"/>
              <w:bidi w:val="0"/>
              <w:spacing w:before="0" w:after="283"/>
              <w:jc w:val="left"/>
              <w:rPr>
                <w:b/>
              </w:rPr>
            </w:pPr>
            <w:r>
              <w:rPr>
                <w:b/>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90</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(257</w:t>
            </w:r>
          </w:p>
        </w:tc>
        <w:tc>
          <w:tcPr>
            <w:tcW w:w="163" w:type="dxa"/>
            <w:tcBorders/>
            <w:vAlign w:val="bottom"/>
          </w:tcPr>
          <w:p>
            <w:pPr>
              <w:pStyle w:val="TableContents"/>
              <w:bidi w:val="0"/>
              <w:spacing w:before="0" w:after="283"/>
              <w:jc w:val="left"/>
              <w:rPr/>
            </w:pPr>
            <w:r>
              <w:rPr/>
              <w:t>) </w:t>
            </w:r>
          </w:p>
        </w:tc>
      </w:tr>
      <w:tr>
        <w:trPr/>
        <w:tc>
          <w:tcPr>
            <w:tcW w:w="2600" w:type="dxa"/>
            <w:tcBorders/>
            <w:shd w:fill="CCEEFF" w:val="clear"/>
          </w:tcPr>
          <w:p>
            <w:pPr>
              <w:pStyle w:val="TableContents"/>
              <w:bidi w:val="0"/>
              <w:spacing w:before="0" w:after="0"/>
              <w:jc w:val="left"/>
              <w:rPr>
                <w:rFonts w:ascii="Arial" w:hAnsi="Arial"/>
                <w:sz w:val="20"/>
              </w:rPr>
            </w:pPr>
            <w:r>
              <w:rPr>
                <w:rFonts w:ascii="Arial" w:hAnsi="Arial"/>
                <w:sz w:val="20"/>
              </w:rPr>
              <w:t>Interest income (1)</w:t>
            </w:r>
          </w:p>
        </w:tc>
        <w:tc>
          <w:tcPr>
            <w:tcW w:w="17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b/>
              </w:rPr>
            </w:pPr>
            <w:r>
              <w:rPr>
                <w:b/>
              </w:rPr>
              <w:t>66</w:t>
            </w:r>
          </w:p>
        </w:tc>
        <w:tc>
          <w:tcPr>
            <w:tcW w:w="15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sz w:val="4"/>
                <w:szCs w:val="4"/>
              </w:rPr>
            </w:pPr>
            <w:r>
              <w:rPr>
                <w:sz w:val="4"/>
                <w:szCs w:val="4"/>
              </w:rPr>
            </w:r>
          </w:p>
        </w:tc>
        <w:tc>
          <w:tcPr>
            <w:tcW w:w="1320"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sz w:val="4"/>
                <w:szCs w:val="4"/>
              </w:rPr>
            </w:pPr>
            <w:r>
              <w:rPr>
                <w:sz w:val="4"/>
                <w:szCs w:val="4"/>
              </w:rPr>
            </w:r>
          </w:p>
        </w:tc>
        <w:tc>
          <w:tcPr>
            <w:tcW w:w="138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600" w:type="dxa"/>
            <w:tcBorders/>
          </w:tcPr>
          <w:p>
            <w:pPr>
              <w:pStyle w:val="TableContents"/>
              <w:bidi w:val="0"/>
              <w:spacing w:before="0" w:after="0"/>
              <w:jc w:val="left"/>
              <w:rPr>
                <w:rFonts w:ascii="Arial" w:hAnsi="Arial"/>
                <w:sz w:val="20"/>
              </w:rPr>
            </w:pPr>
            <w:r>
              <w:rPr>
                <w:rFonts w:ascii="Arial" w:hAnsi="Arial"/>
                <w:sz w:val="20"/>
              </w:rPr>
              <w:t>Interest expense (1)</w:t>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b/>
              </w:rPr>
            </w:pPr>
            <w:r>
              <w:rPr>
                <w:b/>
              </w:rPr>
              <w:t>(283</w:t>
            </w:r>
          </w:p>
        </w:tc>
        <w:tc>
          <w:tcPr>
            <w:tcW w:w="155" w:type="dxa"/>
            <w:tcBorders/>
            <w:vAlign w:val="bottom"/>
          </w:tcPr>
          <w:p>
            <w:pPr>
              <w:pStyle w:val="TableContents"/>
              <w:bidi w:val="0"/>
              <w:spacing w:before="0" w:after="283"/>
              <w:jc w:val="left"/>
              <w:rPr>
                <w:b/>
              </w:rPr>
            </w:pPr>
            <w:r>
              <w:rPr>
                <w:b/>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32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sz w:val="4"/>
                <w:szCs w:val="4"/>
              </w:rPr>
            </w:pPr>
            <w:r>
              <w:rPr>
                <w:sz w:val="4"/>
                <w:szCs w:val="4"/>
              </w:rPr>
            </w:r>
          </w:p>
        </w:tc>
        <w:tc>
          <w:tcPr>
            <w:tcW w:w="1389"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600" w:type="dxa"/>
            <w:tcBorders/>
            <w:shd w:fill="CCEEFF" w:val="clear"/>
            <w:vAlign w:val="bottom"/>
          </w:tcPr>
          <w:p>
            <w:pPr>
              <w:pStyle w:val="TableContents"/>
              <w:bidi w:val="0"/>
              <w:spacing w:before="0" w:after="0"/>
              <w:jc w:val="left"/>
              <w:rPr>
                <w:rFonts w:ascii="Arial" w:hAnsi="Arial"/>
                <w:sz w:val="20"/>
              </w:rPr>
            </w:pPr>
            <w:r>
              <w:rPr>
                <w:rFonts w:ascii="Arial" w:hAnsi="Arial"/>
                <w:sz w:val="20"/>
              </w:rPr>
              <w:t>Charges &amp; credits (2)</w:t>
            </w:r>
          </w:p>
        </w:tc>
        <w:tc>
          <w:tcPr>
            <w:tcW w:w="17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b/>
              </w:rPr>
            </w:pPr>
            <w:r>
              <w:rPr>
                <w:b/>
              </w:rPr>
              <w:t>(228</w:t>
            </w:r>
          </w:p>
        </w:tc>
        <w:tc>
          <w:tcPr>
            <w:tcW w:w="155" w:type="dxa"/>
            <w:tcBorders/>
            <w:shd w:fill="CCEEFF" w:val="clear"/>
            <w:vAlign w:val="bottom"/>
          </w:tcPr>
          <w:p>
            <w:pPr>
              <w:pStyle w:val="TableContents"/>
              <w:bidi w:val="0"/>
              <w:spacing w:before="0" w:after="283"/>
              <w:jc w:val="left"/>
              <w:rPr>
                <w:b/>
              </w:rPr>
            </w:pPr>
            <w:r>
              <w:rPr>
                <w:b/>
              </w:rPr>
              <w:t>) </w:t>
            </w:r>
          </w:p>
        </w:tc>
        <w:tc>
          <w:tcPr>
            <w:tcW w:w="121"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sz w:val="4"/>
                <w:szCs w:val="4"/>
              </w:rPr>
            </w:pPr>
            <w:r>
              <w:rPr>
                <w:sz w:val="4"/>
                <w:szCs w:val="4"/>
              </w:rPr>
            </w:r>
          </w:p>
        </w:tc>
        <w:tc>
          <w:tcPr>
            <w:tcW w:w="1320"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sz w:val="4"/>
                <w:szCs w:val="4"/>
              </w:rPr>
            </w:pPr>
            <w:r>
              <w:rPr>
                <w:sz w:val="4"/>
                <w:szCs w:val="4"/>
              </w:rPr>
            </w:r>
          </w:p>
        </w:tc>
        <w:tc>
          <w:tcPr>
            <w:tcW w:w="138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600"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single" w:sz="2" w:space="1" w:color="000000"/>
              </w:pBdr>
              <w:bidi w:val="0"/>
              <w:spacing w:before="0" w:after="0"/>
              <w:jc w:val="left"/>
              <w:rPr/>
            </w:pPr>
            <w:r>
              <w:rPr/>
              <w:t> </w:t>
            </w:r>
          </w:p>
        </w:tc>
        <w:tc>
          <w:tcPr>
            <w:tcW w:w="138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00"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751" w:type="dxa"/>
            <w:tcBorders/>
            <w:vAlign w:val="bottom"/>
          </w:tcPr>
          <w:p>
            <w:pPr>
              <w:pStyle w:val="TableContents"/>
              <w:bidi w:val="0"/>
              <w:spacing w:before="0" w:after="283"/>
              <w:jc w:val="right"/>
              <w:rPr>
                <w:b/>
              </w:rPr>
            </w:pPr>
            <w:r>
              <w:rPr>
                <w:b/>
              </w:rPr>
              <w:t>17,035</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621" w:type="dxa"/>
            <w:tcBorders/>
            <w:vAlign w:val="bottom"/>
          </w:tcPr>
          <w:p>
            <w:pPr>
              <w:pStyle w:val="TableContents"/>
              <w:bidi w:val="0"/>
              <w:spacing w:before="0" w:after="283"/>
              <w:jc w:val="right"/>
              <w:rPr>
                <w:b/>
              </w:rPr>
            </w:pPr>
            <w:r>
              <w:rPr>
                <w:b/>
              </w:rPr>
              <w:t>2,348</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1,273</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w:t>
            </w:r>
          </w:p>
        </w:tc>
        <w:tc>
          <w:tcPr>
            <w:tcW w:w="1389" w:type="dxa"/>
            <w:tcBorders/>
            <w:vAlign w:val="bottom"/>
          </w:tcPr>
          <w:p>
            <w:pPr>
              <w:pStyle w:val="TableContents"/>
              <w:bidi w:val="0"/>
              <w:spacing w:before="0" w:after="283"/>
              <w:jc w:val="right"/>
              <w:rPr/>
            </w:pPr>
            <w:r>
              <w:rPr/>
              <w:t>4,072</w:t>
            </w:r>
          </w:p>
        </w:tc>
        <w:tc>
          <w:tcPr>
            <w:tcW w:w="163" w:type="dxa"/>
            <w:tcBorders/>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3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03" w:type="dxa"/>
            <w:tcBorders/>
            <w:vAlign w:val="bottom"/>
          </w:tcPr>
          <w:p>
            <w:pPr>
              <w:pStyle w:val="TableContents"/>
              <w:pBdr>
                <w:top w:val="double" w:sz="6" w:space="1" w:color="000000"/>
              </w:pBdr>
              <w:bidi w:val="0"/>
              <w:spacing w:before="0" w:after="0"/>
              <w:jc w:val="left"/>
              <w:rPr/>
            </w:pPr>
            <w:r>
              <w:rPr/>
              <w:t> </w:t>
            </w:r>
          </w:p>
        </w:tc>
        <w:tc>
          <w:tcPr>
            <w:tcW w:w="8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double" w:sz="6" w:space="1" w:color="000000"/>
              </w:pBdr>
              <w:bidi w:val="0"/>
              <w:spacing w:before="0" w:after="0"/>
              <w:jc w:val="left"/>
              <w:rPr/>
            </w:pPr>
            <w:r>
              <w:rPr/>
              <w:t> </w:t>
            </w:r>
          </w:p>
        </w:tc>
        <w:tc>
          <w:tcPr>
            <w:tcW w:w="1389"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Excludes amounts which are included in the segments’ results.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See section entitled “Charges &amp; Credits” for details.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Includes depreciation of fixed assets and amortization of intangible assets, APS and exploration data costs.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 </w:t>
            </w:r>
          </w:p>
        </w:tc>
        <w:tc>
          <w:tcPr>
            <w:tcW w:w="9797" w:type="dxa"/>
            <w:tcBorders/>
          </w:tcPr>
          <w:p>
            <w:pPr>
              <w:pStyle w:val="TableContents"/>
              <w:bidi w:val="0"/>
              <w:spacing w:before="0" w:after="0"/>
              <w:jc w:val="left"/>
              <w:rPr>
                <w:rFonts w:ascii="Arial" w:hAnsi="Arial"/>
                <w:sz w:val="20"/>
              </w:rPr>
            </w:pPr>
            <w:r>
              <w:rPr>
                <w:rFonts w:ascii="Arial" w:hAnsi="Arial"/>
                <w:sz w:val="20"/>
              </w:rPr>
              <w:t xml:space="preserve">Excludes interest income and interest expense recorded at the corporate level.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Adjusted EBITDA represents income before taxes excluding depreciation and amortization, interest income, interest expense and charges &amp; credits.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Supplementary Information </w:t>
      </w:r>
    </w:p>
    <w:p>
      <w:pPr>
        <w:pStyle w:val="TextBody"/>
        <w:bidi w:val="0"/>
        <w:spacing w:before="120" w:after="0"/>
        <w:jc w:val="left"/>
        <w:rPr>
          <w:rFonts w:ascii="Arial" w:hAnsi="Arial"/>
          <w:b/>
          <w:sz w:val="20"/>
        </w:rPr>
      </w:pPr>
      <w:r>
        <w:rPr>
          <w:rFonts w:ascii="Arial" w:hAnsi="Arial"/>
          <w:b/>
          <w:sz w:val="20"/>
        </w:rPr>
        <w:t xml:space="preserve">Frequently Asked Questions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Arial" w:hAnsi="Arial"/>
                <w:b/>
                <w:sz w:val="20"/>
              </w:rPr>
            </w:pPr>
            <w:r>
              <w:rPr>
                <w:rFonts w:ascii="Arial" w:hAnsi="Arial"/>
                <w:b/>
                <w:sz w:val="20"/>
              </w:rPr>
              <w:t xml:space="preserve">What is the capital investment guidance for the full-year 2026? </w:t>
            </w:r>
          </w:p>
        </w:tc>
      </w:tr>
    </w:tbl>
    <w:p>
      <w:pPr>
        <w:pStyle w:val="TextBody"/>
        <w:bidi w:val="0"/>
        <w:spacing w:before="120" w:after="0"/>
        <w:jc w:val="left"/>
        <w:rPr>
          <w:rFonts w:ascii="Arial" w:hAnsi="Arial"/>
          <w:sz w:val="20"/>
        </w:rPr>
      </w:pPr>
      <w:r>
        <w:rPr>
          <w:rFonts w:ascii="Arial" w:hAnsi="Arial"/>
          <w:sz w:val="20"/>
        </w:rPr>
        <w:t xml:space="preserve">Capital investment (consisting of capex, exploration data costs and APS investments) for the full-year 2026 is still expected to be approximately $2.5 billion. Capital investment for the full-year 2025 was $2.4 billion.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Arial" w:hAnsi="Arial"/>
                <w:b/>
                <w:sz w:val="20"/>
              </w:rPr>
            </w:pPr>
            <w:r>
              <w:rPr>
                <w:rFonts w:ascii="Arial" w:hAnsi="Arial"/>
                <w:b/>
                <w:sz w:val="20"/>
              </w:rPr>
              <w:t xml:space="preserve">What were the cash flow from operations and free cash flow for the second quarter of 2026? </w:t>
            </w:r>
          </w:p>
        </w:tc>
      </w:tr>
    </w:tbl>
    <w:p>
      <w:pPr>
        <w:pStyle w:val="TextBody"/>
        <w:bidi w:val="0"/>
        <w:spacing w:before="120" w:after="0"/>
        <w:jc w:val="left"/>
        <w:rPr>
          <w:rFonts w:ascii="Arial" w:hAnsi="Arial"/>
          <w:sz w:val="20"/>
        </w:rPr>
      </w:pPr>
      <w:r>
        <w:rPr>
          <w:rFonts w:ascii="Arial" w:hAnsi="Arial"/>
          <w:sz w:val="20"/>
        </w:rPr>
        <w:t xml:space="preserve">Cash flow from operations for the second quarter of 2026 was $1.36 billion and free cash flow was $716 million.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3)</w:t>
            </w:r>
          </w:p>
        </w:tc>
        <w:tc>
          <w:tcPr>
            <w:tcW w:w="9800" w:type="dxa"/>
            <w:tcBorders/>
          </w:tcPr>
          <w:p>
            <w:pPr>
              <w:pStyle w:val="TableContents"/>
              <w:bidi w:val="0"/>
              <w:spacing w:before="0" w:after="0"/>
              <w:jc w:val="left"/>
              <w:rPr>
                <w:rFonts w:ascii="Arial" w:hAnsi="Arial"/>
                <w:b/>
                <w:sz w:val="20"/>
              </w:rPr>
            </w:pPr>
            <w:r>
              <w:rPr>
                <w:rFonts w:ascii="Arial" w:hAnsi="Arial"/>
                <w:b/>
                <w:sz w:val="20"/>
              </w:rPr>
              <w:t xml:space="preserve">What was included in “Interest &amp; other income” for the second quarter of 2026? </w:t>
            </w:r>
          </w:p>
        </w:tc>
      </w:tr>
    </w:tbl>
    <w:p>
      <w:pPr>
        <w:pStyle w:val="TextBody"/>
        <w:bidi w:val="0"/>
        <w:spacing w:before="120" w:after="0"/>
        <w:jc w:val="left"/>
        <w:rPr/>
      </w:pPr>
      <w:r>
        <w:rPr/>
        <w:t>“</w:t>
      </w:r>
      <w:r>
        <w:rPr>
          <w:rFonts w:ascii="Arial" w:hAnsi="Arial"/>
          <w:sz w:val="20"/>
        </w:rPr>
        <w:t xml:space="preserve">Interest &amp; other income” for the second quarter of 2026 was $76 million. This consisted of interest income of $29 million and earnings of equity method investments of $47 million.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How did interest income and interest expense change during the second quarter of 2026? </w:t>
            </w:r>
          </w:p>
        </w:tc>
      </w:tr>
    </w:tbl>
    <w:p>
      <w:pPr>
        <w:pStyle w:val="TextBody"/>
        <w:bidi w:val="0"/>
        <w:spacing w:before="120" w:after="0"/>
        <w:jc w:val="left"/>
        <w:rPr>
          <w:rFonts w:ascii="Arial" w:hAnsi="Arial"/>
          <w:sz w:val="20"/>
        </w:rPr>
      </w:pPr>
      <w:r>
        <w:rPr>
          <w:rFonts w:ascii="Arial" w:hAnsi="Arial"/>
          <w:sz w:val="20"/>
        </w:rPr>
        <w:t xml:space="preserve">Interest income of $29 million for the second quarter of 2026 increased $3 million sequentially. Interest expense of $128 million increased $12 million sequentially.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What was the effective tax rate (ETR) for the second quarter of 2026? </w:t>
            </w:r>
          </w:p>
        </w:tc>
      </w:tr>
    </w:tbl>
    <w:p>
      <w:pPr>
        <w:pStyle w:val="TextBody"/>
        <w:bidi w:val="0"/>
        <w:spacing w:before="120" w:after="0"/>
        <w:jc w:val="left"/>
        <w:rPr>
          <w:rFonts w:ascii="Arial" w:hAnsi="Arial"/>
          <w:sz w:val="20"/>
        </w:rPr>
      </w:pPr>
      <w:r>
        <w:rPr>
          <w:rFonts w:ascii="Arial" w:hAnsi="Arial"/>
          <w:sz w:val="20"/>
        </w:rPr>
        <w:t xml:space="preserve">The ETR for the second quarter of 2026, calculated in accordance with GAAP, was 20.0% as compared to 20.3% for the first quarter of 2026. Excluding charges and credits, the ETR for the second quarter of 2026 was 20.5% as compared to 20.3% for the first quarter of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How many shares of common stock were outstanding as of June 30, 2026, and how did this change from the end of the previous quarter? </w:t>
            </w:r>
          </w:p>
        </w:tc>
      </w:tr>
    </w:tbl>
    <w:p>
      <w:pPr>
        <w:pStyle w:val="TextBody"/>
        <w:bidi w:val="0"/>
        <w:spacing w:before="120" w:after="0"/>
        <w:jc w:val="left"/>
        <w:rPr>
          <w:rFonts w:ascii="Arial" w:hAnsi="Arial"/>
          <w:sz w:val="20"/>
        </w:rPr>
      </w:pPr>
      <w:r>
        <w:rPr>
          <w:rFonts w:ascii="Arial" w:hAnsi="Arial"/>
          <w:sz w:val="20"/>
        </w:rPr>
        <w:t xml:space="preserve">There were 1.484 billion shares of common stock outstanding as of June 30, 2026, and 1.495 billion shares outstanding as of March 31,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68"/>
        <w:gridCol w:w="669"/>
        <w:gridCol w:w="167"/>
        <w:gridCol w:w="1578"/>
        <w:gridCol w:w="157"/>
      </w:tblGrid>
      <w:tr>
        <w:trPr/>
        <w:tc>
          <w:tcPr>
            <w:tcW w:w="4368" w:type="dxa"/>
            <w:tcBorders/>
            <w:vAlign w:val="center"/>
          </w:tcPr>
          <w:p>
            <w:pPr>
              <w:pStyle w:val="TableContents"/>
              <w:bidi w:val="0"/>
              <w:spacing w:before="0" w:after="283"/>
              <w:jc w:val="left"/>
              <w:rPr>
                <w:sz w:val="4"/>
                <w:szCs w:val="4"/>
              </w:rPr>
            </w:pPr>
            <w:r>
              <w:rPr>
                <w:sz w:val="4"/>
                <w:szCs w:val="4"/>
              </w:rPr>
            </w:r>
          </w:p>
        </w:tc>
        <w:tc>
          <w:tcPr>
            <w:tcW w:w="669"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68"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283"/>
              <w:jc w:val="left"/>
              <w:rPr/>
            </w:pPr>
            <w:r>
              <w:rPr/>
              <w:t>  </w:t>
            </w:r>
          </w:p>
        </w:tc>
        <w:tc>
          <w:tcPr>
            <w:tcW w:w="1745" w:type="dxa"/>
            <w:gridSpan w:val="2"/>
            <w:tcBorders/>
            <w:vAlign w:val="bottom"/>
          </w:tcPr>
          <w:p>
            <w:pPr>
              <w:pStyle w:val="TableContents"/>
              <w:bidi w:val="0"/>
              <w:spacing w:before="0" w:after="283"/>
              <w:jc w:val="center"/>
              <w:rPr/>
            </w:pPr>
            <w:r>
              <w:rPr/>
              <w:t>(Stated in millions)</w:t>
            </w:r>
          </w:p>
        </w:tc>
        <w:tc>
          <w:tcPr>
            <w:tcW w:w="157" w:type="dxa"/>
            <w:tcBorders/>
            <w:vAlign w:val="bottom"/>
          </w:tcPr>
          <w:p>
            <w:pPr>
              <w:pStyle w:val="TableContents"/>
              <w:bidi w:val="0"/>
              <w:spacing w:before="0" w:after="283"/>
              <w:jc w:val="left"/>
              <w:rPr/>
            </w:pPr>
            <w:r>
              <w:rPr/>
              <w:t> </w:t>
            </w:r>
          </w:p>
        </w:tc>
      </w:tr>
      <w:tr>
        <w:trPr/>
        <w:tc>
          <w:tcPr>
            <w:tcW w:w="4368" w:type="dxa"/>
            <w:tcBorders/>
            <w:shd w:fill="CCEEFF" w:val="clear"/>
          </w:tcPr>
          <w:p>
            <w:pPr>
              <w:pStyle w:val="TableContents"/>
              <w:bidi w:val="0"/>
              <w:spacing w:before="0" w:after="0"/>
              <w:jc w:val="left"/>
              <w:rPr>
                <w:rFonts w:ascii="Arial" w:hAnsi="Arial"/>
                <w:sz w:val="20"/>
              </w:rPr>
            </w:pPr>
            <w:r>
              <w:rPr>
                <w:rFonts w:ascii="Arial" w:hAnsi="Arial"/>
                <w:sz w:val="20"/>
              </w:rPr>
              <w:t>Shares outstanding at March 31, 2026</w:t>
            </w:r>
          </w:p>
        </w:tc>
        <w:tc>
          <w:tcPr>
            <w:tcW w:w="66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78" w:type="dxa"/>
            <w:tcBorders/>
            <w:shd w:fill="CCEEFF" w:val="clear"/>
            <w:vAlign w:val="bottom"/>
          </w:tcPr>
          <w:p>
            <w:pPr>
              <w:pStyle w:val="TableContents"/>
              <w:bidi w:val="0"/>
              <w:spacing w:before="0" w:after="283"/>
              <w:jc w:val="right"/>
              <w:rPr/>
            </w:pPr>
            <w:r>
              <w:rPr/>
              <w:t>1,495</w:t>
            </w:r>
          </w:p>
        </w:tc>
        <w:tc>
          <w:tcPr>
            <w:tcW w:w="157" w:type="dxa"/>
            <w:tcBorders/>
            <w:shd w:fill="CCEEFF" w:val="clear"/>
            <w:vAlign w:val="bottom"/>
          </w:tcPr>
          <w:p>
            <w:pPr>
              <w:pStyle w:val="TableContents"/>
              <w:bidi w:val="0"/>
              <w:spacing w:before="0" w:after="283"/>
              <w:jc w:val="left"/>
              <w:rPr/>
            </w:pPr>
            <w:r>
              <w:rPr/>
              <w:t> </w:t>
            </w:r>
          </w:p>
        </w:tc>
      </w:tr>
      <w:tr>
        <w:trPr/>
        <w:tc>
          <w:tcPr>
            <w:tcW w:w="4368" w:type="dxa"/>
            <w:tcBorders/>
          </w:tcPr>
          <w:p>
            <w:pPr>
              <w:pStyle w:val="TableContents"/>
              <w:bidi w:val="0"/>
              <w:spacing w:before="0" w:after="0"/>
              <w:jc w:val="left"/>
              <w:rPr>
                <w:rFonts w:ascii="Arial" w:hAnsi="Arial"/>
                <w:sz w:val="20"/>
              </w:rPr>
            </w:pPr>
            <w:r>
              <w:rPr>
                <w:rFonts w:ascii="Arial" w:hAnsi="Arial"/>
                <w:sz w:val="20"/>
              </w:rPr>
              <w:t>Shares issued to optionees, less shares exchanged</w:t>
            </w:r>
          </w:p>
        </w:tc>
        <w:tc>
          <w:tcPr>
            <w:tcW w:w="66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78" w:type="dxa"/>
            <w:tcBorders/>
            <w:vAlign w:val="bottom"/>
          </w:tcPr>
          <w:p>
            <w:pPr>
              <w:pStyle w:val="TableContents"/>
              <w:bidi w:val="0"/>
              <w:spacing w:before="0" w:after="283"/>
              <w:jc w:val="right"/>
              <w:rPr/>
            </w:pPr>
            <w:r>
              <w:rPr/>
              <w:t>1</w:t>
            </w:r>
          </w:p>
        </w:tc>
        <w:tc>
          <w:tcPr>
            <w:tcW w:w="157" w:type="dxa"/>
            <w:tcBorders/>
            <w:vAlign w:val="bottom"/>
          </w:tcPr>
          <w:p>
            <w:pPr>
              <w:pStyle w:val="TableContents"/>
              <w:bidi w:val="0"/>
              <w:spacing w:before="0" w:after="283"/>
              <w:jc w:val="left"/>
              <w:rPr/>
            </w:pPr>
            <w:r>
              <w:rPr/>
              <w:t> </w:t>
            </w:r>
          </w:p>
        </w:tc>
      </w:tr>
      <w:tr>
        <w:trPr/>
        <w:tc>
          <w:tcPr>
            <w:tcW w:w="4368" w:type="dxa"/>
            <w:tcBorders/>
            <w:shd w:fill="CCEEFF" w:val="clear"/>
          </w:tcPr>
          <w:p>
            <w:pPr>
              <w:pStyle w:val="TableContents"/>
              <w:bidi w:val="0"/>
              <w:spacing w:before="0" w:after="0"/>
              <w:jc w:val="left"/>
              <w:rPr>
                <w:rFonts w:ascii="Arial" w:hAnsi="Arial"/>
                <w:sz w:val="20"/>
              </w:rPr>
            </w:pPr>
            <w:r>
              <w:rPr>
                <w:rFonts w:ascii="Arial" w:hAnsi="Arial"/>
                <w:sz w:val="20"/>
              </w:rPr>
              <w:t>Vesting of restricted stock</w:t>
            </w:r>
          </w:p>
        </w:tc>
        <w:tc>
          <w:tcPr>
            <w:tcW w:w="66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78"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4368" w:type="dxa"/>
            <w:tcBorders/>
          </w:tcPr>
          <w:p>
            <w:pPr>
              <w:pStyle w:val="TableContents"/>
              <w:bidi w:val="0"/>
              <w:spacing w:before="0" w:after="0"/>
              <w:jc w:val="left"/>
              <w:rPr>
                <w:rFonts w:ascii="Arial" w:hAnsi="Arial"/>
                <w:sz w:val="20"/>
              </w:rPr>
            </w:pPr>
            <w:r>
              <w:rPr>
                <w:rFonts w:ascii="Arial" w:hAnsi="Arial"/>
                <w:sz w:val="20"/>
              </w:rPr>
              <w:t>Stock repurchase program</w:t>
            </w:r>
          </w:p>
        </w:tc>
        <w:tc>
          <w:tcPr>
            <w:tcW w:w="66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78" w:type="dxa"/>
            <w:tcBorders/>
            <w:vAlign w:val="bottom"/>
          </w:tcPr>
          <w:p>
            <w:pPr>
              <w:pStyle w:val="TableContents"/>
              <w:bidi w:val="0"/>
              <w:spacing w:before="0" w:after="283"/>
              <w:jc w:val="right"/>
              <w:rPr/>
            </w:pPr>
            <w:r>
              <w:rPr/>
              <w:t>(12</w:t>
            </w:r>
          </w:p>
        </w:tc>
        <w:tc>
          <w:tcPr>
            <w:tcW w:w="157" w:type="dxa"/>
            <w:tcBorders/>
            <w:vAlign w:val="bottom"/>
          </w:tcPr>
          <w:p>
            <w:pPr>
              <w:pStyle w:val="TableContents"/>
              <w:bidi w:val="0"/>
              <w:spacing w:before="0" w:after="283"/>
              <w:jc w:val="left"/>
              <w:rPr/>
            </w:pPr>
            <w:r>
              <w:rPr/>
              <w:t>) </w:t>
            </w:r>
          </w:p>
        </w:tc>
      </w:tr>
      <w:tr>
        <w:trPr/>
        <w:tc>
          <w:tcPr>
            <w:tcW w:w="4368" w:type="dxa"/>
            <w:tcBorders/>
            <w:vAlign w:val="bottom"/>
          </w:tcPr>
          <w:p>
            <w:pPr>
              <w:pStyle w:val="TableContents"/>
              <w:bidi w:val="0"/>
              <w:spacing w:before="0" w:after="283"/>
              <w:jc w:val="left"/>
              <w:rPr>
                <w:sz w:val="4"/>
                <w:szCs w:val="4"/>
              </w:rPr>
            </w:pPr>
            <w:r>
              <w:rPr>
                <w:sz w:val="4"/>
                <w:szCs w:val="4"/>
              </w:rPr>
            </w:r>
          </w:p>
        </w:tc>
        <w:tc>
          <w:tcPr>
            <w:tcW w:w="66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1578"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368" w:type="dxa"/>
            <w:tcBorders/>
            <w:shd w:fill="CCEEFF" w:val="clear"/>
          </w:tcPr>
          <w:p>
            <w:pPr>
              <w:pStyle w:val="TableContents"/>
              <w:bidi w:val="0"/>
              <w:spacing w:before="0" w:after="0"/>
              <w:jc w:val="left"/>
              <w:rPr>
                <w:rFonts w:ascii="Arial" w:hAnsi="Arial"/>
                <w:sz w:val="20"/>
              </w:rPr>
            </w:pPr>
            <w:r>
              <w:rPr>
                <w:rFonts w:ascii="Arial" w:hAnsi="Arial"/>
                <w:sz w:val="20"/>
              </w:rPr>
              <w:t>Shares outstanding at June 30, 2026</w:t>
            </w:r>
          </w:p>
        </w:tc>
        <w:tc>
          <w:tcPr>
            <w:tcW w:w="66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78" w:type="dxa"/>
            <w:tcBorders/>
            <w:shd w:fill="CCEEFF" w:val="clear"/>
            <w:vAlign w:val="bottom"/>
          </w:tcPr>
          <w:p>
            <w:pPr>
              <w:pStyle w:val="TableContents"/>
              <w:bidi w:val="0"/>
              <w:spacing w:before="0" w:after="283"/>
              <w:jc w:val="right"/>
              <w:rPr/>
            </w:pPr>
            <w:r>
              <w:rPr/>
              <w:t>1,484</w:t>
            </w:r>
          </w:p>
        </w:tc>
        <w:tc>
          <w:tcPr>
            <w:tcW w:w="157" w:type="dxa"/>
            <w:tcBorders/>
            <w:shd w:fill="CCEEFF" w:val="clear"/>
            <w:vAlign w:val="bottom"/>
          </w:tcPr>
          <w:p>
            <w:pPr>
              <w:pStyle w:val="TableContents"/>
              <w:bidi w:val="0"/>
              <w:spacing w:before="0" w:after="283"/>
              <w:jc w:val="left"/>
              <w:rPr/>
            </w:pPr>
            <w:r>
              <w:rPr/>
              <w:t> </w:t>
            </w:r>
          </w:p>
        </w:tc>
      </w:tr>
      <w:tr>
        <w:trPr/>
        <w:tc>
          <w:tcPr>
            <w:tcW w:w="4368" w:type="dxa"/>
            <w:tcBorders/>
            <w:vAlign w:val="bottom"/>
          </w:tcPr>
          <w:p>
            <w:pPr>
              <w:pStyle w:val="TableContents"/>
              <w:bidi w:val="0"/>
              <w:spacing w:before="0" w:after="283"/>
              <w:jc w:val="left"/>
              <w:rPr>
                <w:sz w:val="4"/>
                <w:szCs w:val="4"/>
              </w:rPr>
            </w:pPr>
            <w:r>
              <w:rPr>
                <w:sz w:val="4"/>
                <w:szCs w:val="4"/>
              </w:rPr>
            </w:r>
          </w:p>
        </w:tc>
        <w:tc>
          <w:tcPr>
            <w:tcW w:w="66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1578"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Arial" w:hAnsi="Arial"/>
                <w:b/>
                <w:sz w:val="20"/>
              </w:rPr>
            </w:pPr>
            <w:r>
              <w:rPr>
                <w:rFonts w:ascii="Arial" w:hAnsi="Arial"/>
                <w:b/>
                <w:sz w:val="20"/>
              </w:rPr>
              <w:t xml:space="preserve">What was the weighted average number of shares outstanding during the second quarter of 2026 and first quarter of 2026? How does this reconcile to the average number of shares outstanding, assuming dilution, used in the calculation of diluted earnings per share? </w:t>
            </w:r>
          </w:p>
        </w:tc>
      </w:tr>
    </w:tbl>
    <w:p>
      <w:pPr>
        <w:pStyle w:val="TextBody"/>
        <w:bidi w:val="0"/>
        <w:spacing w:before="120" w:after="0"/>
        <w:jc w:val="left"/>
        <w:rPr>
          <w:rFonts w:ascii="Arial" w:hAnsi="Arial"/>
          <w:sz w:val="20"/>
        </w:rPr>
      </w:pPr>
      <w:r>
        <w:rPr>
          <w:rFonts w:ascii="Arial" w:hAnsi="Arial"/>
          <w:sz w:val="20"/>
        </w:rPr>
        <w:t xml:space="preserve">The weighted average number of shares outstanding was 1.490 billion during the second quarter of 2026 and 1.499 billion during the first quarter of 2026. The following is a reconciliation of the weighted average shares outstanding to the average number of shares outstanding, assuming dilution, used in the calculation of diluted earnings per share.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04"/>
        <w:gridCol w:w="472"/>
        <w:gridCol w:w="158"/>
        <w:gridCol w:w="1489"/>
        <w:gridCol w:w="60"/>
        <w:gridCol w:w="472"/>
        <w:gridCol w:w="118"/>
        <w:gridCol w:w="1119"/>
        <w:gridCol w:w="63"/>
      </w:tblGrid>
      <w:tr>
        <w:trPr/>
        <w:tc>
          <w:tcPr>
            <w:tcW w:w="3804" w:type="dxa"/>
            <w:tcBorders/>
            <w:vAlign w:val="center"/>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804"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3416" w:type="dxa"/>
            <w:gridSpan w:val="6"/>
            <w:tcBorders/>
            <w:vAlign w:val="bottom"/>
          </w:tcPr>
          <w:p>
            <w:pPr>
              <w:pStyle w:val="TableContents"/>
              <w:bidi w:val="0"/>
              <w:spacing w:before="0" w:after="283"/>
              <w:jc w:val="right"/>
              <w:rPr/>
            </w:pPr>
            <w:r>
              <w:rPr/>
              <w:t>(Stated in millions)</w:t>
            </w:r>
          </w:p>
        </w:tc>
        <w:tc>
          <w:tcPr>
            <w:tcW w:w="63" w:type="dxa"/>
            <w:tcBorders/>
            <w:vAlign w:val="bottom"/>
          </w:tcPr>
          <w:p>
            <w:pPr>
              <w:pStyle w:val="TableContents"/>
              <w:bidi w:val="0"/>
              <w:spacing w:before="0" w:after="283"/>
              <w:jc w:val="left"/>
              <w:rPr/>
            </w:pPr>
            <w:r>
              <w:rPr/>
              <w:t> </w:t>
            </w:r>
          </w:p>
        </w:tc>
      </w:tr>
      <w:tr>
        <w:trPr/>
        <w:tc>
          <w:tcPr>
            <w:tcW w:w="3804"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6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Second Quarter</w:t>
              <w:br/>
              <w:t>2026</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pPr>
            <w:r>
              <w:rPr/>
              <w:t>First Quarter</w:t>
              <w:br/>
              <w:t>2026</w:t>
            </w:r>
          </w:p>
        </w:tc>
        <w:tc>
          <w:tcPr>
            <w:tcW w:w="63" w:type="dxa"/>
            <w:tcBorders/>
            <w:vAlign w:val="bottom"/>
          </w:tcPr>
          <w:p>
            <w:pPr>
              <w:pStyle w:val="TableContents"/>
              <w:bidi w:val="0"/>
              <w:spacing w:before="0" w:after="283"/>
              <w:jc w:val="left"/>
              <w:rPr/>
            </w:pPr>
            <w:r>
              <w:rPr/>
              <w:t> </w:t>
            </w:r>
          </w:p>
        </w:tc>
      </w:tr>
      <w:tr>
        <w:trPr/>
        <w:tc>
          <w:tcPr>
            <w:tcW w:w="3804" w:type="dxa"/>
            <w:tcBorders/>
            <w:shd w:fill="CCEEFF" w:val="clear"/>
            <w:vAlign w:val="bottom"/>
          </w:tcPr>
          <w:p>
            <w:pPr>
              <w:pStyle w:val="TableContents"/>
              <w:bidi w:val="0"/>
              <w:spacing w:before="0" w:after="0"/>
              <w:jc w:val="left"/>
              <w:rPr>
                <w:rFonts w:ascii="Arial" w:hAnsi="Arial"/>
                <w:sz w:val="20"/>
              </w:rPr>
            </w:pPr>
            <w:r>
              <w:rPr>
                <w:rFonts w:ascii="Arial" w:hAnsi="Arial"/>
                <w:sz w:val="20"/>
              </w:rPr>
              <w:t>Weighted average shares outstanding</w:t>
            </w:r>
          </w:p>
        </w:tc>
        <w:tc>
          <w:tcPr>
            <w:tcW w:w="47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89" w:type="dxa"/>
            <w:tcBorders/>
            <w:shd w:fill="CCEEFF" w:val="clear"/>
            <w:vAlign w:val="bottom"/>
          </w:tcPr>
          <w:p>
            <w:pPr>
              <w:pStyle w:val="TableContents"/>
              <w:bidi w:val="0"/>
              <w:spacing w:before="0" w:after="283"/>
              <w:jc w:val="right"/>
              <w:rPr>
                <w:b/>
              </w:rPr>
            </w:pPr>
            <w:r>
              <w:rPr>
                <w:b/>
              </w:rPr>
              <w:t>1,490</w:t>
            </w:r>
          </w:p>
        </w:tc>
        <w:tc>
          <w:tcPr>
            <w:tcW w:w="60"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1,499</w:t>
            </w:r>
          </w:p>
        </w:tc>
        <w:tc>
          <w:tcPr>
            <w:tcW w:w="63" w:type="dxa"/>
            <w:tcBorders/>
            <w:shd w:fill="CCEEFF" w:val="clear"/>
            <w:vAlign w:val="bottom"/>
          </w:tcPr>
          <w:p>
            <w:pPr>
              <w:pStyle w:val="TableContents"/>
              <w:bidi w:val="0"/>
              <w:spacing w:before="0" w:after="283"/>
              <w:jc w:val="left"/>
              <w:rPr/>
            </w:pPr>
            <w:r>
              <w:rPr/>
              <w:t> </w:t>
            </w:r>
          </w:p>
        </w:tc>
      </w:tr>
      <w:tr>
        <w:trPr/>
        <w:tc>
          <w:tcPr>
            <w:tcW w:w="3804" w:type="dxa"/>
            <w:tcBorders/>
            <w:vAlign w:val="bottom"/>
          </w:tcPr>
          <w:p>
            <w:pPr>
              <w:pStyle w:val="TableContents"/>
              <w:bidi w:val="0"/>
              <w:spacing w:before="0" w:after="0"/>
              <w:jc w:val="left"/>
              <w:rPr>
                <w:rFonts w:ascii="Arial" w:hAnsi="Arial"/>
                <w:sz w:val="20"/>
              </w:rPr>
            </w:pPr>
            <w:r>
              <w:rPr>
                <w:rFonts w:ascii="Arial" w:hAnsi="Arial"/>
                <w:sz w:val="20"/>
              </w:rPr>
              <w:t>Unvested restricted stock</w:t>
            </w:r>
          </w:p>
        </w:tc>
        <w:tc>
          <w:tcPr>
            <w:tcW w:w="47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89" w:type="dxa"/>
            <w:tcBorders/>
            <w:vAlign w:val="bottom"/>
          </w:tcPr>
          <w:p>
            <w:pPr>
              <w:pStyle w:val="TableContents"/>
              <w:bidi w:val="0"/>
              <w:spacing w:before="0" w:after="283"/>
              <w:jc w:val="right"/>
              <w:rPr>
                <w:b/>
              </w:rPr>
            </w:pPr>
            <w:r>
              <w:rPr>
                <w:b/>
              </w:rPr>
              <w:t>15</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3804" w:type="dxa"/>
            <w:tcBorders/>
            <w:shd w:fill="CCEEFF" w:val="clear"/>
            <w:vAlign w:val="bottom"/>
          </w:tcPr>
          <w:p>
            <w:pPr>
              <w:pStyle w:val="TableContents"/>
              <w:bidi w:val="0"/>
              <w:spacing w:before="0" w:after="0"/>
              <w:jc w:val="left"/>
              <w:rPr>
                <w:rFonts w:ascii="Arial" w:hAnsi="Arial"/>
                <w:sz w:val="20"/>
              </w:rPr>
            </w:pPr>
            <w:r>
              <w:rPr>
                <w:rFonts w:ascii="Arial" w:hAnsi="Arial"/>
                <w:sz w:val="20"/>
              </w:rPr>
              <w:t>Assumed exercise of stock options</w:t>
            </w:r>
          </w:p>
        </w:tc>
        <w:tc>
          <w:tcPr>
            <w:tcW w:w="47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89"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w:t>
            </w:r>
          </w:p>
        </w:tc>
        <w:tc>
          <w:tcPr>
            <w:tcW w:w="63" w:type="dxa"/>
            <w:tcBorders/>
            <w:shd w:fill="CCEEFF" w:val="clear"/>
            <w:vAlign w:val="bottom"/>
          </w:tcPr>
          <w:p>
            <w:pPr>
              <w:pStyle w:val="TableContents"/>
              <w:bidi w:val="0"/>
              <w:spacing w:before="0" w:after="283"/>
              <w:jc w:val="left"/>
              <w:rPr/>
            </w:pPr>
            <w:r>
              <w:rPr/>
              <w:t> </w:t>
            </w:r>
          </w:p>
        </w:tc>
      </w:tr>
      <w:tr>
        <w:trPr/>
        <w:tc>
          <w:tcPr>
            <w:tcW w:w="3804"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4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804" w:type="dxa"/>
            <w:tcBorders/>
            <w:vAlign w:val="bottom"/>
          </w:tcPr>
          <w:p>
            <w:pPr>
              <w:pStyle w:val="TableContents"/>
              <w:bidi w:val="0"/>
              <w:spacing w:before="0" w:after="0"/>
              <w:jc w:val="left"/>
              <w:rPr>
                <w:rFonts w:ascii="Arial" w:hAnsi="Arial"/>
                <w:sz w:val="20"/>
              </w:rPr>
            </w:pPr>
            <w:r>
              <w:rPr>
                <w:rFonts w:ascii="Arial" w:hAnsi="Arial"/>
                <w:sz w:val="20"/>
              </w:rPr>
              <w:t>Average shares outstanding, assuming dilution</w:t>
            </w:r>
          </w:p>
        </w:tc>
        <w:tc>
          <w:tcPr>
            <w:tcW w:w="47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89" w:type="dxa"/>
            <w:tcBorders/>
            <w:vAlign w:val="bottom"/>
          </w:tcPr>
          <w:p>
            <w:pPr>
              <w:pStyle w:val="TableContents"/>
              <w:bidi w:val="0"/>
              <w:spacing w:before="0" w:after="283"/>
              <w:jc w:val="right"/>
              <w:rPr>
                <w:b/>
              </w:rPr>
            </w:pPr>
            <w:r>
              <w:rPr>
                <w:b/>
              </w:rPr>
              <w:t>1,506</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1,515</w:t>
            </w:r>
          </w:p>
        </w:tc>
        <w:tc>
          <w:tcPr>
            <w:tcW w:w="63" w:type="dxa"/>
            <w:tcBorders/>
            <w:vAlign w:val="bottom"/>
          </w:tcPr>
          <w:p>
            <w:pPr>
              <w:pStyle w:val="TableContents"/>
              <w:bidi w:val="0"/>
              <w:spacing w:before="0" w:after="283"/>
              <w:jc w:val="left"/>
              <w:rPr/>
            </w:pPr>
            <w:r>
              <w:rPr/>
              <w:t> </w:t>
            </w:r>
          </w:p>
        </w:tc>
      </w:tr>
      <w:tr>
        <w:trPr/>
        <w:tc>
          <w:tcPr>
            <w:tcW w:w="3804"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14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Arial" w:hAnsi="Arial"/>
                <w:b/>
                <w:sz w:val="20"/>
              </w:rPr>
            </w:pPr>
            <w:r>
              <w:rPr>
                <w:rFonts w:ascii="Arial" w:hAnsi="Arial"/>
                <w:b/>
                <w:sz w:val="20"/>
              </w:rPr>
              <w:t xml:space="preserve">What was SLB’s adjusted EBITDA in the second quarter of 2026, the first quarter of 2026, the second quarter of 2025, the first six months of 2026, and the first six months of 2025? What was SLB’s adjusted EBITDA margin for those periods? </w:t>
            </w:r>
          </w:p>
        </w:tc>
      </w:tr>
    </w:tbl>
    <w:p>
      <w:pPr>
        <w:pStyle w:val="TextBody"/>
        <w:bidi w:val="0"/>
        <w:spacing w:before="120" w:after="0"/>
        <w:jc w:val="left"/>
        <w:rPr>
          <w:rFonts w:ascii="Arial" w:hAnsi="Arial"/>
          <w:sz w:val="20"/>
        </w:rPr>
      </w:pPr>
      <w:r>
        <w:rPr>
          <w:rFonts w:ascii="Arial" w:hAnsi="Arial"/>
          <w:sz w:val="20"/>
        </w:rPr>
        <w:t xml:space="preserve">SLB’s adjusted EBITDA was $1.899 billion in the second quarter of 2026, $1.773 billion in the first quarter of 2026, and $2.051 billion in the second quarter of 2025. </w:t>
      </w:r>
    </w:p>
    <w:p>
      <w:pPr>
        <w:pStyle w:val="TextBody"/>
        <w:bidi w:val="0"/>
        <w:spacing w:before="120" w:after="0"/>
        <w:jc w:val="left"/>
        <w:rPr>
          <w:rFonts w:ascii="Arial" w:hAnsi="Arial"/>
          <w:sz w:val="20"/>
        </w:rPr>
      </w:pPr>
      <w:r>
        <w:rPr>
          <w:rFonts w:ascii="Arial" w:hAnsi="Arial"/>
          <w:sz w:val="20"/>
        </w:rPr>
        <w:t xml:space="preserve">SLB’s adjusted EBITDA margin was 21.2% in the second quarter of 2026, 20.3% in the first quarter of 2026, and 24.0% in the second quarter of 2025, and was calculated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585"/>
        <w:gridCol w:w="291"/>
        <w:gridCol w:w="328"/>
        <w:gridCol w:w="1328"/>
        <w:gridCol w:w="320"/>
        <w:gridCol w:w="215"/>
        <w:gridCol w:w="244"/>
        <w:gridCol w:w="984"/>
        <w:gridCol w:w="275"/>
        <w:gridCol w:w="215"/>
        <w:gridCol w:w="300"/>
        <w:gridCol w:w="1206"/>
        <w:gridCol w:w="281"/>
      </w:tblGrid>
      <w:tr>
        <w:trPr/>
        <w:tc>
          <w:tcPr>
            <w:tcW w:w="2585"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58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5415" w:type="dxa"/>
            <w:gridSpan w:val="10"/>
            <w:tcBorders/>
            <w:vAlign w:val="bottom"/>
          </w:tcPr>
          <w:p>
            <w:pPr>
              <w:pStyle w:val="TableContents"/>
              <w:bidi w:val="0"/>
              <w:spacing w:before="0" w:after="283"/>
              <w:jc w:val="right"/>
              <w:rPr/>
            </w:pPr>
            <w:r>
              <w:rPr/>
              <w:t>(Stated in millions)</w:t>
            </w:r>
          </w:p>
        </w:tc>
        <w:tc>
          <w:tcPr>
            <w:tcW w:w="281"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6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Second Quarter</w:t>
              <w:br/>
              <w:t>2026</w:t>
            </w:r>
          </w:p>
        </w:tc>
        <w:tc>
          <w:tcPr>
            <w:tcW w:w="3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228" w:type="dxa"/>
            <w:gridSpan w:val="2"/>
            <w:tcBorders>
              <w:bottom w:val="single" w:sz="8" w:space="0" w:color="000000"/>
            </w:tcBorders>
            <w:tcMar>
              <w:bottom w:w="28" w:type="dxa"/>
            </w:tcMar>
            <w:vAlign w:val="bottom"/>
          </w:tcPr>
          <w:p>
            <w:pPr>
              <w:pStyle w:val="TableContents"/>
              <w:bidi w:val="0"/>
              <w:spacing w:before="0" w:after="283"/>
              <w:jc w:val="center"/>
              <w:rPr/>
            </w:pPr>
            <w:r>
              <w:rPr/>
              <w:t>First Quarter</w:t>
              <w:br/>
              <w:t>2026</w:t>
            </w:r>
          </w:p>
        </w:tc>
        <w:tc>
          <w:tcPr>
            <w:tcW w:w="27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506" w:type="dxa"/>
            <w:gridSpan w:val="2"/>
            <w:tcBorders>
              <w:bottom w:val="single" w:sz="8" w:space="0" w:color="000000"/>
            </w:tcBorders>
            <w:tcMar>
              <w:bottom w:w="28" w:type="dxa"/>
            </w:tcMar>
            <w:vAlign w:val="bottom"/>
          </w:tcPr>
          <w:p>
            <w:pPr>
              <w:pStyle w:val="TableContents"/>
              <w:bidi w:val="0"/>
              <w:spacing w:before="0" w:after="283"/>
              <w:jc w:val="center"/>
              <w:rPr/>
            </w:pPr>
            <w:r>
              <w:rPr/>
              <w:t>Second Quarter</w:t>
              <w:br/>
              <w:t>2025</w:t>
            </w:r>
          </w:p>
        </w:tc>
        <w:tc>
          <w:tcPr>
            <w:tcW w:w="281"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w:t>
            </w:r>
          </w:p>
        </w:tc>
        <w:tc>
          <w:tcPr>
            <w:tcW w:w="291"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b/>
              </w:rPr>
            </w:pPr>
            <w:r>
              <w:rPr>
                <w:b/>
              </w:rPr>
              <w:t>$</w:t>
            </w:r>
          </w:p>
        </w:tc>
        <w:tc>
          <w:tcPr>
            <w:tcW w:w="1328" w:type="dxa"/>
            <w:tcBorders/>
            <w:shd w:fill="CCEEFF" w:val="clear"/>
            <w:vAlign w:val="bottom"/>
          </w:tcPr>
          <w:p>
            <w:pPr>
              <w:pStyle w:val="TableContents"/>
              <w:bidi w:val="0"/>
              <w:spacing w:before="0" w:after="283"/>
              <w:jc w:val="right"/>
              <w:rPr>
                <w:b/>
              </w:rPr>
            </w:pPr>
            <w:r>
              <w:rPr>
                <w:b/>
              </w:rPr>
              <w:t>786</w:t>
            </w:r>
          </w:p>
        </w:tc>
        <w:tc>
          <w:tcPr>
            <w:tcW w:w="3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752</w:t>
            </w:r>
          </w:p>
        </w:tc>
        <w:tc>
          <w:tcPr>
            <w:tcW w:w="27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1206" w:type="dxa"/>
            <w:tcBorders/>
            <w:shd w:fill="CCEEFF" w:val="clear"/>
            <w:vAlign w:val="bottom"/>
          </w:tcPr>
          <w:p>
            <w:pPr>
              <w:pStyle w:val="TableContents"/>
              <w:bidi w:val="0"/>
              <w:spacing w:before="0" w:after="283"/>
              <w:jc w:val="right"/>
              <w:rPr/>
            </w:pPr>
            <w:r>
              <w:rPr/>
              <w:t>1,014</w:t>
            </w:r>
          </w:p>
        </w:tc>
        <w:tc>
          <w:tcPr>
            <w:tcW w:w="281"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Arial" w:hAnsi="Arial"/>
                <w:sz w:val="20"/>
              </w:rPr>
            </w:pPr>
            <w:r>
              <w:rPr>
                <w:rFonts w:ascii="Arial" w:hAnsi="Arial"/>
                <w:sz w:val="20"/>
              </w:rPr>
              <w:t>Net income attributable to noncontrolling interests</w:t>
            </w:r>
          </w:p>
        </w:tc>
        <w:tc>
          <w:tcPr>
            <w:tcW w:w="291"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b/>
              </w:rPr>
            </w:pPr>
            <w:r>
              <w:rPr>
                <w:b/>
              </w:rPr>
              <w:t>29</w:t>
            </w:r>
          </w:p>
        </w:tc>
        <w:tc>
          <w:tcPr>
            <w:tcW w:w="3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9</w:t>
            </w:r>
          </w:p>
        </w:tc>
        <w:tc>
          <w:tcPr>
            <w:tcW w:w="27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34</w:t>
            </w:r>
          </w:p>
        </w:tc>
        <w:tc>
          <w:tcPr>
            <w:tcW w:w="281"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Arial" w:hAnsi="Arial"/>
                <w:sz w:val="20"/>
              </w:rPr>
            </w:pPr>
            <w:r>
              <w:rPr>
                <w:rFonts w:ascii="Arial" w:hAnsi="Arial"/>
                <w:sz w:val="20"/>
              </w:rPr>
              <w:t>Tax expense</w:t>
            </w:r>
          </w:p>
        </w:tc>
        <w:tc>
          <w:tcPr>
            <w:tcW w:w="291"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b/>
              </w:rPr>
            </w:pPr>
            <w:r>
              <w:rPr>
                <w:b/>
              </w:rPr>
              <w:t>204</w:t>
            </w:r>
          </w:p>
        </w:tc>
        <w:tc>
          <w:tcPr>
            <w:tcW w:w="3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195</w:t>
            </w:r>
          </w:p>
        </w:tc>
        <w:tc>
          <w:tcPr>
            <w:tcW w:w="27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237</w:t>
            </w:r>
          </w:p>
        </w:tc>
        <w:tc>
          <w:tcPr>
            <w:tcW w:w="281"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328" w:type="dxa"/>
            <w:tcBorders/>
            <w:vAlign w:val="bottom"/>
          </w:tcPr>
          <w:p>
            <w:pPr>
              <w:pStyle w:val="TableContents"/>
              <w:pBdr>
                <w:top w:val="single" w:sz="2" w:space="1" w:color="000000"/>
              </w:pBdr>
              <w:bidi w:val="0"/>
              <w:spacing w:before="0" w:after="0"/>
              <w:jc w:val="left"/>
              <w:rPr/>
            </w:pPr>
            <w:r>
              <w:rPr/>
              <w:t> </w:t>
            </w:r>
          </w:p>
        </w:tc>
        <w:tc>
          <w:tcPr>
            <w:tcW w:w="13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Arial" w:hAnsi="Arial"/>
                <w:sz w:val="20"/>
              </w:rPr>
            </w:pPr>
            <w:r>
              <w:rPr>
                <w:rFonts w:ascii="Arial" w:hAnsi="Arial"/>
                <w:sz w:val="20"/>
              </w:rPr>
              <w:t>Income before taxes</w:t>
            </w:r>
          </w:p>
        </w:tc>
        <w:tc>
          <w:tcPr>
            <w:tcW w:w="291"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b/>
              </w:rPr>
            </w:pPr>
            <w:r>
              <w:rPr>
                <w:b/>
              </w:rPr>
              <w:t>$</w:t>
            </w:r>
          </w:p>
        </w:tc>
        <w:tc>
          <w:tcPr>
            <w:tcW w:w="1328" w:type="dxa"/>
            <w:tcBorders/>
            <w:vAlign w:val="bottom"/>
          </w:tcPr>
          <w:p>
            <w:pPr>
              <w:pStyle w:val="TableContents"/>
              <w:bidi w:val="0"/>
              <w:spacing w:before="0" w:after="283"/>
              <w:jc w:val="right"/>
              <w:rPr>
                <w:b/>
              </w:rPr>
            </w:pPr>
            <w:r>
              <w:rPr>
                <w:b/>
              </w:rPr>
              <w:t>1,019</w:t>
            </w:r>
          </w:p>
        </w:tc>
        <w:tc>
          <w:tcPr>
            <w:tcW w:w="3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956</w:t>
            </w:r>
          </w:p>
        </w:tc>
        <w:tc>
          <w:tcPr>
            <w:tcW w:w="27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1206" w:type="dxa"/>
            <w:tcBorders/>
            <w:vAlign w:val="bottom"/>
          </w:tcPr>
          <w:p>
            <w:pPr>
              <w:pStyle w:val="TableContents"/>
              <w:bidi w:val="0"/>
              <w:spacing w:before="0" w:after="283"/>
              <w:jc w:val="right"/>
              <w:rPr/>
            </w:pPr>
            <w:r>
              <w:rPr/>
              <w:t>1,285</w:t>
            </w:r>
          </w:p>
        </w:tc>
        <w:tc>
          <w:tcPr>
            <w:tcW w:w="281"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Arial" w:hAnsi="Arial"/>
                <w:sz w:val="20"/>
              </w:rPr>
            </w:pPr>
            <w:r>
              <w:rPr>
                <w:rFonts w:ascii="Arial" w:hAnsi="Arial"/>
                <w:sz w:val="20"/>
              </w:rPr>
              <w:t>Charges &amp; credits</w:t>
            </w:r>
          </w:p>
        </w:tc>
        <w:tc>
          <w:tcPr>
            <w:tcW w:w="291"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b/>
              </w:rPr>
            </w:pPr>
            <w:r>
              <w:rPr>
                <w:b/>
              </w:rPr>
              <w:t>69</w:t>
            </w:r>
          </w:p>
        </w:tc>
        <w:tc>
          <w:tcPr>
            <w:tcW w:w="3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41</w:t>
            </w:r>
          </w:p>
        </w:tc>
        <w:tc>
          <w:tcPr>
            <w:tcW w:w="27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21</w:t>
            </w:r>
          </w:p>
        </w:tc>
        <w:tc>
          <w:tcPr>
            <w:tcW w:w="281"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Arial" w:hAnsi="Arial"/>
                <w:sz w:val="20"/>
              </w:rPr>
            </w:pPr>
            <w:r>
              <w:rPr>
                <w:rFonts w:ascii="Arial" w:hAnsi="Arial"/>
                <w:sz w:val="20"/>
              </w:rPr>
              <w:t>Depreciation and amortization</w:t>
            </w:r>
          </w:p>
        </w:tc>
        <w:tc>
          <w:tcPr>
            <w:tcW w:w="291"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b/>
              </w:rPr>
            </w:pPr>
            <w:r>
              <w:rPr>
                <w:b/>
              </w:rPr>
              <w:t>712</w:t>
            </w:r>
          </w:p>
        </w:tc>
        <w:tc>
          <w:tcPr>
            <w:tcW w:w="3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685</w:t>
            </w:r>
          </w:p>
        </w:tc>
        <w:tc>
          <w:tcPr>
            <w:tcW w:w="27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633</w:t>
            </w:r>
          </w:p>
        </w:tc>
        <w:tc>
          <w:tcPr>
            <w:tcW w:w="281"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Arial" w:hAnsi="Arial"/>
                <w:sz w:val="20"/>
              </w:rPr>
            </w:pPr>
            <w:r>
              <w:rPr>
                <w:rFonts w:ascii="Arial" w:hAnsi="Arial"/>
                <w:sz w:val="20"/>
              </w:rPr>
              <w:t>Interest expense</w:t>
            </w:r>
          </w:p>
        </w:tc>
        <w:tc>
          <w:tcPr>
            <w:tcW w:w="291"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b/>
              </w:rPr>
            </w:pPr>
            <w:r>
              <w:rPr>
                <w:b/>
              </w:rPr>
              <w:t>128</w:t>
            </w:r>
          </w:p>
        </w:tc>
        <w:tc>
          <w:tcPr>
            <w:tcW w:w="3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116</w:t>
            </w:r>
          </w:p>
        </w:tc>
        <w:tc>
          <w:tcPr>
            <w:tcW w:w="27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142</w:t>
            </w:r>
          </w:p>
        </w:tc>
        <w:tc>
          <w:tcPr>
            <w:tcW w:w="281"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Arial" w:hAnsi="Arial"/>
                <w:sz w:val="20"/>
              </w:rPr>
            </w:pPr>
            <w:r>
              <w:rPr>
                <w:rFonts w:ascii="Arial" w:hAnsi="Arial"/>
                <w:sz w:val="20"/>
              </w:rPr>
              <w:t>Interest income</w:t>
            </w:r>
          </w:p>
        </w:tc>
        <w:tc>
          <w:tcPr>
            <w:tcW w:w="291"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b/>
              </w:rPr>
            </w:pPr>
            <w:r>
              <w:rPr>
                <w:b/>
              </w:rPr>
              <w:t>(29</w:t>
            </w:r>
          </w:p>
        </w:tc>
        <w:tc>
          <w:tcPr>
            <w:tcW w:w="320" w:type="dxa"/>
            <w:tcBorders/>
            <w:vAlign w:val="bottom"/>
          </w:tcPr>
          <w:p>
            <w:pPr>
              <w:pStyle w:val="TableContents"/>
              <w:bidi w:val="0"/>
              <w:spacing w:before="0" w:after="283"/>
              <w:jc w:val="left"/>
              <w:rPr>
                <w:b/>
              </w:rPr>
            </w:pPr>
            <w:r>
              <w:rPr>
                <w:b/>
              </w:rPr>
              <w:t>) </w:t>
            </w:r>
          </w:p>
        </w:tc>
        <w:tc>
          <w:tcPr>
            <w:tcW w:w="21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(25</w:t>
            </w:r>
          </w:p>
        </w:tc>
        <w:tc>
          <w:tcPr>
            <w:tcW w:w="27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(30</w:t>
            </w:r>
          </w:p>
        </w:tc>
        <w:tc>
          <w:tcPr>
            <w:tcW w:w="281"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328" w:type="dxa"/>
            <w:tcBorders/>
            <w:vAlign w:val="bottom"/>
          </w:tcPr>
          <w:p>
            <w:pPr>
              <w:pStyle w:val="TableContents"/>
              <w:pBdr>
                <w:top w:val="single" w:sz="2" w:space="1" w:color="000000"/>
              </w:pBdr>
              <w:bidi w:val="0"/>
              <w:spacing w:before="0" w:after="0"/>
              <w:jc w:val="left"/>
              <w:rPr/>
            </w:pPr>
            <w:r>
              <w:rPr/>
              <w:t> </w:t>
            </w:r>
          </w:p>
        </w:tc>
        <w:tc>
          <w:tcPr>
            <w:tcW w:w="13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Arial" w:hAnsi="Arial"/>
                <w:sz w:val="20"/>
              </w:rPr>
            </w:pPr>
            <w:r>
              <w:rPr>
                <w:rFonts w:ascii="Arial" w:hAnsi="Arial"/>
                <w:sz w:val="20"/>
              </w:rPr>
              <w:t>Adjusted EBITDA</w:t>
            </w:r>
          </w:p>
        </w:tc>
        <w:tc>
          <w:tcPr>
            <w:tcW w:w="291"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b/>
              </w:rPr>
            </w:pPr>
            <w:r>
              <w:rPr>
                <w:b/>
              </w:rPr>
              <w:t>$</w:t>
            </w:r>
          </w:p>
        </w:tc>
        <w:tc>
          <w:tcPr>
            <w:tcW w:w="1328" w:type="dxa"/>
            <w:tcBorders/>
            <w:shd w:fill="CCEEFF" w:val="clear"/>
            <w:vAlign w:val="bottom"/>
          </w:tcPr>
          <w:p>
            <w:pPr>
              <w:pStyle w:val="TableContents"/>
              <w:bidi w:val="0"/>
              <w:spacing w:before="0" w:after="283"/>
              <w:jc w:val="right"/>
              <w:rPr>
                <w:b/>
              </w:rPr>
            </w:pPr>
            <w:r>
              <w:rPr>
                <w:b/>
              </w:rPr>
              <w:t>1,899</w:t>
            </w:r>
          </w:p>
        </w:tc>
        <w:tc>
          <w:tcPr>
            <w:tcW w:w="32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1,773</w:t>
            </w:r>
          </w:p>
        </w:tc>
        <w:tc>
          <w:tcPr>
            <w:tcW w:w="27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1206" w:type="dxa"/>
            <w:tcBorders/>
            <w:shd w:fill="CCEEFF" w:val="clear"/>
            <w:vAlign w:val="bottom"/>
          </w:tcPr>
          <w:p>
            <w:pPr>
              <w:pStyle w:val="TableContents"/>
              <w:bidi w:val="0"/>
              <w:spacing w:before="0" w:after="283"/>
              <w:jc w:val="right"/>
              <w:rPr/>
            </w:pPr>
            <w:r>
              <w:rPr/>
              <w:t>2,051</w:t>
            </w:r>
          </w:p>
        </w:tc>
        <w:tc>
          <w:tcPr>
            <w:tcW w:w="281"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328" w:type="dxa"/>
            <w:tcBorders/>
            <w:vAlign w:val="bottom"/>
          </w:tcPr>
          <w:p>
            <w:pPr>
              <w:pStyle w:val="TableContents"/>
              <w:pBdr>
                <w:top w:val="double" w:sz="6" w:space="1" w:color="000000"/>
              </w:pBdr>
              <w:bidi w:val="0"/>
              <w:spacing w:before="0" w:after="0"/>
              <w:jc w:val="left"/>
              <w:rPr/>
            </w:pPr>
            <w:r>
              <w:rPr/>
              <w:t> </w:t>
            </w:r>
          </w:p>
        </w:tc>
        <w:tc>
          <w:tcPr>
            <w:tcW w:w="1328"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1206"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Arial" w:hAnsi="Arial"/>
                <w:sz w:val="20"/>
              </w:rPr>
            </w:pPr>
            <w:r>
              <w:rPr>
                <w:rFonts w:ascii="Arial" w:hAnsi="Arial"/>
                <w:sz w:val="20"/>
              </w:rPr>
              <w:t>Revenue</w:t>
            </w:r>
          </w:p>
        </w:tc>
        <w:tc>
          <w:tcPr>
            <w:tcW w:w="291"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b/>
              </w:rPr>
            </w:pPr>
            <w:r>
              <w:rPr>
                <w:b/>
              </w:rPr>
              <w:t>$</w:t>
            </w:r>
          </w:p>
        </w:tc>
        <w:tc>
          <w:tcPr>
            <w:tcW w:w="1328" w:type="dxa"/>
            <w:tcBorders/>
            <w:vAlign w:val="bottom"/>
          </w:tcPr>
          <w:p>
            <w:pPr>
              <w:pStyle w:val="TableContents"/>
              <w:bidi w:val="0"/>
              <w:spacing w:before="0" w:after="283"/>
              <w:jc w:val="right"/>
              <w:rPr>
                <w:b/>
              </w:rPr>
            </w:pPr>
            <w:r>
              <w:rPr>
                <w:b/>
              </w:rPr>
              <w:t>8,972</w:t>
            </w:r>
          </w:p>
        </w:tc>
        <w:tc>
          <w:tcPr>
            <w:tcW w:w="32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8,721</w:t>
            </w:r>
          </w:p>
        </w:tc>
        <w:tc>
          <w:tcPr>
            <w:tcW w:w="27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1206" w:type="dxa"/>
            <w:tcBorders/>
            <w:vAlign w:val="bottom"/>
          </w:tcPr>
          <w:p>
            <w:pPr>
              <w:pStyle w:val="TableContents"/>
              <w:bidi w:val="0"/>
              <w:spacing w:before="0" w:after="283"/>
              <w:jc w:val="right"/>
              <w:rPr/>
            </w:pPr>
            <w:r>
              <w:rPr/>
              <w:t>8,546</w:t>
            </w:r>
          </w:p>
        </w:tc>
        <w:tc>
          <w:tcPr>
            <w:tcW w:w="281"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328" w:type="dxa"/>
            <w:tcBorders/>
            <w:vAlign w:val="bottom"/>
          </w:tcPr>
          <w:p>
            <w:pPr>
              <w:pStyle w:val="TableContents"/>
              <w:pBdr>
                <w:top w:val="single" w:sz="2" w:space="1" w:color="000000"/>
              </w:pBdr>
              <w:bidi w:val="0"/>
              <w:spacing w:before="0" w:after="0"/>
              <w:jc w:val="left"/>
              <w:rPr/>
            </w:pPr>
            <w:r>
              <w:rPr/>
              <w:t> </w:t>
            </w:r>
          </w:p>
        </w:tc>
        <w:tc>
          <w:tcPr>
            <w:tcW w:w="132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jc w:val="left"/>
              <w:rPr>
                <w:rFonts w:ascii="Arial" w:hAnsi="Arial"/>
                <w:sz w:val="20"/>
              </w:rPr>
            </w:pPr>
            <w:r>
              <w:rPr>
                <w:rFonts w:ascii="Arial" w:hAnsi="Arial"/>
                <w:sz w:val="20"/>
              </w:rPr>
              <w:t>Adjusted EBITDA margin</w:t>
            </w:r>
          </w:p>
        </w:tc>
        <w:tc>
          <w:tcPr>
            <w:tcW w:w="291"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b/>
              </w:rPr>
            </w:pPr>
            <w:r>
              <w:rPr>
                <w:b/>
              </w:rPr>
              <w:t>21.2</w:t>
            </w:r>
          </w:p>
        </w:tc>
        <w:tc>
          <w:tcPr>
            <w:tcW w:w="320" w:type="dxa"/>
            <w:tcBorders/>
            <w:shd w:fill="CCEEFF" w:val="clear"/>
            <w:vAlign w:val="bottom"/>
          </w:tcPr>
          <w:p>
            <w:pPr>
              <w:pStyle w:val="TableContents"/>
              <w:bidi w:val="0"/>
              <w:spacing w:before="0" w:after="283"/>
              <w:jc w:val="left"/>
              <w:rPr>
                <w:b/>
              </w:rPr>
            </w:pPr>
            <w:r>
              <w:rPr>
                <w:b/>
              </w:rPr>
              <w:t>% </w:t>
            </w:r>
          </w:p>
        </w:tc>
        <w:tc>
          <w:tcPr>
            <w:tcW w:w="21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20.3</w:t>
            </w:r>
          </w:p>
        </w:tc>
        <w:tc>
          <w:tcPr>
            <w:tcW w:w="27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24.0</w:t>
            </w:r>
          </w:p>
        </w:tc>
        <w:tc>
          <w:tcPr>
            <w:tcW w:w="281"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328" w:type="dxa"/>
            <w:tcBorders/>
            <w:vAlign w:val="bottom"/>
          </w:tcPr>
          <w:p>
            <w:pPr>
              <w:pStyle w:val="TableContents"/>
              <w:pBdr>
                <w:top w:val="double" w:sz="6" w:space="1" w:color="000000"/>
              </w:pBdr>
              <w:bidi w:val="0"/>
              <w:spacing w:before="0" w:after="0"/>
              <w:jc w:val="left"/>
              <w:rPr/>
            </w:pPr>
            <w:r>
              <w:rPr/>
              <w:t> </w:t>
            </w:r>
          </w:p>
        </w:tc>
        <w:tc>
          <w:tcPr>
            <w:tcW w:w="1328"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1206"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SLB’s adjusted EBITDA was $3.672 billion in the first six months of 2026 and $4.072 billion in the first six months of 2025. SLB’s adjusted EBITDA margin was 20.8% in the first six months of 2026 and 23.9% in the first six months of 2025, and was calculated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684"/>
        <w:gridCol w:w="310"/>
        <w:gridCol w:w="200"/>
        <w:gridCol w:w="1009"/>
        <w:gridCol w:w="320"/>
        <w:gridCol w:w="223"/>
        <w:gridCol w:w="190"/>
        <w:gridCol w:w="930"/>
        <w:gridCol w:w="280"/>
        <w:gridCol w:w="223"/>
        <w:gridCol w:w="60"/>
        <w:gridCol w:w="858"/>
        <w:gridCol w:w="285"/>
      </w:tblGrid>
      <w:tr>
        <w:trPr/>
        <w:tc>
          <w:tcPr>
            <w:tcW w:w="3684"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3684"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4293" w:type="dxa"/>
            <w:gridSpan w:val="10"/>
            <w:tcBorders/>
            <w:vAlign w:val="bottom"/>
          </w:tcPr>
          <w:p>
            <w:pPr>
              <w:pStyle w:val="TableContents"/>
              <w:bidi w:val="0"/>
              <w:spacing w:before="0" w:after="20"/>
              <w:jc w:val="right"/>
              <w:rPr>
                <w:rFonts w:ascii="Arial" w:hAnsi="Arial"/>
                <w:sz w:val="16"/>
              </w:rPr>
            </w:pPr>
            <w:r>
              <w:rPr>
                <w:rFonts w:ascii="Arial" w:hAnsi="Arial"/>
                <w:sz w:val="16"/>
              </w:rPr>
              <w:t>(Stated in millions)</w:t>
            </w:r>
          </w:p>
        </w:tc>
        <w:tc>
          <w:tcPr>
            <w:tcW w:w="285" w:type="dxa"/>
            <w:tcBorders/>
            <w:vAlign w:val="bottom"/>
          </w:tcPr>
          <w:p>
            <w:pPr>
              <w:pStyle w:val="TableContents"/>
              <w:bidi w:val="0"/>
              <w:spacing w:before="0" w:after="283"/>
              <w:jc w:val="left"/>
              <w:rPr/>
            </w:pPr>
            <w:r>
              <w:rPr/>
              <w:t> </w:t>
            </w:r>
          </w:p>
        </w:tc>
      </w:tr>
      <w:tr>
        <w:trPr/>
        <w:tc>
          <w:tcPr>
            <w:tcW w:w="3684"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2026</w:t>
            </w:r>
          </w:p>
        </w:tc>
        <w:tc>
          <w:tcPr>
            <w:tcW w:w="32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t>Six Months</w:t>
              <w:br/>
              <w:t>2025</w:t>
            </w:r>
          </w:p>
        </w:tc>
        <w:tc>
          <w:tcPr>
            <w:tcW w:w="28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8" w:type="dxa"/>
            <w:gridSpan w:val="2"/>
            <w:tcBorders>
              <w:bottom w:val="single" w:sz="8" w:space="0" w:color="000000"/>
            </w:tcBorders>
            <w:tcMar>
              <w:bottom w:w="28" w:type="dxa"/>
            </w:tcMar>
            <w:vAlign w:val="bottom"/>
          </w:tcPr>
          <w:p>
            <w:pPr>
              <w:pStyle w:val="TableContents"/>
              <w:bidi w:val="0"/>
              <w:spacing w:before="0" w:after="283"/>
              <w:jc w:val="center"/>
              <w:rPr/>
            </w:pPr>
            <w:r>
              <w:rPr/>
              <w:t>Change</w:t>
            </w:r>
          </w:p>
        </w:tc>
        <w:tc>
          <w:tcPr>
            <w:tcW w:w="285" w:type="dxa"/>
            <w:tcBorders/>
            <w:vAlign w:val="bottom"/>
          </w:tcPr>
          <w:p>
            <w:pPr>
              <w:pStyle w:val="TableContents"/>
              <w:bidi w:val="0"/>
              <w:spacing w:before="0" w:after="283"/>
              <w:jc w:val="left"/>
              <w:rPr/>
            </w:pPr>
            <w:r>
              <w:rPr/>
              <w:t> </w:t>
            </w:r>
          </w:p>
        </w:tc>
      </w:tr>
      <w:tr>
        <w:trPr/>
        <w:tc>
          <w:tcPr>
            <w:tcW w:w="3684"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w:t>
            </w:r>
          </w:p>
        </w:tc>
        <w:tc>
          <w:tcPr>
            <w:tcW w:w="31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b/>
              </w:rPr>
            </w:pPr>
            <w:r>
              <w:rPr>
                <w:b/>
              </w:rPr>
              <w:t>$</w:t>
            </w:r>
          </w:p>
        </w:tc>
        <w:tc>
          <w:tcPr>
            <w:tcW w:w="1009" w:type="dxa"/>
            <w:tcBorders/>
            <w:shd w:fill="CCEEFF" w:val="clear"/>
            <w:vAlign w:val="bottom"/>
          </w:tcPr>
          <w:p>
            <w:pPr>
              <w:pStyle w:val="TableContents"/>
              <w:bidi w:val="0"/>
              <w:spacing w:before="0" w:after="283"/>
              <w:jc w:val="right"/>
              <w:rPr>
                <w:b/>
              </w:rPr>
            </w:pPr>
            <w:r>
              <w:rPr>
                <w:b/>
              </w:rPr>
              <w:t>1,538</w:t>
            </w:r>
          </w:p>
        </w:tc>
        <w:tc>
          <w:tcPr>
            <w:tcW w:w="32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930" w:type="dxa"/>
            <w:tcBorders/>
            <w:shd w:fill="CCEEFF" w:val="clear"/>
            <w:vAlign w:val="bottom"/>
          </w:tcPr>
          <w:p>
            <w:pPr>
              <w:pStyle w:val="TableContents"/>
              <w:bidi w:val="0"/>
              <w:spacing w:before="0" w:after="283"/>
              <w:jc w:val="right"/>
              <w:rPr/>
            </w:pPr>
            <w:r>
              <w:rPr/>
              <w:t>1,811</w:t>
            </w:r>
          </w:p>
        </w:tc>
        <w:tc>
          <w:tcPr>
            <w:tcW w:w="28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r>
      <w:tr>
        <w:trPr/>
        <w:tc>
          <w:tcPr>
            <w:tcW w:w="3684" w:type="dxa"/>
            <w:tcBorders/>
          </w:tcPr>
          <w:p>
            <w:pPr>
              <w:pStyle w:val="TableContents"/>
              <w:bidi w:val="0"/>
              <w:spacing w:before="0" w:after="0"/>
              <w:jc w:val="left"/>
              <w:rPr>
                <w:rFonts w:ascii="Arial" w:hAnsi="Arial"/>
                <w:sz w:val="20"/>
              </w:rPr>
            </w:pPr>
            <w:r>
              <w:rPr>
                <w:rFonts w:ascii="Arial" w:hAnsi="Arial"/>
                <w:sz w:val="20"/>
              </w:rPr>
              <w:t>Net income attributable to noncontrolling interests</w:t>
            </w:r>
          </w:p>
        </w:tc>
        <w:tc>
          <w:tcPr>
            <w:tcW w:w="31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b/>
              </w:rPr>
            </w:pPr>
            <w:r>
              <w:rPr>
                <w:b/>
              </w:rPr>
              <w:t>38</w:t>
            </w:r>
          </w:p>
        </w:tc>
        <w:tc>
          <w:tcPr>
            <w:tcW w:w="32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66</w:t>
            </w:r>
          </w:p>
        </w:tc>
        <w:tc>
          <w:tcPr>
            <w:tcW w:w="28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58"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r>
      <w:tr>
        <w:trPr/>
        <w:tc>
          <w:tcPr>
            <w:tcW w:w="3684" w:type="dxa"/>
            <w:tcBorders/>
            <w:shd w:fill="CCEEFF" w:val="clear"/>
          </w:tcPr>
          <w:p>
            <w:pPr>
              <w:pStyle w:val="TableContents"/>
              <w:bidi w:val="0"/>
              <w:spacing w:before="0" w:after="0"/>
              <w:jc w:val="left"/>
              <w:rPr>
                <w:rFonts w:ascii="Arial" w:hAnsi="Arial"/>
                <w:sz w:val="20"/>
              </w:rPr>
            </w:pPr>
            <w:r>
              <w:rPr>
                <w:rFonts w:ascii="Arial" w:hAnsi="Arial"/>
                <w:sz w:val="20"/>
              </w:rPr>
              <w:t>Tax expense</w:t>
            </w:r>
          </w:p>
        </w:tc>
        <w:tc>
          <w:tcPr>
            <w:tcW w:w="31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b/>
              </w:rPr>
            </w:pPr>
            <w:r>
              <w:rPr>
                <w:b/>
              </w:rPr>
              <w:t>399</w:t>
            </w:r>
          </w:p>
        </w:tc>
        <w:tc>
          <w:tcPr>
            <w:tcW w:w="32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471</w:t>
            </w:r>
          </w:p>
        </w:tc>
        <w:tc>
          <w:tcPr>
            <w:tcW w:w="28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r>
      <w:tr>
        <w:trPr/>
        <w:tc>
          <w:tcPr>
            <w:tcW w:w="3684"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930"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58"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r>
      <w:tr>
        <w:trPr/>
        <w:tc>
          <w:tcPr>
            <w:tcW w:w="3684" w:type="dxa"/>
            <w:tcBorders/>
          </w:tcPr>
          <w:p>
            <w:pPr>
              <w:pStyle w:val="TableContents"/>
              <w:bidi w:val="0"/>
              <w:spacing w:before="0" w:after="0"/>
              <w:jc w:val="left"/>
              <w:rPr>
                <w:rFonts w:ascii="Arial" w:hAnsi="Arial"/>
                <w:sz w:val="20"/>
              </w:rPr>
            </w:pPr>
            <w:r>
              <w:rPr>
                <w:rFonts w:ascii="Arial" w:hAnsi="Arial"/>
                <w:sz w:val="20"/>
              </w:rPr>
              <w:t>Income before taxes</w:t>
            </w:r>
          </w:p>
        </w:tc>
        <w:tc>
          <w:tcPr>
            <w:tcW w:w="31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b/>
              </w:rPr>
            </w:pPr>
            <w:r>
              <w:rPr>
                <w:b/>
              </w:rPr>
              <w:t>$</w:t>
            </w:r>
          </w:p>
        </w:tc>
        <w:tc>
          <w:tcPr>
            <w:tcW w:w="1009" w:type="dxa"/>
            <w:tcBorders/>
            <w:vAlign w:val="bottom"/>
          </w:tcPr>
          <w:p>
            <w:pPr>
              <w:pStyle w:val="TableContents"/>
              <w:bidi w:val="0"/>
              <w:spacing w:before="0" w:after="283"/>
              <w:jc w:val="right"/>
              <w:rPr>
                <w:b/>
              </w:rPr>
            </w:pPr>
            <w:r>
              <w:rPr>
                <w:b/>
              </w:rPr>
              <w:t>1,975</w:t>
            </w:r>
          </w:p>
        </w:tc>
        <w:tc>
          <w:tcPr>
            <w:tcW w:w="32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930" w:type="dxa"/>
            <w:tcBorders/>
            <w:vAlign w:val="bottom"/>
          </w:tcPr>
          <w:p>
            <w:pPr>
              <w:pStyle w:val="TableContents"/>
              <w:bidi w:val="0"/>
              <w:spacing w:before="0" w:after="283"/>
              <w:jc w:val="right"/>
              <w:rPr/>
            </w:pPr>
            <w:r>
              <w:rPr/>
              <w:t>2,348</w:t>
            </w:r>
          </w:p>
        </w:tc>
        <w:tc>
          <w:tcPr>
            <w:tcW w:w="28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58"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r>
      <w:tr>
        <w:trPr/>
        <w:tc>
          <w:tcPr>
            <w:tcW w:w="3684" w:type="dxa"/>
            <w:tcBorders/>
            <w:shd w:fill="CCEEFF" w:val="clear"/>
          </w:tcPr>
          <w:p>
            <w:pPr>
              <w:pStyle w:val="TableContents"/>
              <w:bidi w:val="0"/>
              <w:spacing w:before="0" w:after="0"/>
              <w:jc w:val="left"/>
              <w:rPr>
                <w:rFonts w:ascii="Arial" w:hAnsi="Arial"/>
                <w:sz w:val="20"/>
              </w:rPr>
            </w:pPr>
            <w:r>
              <w:rPr>
                <w:rFonts w:ascii="Arial" w:hAnsi="Arial"/>
                <w:sz w:val="20"/>
              </w:rPr>
              <w:t>Charges &amp; credits</w:t>
            </w:r>
          </w:p>
        </w:tc>
        <w:tc>
          <w:tcPr>
            <w:tcW w:w="31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b/>
              </w:rPr>
            </w:pPr>
            <w:r>
              <w:rPr>
                <w:b/>
              </w:rPr>
              <w:t>110</w:t>
            </w:r>
          </w:p>
        </w:tc>
        <w:tc>
          <w:tcPr>
            <w:tcW w:w="32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228</w:t>
            </w:r>
          </w:p>
        </w:tc>
        <w:tc>
          <w:tcPr>
            <w:tcW w:w="28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r>
      <w:tr>
        <w:trPr/>
        <w:tc>
          <w:tcPr>
            <w:tcW w:w="3684" w:type="dxa"/>
            <w:tcBorders/>
          </w:tcPr>
          <w:p>
            <w:pPr>
              <w:pStyle w:val="TableContents"/>
              <w:bidi w:val="0"/>
              <w:spacing w:before="0" w:after="0"/>
              <w:jc w:val="left"/>
              <w:rPr>
                <w:rFonts w:ascii="Arial" w:hAnsi="Arial"/>
                <w:sz w:val="20"/>
              </w:rPr>
            </w:pPr>
            <w:r>
              <w:rPr>
                <w:rFonts w:ascii="Arial" w:hAnsi="Arial"/>
                <w:sz w:val="20"/>
              </w:rPr>
              <w:t>Depreciation and amortization</w:t>
            </w:r>
          </w:p>
        </w:tc>
        <w:tc>
          <w:tcPr>
            <w:tcW w:w="31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b/>
              </w:rPr>
            </w:pPr>
            <w:r>
              <w:rPr>
                <w:b/>
              </w:rPr>
              <w:t>1,397</w:t>
            </w:r>
          </w:p>
        </w:tc>
        <w:tc>
          <w:tcPr>
            <w:tcW w:w="32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1,273</w:t>
            </w:r>
          </w:p>
        </w:tc>
        <w:tc>
          <w:tcPr>
            <w:tcW w:w="28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58"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r>
      <w:tr>
        <w:trPr/>
        <w:tc>
          <w:tcPr>
            <w:tcW w:w="3684" w:type="dxa"/>
            <w:tcBorders/>
            <w:shd w:fill="CCEEFF" w:val="clear"/>
          </w:tcPr>
          <w:p>
            <w:pPr>
              <w:pStyle w:val="TableContents"/>
              <w:bidi w:val="0"/>
              <w:spacing w:before="0" w:after="0"/>
              <w:jc w:val="left"/>
              <w:rPr>
                <w:rFonts w:ascii="Arial" w:hAnsi="Arial"/>
                <w:sz w:val="20"/>
              </w:rPr>
            </w:pPr>
            <w:r>
              <w:rPr>
                <w:rFonts w:ascii="Arial" w:hAnsi="Arial"/>
                <w:sz w:val="20"/>
              </w:rPr>
              <w:t>Interest expense</w:t>
            </w:r>
          </w:p>
        </w:tc>
        <w:tc>
          <w:tcPr>
            <w:tcW w:w="31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b/>
              </w:rPr>
            </w:pPr>
            <w:r>
              <w:rPr>
                <w:b/>
              </w:rPr>
              <w:t>244</w:t>
            </w:r>
          </w:p>
        </w:tc>
        <w:tc>
          <w:tcPr>
            <w:tcW w:w="32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289</w:t>
            </w:r>
          </w:p>
        </w:tc>
        <w:tc>
          <w:tcPr>
            <w:tcW w:w="28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r>
      <w:tr>
        <w:trPr/>
        <w:tc>
          <w:tcPr>
            <w:tcW w:w="3684" w:type="dxa"/>
            <w:tcBorders/>
          </w:tcPr>
          <w:p>
            <w:pPr>
              <w:pStyle w:val="TableContents"/>
              <w:bidi w:val="0"/>
              <w:spacing w:before="0" w:after="0"/>
              <w:jc w:val="left"/>
              <w:rPr>
                <w:rFonts w:ascii="Arial" w:hAnsi="Arial"/>
                <w:sz w:val="20"/>
              </w:rPr>
            </w:pPr>
            <w:r>
              <w:rPr>
                <w:rFonts w:ascii="Arial" w:hAnsi="Arial"/>
                <w:sz w:val="20"/>
              </w:rPr>
              <w:t>Interest income</w:t>
            </w:r>
          </w:p>
        </w:tc>
        <w:tc>
          <w:tcPr>
            <w:tcW w:w="31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b/>
              </w:rPr>
            </w:pPr>
            <w:r>
              <w:rPr>
                <w:b/>
              </w:rPr>
              <w:t>(54</w:t>
            </w:r>
          </w:p>
        </w:tc>
        <w:tc>
          <w:tcPr>
            <w:tcW w:w="320" w:type="dxa"/>
            <w:tcBorders/>
            <w:vAlign w:val="bottom"/>
          </w:tcPr>
          <w:p>
            <w:pPr>
              <w:pStyle w:val="TableContents"/>
              <w:bidi w:val="0"/>
              <w:spacing w:before="0" w:after="283"/>
              <w:jc w:val="left"/>
              <w:rPr>
                <w:b/>
              </w:rPr>
            </w:pPr>
            <w:r>
              <w:rPr>
                <w:b/>
              </w:rPr>
              <w:t>) </w:t>
            </w:r>
          </w:p>
        </w:tc>
        <w:tc>
          <w:tcPr>
            <w:tcW w:w="22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(66</w:t>
            </w:r>
          </w:p>
        </w:tc>
        <w:tc>
          <w:tcPr>
            <w:tcW w:w="28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58"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r>
      <w:tr>
        <w:trPr/>
        <w:tc>
          <w:tcPr>
            <w:tcW w:w="3684"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930"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3684" w:type="dxa"/>
            <w:tcBorders/>
            <w:shd w:fill="CCEEFF" w:val="clear"/>
            <w:vAlign w:val="bottom"/>
          </w:tcPr>
          <w:p>
            <w:pPr>
              <w:pStyle w:val="TableContents"/>
              <w:bidi w:val="0"/>
              <w:spacing w:before="0" w:after="0"/>
              <w:jc w:val="left"/>
              <w:rPr>
                <w:rFonts w:ascii="Arial" w:hAnsi="Arial"/>
                <w:sz w:val="20"/>
              </w:rPr>
            </w:pPr>
            <w:r>
              <w:rPr>
                <w:rFonts w:ascii="Arial" w:hAnsi="Arial"/>
                <w:sz w:val="20"/>
              </w:rPr>
              <w:t>Adjusted EBITDA</w:t>
            </w:r>
          </w:p>
        </w:tc>
        <w:tc>
          <w:tcPr>
            <w:tcW w:w="31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b/>
              </w:rPr>
            </w:pPr>
            <w:r>
              <w:rPr>
                <w:b/>
              </w:rPr>
              <w:t>$</w:t>
            </w:r>
          </w:p>
        </w:tc>
        <w:tc>
          <w:tcPr>
            <w:tcW w:w="1009" w:type="dxa"/>
            <w:tcBorders/>
            <w:shd w:fill="CCEEFF" w:val="clear"/>
            <w:vAlign w:val="bottom"/>
          </w:tcPr>
          <w:p>
            <w:pPr>
              <w:pStyle w:val="TableContents"/>
              <w:bidi w:val="0"/>
              <w:spacing w:before="0" w:after="283"/>
              <w:jc w:val="right"/>
              <w:rPr>
                <w:b/>
              </w:rPr>
            </w:pPr>
            <w:r>
              <w:rPr>
                <w:b/>
              </w:rPr>
              <w:t>3,672</w:t>
            </w:r>
          </w:p>
        </w:tc>
        <w:tc>
          <w:tcPr>
            <w:tcW w:w="32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930" w:type="dxa"/>
            <w:tcBorders/>
            <w:shd w:fill="CCEEFF" w:val="clear"/>
            <w:vAlign w:val="bottom"/>
          </w:tcPr>
          <w:p>
            <w:pPr>
              <w:pStyle w:val="TableContents"/>
              <w:bidi w:val="0"/>
              <w:spacing w:before="0" w:after="283"/>
              <w:jc w:val="right"/>
              <w:rPr/>
            </w:pPr>
            <w:r>
              <w:rPr/>
              <w:t>4,072</w:t>
            </w:r>
          </w:p>
        </w:tc>
        <w:tc>
          <w:tcPr>
            <w:tcW w:w="28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-10</w:t>
            </w:r>
          </w:p>
        </w:tc>
        <w:tc>
          <w:tcPr>
            <w:tcW w:w="285" w:type="dxa"/>
            <w:tcBorders/>
            <w:shd w:fill="CCEEFF" w:val="clear"/>
            <w:vAlign w:val="bottom"/>
          </w:tcPr>
          <w:p>
            <w:pPr>
              <w:pStyle w:val="TableContents"/>
              <w:bidi w:val="0"/>
              <w:spacing w:before="0" w:after="283"/>
              <w:jc w:val="left"/>
              <w:rPr/>
            </w:pPr>
            <w:r>
              <w:rPr/>
              <w:t>% </w:t>
            </w:r>
          </w:p>
        </w:tc>
      </w:tr>
      <w:tr>
        <w:trPr/>
        <w:tc>
          <w:tcPr>
            <w:tcW w:w="3684"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1009"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930"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58" w:type="dxa"/>
            <w:tcBorders/>
            <w:vAlign w:val="bottom"/>
          </w:tcPr>
          <w:p>
            <w:pPr>
              <w:pStyle w:val="TableContents"/>
              <w:pBdr>
                <w:top w:val="double" w:sz="6"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3684" w:type="dxa"/>
            <w:tcBorders/>
            <w:vAlign w:val="bottom"/>
          </w:tcPr>
          <w:p>
            <w:pPr>
              <w:pStyle w:val="TableContents"/>
              <w:bidi w:val="0"/>
              <w:spacing w:before="0" w:after="0"/>
              <w:jc w:val="left"/>
              <w:rPr>
                <w:rFonts w:ascii="Arial" w:hAnsi="Arial"/>
                <w:sz w:val="20"/>
              </w:rPr>
            </w:pPr>
            <w:r>
              <w:rPr>
                <w:rFonts w:ascii="Arial" w:hAnsi="Arial"/>
                <w:sz w:val="20"/>
              </w:rPr>
              <w:t>Revenue</w:t>
            </w:r>
          </w:p>
        </w:tc>
        <w:tc>
          <w:tcPr>
            <w:tcW w:w="31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b/>
              </w:rPr>
            </w:pPr>
            <w:r>
              <w:rPr>
                <w:b/>
              </w:rPr>
              <w:t>$</w:t>
            </w:r>
          </w:p>
        </w:tc>
        <w:tc>
          <w:tcPr>
            <w:tcW w:w="1009" w:type="dxa"/>
            <w:tcBorders/>
            <w:vAlign w:val="bottom"/>
          </w:tcPr>
          <w:p>
            <w:pPr>
              <w:pStyle w:val="TableContents"/>
              <w:bidi w:val="0"/>
              <w:spacing w:before="0" w:after="283"/>
              <w:jc w:val="right"/>
              <w:rPr>
                <w:b/>
              </w:rPr>
            </w:pPr>
            <w:r>
              <w:rPr>
                <w:b/>
              </w:rPr>
              <w:t>17,693</w:t>
            </w:r>
          </w:p>
        </w:tc>
        <w:tc>
          <w:tcPr>
            <w:tcW w:w="32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17,035</w:t>
            </w:r>
          </w:p>
        </w:tc>
        <w:tc>
          <w:tcPr>
            <w:tcW w:w="28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4</w:t>
            </w:r>
          </w:p>
        </w:tc>
        <w:tc>
          <w:tcPr>
            <w:tcW w:w="285" w:type="dxa"/>
            <w:tcBorders/>
            <w:vAlign w:val="bottom"/>
          </w:tcPr>
          <w:p>
            <w:pPr>
              <w:pStyle w:val="TableContents"/>
              <w:bidi w:val="0"/>
              <w:spacing w:before="0" w:after="283"/>
              <w:jc w:val="left"/>
              <w:rPr/>
            </w:pPr>
            <w:r>
              <w:rPr/>
              <w:t>% </w:t>
            </w:r>
          </w:p>
        </w:tc>
      </w:tr>
      <w:tr>
        <w:trPr/>
        <w:tc>
          <w:tcPr>
            <w:tcW w:w="3684"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930"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3684" w:type="dxa"/>
            <w:tcBorders/>
            <w:shd w:fill="CCEEFF" w:val="clear"/>
            <w:vAlign w:val="bottom"/>
          </w:tcPr>
          <w:p>
            <w:pPr>
              <w:pStyle w:val="TableContents"/>
              <w:bidi w:val="0"/>
              <w:spacing w:before="0" w:after="0"/>
              <w:jc w:val="left"/>
              <w:rPr>
                <w:rFonts w:ascii="Arial" w:hAnsi="Arial"/>
                <w:sz w:val="20"/>
              </w:rPr>
            </w:pPr>
            <w:r>
              <w:rPr>
                <w:rFonts w:ascii="Arial" w:hAnsi="Arial"/>
                <w:sz w:val="20"/>
              </w:rPr>
              <w:t>Adjusted EBITDA margin</w:t>
            </w:r>
          </w:p>
        </w:tc>
        <w:tc>
          <w:tcPr>
            <w:tcW w:w="31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b/>
              </w:rPr>
            </w:pPr>
            <w:r>
              <w:rPr>
                <w:b/>
              </w:rPr>
              <w:t>20.8</w:t>
            </w:r>
          </w:p>
        </w:tc>
        <w:tc>
          <w:tcPr>
            <w:tcW w:w="320" w:type="dxa"/>
            <w:tcBorders/>
            <w:shd w:fill="CCEEFF" w:val="clear"/>
            <w:vAlign w:val="bottom"/>
          </w:tcPr>
          <w:p>
            <w:pPr>
              <w:pStyle w:val="TableContents"/>
              <w:bidi w:val="0"/>
              <w:spacing w:before="0" w:after="283"/>
              <w:jc w:val="left"/>
              <w:rPr>
                <w:b/>
              </w:rPr>
            </w:pPr>
            <w:r>
              <w:rPr>
                <w:b/>
              </w:rPr>
              <w:t>% </w:t>
            </w:r>
          </w:p>
        </w:tc>
        <w:tc>
          <w:tcPr>
            <w:tcW w:w="22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23.9</w:t>
            </w:r>
          </w:p>
        </w:tc>
        <w:tc>
          <w:tcPr>
            <w:tcW w:w="28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-315 bps</w:t>
            </w:r>
          </w:p>
        </w:tc>
        <w:tc>
          <w:tcPr>
            <w:tcW w:w="285" w:type="dxa"/>
            <w:tcBorders/>
            <w:shd w:fill="CCEEFF" w:val="clear"/>
            <w:vAlign w:val="bottom"/>
          </w:tcPr>
          <w:p>
            <w:pPr>
              <w:pStyle w:val="TableContents"/>
              <w:bidi w:val="0"/>
              <w:spacing w:before="0" w:after="283"/>
              <w:jc w:val="left"/>
              <w:rPr/>
            </w:pPr>
            <w:r>
              <w:rPr/>
              <w:t> </w:t>
            </w:r>
          </w:p>
        </w:tc>
      </w:tr>
      <w:tr>
        <w:trPr/>
        <w:tc>
          <w:tcPr>
            <w:tcW w:w="3684"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1009"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930"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58" w:type="dxa"/>
            <w:tcBorders/>
            <w:vAlign w:val="bottom"/>
          </w:tcPr>
          <w:p>
            <w:pPr>
              <w:pStyle w:val="TableContents"/>
              <w:pBdr>
                <w:top w:val="double" w:sz="6"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9)</w:t>
            </w:r>
          </w:p>
        </w:tc>
        <w:tc>
          <w:tcPr>
            <w:tcW w:w="9797" w:type="dxa"/>
            <w:tcBorders/>
          </w:tcPr>
          <w:p>
            <w:pPr>
              <w:pStyle w:val="TableContents"/>
              <w:bidi w:val="0"/>
              <w:spacing w:before="0" w:after="0"/>
              <w:jc w:val="left"/>
              <w:rPr>
                <w:rFonts w:ascii="Arial" w:hAnsi="Arial"/>
                <w:b/>
                <w:sz w:val="20"/>
              </w:rPr>
            </w:pPr>
            <w:r>
              <w:rPr>
                <w:rFonts w:ascii="Arial" w:hAnsi="Arial"/>
                <w:b/>
                <w:sz w:val="20"/>
              </w:rPr>
              <w:t xml:space="preserve">What were the components of depreciation and amortization expenses for the second quarter of 2026, the first quarter of 2026, the second quarter of 2025, the first six months of 2026, and the first six months of 2025? </w:t>
            </w:r>
          </w:p>
        </w:tc>
      </w:tr>
    </w:tbl>
    <w:p>
      <w:pPr>
        <w:pStyle w:val="TextBody"/>
        <w:bidi w:val="0"/>
        <w:spacing w:before="120" w:after="0"/>
        <w:jc w:val="left"/>
        <w:rPr>
          <w:rFonts w:ascii="Arial" w:hAnsi="Arial"/>
          <w:sz w:val="20"/>
        </w:rPr>
      </w:pPr>
      <w:r>
        <w:rPr>
          <w:rFonts w:ascii="Arial" w:hAnsi="Arial"/>
          <w:sz w:val="20"/>
        </w:rPr>
        <w:t xml:space="preserve">The components of depreciation and amortization expenses for the second quarter of 2026, the first quarter of 2026, and the second quarter of 2025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571"/>
        <w:gridCol w:w="399"/>
        <w:gridCol w:w="441"/>
        <w:gridCol w:w="1215"/>
        <w:gridCol w:w="60"/>
        <w:gridCol w:w="399"/>
        <w:gridCol w:w="328"/>
        <w:gridCol w:w="892"/>
        <w:gridCol w:w="60"/>
        <w:gridCol w:w="399"/>
        <w:gridCol w:w="465"/>
        <w:gridCol w:w="1279"/>
        <w:gridCol w:w="64"/>
      </w:tblGrid>
      <w:tr>
        <w:trPr/>
        <w:tc>
          <w:tcPr>
            <w:tcW w:w="2571"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571"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65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744" w:type="dxa"/>
            <w:gridSpan w:val="2"/>
            <w:tcBorders/>
            <w:vAlign w:val="bottom"/>
          </w:tcPr>
          <w:p>
            <w:pPr>
              <w:pStyle w:val="TableContents"/>
              <w:bidi w:val="0"/>
              <w:spacing w:before="0" w:after="283"/>
              <w:jc w:val="center"/>
              <w:rPr/>
            </w:pPr>
            <w:r>
              <w:rPr/>
              <w:t>(Stated in millions)</w:t>
            </w:r>
          </w:p>
        </w:tc>
        <w:tc>
          <w:tcPr>
            <w:tcW w:w="64" w:type="dxa"/>
            <w:tcBorders/>
            <w:vAlign w:val="bottom"/>
          </w:tcPr>
          <w:p>
            <w:pPr>
              <w:pStyle w:val="TableContents"/>
              <w:bidi w:val="0"/>
              <w:spacing w:before="0" w:after="283"/>
              <w:jc w:val="left"/>
              <w:rPr/>
            </w:pPr>
            <w:r>
              <w:rPr/>
              <w:t> </w:t>
            </w:r>
          </w:p>
        </w:tc>
      </w:tr>
      <w:tr>
        <w:trPr/>
        <w:tc>
          <w:tcPr>
            <w:tcW w:w="2571"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6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Second Quarter</w:t>
              <w:br/>
              <w:t>2026</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pPr>
            <w:r>
              <w:rPr/>
              <w:t>First Quarter</w:t>
              <w:br/>
              <w:t>2026</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744" w:type="dxa"/>
            <w:gridSpan w:val="2"/>
            <w:tcBorders>
              <w:bottom w:val="single" w:sz="8" w:space="0" w:color="000000"/>
            </w:tcBorders>
            <w:tcMar>
              <w:bottom w:w="28" w:type="dxa"/>
            </w:tcMar>
            <w:vAlign w:val="bottom"/>
          </w:tcPr>
          <w:p>
            <w:pPr>
              <w:pStyle w:val="TableContents"/>
              <w:bidi w:val="0"/>
              <w:spacing w:before="0" w:after="283"/>
              <w:jc w:val="center"/>
              <w:rPr/>
            </w:pPr>
            <w:r>
              <w:rPr/>
              <w:t>Second Quarter</w:t>
              <w:br/>
              <w:t>2025</w:t>
            </w:r>
          </w:p>
        </w:tc>
        <w:tc>
          <w:tcPr>
            <w:tcW w:w="64" w:type="dxa"/>
            <w:tcBorders/>
            <w:vAlign w:val="bottom"/>
          </w:tcPr>
          <w:p>
            <w:pPr>
              <w:pStyle w:val="TableContents"/>
              <w:bidi w:val="0"/>
              <w:spacing w:before="0" w:after="283"/>
              <w:jc w:val="left"/>
              <w:rPr/>
            </w:pPr>
            <w:r>
              <w:rPr/>
              <w:t> </w:t>
            </w:r>
          </w:p>
        </w:tc>
      </w:tr>
      <w:tr>
        <w:trPr/>
        <w:tc>
          <w:tcPr>
            <w:tcW w:w="2571" w:type="dxa"/>
            <w:tcBorders/>
            <w:shd w:fill="CCEEFF" w:val="clear"/>
          </w:tcPr>
          <w:p>
            <w:pPr>
              <w:pStyle w:val="TableContents"/>
              <w:bidi w:val="0"/>
              <w:spacing w:before="0" w:after="0"/>
              <w:jc w:val="left"/>
              <w:rPr>
                <w:rFonts w:ascii="Arial" w:hAnsi="Arial"/>
                <w:sz w:val="20"/>
              </w:rPr>
            </w:pPr>
            <w:r>
              <w:rPr>
                <w:rFonts w:ascii="Arial" w:hAnsi="Arial"/>
                <w:sz w:val="20"/>
              </w:rPr>
              <w:t>Depreciation of fixed assets</w:t>
            </w:r>
          </w:p>
        </w:tc>
        <w:tc>
          <w:tcPr>
            <w:tcW w:w="399"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b/>
              </w:rPr>
            </w:pPr>
            <w:r>
              <w:rPr>
                <w:b/>
              </w:rPr>
              <w:t>$</w:t>
            </w:r>
          </w:p>
        </w:tc>
        <w:tc>
          <w:tcPr>
            <w:tcW w:w="1215" w:type="dxa"/>
            <w:tcBorders/>
            <w:shd w:fill="CCEEFF" w:val="clear"/>
            <w:vAlign w:val="bottom"/>
          </w:tcPr>
          <w:p>
            <w:pPr>
              <w:pStyle w:val="TableContents"/>
              <w:bidi w:val="0"/>
              <w:spacing w:before="0" w:after="283"/>
              <w:jc w:val="right"/>
              <w:rPr>
                <w:b/>
              </w:rPr>
            </w:pPr>
            <w:r>
              <w:rPr>
                <w:b/>
              </w:rPr>
              <w:t>473</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464</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w:t>
            </w:r>
          </w:p>
        </w:tc>
        <w:tc>
          <w:tcPr>
            <w:tcW w:w="1279" w:type="dxa"/>
            <w:tcBorders/>
            <w:shd w:fill="CCEEFF" w:val="clear"/>
            <w:vAlign w:val="bottom"/>
          </w:tcPr>
          <w:p>
            <w:pPr>
              <w:pStyle w:val="TableContents"/>
              <w:bidi w:val="0"/>
              <w:spacing w:before="0" w:after="283"/>
              <w:jc w:val="right"/>
              <w:rPr/>
            </w:pPr>
            <w:r>
              <w:rPr/>
              <w:t>408</w:t>
            </w:r>
          </w:p>
        </w:tc>
        <w:tc>
          <w:tcPr>
            <w:tcW w:w="64" w:type="dxa"/>
            <w:tcBorders/>
            <w:shd w:fill="CCEEFF" w:val="clear"/>
            <w:vAlign w:val="bottom"/>
          </w:tcPr>
          <w:p>
            <w:pPr>
              <w:pStyle w:val="TableContents"/>
              <w:bidi w:val="0"/>
              <w:spacing w:before="0" w:after="283"/>
              <w:jc w:val="left"/>
              <w:rPr/>
            </w:pPr>
            <w:r>
              <w:rPr/>
              <w:t> </w:t>
            </w:r>
          </w:p>
        </w:tc>
      </w:tr>
      <w:tr>
        <w:trPr/>
        <w:tc>
          <w:tcPr>
            <w:tcW w:w="2571" w:type="dxa"/>
            <w:tcBorders/>
          </w:tcPr>
          <w:p>
            <w:pPr>
              <w:pStyle w:val="TableContents"/>
              <w:bidi w:val="0"/>
              <w:spacing w:before="0" w:after="0"/>
              <w:jc w:val="left"/>
              <w:rPr>
                <w:rFonts w:ascii="Arial" w:hAnsi="Arial"/>
                <w:sz w:val="20"/>
              </w:rPr>
            </w:pPr>
            <w:r>
              <w:rPr>
                <w:rFonts w:ascii="Arial" w:hAnsi="Arial"/>
                <w:sz w:val="20"/>
              </w:rPr>
              <w:t>Amortization of intangible assets</w:t>
            </w:r>
          </w:p>
        </w:tc>
        <w:tc>
          <w:tcPr>
            <w:tcW w:w="399"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b/>
              </w:rPr>
            </w:pPr>
            <w:r>
              <w:rPr>
                <w:b/>
              </w:rPr>
              <w:t>111</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110</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2571" w:type="dxa"/>
            <w:tcBorders/>
            <w:shd w:fill="CCEEFF" w:val="clear"/>
          </w:tcPr>
          <w:p>
            <w:pPr>
              <w:pStyle w:val="TableContents"/>
              <w:bidi w:val="0"/>
              <w:spacing w:before="0" w:after="0"/>
              <w:jc w:val="left"/>
              <w:rPr>
                <w:rFonts w:ascii="Arial" w:hAnsi="Arial"/>
                <w:sz w:val="20"/>
              </w:rPr>
            </w:pPr>
            <w:r>
              <w:rPr>
                <w:rFonts w:ascii="Arial" w:hAnsi="Arial"/>
                <w:sz w:val="20"/>
              </w:rPr>
              <w:t>Amortization of APS investments</w:t>
            </w:r>
          </w:p>
        </w:tc>
        <w:tc>
          <w:tcPr>
            <w:tcW w:w="399"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b/>
              </w:rPr>
            </w:pPr>
            <w:r>
              <w:rPr>
                <w:b/>
              </w:rPr>
              <w:t>83</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82</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115</w:t>
            </w:r>
          </w:p>
        </w:tc>
        <w:tc>
          <w:tcPr>
            <w:tcW w:w="64" w:type="dxa"/>
            <w:tcBorders/>
            <w:shd w:fill="CCEEFF" w:val="clear"/>
            <w:vAlign w:val="bottom"/>
          </w:tcPr>
          <w:p>
            <w:pPr>
              <w:pStyle w:val="TableContents"/>
              <w:bidi w:val="0"/>
              <w:spacing w:before="0" w:after="283"/>
              <w:jc w:val="left"/>
              <w:rPr/>
            </w:pPr>
            <w:r>
              <w:rPr/>
              <w:t> </w:t>
            </w:r>
          </w:p>
        </w:tc>
      </w:tr>
      <w:tr>
        <w:trPr/>
        <w:tc>
          <w:tcPr>
            <w:tcW w:w="2571" w:type="dxa"/>
            <w:tcBorders/>
          </w:tcPr>
          <w:p>
            <w:pPr>
              <w:pStyle w:val="TableContents"/>
              <w:bidi w:val="0"/>
              <w:spacing w:before="0" w:after="0"/>
              <w:jc w:val="left"/>
              <w:rPr>
                <w:rFonts w:ascii="Arial" w:hAnsi="Arial"/>
                <w:sz w:val="20"/>
              </w:rPr>
            </w:pPr>
            <w:r>
              <w:rPr>
                <w:rFonts w:ascii="Arial" w:hAnsi="Arial"/>
                <w:sz w:val="20"/>
              </w:rPr>
              <w:t>Amortization of exploration data costs capitalized</w:t>
            </w:r>
          </w:p>
        </w:tc>
        <w:tc>
          <w:tcPr>
            <w:tcW w:w="399"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b/>
              </w:rPr>
            </w:pPr>
            <w:r>
              <w:rPr>
                <w:b/>
              </w:rPr>
              <w:t>45</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2571"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12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328"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465"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571" w:type="dxa"/>
            <w:tcBorders/>
            <w:shd w:fill="CCEEFF" w:val="clear"/>
          </w:tcPr>
          <w:p>
            <w:pPr>
              <w:pStyle w:val="TableContents"/>
              <w:bidi w:val="0"/>
              <w:spacing w:before="0" w:after="283"/>
              <w:jc w:val="left"/>
              <w:rPr>
                <w:sz w:val="4"/>
                <w:szCs w:val="4"/>
              </w:rPr>
            </w:pPr>
            <w:r>
              <w:rPr>
                <w:sz w:val="4"/>
                <w:szCs w:val="4"/>
              </w:rPr>
            </w:r>
          </w:p>
        </w:tc>
        <w:tc>
          <w:tcPr>
            <w:tcW w:w="399"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b/>
              </w:rPr>
            </w:pPr>
            <w:r>
              <w:rPr>
                <w:b/>
              </w:rPr>
              <w:t>$</w:t>
            </w:r>
          </w:p>
        </w:tc>
        <w:tc>
          <w:tcPr>
            <w:tcW w:w="1215" w:type="dxa"/>
            <w:tcBorders/>
            <w:shd w:fill="CCEEFF" w:val="clear"/>
            <w:vAlign w:val="bottom"/>
          </w:tcPr>
          <w:p>
            <w:pPr>
              <w:pStyle w:val="TableContents"/>
              <w:bidi w:val="0"/>
              <w:spacing w:before="0" w:after="283"/>
              <w:jc w:val="right"/>
              <w:rPr>
                <w:b/>
              </w:rPr>
            </w:pPr>
            <w:r>
              <w:rPr>
                <w:b/>
              </w:rPr>
              <w:t>712</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685</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w:t>
            </w:r>
          </w:p>
        </w:tc>
        <w:tc>
          <w:tcPr>
            <w:tcW w:w="1279" w:type="dxa"/>
            <w:tcBorders/>
            <w:shd w:fill="CCEEFF" w:val="clear"/>
            <w:vAlign w:val="bottom"/>
          </w:tcPr>
          <w:p>
            <w:pPr>
              <w:pStyle w:val="TableContents"/>
              <w:bidi w:val="0"/>
              <w:spacing w:before="0" w:after="283"/>
              <w:jc w:val="right"/>
              <w:rPr/>
            </w:pPr>
            <w:r>
              <w:rPr/>
              <w:t>633</w:t>
            </w:r>
          </w:p>
        </w:tc>
        <w:tc>
          <w:tcPr>
            <w:tcW w:w="64" w:type="dxa"/>
            <w:tcBorders/>
            <w:shd w:fill="CCEEFF" w:val="clear"/>
            <w:vAlign w:val="bottom"/>
          </w:tcPr>
          <w:p>
            <w:pPr>
              <w:pStyle w:val="TableContents"/>
              <w:bidi w:val="0"/>
              <w:spacing w:before="0" w:after="283"/>
              <w:jc w:val="left"/>
              <w:rPr/>
            </w:pPr>
            <w:r>
              <w:rPr/>
              <w:t> </w:t>
            </w:r>
          </w:p>
        </w:tc>
      </w:tr>
      <w:tr>
        <w:trPr/>
        <w:tc>
          <w:tcPr>
            <w:tcW w:w="2571"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441" w:type="dxa"/>
            <w:tcBorders/>
            <w:vAlign w:val="bottom"/>
          </w:tcPr>
          <w:p>
            <w:pPr>
              <w:pStyle w:val="TableContents"/>
              <w:pBdr>
                <w:top w:val="double" w:sz="6" w:space="1" w:color="000000"/>
              </w:pBdr>
              <w:bidi w:val="0"/>
              <w:spacing w:before="0" w:after="0"/>
              <w:jc w:val="left"/>
              <w:rPr/>
            </w:pPr>
            <w:r>
              <w:rPr/>
              <w:t> </w:t>
            </w:r>
          </w:p>
        </w:tc>
        <w:tc>
          <w:tcPr>
            <w:tcW w:w="12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328"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465" w:type="dxa"/>
            <w:tcBorders/>
            <w:vAlign w:val="bottom"/>
          </w:tcPr>
          <w:p>
            <w:pPr>
              <w:pStyle w:val="TableContents"/>
              <w:pBdr>
                <w:top w:val="double" w:sz="6" w:space="1" w:color="000000"/>
              </w:pBdr>
              <w:bidi w:val="0"/>
              <w:spacing w:before="0" w:after="0"/>
              <w:jc w:val="left"/>
              <w:rPr/>
            </w:pPr>
            <w:r>
              <w:rPr/>
              <w:t> </w:t>
            </w:r>
          </w:p>
        </w:tc>
        <w:tc>
          <w:tcPr>
            <w:tcW w:w="127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The components of depreciation and amortization expenses for the first six months of 2026 and the first six months of 2025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42"/>
        <w:gridCol w:w="460"/>
        <w:gridCol w:w="235"/>
        <w:gridCol w:w="956"/>
        <w:gridCol w:w="60"/>
        <w:gridCol w:w="460"/>
        <w:gridCol w:w="348"/>
        <w:gridCol w:w="1431"/>
        <w:gridCol w:w="63"/>
      </w:tblGrid>
      <w:tr>
        <w:trPr/>
        <w:tc>
          <w:tcPr>
            <w:tcW w:w="3742" w:type="dxa"/>
            <w:tcBorders/>
            <w:vAlign w:val="center"/>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742"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19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779" w:type="dxa"/>
            <w:gridSpan w:val="2"/>
            <w:tcBorders/>
            <w:vAlign w:val="bottom"/>
          </w:tcPr>
          <w:p>
            <w:pPr>
              <w:pStyle w:val="TableContents"/>
              <w:bidi w:val="0"/>
              <w:spacing w:before="0" w:after="283"/>
              <w:jc w:val="center"/>
              <w:rPr/>
            </w:pPr>
            <w:r>
              <w:rPr/>
              <w:t>(Stated in millions)</w:t>
            </w:r>
          </w:p>
        </w:tc>
        <w:tc>
          <w:tcPr>
            <w:tcW w:w="63" w:type="dxa"/>
            <w:tcBorders/>
            <w:vAlign w:val="bottom"/>
          </w:tcPr>
          <w:p>
            <w:pPr>
              <w:pStyle w:val="TableContents"/>
              <w:bidi w:val="0"/>
              <w:spacing w:before="0" w:after="283"/>
              <w:jc w:val="left"/>
              <w:rPr/>
            </w:pPr>
            <w:r>
              <w:rPr/>
              <w:t> </w:t>
            </w:r>
          </w:p>
        </w:tc>
      </w:tr>
      <w:tr>
        <w:trPr/>
        <w:tc>
          <w:tcPr>
            <w:tcW w:w="3742"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2026</w:t>
            </w:r>
          </w:p>
        </w:tc>
        <w:tc>
          <w:tcPr>
            <w:tcW w:w="6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779" w:type="dxa"/>
            <w:gridSpan w:val="2"/>
            <w:tcBorders>
              <w:bottom w:val="single" w:sz="8" w:space="0" w:color="000000"/>
            </w:tcBorders>
            <w:tcMar>
              <w:bottom w:w="28" w:type="dxa"/>
            </w:tcMar>
            <w:vAlign w:val="bottom"/>
          </w:tcPr>
          <w:p>
            <w:pPr>
              <w:pStyle w:val="TableContents"/>
              <w:bidi w:val="0"/>
              <w:spacing w:before="0" w:after="283"/>
              <w:jc w:val="center"/>
              <w:rPr/>
            </w:pPr>
            <w:r>
              <w:rPr/>
              <w:t>Six Months</w:t>
              <w:br/>
              <w:t>2025</w:t>
            </w:r>
          </w:p>
        </w:tc>
        <w:tc>
          <w:tcPr>
            <w:tcW w:w="63" w:type="dxa"/>
            <w:tcBorders/>
            <w:vAlign w:val="bottom"/>
          </w:tcPr>
          <w:p>
            <w:pPr>
              <w:pStyle w:val="TableContents"/>
              <w:bidi w:val="0"/>
              <w:spacing w:before="0" w:after="283"/>
              <w:jc w:val="left"/>
              <w:rPr/>
            </w:pPr>
            <w:r>
              <w:rPr/>
              <w:t> </w:t>
            </w:r>
          </w:p>
        </w:tc>
      </w:tr>
      <w:tr>
        <w:trPr/>
        <w:tc>
          <w:tcPr>
            <w:tcW w:w="3742" w:type="dxa"/>
            <w:tcBorders/>
            <w:shd w:fill="CCEEFF" w:val="clear"/>
          </w:tcPr>
          <w:p>
            <w:pPr>
              <w:pStyle w:val="TableContents"/>
              <w:bidi w:val="0"/>
              <w:spacing w:before="0" w:after="0"/>
              <w:jc w:val="left"/>
              <w:rPr>
                <w:rFonts w:ascii="Arial" w:hAnsi="Arial"/>
                <w:sz w:val="20"/>
              </w:rPr>
            </w:pPr>
            <w:r>
              <w:rPr>
                <w:rFonts w:ascii="Arial" w:hAnsi="Arial"/>
                <w:sz w:val="20"/>
              </w:rPr>
              <w:t>Depreciation of fixed assets</w:t>
            </w:r>
          </w:p>
        </w:tc>
        <w:tc>
          <w:tcPr>
            <w:tcW w:w="4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b/>
              </w:rPr>
            </w:pPr>
            <w:r>
              <w:rPr>
                <w:b/>
              </w:rPr>
              <w:t>$</w:t>
            </w:r>
          </w:p>
        </w:tc>
        <w:tc>
          <w:tcPr>
            <w:tcW w:w="956" w:type="dxa"/>
            <w:tcBorders/>
            <w:shd w:fill="CCEEFF" w:val="clear"/>
            <w:vAlign w:val="bottom"/>
          </w:tcPr>
          <w:p>
            <w:pPr>
              <w:pStyle w:val="TableContents"/>
              <w:bidi w:val="0"/>
              <w:spacing w:before="0" w:after="283"/>
              <w:jc w:val="right"/>
              <w:rPr>
                <w:b/>
              </w:rPr>
            </w:pPr>
            <w:r>
              <w:rPr>
                <w:b/>
              </w:rPr>
              <w:t>937</w:t>
            </w:r>
          </w:p>
        </w:tc>
        <w:tc>
          <w:tcPr>
            <w:tcW w:w="6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w:t>
            </w:r>
          </w:p>
        </w:tc>
        <w:tc>
          <w:tcPr>
            <w:tcW w:w="1431" w:type="dxa"/>
            <w:tcBorders/>
            <w:shd w:fill="CCEEFF" w:val="clear"/>
            <w:vAlign w:val="bottom"/>
          </w:tcPr>
          <w:p>
            <w:pPr>
              <w:pStyle w:val="TableContents"/>
              <w:bidi w:val="0"/>
              <w:spacing w:before="0" w:after="283"/>
              <w:jc w:val="right"/>
              <w:rPr/>
            </w:pPr>
            <w:r>
              <w:rPr/>
              <w:t>805</w:t>
            </w:r>
          </w:p>
        </w:tc>
        <w:tc>
          <w:tcPr>
            <w:tcW w:w="63" w:type="dxa"/>
            <w:tcBorders/>
            <w:shd w:fill="CCEEFF" w:val="clear"/>
            <w:vAlign w:val="bottom"/>
          </w:tcPr>
          <w:p>
            <w:pPr>
              <w:pStyle w:val="TableContents"/>
              <w:bidi w:val="0"/>
              <w:spacing w:before="0" w:after="283"/>
              <w:jc w:val="left"/>
              <w:rPr/>
            </w:pPr>
            <w:r>
              <w:rPr/>
              <w:t> </w:t>
            </w:r>
          </w:p>
        </w:tc>
      </w:tr>
      <w:tr>
        <w:trPr/>
        <w:tc>
          <w:tcPr>
            <w:tcW w:w="3742" w:type="dxa"/>
            <w:tcBorders/>
          </w:tcPr>
          <w:p>
            <w:pPr>
              <w:pStyle w:val="TableContents"/>
              <w:bidi w:val="0"/>
              <w:spacing w:before="0" w:after="0"/>
              <w:jc w:val="left"/>
              <w:rPr>
                <w:rFonts w:ascii="Arial" w:hAnsi="Arial"/>
                <w:sz w:val="20"/>
              </w:rPr>
            </w:pPr>
            <w:r>
              <w:rPr>
                <w:rFonts w:ascii="Arial" w:hAnsi="Arial"/>
                <w:sz w:val="20"/>
              </w:rPr>
              <w:t>Amortization of intangible assets</w:t>
            </w:r>
          </w:p>
        </w:tc>
        <w:tc>
          <w:tcPr>
            <w:tcW w:w="4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b/>
              </w:rPr>
            </w:pPr>
            <w:r>
              <w:rPr>
                <w:b/>
              </w:rPr>
              <w:t>$</w:t>
            </w:r>
          </w:p>
        </w:tc>
        <w:tc>
          <w:tcPr>
            <w:tcW w:w="956" w:type="dxa"/>
            <w:tcBorders/>
            <w:vAlign w:val="bottom"/>
          </w:tcPr>
          <w:p>
            <w:pPr>
              <w:pStyle w:val="TableContents"/>
              <w:bidi w:val="0"/>
              <w:spacing w:before="0" w:after="283"/>
              <w:jc w:val="right"/>
              <w:rPr>
                <w:b/>
              </w:rPr>
            </w:pPr>
            <w:r>
              <w:rPr>
                <w:b/>
              </w:rPr>
              <w:t>221</w:t>
            </w:r>
          </w:p>
        </w:tc>
        <w:tc>
          <w:tcPr>
            <w:tcW w:w="6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w:t>
            </w:r>
          </w:p>
        </w:tc>
        <w:tc>
          <w:tcPr>
            <w:tcW w:w="1431" w:type="dxa"/>
            <w:tcBorders/>
            <w:vAlign w:val="bottom"/>
          </w:tcPr>
          <w:p>
            <w:pPr>
              <w:pStyle w:val="TableContents"/>
              <w:bidi w:val="0"/>
              <w:spacing w:before="0" w:after="283"/>
              <w:jc w:val="right"/>
              <w:rPr/>
            </w:pPr>
            <w:r>
              <w:rPr/>
              <w:t>164</w:t>
            </w:r>
          </w:p>
        </w:tc>
        <w:tc>
          <w:tcPr>
            <w:tcW w:w="63" w:type="dxa"/>
            <w:tcBorders/>
            <w:vAlign w:val="bottom"/>
          </w:tcPr>
          <w:p>
            <w:pPr>
              <w:pStyle w:val="TableContents"/>
              <w:bidi w:val="0"/>
              <w:spacing w:before="0" w:after="283"/>
              <w:jc w:val="left"/>
              <w:rPr/>
            </w:pPr>
            <w:r>
              <w:rPr/>
              <w:t> </w:t>
            </w:r>
          </w:p>
        </w:tc>
      </w:tr>
      <w:tr>
        <w:trPr/>
        <w:tc>
          <w:tcPr>
            <w:tcW w:w="3742" w:type="dxa"/>
            <w:tcBorders/>
            <w:shd w:fill="CCEEFF" w:val="clear"/>
          </w:tcPr>
          <w:p>
            <w:pPr>
              <w:pStyle w:val="TableContents"/>
              <w:bidi w:val="0"/>
              <w:spacing w:before="0" w:after="0"/>
              <w:jc w:val="left"/>
              <w:rPr>
                <w:rFonts w:ascii="Arial" w:hAnsi="Arial"/>
                <w:sz w:val="20"/>
              </w:rPr>
            </w:pPr>
            <w:r>
              <w:rPr>
                <w:rFonts w:ascii="Arial" w:hAnsi="Arial"/>
                <w:sz w:val="20"/>
              </w:rPr>
              <w:t>Amortization of APS investments</w:t>
            </w:r>
          </w:p>
        </w:tc>
        <w:tc>
          <w:tcPr>
            <w:tcW w:w="4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b/>
              </w:rPr>
            </w:pPr>
            <w:r>
              <w:rPr>
                <w:b/>
              </w:rPr>
              <w:t>$</w:t>
            </w:r>
          </w:p>
        </w:tc>
        <w:tc>
          <w:tcPr>
            <w:tcW w:w="956" w:type="dxa"/>
            <w:tcBorders/>
            <w:shd w:fill="CCEEFF" w:val="clear"/>
            <w:vAlign w:val="bottom"/>
          </w:tcPr>
          <w:p>
            <w:pPr>
              <w:pStyle w:val="TableContents"/>
              <w:bidi w:val="0"/>
              <w:spacing w:before="0" w:after="283"/>
              <w:jc w:val="right"/>
              <w:rPr>
                <w:b/>
              </w:rPr>
            </w:pPr>
            <w:r>
              <w:rPr>
                <w:b/>
              </w:rPr>
              <w:t>165</w:t>
            </w:r>
          </w:p>
        </w:tc>
        <w:tc>
          <w:tcPr>
            <w:tcW w:w="6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w:t>
            </w:r>
          </w:p>
        </w:tc>
        <w:tc>
          <w:tcPr>
            <w:tcW w:w="1431" w:type="dxa"/>
            <w:tcBorders/>
            <w:shd w:fill="CCEEFF" w:val="clear"/>
            <w:vAlign w:val="bottom"/>
          </w:tcPr>
          <w:p>
            <w:pPr>
              <w:pStyle w:val="TableContents"/>
              <w:bidi w:val="0"/>
              <w:spacing w:before="0" w:after="283"/>
              <w:jc w:val="right"/>
              <w:rPr/>
            </w:pPr>
            <w:r>
              <w:rPr/>
              <w:t>225</w:t>
            </w:r>
          </w:p>
        </w:tc>
        <w:tc>
          <w:tcPr>
            <w:tcW w:w="63" w:type="dxa"/>
            <w:tcBorders/>
            <w:shd w:fill="CCEEFF" w:val="clear"/>
            <w:vAlign w:val="bottom"/>
          </w:tcPr>
          <w:p>
            <w:pPr>
              <w:pStyle w:val="TableContents"/>
              <w:bidi w:val="0"/>
              <w:spacing w:before="0" w:after="283"/>
              <w:jc w:val="left"/>
              <w:rPr/>
            </w:pPr>
            <w:r>
              <w:rPr/>
              <w:t> </w:t>
            </w:r>
          </w:p>
        </w:tc>
      </w:tr>
      <w:tr>
        <w:trPr/>
        <w:tc>
          <w:tcPr>
            <w:tcW w:w="3742" w:type="dxa"/>
            <w:tcBorders/>
          </w:tcPr>
          <w:p>
            <w:pPr>
              <w:pStyle w:val="TableContents"/>
              <w:bidi w:val="0"/>
              <w:spacing w:before="0" w:after="0"/>
              <w:jc w:val="left"/>
              <w:rPr>
                <w:rFonts w:ascii="Arial" w:hAnsi="Arial"/>
                <w:sz w:val="20"/>
              </w:rPr>
            </w:pPr>
            <w:r>
              <w:rPr>
                <w:rFonts w:ascii="Arial" w:hAnsi="Arial"/>
                <w:sz w:val="20"/>
              </w:rPr>
              <w:t>Amortization of exploration data costs capitalized</w:t>
            </w:r>
          </w:p>
        </w:tc>
        <w:tc>
          <w:tcPr>
            <w:tcW w:w="4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b/>
              </w:rPr>
            </w:pPr>
            <w:r>
              <w:rPr>
                <w:b/>
              </w:rPr>
              <w:t>$</w:t>
            </w:r>
          </w:p>
        </w:tc>
        <w:tc>
          <w:tcPr>
            <w:tcW w:w="956" w:type="dxa"/>
            <w:tcBorders/>
            <w:vAlign w:val="bottom"/>
          </w:tcPr>
          <w:p>
            <w:pPr>
              <w:pStyle w:val="TableContents"/>
              <w:bidi w:val="0"/>
              <w:spacing w:before="0" w:after="283"/>
              <w:jc w:val="right"/>
              <w:rPr>
                <w:b/>
              </w:rPr>
            </w:pPr>
            <w:r>
              <w:rPr>
                <w:b/>
              </w:rPr>
              <w:t>74</w:t>
            </w:r>
          </w:p>
        </w:tc>
        <w:tc>
          <w:tcPr>
            <w:tcW w:w="6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w:t>
            </w:r>
          </w:p>
        </w:tc>
        <w:tc>
          <w:tcPr>
            <w:tcW w:w="1431"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3742"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14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42" w:type="dxa"/>
            <w:tcBorders/>
            <w:shd w:fill="CCEEFF" w:val="clear"/>
          </w:tcPr>
          <w:p>
            <w:pPr>
              <w:pStyle w:val="TableContents"/>
              <w:bidi w:val="0"/>
              <w:spacing w:before="0" w:after="283"/>
              <w:jc w:val="left"/>
              <w:rPr>
                <w:sz w:val="4"/>
                <w:szCs w:val="4"/>
              </w:rPr>
            </w:pPr>
            <w:r>
              <w:rPr>
                <w:sz w:val="4"/>
                <w:szCs w:val="4"/>
              </w:rPr>
            </w:r>
          </w:p>
        </w:tc>
        <w:tc>
          <w:tcPr>
            <w:tcW w:w="4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b/>
              </w:rPr>
            </w:pPr>
            <w:r>
              <w:rPr>
                <w:b/>
              </w:rPr>
              <w:t>$</w:t>
            </w:r>
          </w:p>
        </w:tc>
        <w:tc>
          <w:tcPr>
            <w:tcW w:w="956" w:type="dxa"/>
            <w:tcBorders/>
            <w:shd w:fill="CCEEFF" w:val="clear"/>
            <w:vAlign w:val="bottom"/>
          </w:tcPr>
          <w:p>
            <w:pPr>
              <w:pStyle w:val="TableContents"/>
              <w:bidi w:val="0"/>
              <w:spacing w:before="0" w:after="283"/>
              <w:jc w:val="right"/>
              <w:rPr>
                <w:b/>
              </w:rPr>
            </w:pPr>
            <w:r>
              <w:rPr>
                <w:b/>
              </w:rPr>
              <w:t>1,397</w:t>
            </w:r>
          </w:p>
        </w:tc>
        <w:tc>
          <w:tcPr>
            <w:tcW w:w="6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w:t>
            </w:r>
          </w:p>
        </w:tc>
        <w:tc>
          <w:tcPr>
            <w:tcW w:w="1431" w:type="dxa"/>
            <w:tcBorders/>
            <w:shd w:fill="CCEEFF" w:val="clear"/>
            <w:vAlign w:val="bottom"/>
          </w:tcPr>
          <w:p>
            <w:pPr>
              <w:pStyle w:val="TableContents"/>
              <w:bidi w:val="0"/>
              <w:spacing w:before="0" w:after="283"/>
              <w:jc w:val="right"/>
              <w:rPr/>
            </w:pPr>
            <w:r>
              <w:rPr/>
              <w:t>1,273</w:t>
            </w:r>
          </w:p>
        </w:tc>
        <w:tc>
          <w:tcPr>
            <w:tcW w:w="63" w:type="dxa"/>
            <w:tcBorders/>
            <w:shd w:fill="CCEEFF" w:val="clear"/>
            <w:vAlign w:val="bottom"/>
          </w:tcPr>
          <w:p>
            <w:pPr>
              <w:pStyle w:val="TableContents"/>
              <w:bidi w:val="0"/>
              <w:spacing w:before="0" w:after="283"/>
              <w:jc w:val="left"/>
              <w:rPr/>
            </w:pPr>
            <w:r>
              <w:rPr/>
              <w:t> </w:t>
            </w:r>
          </w:p>
        </w:tc>
      </w:tr>
      <w:tr>
        <w:trPr/>
        <w:tc>
          <w:tcPr>
            <w:tcW w:w="3742"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348" w:type="dxa"/>
            <w:tcBorders/>
            <w:vAlign w:val="bottom"/>
          </w:tcPr>
          <w:p>
            <w:pPr>
              <w:pStyle w:val="TableContents"/>
              <w:pBdr>
                <w:top w:val="double" w:sz="6" w:space="1" w:color="000000"/>
              </w:pBdr>
              <w:bidi w:val="0"/>
              <w:spacing w:before="0" w:after="0"/>
              <w:jc w:val="left"/>
              <w:rPr/>
            </w:pPr>
            <w:r>
              <w:rPr/>
              <w:t> </w:t>
            </w:r>
          </w:p>
        </w:tc>
        <w:tc>
          <w:tcPr>
            <w:tcW w:w="143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What are the revenue categories in the Digital Division that offer solutions to SLB’s customers? </w:t>
            </w:r>
          </w:p>
        </w:tc>
      </w:tr>
    </w:tbl>
    <w:p>
      <w:pPr>
        <w:pStyle w:val="TextBody"/>
        <w:bidi w:val="0"/>
        <w:spacing w:before="120" w:after="0"/>
        <w:jc w:val="left"/>
        <w:rPr>
          <w:rFonts w:ascii="Arial" w:hAnsi="Arial"/>
          <w:sz w:val="20"/>
        </w:rPr>
      </w:pPr>
      <w:r>
        <w:rPr>
          <w:rFonts w:ascii="Arial" w:hAnsi="Arial"/>
          <w:sz w:val="20"/>
        </w:rPr>
        <w:t xml:space="preserve">Within Digital, revenue is generated from four key solutions — Platforms &amp; Applications, Digital Operations, Digital Exploration and Professional Services. </w:t>
      </w:r>
    </w:p>
    <w:p>
      <w:pPr>
        <w:pStyle w:val="TextBody"/>
        <w:bidi w:val="0"/>
        <w:spacing w:before="120" w:after="0"/>
        <w:jc w:val="left"/>
        <w:rPr>
          <w:rFonts w:ascii="Arial" w:hAnsi="Arial"/>
          <w:sz w:val="20"/>
        </w:rPr>
      </w:pPr>
      <w:r>
        <w:rPr>
          <w:rFonts w:ascii="Arial" w:hAnsi="Arial"/>
          <w:b/>
          <w:sz w:val="20"/>
        </w:rPr>
        <w:t>Platforms</w:t>
      </w:r>
      <w:r>
        <w:rPr>
          <w:rFonts w:ascii="Arial" w:hAnsi="Arial"/>
          <w:sz w:val="20"/>
        </w:rPr>
        <w:t> </w:t>
      </w:r>
      <w:r>
        <w:rPr>
          <w:rFonts w:ascii="Arial" w:hAnsi="Arial"/>
          <w:b/>
          <w:sz w:val="20"/>
        </w:rPr>
        <w:t>&amp; Applications</w:t>
      </w:r>
      <w:r>
        <w:rPr>
          <w:rFonts w:ascii="Arial" w:hAnsi="Arial"/>
          <w:sz w:val="20"/>
        </w:rPr>
        <w:t xml:space="preserve"> includes SLB’s cloud technologies such as the Delfi and Lumi platforms, along with a suite of specialized, domain-focused applications such as Petrel and Techlog offered as SaaS subscription or perpetual licenses. These platforms and applications automate complex models to simulate the impact of reservoir development plans and aid in the planning of key operations such as drilling, completion and production designs. Additionally, they unlock data and utilize AI and machine learning to reduce cycle time and improve efficiency of workflows to allow customers to make better, faster decisions to improve their project economics and reservoir performance. </w:t>
      </w:r>
    </w:p>
    <w:p>
      <w:pPr>
        <w:pStyle w:val="TextBody"/>
        <w:bidi w:val="0"/>
        <w:spacing w:before="120" w:after="0"/>
        <w:jc w:val="left"/>
        <w:rPr>
          <w:rFonts w:ascii="Arial" w:hAnsi="Arial"/>
          <w:sz w:val="20"/>
        </w:rPr>
      </w:pPr>
      <w:r>
        <w:rPr>
          <w:rFonts w:ascii="Arial" w:hAnsi="Arial"/>
          <w:sz w:val="20"/>
        </w:rPr>
        <w:t xml:space="preserve">Revenue is recurring (with exception of one-off license sales) underpinned by a substantial base of ARR from a globally installed base, complemented by customer adoption of new cloud-based capabilities and IoT-enabled solutions. </w:t>
      </w:r>
    </w:p>
    <w:p>
      <w:pPr>
        <w:pStyle w:val="TextBody"/>
        <w:bidi w:val="0"/>
        <w:spacing w:before="120" w:after="0"/>
        <w:jc w:val="left"/>
        <w:rPr>
          <w:rFonts w:ascii="Arial" w:hAnsi="Arial"/>
          <w:sz w:val="20"/>
        </w:rPr>
      </w:pPr>
      <w:r>
        <w:rPr>
          <w:rFonts w:ascii="Arial" w:hAnsi="Arial"/>
          <w:sz w:val="20"/>
        </w:rPr>
        <w:t xml:space="preserve">This category has best-in-class retention rates and limited churn. </w:t>
      </w:r>
    </w:p>
    <w:p>
      <w:pPr>
        <w:pStyle w:val="TextBody"/>
        <w:bidi w:val="0"/>
        <w:spacing w:before="120" w:after="0"/>
        <w:jc w:val="left"/>
        <w:rPr>
          <w:rFonts w:ascii="Arial" w:hAnsi="Arial"/>
          <w:sz w:val="20"/>
        </w:rPr>
      </w:pPr>
      <w:r>
        <w:rPr>
          <w:rFonts w:ascii="Arial" w:hAnsi="Arial"/>
          <w:b/>
          <w:sz w:val="20"/>
        </w:rPr>
        <w:t>Digital Operations</w:t>
      </w:r>
      <w:r>
        <w:rPr>
          <w:rFonts w:ascii="Arial" w:hAnsi="Arial"/>
          <w:sz w:val="20"/>
        </w:rPr>
        <w:t xml:space="preserve"> combines the unique strengths of SLB’s oilfield services with advanced digital technologies to deliver more reliable, efficient and autonomous field operations. By integrating connected solutions with Performance Live digital service delivery centers, customers gain real-time monitoring, remote decision making and automated execution across their workflows from autonomous drilling to automated well intervention, all while reducing costs and improving project economics. </w:t>
      </w:r>
    </w:p>
    <w:p>
      <w:pPr>
        <w:pStyle w:val="TextBody"/>
        <w:bidi w:val="0"/>
        <w:spacing w:before="120" w:after="0"/>
        <w:jc w:val="left"/>
        <w:rPr>
          <w:rFonts w:ascii="Arial" w:hAnsi="Arial"/>
          <w:sz w:val="20"/>
        </w:rPr>
      </w:pPr>
      <w:r>
        <w:rPr>
          <w:rFonts w:ascii="Arial" w:hAnsi="Arial"/>
          <w:sz w:val="20"/>
        </w:rPr>
        <w:t xml:space="preserve">Revenue is generated from the same customer base as the Core divisions and is, therefore, repeatable. Additionally, a portion of the revenue is recurring in nature. </w:t>
      </w:r>
    </w:p>
    <w:p>
      <w:pPr>
        <w:pStyle w:val="TextBody"/>
        <w:bidi w:val="0"/>
        <w:spacing w:before="120" w:after="0"/>
        <w:jc w:val="left"/>
        <w:rPr>
          <w:rFonts w:ascii="Arial" w:hAnsi="Arial"/>
          <w:sz w:val="20"/>
        </w:rPr>
      </w:pPr>
      <w:r>
        <w:rPr>
          <w:rFonts w:ascii="Arial" w:hAnsi="Arial"/>
          <w:sz w:val="20"/>
        </w:rPr>
        <w:t xml:space="preserve">To incentivize the Core divisions — Well Construction, Reservoir Performance and Production Systems — and Digital to develop and promote this category, the resulting revenue is recognized in both the respective Core division as well as in the Digital Division. This effect is eliminated in consolidation. </w:t>
      </w:r>
    </w:p>
    <w:p>
      <w:pPr>
        <w:pStyle w:val="TextBody"/>
        <w:bidi w:val="0"/>
        <w:spacing w:before="120" w:after="0"/>
        <w:jc w:val="left"/>
        <w:rPr>
          <w:rFonts w:ascii="Arial" w:hAnsi="Arial"/>
          <w:sz w:val="20"/>
        </w:rPr>
      </w:pPr>
      <w:r>
        <w:rPr>
          <w:rFonts w:ascii="Arial" w:hAnsi="Arial"/>
          <w:b/>
          <w:sz w:val="20"/>
        </w:rPr>
        <w:t>Digital Exploration</w:t>
      </w:r>
      <w:r>
        <w:rPr>
          <w:rFonts w:ascii="Arial" w:hAnsi="Arial"/>
          <w:sz w:val="20"/>
        </w:rPr>
        <w:t xml:space="preserve"> represents SLB’s exploration data business. The exploration data library is a differentiated asset library of seismic surveys and other subsurface data that customers rely on for better exploration and development decisions. These licensed datasets also support carbon storage design and monitoring. The library covers key exploration and producing basins worldwide and datasets are refreshed and reprocessed to benefit from the latest imaging algorithms and AI technologies, enabled by high performance cloud computing. </w:t>
      </w:r>
    </w:p>
    <w:p>
      <w:pPr>
        <w:pStyle w:val="TextBody"/>
        <w:bidi w:val="0"/>
        <w:spacing w:before="120" w:after="0"/>
        <w:jc w:val="left"/>
        <w:rPr>
          <w:rFonts w:ascii="Arial" w:hAnsi="Arial"/>
          <w:sz w:val="20"/>
        </w:rPr>
      </w:pPr>
      <w:r>
        <w:rPr>
          <w:rFonts w:ascii="Arial" w:hAnsi="Arial"/>
          <w:sz w:val="20"/>
        </w:rPr>
        <w:t xml:space="preserve">Revenue is generated from one-time, non-transferable license sales and is therefore non-recurring in nature. </w:t>
      </w:r>
    </w:p>
    <w:p>
      <w:pPr>
        <w:pStyle w:val="TextBody"/>
        <w:bidi w:val="0"/>
        <w:spacing w:before="120" w:after="0"/>
        <w:jc w:val="left"/>
        <w:rPr>
          <w:rFonts w:ascii="Arial" w:hAnsi="Arial"/>
          <w:sz w:val="20"/>
        </w:rPr>
      </w:pPr>
      <w:r>
        <w:rPr>
          <w:rFonts w:ascii="Arial" w:hAnsi="Arial"/>
          <w:b/>
          <w:sz w:val="20"/>
        </w:rPr>
        <w:t>Professional Services</w:t>
      </w:r>
      <w:r>
        <w:rPr>
          <w:rFonts w:ascii="Arial" w:hAnsi="Arial"/>
          <w:sz w:val="20"/>
        </w:rPr>
        <w:t xml:space="preserve"> includes consulting and other services required to support customers’ digital transformations. These services include transition support from on-prem to cloud-based digital solutions, data clean-up and migration, workflow automation — including deployment of workflow solutions built within SLB’s global network of Innovation Factori workspaces — and training to further enable customers’ digital transformations. </w:t>
      </w:r>
    </w:p>
    <w:p>
      <w:pPr>
        <w:pStyle w:val="TextBody"/>
        <w:bidi w:val="0"/>
        <w:spacing w:before="120" w:after="0"/>
        <w:jc w:val="left"/>
        <w:rPr>
          <w:rFonts w:ascii="Arial" w:hAnsi="Arial"/>
          <w:sz w:val="20"/>
        </w:rPr>
      </w:pPr>
      <w:r>
        <w:rPr>
          <w:rFonts w:ascii="Arial" w:hAnsi="Arial"/>
          <w:sz w:val="20"/>
        </w:rPr>
        <w:t xml:space="preserve">Revenue in this category is largely project-based, and repetitive engagements with the same customers are common. These services generate pull-through opportunities across other digital revenue streams.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Arial" w:hAnsi="Arial"/>
                <w:b/>
                <w:sz w:val="20"/>
              </w:rPr>
            </w:pPr>
            <w:r>
              <w:rPr>
                <w:rFonts w:ascii="Arial" w:hAnsi="Arial"/>
                <w:b/>
                <w:sz w:val="20"/>
              </w:rPr>
              <w:t xml:space="preserve">How much revenue was generated from each of the categories comprising the Digital Division in the first six months of 2026 and the first six months of 2025? What is the pretax operating income and adjusted EBITDA of the Digital Division for those periods? </w:t>
            </w:r>
          </w:p>
        </w:tc>
      </w:tr>
    </w:tbl>
    <w:p>
      <w:pPr>
        <w:pStyle w:val="TextBody"/>
        <w:bidi w:val="0"/>
        <w:spacing w:before="120" w:after="0"/>
        <w:jc w:val="left"/>
        <w:rPr>
          <w:rFonts w:ascii="Arial" w:hAnsi="Arial"/>
          <w:sz w:val="20"/>
        </w:rPr>
      </w:pPr>
      <w:r>
        <w:rPr>
          <w:rFonts w:ascii="Arial" w:hAnsi="Arial"/>
          <w:sz w:val="20"/>
        </w:rPr>
        <w:t xml:space="preserve">Digital revenue, pretax operating income, and adjusted EBITDA in the first six months of 2026 and first six months of 2025 are detailed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73"/>
        <w:gridCol w:w="314"/>
        <w:gridCol w:w="166"/>
        <w:gridCol w:w="665"/>
        <w:gridCol w:w="281"/>
        <w:gridCol w:w="226"/>
        <w:gridCol w:w="140"/>
        <w:gridCol w:w="572"/>
        <w:gridCol w:w="281"/>
        <w:gridCol w:w="226"/>
        <w:gridCol w:w="1328"/>
      </w:tblGrid>
      <w:tr>
        <w:trPr/>
        <w:tc>
          <w:tcPr>
            <w:tcW w:w="4373"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4373"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28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28" w:type="dxa"/>
            <w:tcBorders>
              <w:bottom w:val="single" w:sz="8" w:space="0" w:color="000000"/>
            </w:tcBorders>
            <w:tcMar>
              <w:bottom w:w="28" w:type="dxa"/>
            </w:tcMar>
            <w:vAlign w:val="bottom"/>
          </w:tcPr>
          <w:p>
            <w:pPr>
              <w:pStyle w:val="TableContents"/>
              <w:bidi w:val="0"/>
              <w:spacing w:before="0" w:after="283"/>
              <w:jc w:val="center"/>
              <w:rPr>
                <w:b/>
              </w:rPr>
            </w:pPr>
            <w:r>
              <w:rPr>
                <w:b/>
              </w:rPr>
              <w:t>Change</w:t>
            </w:r>
          </w:p>
        </w:tc>
      </w:tr>
      <w:tr>
        <w:trPr/>
        <w:tc>
          <w:tcPr>
            <w:tcW w:w="4373"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2026</w:t>
            </w:r>
          </w:p>
        </w:tc>
        <w:tc>
          <w:tcPr>
            <w:tcW w:w="28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2025</w:t>
            </w:r>
          </w:p>
        </w:tc>
        <w:tc>
          <w:tcPr>
            <w:tcW w:w="28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28" w:type="dxa"/>
            <w:tcBorders>
              <w:bottom w:val="single" w:sz="8" w:space="0" w:color="000000"/>
            </w:tcBorders>
            <w:tcMar>
              <w:bottom w:w="28" w:type="dxa"/>
            </w:tcMar>
            <w:vAlign w:val="bottom"/>
          </w:tcPr>
          <w:p>
            <w:pPr>
              <w:pStyle w:val="TableContents"/>
              <w:bidi w:val="0"/>
              <w:spacing w:before="0" w:after="283"/>
              <w:jc w:val="center"/>
              <w:rPr/>
            </w:pPr>
            <w:r>
              <w:rPr/>
              <w:t>Year-on-year</w:t>
            </w:r>
          </w:p>
        </w:tc>
      </w:tr>
      <w:tr>
        <w:trPr/>
        <w:tc>
          <w:tcPr>
            <w:tcW w:w="4373"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31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66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left"/>
              <w:rPr>
                <w:sz w:val="4"/>
                <w:szCs w:val="4"/>
              </w:rPr>
            </w:pPr>
            <w:r>
              <w:rPr>
                <w:sz w:val="4"/>
                <w:szCs w:val="4"/>
              </w:rPr>
            </w:r>
          </w:p>
        </w:tc>
      </w:tr>
      <w:tr>
        <w:trPr/>
        <w:tc>
          <w:tcPr>
            <w:tcW w:w="4373" w:type="dxa"/>
            <w:tcBorders/>
            <w:vAlign w:val="bottom"/>
          </w:tcPr>
          <w:p>
            <w:pPr>
              <w:pStyle w:val="TableContents"/>
              <w:bidi w:val="0"/>
              <w:spacing w:before="0" w:after="0"/>
              <w:jc w:val="left"/>
              <w:rPr>
                <w:rFonts w:ascii="Arial" w:hAnsi="Arial"/>
                <w:sz w:val="20"/>
              </w:rPr>
            </w:pPr>
            <w:r>
              <w:rPr>
                <w:rFonts w:ascii="Arial" w:hAnsi="Arial"/>
                <w:sz w:val="20"/>
              </w:rPr>
              <w:t>Platforms &amp; Applications</w:t>
            </w:r>
          </w:p>
        </w:tc>
        <w:tc>
          <w:tcPr>
            <w:tcW w:w="31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b/>
              </w:rPr>
            </w:pPr>
            <w:r>
              <w:rPr>
                <w:b/>
              </w:rPr>
              <w:t>$</w:t>
            </w:r>
          </w:p>
        </w:tc>
        <w:tc>
          <w:tcPr>
            <w:tcW w:w="665" w:type="dxa"/>
            <w:tcBorders/>
            <w:vAlign w:val="bottom"/>
          </w:tcPr>
          <w:p>
            <w:pPr>
              <w:pStyle w:val="TableContents"/>
              <w:bidi w:val="0"/>
              <w:spacing w:before="0" w:after="283"/>
              <w:jc w:val="right"/>
              <w:rPr>
                <w:b/>
              </w:rPr>
            </w:pPr>
            <w:r>
              <w:rPr>
                <w:b/>
              </w:rPr>
              <w:t>499</w:t>
            </w:r>
          </w:p>
        </w:tc>
        <w:tc>
          <w:tcPr>
            <w:tcW w:w="28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502</w:t>
            </w:r>
          </w:p>
        </w:tc>
        <w:tc>
          <w:tcPr>
            <w:tcW w:w="28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center"/>
              <w:rPr/>
            </w:pPr>
            <w:r>
              <w:rPr/>
              <w:t>-1%</w:t>
            </w:r>
          </w:p>
        </w:tc>
      </w:tr>
      <w:tr>
        <w:trPr/>
        <w:tc>
          <w:tcPr>
            <w:tcW w:w="4373" w:type="dxa"/>
            <w:tcBorders/>
            <w:shd w:fill="CCEEFF" w:val="clear"/>
            <w:vAlign w:val="bottom"/>
          </w:tcPr>
          <w:p>
            <w:pPr>
              <w:pStyle w:val="TableContents"/>
              <w:bidi w:val="0"/>
              <w:spacing w:before="0" w:after="0"/>
              <w:jc w:val="left"/>
              <w:rPr>
                <w:rFonts w:ascii="Arial" w:hAnsi="Arial"/>
                <w:sz w:val="20"/>
              </w:rPr>
            </w:pPr>
            <w:r>
              <w:rPr>
                <w:rFonts w:ascii="Arial" w:hAnsi="Arial"/>
                <w:sz w:val="20"/>
              </w:rPr>
              <w:t>Digital Operations</w:t>
            </w:r>
          </w:p>
        </w:tc>
        <w:tc>
          <w:tcPr>
            <w:tcW w:w="31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b/>
              </w:rPr>
            </w:pPr>
            <w:r>
              <w:rPr>
                <w:b/>
              </w:rPr>
              <w:t>291</w:t>
            </w:r>
          </w:p>
        </w:tc>
        <w:tc>
          <w:tcPr>
            <w:tcW w:w="28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171</w:t>
            </w:r>
          </w:p>
        </w:tc>
        <w:tc>
          <w:tcPr>
            <w:tcW w:w="28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center"/>
              <w:rPr/>
            </w:pPr>
            <w:r>
              <w:rPr/>
              <w:t>70%</w:t>
            </w:r>
          </w:p>
        </w:tc>
      </w:tr>
      <w:tr>
        <w:trPr/>
        <w:tc>
          <w:tcPr>
            <w:tcW w:w="4373" w:type="dxa"/>
            <w:tcBorders/>
            <w:vAlign w:val="bottom"/>
          </w:tcPr>
          <w:p>
            <w:pPr>
              <w:pStyle w:val="TableContents"/>
              <w:bidi w:val="0"/>
              <w:spacing w:before="0" w:after="0"/>
              <w:jc w:val="left"/>
              <w:rPr>
                <w:rFonts w:ascii="Arial" w:hAnsi="Arial"/>
                <w:sz w:val="20"/>
              </w:rPr>
            </w:pPr>
            <w:r>
              <w:rPr>
                <w:rFonts w:ascii="Arial" w:hAnsi="Arial"/>
                <w:sz w:val="20"/>
              </w:rPr>
              <w:t>Digital Exploration</w:t>
            </w:r>
          </w:p>
        </w:tc>
        <w:tc>
          <w:tcPr>
            <w:tcW w:w="31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b/>
              </w:rPr>
            </w:pPr>
            <w:r>
              <w:rPr>
                <w:b/>
              </w:rPr>
              <w:t>227</w:t>
            </w:r>
          </w:p>
        </w:tc>
        <w:tc>
          <w:tcPr>
            <w:tcW w:w="28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173</w:t>
            </w:r>
          </w:p>
        </w:tc>
        <w:tc>
          <w:tcPr>
            <w:tcW w:w="28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center"/>
              <w:rPr/>
            </w:pPr>
            <w:r>
              <w:rPr/>
              <w:t>32%</w:t>
            </w:r>
          </w:p>
        </w:tc>
      </w:tr>
      <w:tr>
        <w:trPr/>
        <w:tc>
          <w:tcPr>
            <w:tcW w:w="4373" w:type="dxa"/>
            <w:tcBorders/>
            <w:shd w:fill="CCEEFF" w:val="clear"/>
            <w:vAlign w:val="bottom"/>
          </w:tcPr>
          <w:p>
            <w:pPr>
              <w:pStyle w:val="TableContents"/>
              <w:bidi w:val="0"/>
              <w:spacing w:before="0" w:after="0"/>
              <w:jc w:val="left"/>
              <w:rPr>
                <w:rFonts w:ascii="Arial" w:hAnsi="Arial"/>
                <w:sz w:val="20"/>
              </w:rPr>
            </w:pPr>
            <w:r>
              <w:rPr>
                <w:rFonts w:ascii="Arial" w:hAnsi="Arial"/>
                <w:sz w:val="20"/>
              </w:rPr>
              <w:t>Professional Services</w:t>
            </w:r>
          </w:p>
        </w:tc>
        <w:tc>
          <w:tcPr>
            <w:tcW w:w="31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b/>
              </w:rPr>
            </w:pPr>
            <w:r>
              <w:rPr>
                <w:b/>
              </w:rPr>
              <w:t>320</w:t>
            </w:r>
          </w:p>
        </w:tc>
        <w:tc>
          <w:tcPr>
            <w:tcW w:w="28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331</w:t>
            </w:r>
          </w:p>
        </w:tc>
        <w:tc>
          <w:tcPr>
            <w:tcW w:w="28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center"/>
              <w:rPr/>
            </w:pPr>
            <w:r>
              <w:rPr/>
              <w:t>-4%</w:t>
            </w:r>
          </w:p>
        </w:tc>
      </w:tr>
      <w:tr>
        <w:trPr/>
        <w:tc>
          <w:tcPr>
            <w:tcW w:w="4373"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65"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28" w:type="dxa"/>
            <w:tcBorders/>
            <w:vAlign w:val="bottom"/>
          </w:tcPr>
          <w:p>
            <w:pPr>
              <w:pStyle w:val="TableContents"/>
              <w:pBdr>
                <w:top w:val="single" w:sz="2" w:space="1" w:color="000000"/>
              </w:pBdr>
              <w:bidi w:val="0"/>
              <w:spacing w:before="0" w:after="0"/>
              <w:jc w:val="left"/>
              <w:rPr/>
            </w:pPr>
            <w:r>
              <w:rPr/>
              <w:t> </w:t>
            </w:r>
          </w:p>
        </w:tc>
      </w:tr>
      <w:tr>
        <w:trPr/>
        <w:tc>
          <w:tcPr>
            <w:tcW w:w="4373"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b/>
              </w:rPr>
            </w:pPr>
            <w:r>
              <w:rPr>
                <w:b/>
              </w:rPr>
              <w:t>$</w:t>
            </w:r>
          </w:p>
        </w:tc>
        <w:tc>
          <w:tcPr>
            <w:tcW w:w="665" w:type="dxa"/>
            <w:tcBorders/>
            <w:vAlign w:val="bottom"/>
          </w:tcPr>
          <w:p>
            <w:pPr>
              <w:pStyle w:val="TableContents"/>
              <w:bidi w:val="0"/>
              <w:spacing w:before="0" w:after="283"/>
              <w:jc w:val="right"/>
              <w:rPr>
                <w:b/>
              </w:rPr>
            </w:pPr>
            <w:r>
              <w:rPr>
                <w:b/>
              </w:rPr>
              <w:t>1,337</w:t>
            </w:r>
          </w:p>
        </w:tc>
        <w:tc>
          <w:tcPr>
            <w:tcW w:w="28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1,177</w:t>
            </w:r>
          </w:p>
        </w:tc>
        <w:tc>
          <w:tcPr>
            <w:tcW w:w="28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center"/>
              <w:rPr/>
            </w:pPr>
            <w:r>
              <w:rPr/>
              <w:t>14%</w:t>
            </w:r>
          </w:p>
        </w:tc>
      </w:tr>
      <w:tr>
        <w:trPr/>
        <w:tc>
          <w:tcPr>
            <w:tcW w:w="4373"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65"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28" w:type="dxa"/>
            <w:tcBorders/>
            <w:vAlign w:val="bottom"/>
          </w:tcPr>
          <w:p>
            <w:pPr>
              <w:pStyle w:val="TableContents"/>
              <w:pBdr>
                <w:top w:val="single" w:sz="2" w:space="1" w:color="000000"/>
              </w:pBdr>
              <w:bidi w:val="0"/>
              <w:spacing w:before="0" w:after="0"/>
              <w:jc w:val="left"/>
              <w:rPr/>
            </w:pPr>
            <w:r>
              <w:rPr/>
              <w:t> </w:t>
            </w:r>
          </w:p>
        </w:tc>
      </w:tr>
      <w:tr>
        <w:trPr/>
        <w:tc>
          <w:tcPr>
            <w:tcW w:w="4373" w:type="dxa"/>
            <w:tcBorders/>
            <w:shd w:fill="CCEEFF" w:val="clear"/>
          </w:tcPr>
          <w:p>
            <w:pPr>
              <w:pStyle w:val="TableContents"/>
              <w:bidi w:val="0"/>
              <w:spacing w:before="0" w:after="0"/>
              <w:jc w:val="left"/>
              <w:rPr>
                <w:rFonts w:ascii="Arial" w:hAnsi="Arial"/>
                <w:sz w:val="20"/>
              </w:rPr>
            </w:pPr>
            <w:r>
              <w:rPr>
                <w:rFonts w:ascii="Arial" w:hAnsi="Arial"/>
                <w:sz w:val="20"/>
              </w:rPr>
              <w:t>Pretax operating income</w:t>
            </w:r>
          </w:p>
        </w:tc>
        <w:tc>
          <w:tcPr>
            <w:tcW w:w="31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65" w:type="dxa"/>
            <w:tcBorders/>
            <w:shd w:fill="CCEEFF" w:val="clear"/>
            <w:vAlign w:val="bottom"/>
          </w:tcPr>
          <w:p>
            <w:pPr>
              <w:pStyle w:val="TableContents"/>
              <w:bidi w:val="0"/>
              <w:spacing w:before="0" w:after="283"/>
              <w:jc w:val="right"/>
              <w:rPr/>
            </w:pPr>
            <w:r>
              <w:rPr/>
              <w:t>328</w:t>
            </w:r>
          </w:p>
        </w:tc>
        <w:tc>
          <w:tcPr>
            <w:tcW w:w="28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278</w:t>
            </w:r>
          </w:p>
        </w:tc>
        <w:tc>
          <w:tcPr>
            <w:tcW w:w="28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center"/>
              <w:rPr/>
            </w:pPr>
            <w:r>
              <w:rPr/>
              <w:t>18%</w:t>
            </w:r>
          </w:p>
        </w:tc>
      </w:tr>
      <w:tr>
        <w:trPr/>
        <w:tc>
          <w:tcPr>
            <w:tcW w:w="4373" w:type="dxa"/>
            <w:tcBorders/>
          </w:tcPr>
          <w:p>
            <w:pPr>
              <w:pStyle w:val="TableContents"/>
              <w:bidi w:val="0"/>
              <w:spacing w:before="0" w:after="0"/>
              <w:jc w:val="left"/>
              <w:rPr>
                <w:rFonts w:ascii="Arial" w:hAnsi="Arial"/>
                <w:sz w:val="20"/>
              </w:rPr>
            </w:pPr>
            <w:r>
              <w:rPr>
                <w:rFonts w:ascii="Arial" w:hAnsi="Arial"/>
                <w:sz w:val="20"/>
              </w:rPr>
              <w:t>Pretax operating margin</w:t>
            </w:r>
          </w:p>
        </w:tc>
        <w:tc>
          <w:tcPr>
            <w:tcW w:w="31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24.5</w:t>
            </w:r>
          </w:p>
        </w:tc>
        <w:tc>
          <w:tcPr>
            <w:tcW w:w="28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23.6</w:t>
            </w:r>
          </w:p>
        </w:tc>
        <w:tc>
          <w:tcPr>
            <w:tcW w:w="28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center"/>
              <w:rPr/>
            </w:pPr>
            <w:r>
              <w:rPr/>
              <w:t>93 bps</w:t>
            </w:r>
          </w:p>
        </w:tc>
      </w:tr>
      <w:tr>
        <w:trPr/>
        <w:tc>
          <w:tcPr>
            <w:tcW w:w="4373" w:type="dxa"/>
            <w:tcBorders/>
            <w:shd w:fill="CCEEFF" w:val="clear"/>
          </w:tcPr>
          <w:p>
            <w:pPr>
              <w:pStyle w:val="TableContents"/>
              <w:bidi w:val="0"/>
              <w:spacing w:before="0" w:after="0"/>
              <w:jc w:val="left"/>
              <w:rPr>
                <w:rFonts w:ascii="Arial" w:hAnsi="Arial"/>
                <w:sz w:val="20"/>
              </w:rPr>
            </w:pPr>
            <w:r>
              <w:rPr>
                <w:rFonts w:ascii="Arial" w:hAnsi="Arial"/>
                <w:sz w:val="20"/>
              </w:rPr>
              <w:t>Adjusted EBITDA</w:t>
            </w:r>
          </w:p>
        </w:tc>
        <w:tc>
          <w:tcPr>
            <w:tcW w:w="31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65" w:type="dxa"/>
            <w:tcBorders/>
            <w:shd w:fill="CCEEFF" w:val="clear"/>
            <w:vAlign w:val="bottom"/>
          </w:tcPr>
          <w:p>
            <w:pPr>
              <w:pStyle w:val="TableContents"/>
              <w:bidi w:val="0"/>
              <w:spacing w:before="0" w:after="283"/>
              <w:jc w:val="right"/>
              <w:rPr/>
            </w:pPr>
            <w:r>
              <w:rPr/>
              <w:t>409</w:t>
            </w:r>
          </w:p>
        </w:tc>
        <w:tc>
          <w:tcPr>
            <w:tcW w:w="28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367</w:t>
            </w:r>
          </w:p>
        </w:tc>
        <w:tc>
          <w:tcPr>
            <w:tcW w:w="28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center"/>
              <w:rPr/>
            </w:pPr>
            <w:r>
              <w:rPr/>
              <w:t>12%</w:t>
            </w:r>
          </w:p>
        </w:tc>
      </w:tr>
      <w:tr>
        <w:trPr/>
        <w:tc>
          <w:tcPr>
            <w:tcW w:w="4373" w:type="dxa"/>
            <w:tcBorders/>
          </w:tcPr>
          <w:p>
            <w:pPr>
              <w:pStyle w:val="TableContents"/>
              <w:bidi w:val="0"/>
              <w:spacing w:before="0" w:after="0"/>
              <w:jc w:val="left"/>
              <w:rPr>
                <w:rFonts w:ascii="Arial" w:hAnsi="Arial"/>
                <w:sz w:val="20"/>
              </w:rPr>
            </w:pPr>
            <w:r>
              <w:rPr>
                <w:rFonts w:ascii="Arial" w:hAnsi="Arial"/>
                <w:sz w:val="20"/>
              </w:rPr>
              <w:t>Adjusted EBITDA margin</w:t>
            </w:r>
          </w:p>
        </w:tc>
        <w:tc>
          <w:tcPr>
            <w:tcW w:w="31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30.6</w:t>
            </w:r>
          </w:p>
        </w:tc>
        <w:tc>
          <w:tcPr>
            <w:tcW w:w="28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31.1</w:t>
            </w:r>
          </w:p>
        </w:tc>
        <w:tc>
          <w:tcPr>
            <w:tcW w:w="28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center"/>
              <w:rPr/>
            </w:pPr>
            <w:r>
              <w:rPr/>
              <w:t>-56 bps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In Digital, what is the definition of ARR and what was the ARR as of June 30, 2026, March 31, 2026, and June 30, 2025? </w:t>
            </w:r>
          </w:p>
        </w:tc>
      </w:tr>
    </w:tbl>
    <w:p>
      <w:pPr>
        <w:pStyle w:val="TextBody"/>
        <w:bidi w:val="0"/>
        <w:spacing w:before="120" w:after="0"/>
        <w:jc w:val="left"/>
        <w:rPr>
          <w:rFonts w:ascii="Arial" w:hAnsi="Arial"/>
          <w:sz w:val="20"/>
        </w:rPr>
      </w:pPr>
      <w:r>
        <w:rPr>
          <w:rFonts w:ascii="Arial" w:hAnsi="Arial"/>
          <w:sz w:val="20"/>
        </w:rPr>
        <w:t xml:space="preserve">ARR represents the annual value of recurring subscription and maintenance revenues from Platforms &amp; Applications, along with the recurring portion of Digital Operations, providing a measure of predictable revenue over the next 12 months. This is calculated based on the trailing twelve months revenue and excludes one-time license sales and variable usage fees. </w:t>
      </w:r>
    </w:p>
    <w:p>
      <w:pPr>
        <w:pStyle w:val="TextBody"/>
        <w:bidi w:val="0"/>
        <w:spacing w:before="120" w:after="0"/>
        <w:jc w:val="left"/>
        <w:rPr>
          <w:rFonts w:ascii="Arial" w:hAnsi="Arial"/>
          <w:sz w:val="20"/>
        </w:rPr>
      </w:pPr>
      <w:r>
        <w:rPr>
          <w:rFonts w:ascii="Arial" w:hAnsi="Arial"/>
          <w:sz w:val="20"/>
        </w:rPr>
        <w:t xml:space="preserve">ARR as of June 30, 2026, was $1.04 billion, compared to $1.02 billion as of March 31, 2026, and $904 million as of June 30, 2025, resulting in a 15% increase year on year and 1% increase sequentially.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What is the Data Center Solutions business and where is it reported? </w:t>
            </w:r>
          </w:p>
        </w:tc>
      </w:tr>
    </w:tbl>
    <w:p>
      <w:pPr>
        <w:pStyle w:val="TextBody"/>
        <w:bidi w:val="0"/>
        <w:spacing w:before="120" w:after="0"/>
        <w:jc w:val="left"/>
        <w:rPr>
          <w:rFonts w:ascii="Arial" w:hAnsi="Arial"/>
          <w:sz w:val="20"/>
        </w:rPr>
      </w:pPr>
      <w:r>
        <w:rPr>
          <w:rFonts w:ascii="Arial" w:hAnsi="Arial"/>
          <w:sz w:val="20"/>
        </w:rPr>
        <w:t xml:space="preserve">The Data Center Solutions business designs and manufactures critical infrastructure components — such as modular data center enclosures, cooling systems and other hardware — for hyperscalers and enterprises. By leveraging scalable, standardized production with rapid lead times, and rigorous quality assurance, SLB provides configurable solutions that balance cost efficiency, reliability and customization to meet accelerating data center demand. </w:t>
      </w:r>
    </w:p>
    <w:p>
      <w:pPr>
        <w:pStyle w:val="TextBody"/>
        <w:bidi w:val="0"/>
        <w:spacing w:before="120" w:after="0"/>
        <w:jc w:val="left"/>
        <w:rPr>
          <w:rFonts w:ascii="Arial" w:hAnsi="Arial"/>
          <w:sz w:val="20"/>
        </w:rPr>
      </w:pPr>
      <w:r>
        <w:rPr>
          <w:rFonts w:ascii="Arial" w:hAnsi="Arial"/>
          <w:sz w:val="20"/>
        </w:rPr>
        <w:t xml:space="preserve">AI-driven data demand is fueling rapid growth, and this business is going to be a material and meaningful contributor to SLB’s portfolio in the future. This business is reported in the All Other category.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How much revenue was generated from the Data Center Solutions business for the second quarter of 2026, the first quarter of 2026, the second quarter of 2025, the first six months of 2026, and the first six months of 2025? </w:t>
            </w:r>
          </w:p>
        </w:tc>
      </w:tr>
    </w:tbl>
    <w:p>
      <w:pPr>
        <w:pStyle w:val="TextBody"/>
        <w:bidi w:val="0"/>
        <w:spacing w:before="120" w:after="0"/>
        <w:jc w:val="left"/>
        <w:rPr>
          <w:rFonts w:ascii="Arial" w:hAnsi="Arial"/>
          <w:sz w:val="20"/>
        </w:rPr>
      </w:pPr>
      <w:r>
        <w:rPr>
          <w:rFonts w:ascii="Arial" w:hAnsi="Arial"/>
          <w:sz w:val="20"/>
        </w:rPr>
        <w:t xml:space="preserve">Data Center Solutions revenue was $186 million in the second quarter of 2026, $141 million in the first quarter of 2026, and $104 million in the second quarter of 2025, resulting in a 33% increase sequentially and 80% increase year on year. </w:t>
      </w:r>
    </w:p>
    <w:p>
      <w:pPr>
        <w:pStyle w:val="TextBody"/>
        <w:bidi w:val="0"/>
        <w:spacing w:before="120" w:after="0"/>
        <w:jc w:val="left"/>
        <w:rPr>
          <w:rFonts w:ascii="Arial" w:hAnsi="Arial"/>
          <w:sz w:val="20"/>
        </w:rPr>
      </w:pPr>
      <w:r>
        <w:rPr>
          <w:rFonts w:ascii="Arial" w:hAnsi="Arial"/>
          <w:sz w:val="20"/>
        </w:rPr>
        <w:t xml:space="preserve">Data Center Solutions revenue was $327 million in the first six months of 2026 and $201 million in the first six months of 2025, resulting in a 63% increase year on year.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What Divisions comprise SLB’s Core business and what were their revenue and pretax operating income for the second quarter of 2026, the first quarter of 2026, and the second quarter of 2025? </w:t>
            </w:r>
          </w:p>
        </w:tc>
      </w:tr>
    </w:tbl>
    <w:p>
      <w:pPr>
        <w:pStyle w:val="TextBody"/>
        <w:bidi w:val="0"/>
        <w:spacing w:before="120" w:after="0"/>
        <w:jc w:val="left"/>
        <w:rPr>
          <w:rFonts w:ascii="Arial" w:hAnsi="Arial"/>
          <w:sz w:val="20"/>
        </w:rPr>
      </w:pPr>
      <w:r>
        <w:rPr>
          <w:rFonts w:ascii="Arial" w:hAnsi="Arial"/>
          <w:sz w:val="20"/>
        </w:rPr>
        <w:t xml:space="preserve">SLB’s Core business comprises the Reservoir Performance, Well Construction, and Production Systems Divisions. SLB’s Core business revenue and pretax operating income for the second quarter of 2026, the first quarter of 2026, and the second quarter of 2025 are calculated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73"/>
        <w:gridCol w:w="194"/>
        <w:gridCol w:w="140"/>
        <w:gridCol w:w="572"/>
        <w:gridCol w:w="320"/>
        <w:gridCol w:w="142"/>
        <w:gridCol w:w="140"/>
        <w:gridCol w:w="572"/>
        <w:gridCol w:w="281"/>
        <w:gridCol w:w="142"/>
        <w:gridCol w:w="140"/>
        <w:gridCol w:w="572"/>
        <w:gridCol w:w="281"/>
        <w:gridCol w:w="141"/>
        <w:gridCol w:w="1115"/>
        <w:gridCol w:w="142"/>
        <w:gridCol w:w="1338"/>
      </w:tblGrid>
      <w:tr>
        <w:trPr/>
        <w:tc>
          <w:tcPr>
            <w:tcW w:w="3973"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r>
      <w:tr>
        <w:trPr/>
        <w:tc>
          <w:tcPr>
            <w:tcW w:w="397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21" w:type="dxa"/>
            <w:gridSpan w:val="10"/>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595" w:type="dxa"/>
            <w:gridSpan w:val="3"/>
            <w:tcBorders/>
            <w:vAlign w:val="bottom"/>
          </w:tcPr>
          <w:p>
            <w:pPr>
              <w:pStyle w:val="TableContents"/>
              <w:bidi w:val="0"/>
              <w:spacing w:before="0" w:after="283"/>
              <w:jc w:val="right"/>
              <w:rPr/>
            </w:pPr>
            <w:r>
              <w:rPr/>
              <w:t>(Stated in millions)</w:t>
            </w:r>
          </w:p>
        </w:tc>
      </w:tr>
      <w:tr>
        <w:trPr/>
        <w:tc>
          <w:tcPr>
            <w:tcW w:w="397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2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8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595" w:type="dxa"/>
            <w:gridSpan w:val="3"/>
            <w:tcBorders>
              <w:bottom w:val="single" w:sz="8" w:space="0" w:color="000000"/>
            </w:tcBorders>
            <w:tcMar>
              <w:bottom w:w="28" w:type="dxa"/>
            </w:tcMar>
            <w:vAlign w:val="bottom"/>
          </w:tcPr>
          <w:p>
            <w:pPr>
              <w:pStyle w:val="TableContents"/>
              <w:bidi w:val="0"/>
              <w:spacing w:before="0" w:after="283"/>
              <w:jc w:val="center"/>
              <w:rPr>
                <w:b/>
              </w:rPr>
            </w:pPr>
            <w:r>
              <w:rPr>
                <w:b/>
              </w:rPr>
              <w:t>Change</w:t>
            </w:r>
          </w:p>
        </w:tc>
      </w:tr>
      <w:tr>
        <w:trPr/>
        <w:tc>
          <w:tcPr>
            <w:tcW w:w="3973"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2026</w:t>
            </w:r>
          </w:p>
        </w:tc>
        <w:tc>
          <w:tcPr>
            <w:tcW w:w="3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pPr>
            <w:r>
              <w:rPr/>
              <w:t>Mar. 31,</w:t>
              <w:br/>
              <w:t>2026</w:t>
            </w:r>
          </w:p>
        </w:tc>
        <w:tc>
          <w:tcPr>
            <w:tcW w:w="28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2025</w:t>
            </w:r>
          </w:p>
        </w:tc>
        <w:tc>
          <w:tcPr>
            <w:tcW w:w="28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5" w:type="dxa"/>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142" w:type="dxa"/>
            <w:tcBorders/>
            <w:vAlign w:val="bottom"/>
          </w:tcPr>
          <w:p>
            <w:pPr>
              <w:pStyle w:val="TableContents"/>
              <w:bidi w:val="0"/>
              <w:spacing w:before="0" w:after="283"/>
              <w:jc w:val="left"/>
              <w:rPr/>
            </w:pPr>
            <w:r>
              <w:rPr/>
              <w:t> </w:t>
            </w:r>
          </w:p>
        </w:tc>
        <w:tc>
          <w:tcPr>
            <w:tcW w:w="1338" w:type="dxa"/>
            <w:tcBorders>
              <w:bottom w:val="single" w:sz="8" w:space="0" w:color="000000"/>
            </w:tcBorders>
            <w:tcMar>
              <w:bottom w:w="28" w:type="dxa"/>
            </w:tcMar>
            <w:vAlign w:val="bottom"/>
          </w:tcPr>
          <w:p>
            <w:pPr>
              <w:pStyle w:val="TableContents"/>
              <w:bidi w:val="0"/>
              <w:spacing w:before="0" w:after="283"/>
              <w:jc w:val="center"/>
              <w:rPr/>
            </w:pPr>
            <w:r>
              <w:rPr/>
              <w:t>Year-on-year</w:t>
            </w:r>
          </w:p>
        </w:tc>
      </w:tr>
      <w:tr>
        <w:trPr/>
        <w:tc>
          <w:tcPr>
            <w:tcW w:w="3973" w:type="dxa"/>
            <w:tcBorders/>
            <w:shd w:fill="CCEEFF" w:val="clear"/>
          </w:tcPr>
          <w:p>
            <w:pPr>
              <w:pStyle w:val="TableContents"/>
              <w:bidi w:val="0"/>
              <w:spacing w:before="0" w:after="0"/>
              <w:jc w:val="left"/>
              <w:rPr>
                <w:rFonts w:ascii="Arial" w:hAnsi="Arial"/>
                <w:b/>
                <w:sz w:val="20"/>
              </w:rPr>
            </w:pPr>
            <w:r>
              <w:rPr>
                <w:rFonts w:ascii="Arial" w:hAnsi="Arial"/>
                <w:b/>
                <w:sz w:val="20"/>
              </w:rPr>
              <w:t>Revenue</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left"/>
              <w:rPr>
                <w:sz w:val="4"/>
                <w:szCs w:val="4"/>
              </w:rPr>
            </w:pPr>
            <w:r>
              <w:rPr>
                <w:sz w:val="4"/>
                <w:szCs w:val="4"/>
              </w:rPr>
            </w:r>
          </w:p>
        </w:tc>
      </w:tr>
      <w:tr>
        <w:trPr/>
        <w:tc>
          <w:tcPr>
            <w:tcW w:w="3973" w:type="dxa"/>
            <w:tcBorders/>
            <w:vAlign w:val="bottom"/>
          </w:tcPr>
          <w:p>
            <w:pPr>
              <w:pStyle w:val="TableContents"/>
              <w:bidi w:val="0"/>
              <w:spacing w:before="0" w:after="0"/>
              <w:jc w:val="left"/>
              <w:rPr>
                <w:rFonts w:ascii="Arial" w:hAnsi="Arial"/>
                <w:sz w:val="20"/>
              </w:rPr>
            </w:pPr>
            <w:r>
              <w:rPr>
                <w:rFonts w:ascii="Arial" w:hAnsi="Arial"/>
                <w:sz w:val="20"/>
              </w:rPr>
              <w:t>Reservoir Performance</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72" w:type="dxa"/>
            <w:tcBorders/>
            <w:vAlign w:val="bottom"/>
          </w:tcPr>
          <w:p>
            <w:pPr>
              <w:pStyle w:val="TableContents"/>
              <w:bidi w:val="0"/>
              <w:spacing w:before="0" w:after="283"/>
              <w:jc w:val="right"/>
              <w:rPr>
                <w:b/>
              </w:rPr>
            </w:pPr>
            <w:r>
              <w:rPr>
                <w:b/>
              </w:rPr>
              <w:t>1,556</w:t>
            </w:r>
          </w:p>
        </w:tc>
        <w:tc>
          <w:tcPr>
            <w:tcW w:w="3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1,594</w:t>
            </w:r>
          </w:p>
        </w:tc>
        <w:tc>
          <w:tcPr>
            <w:tcW w:w="28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1,691</w:t>
            </w:r>
          </w:p>
        </w:tc>
        <w:tc>
          <w:tcPr>
            <w:tcW w:w="28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left"/>
              <w:rPr>
                <w:sz w:val="4"/>
                <w:szCs w:val="4"/>
              </w:rPr>
            </w:pPr>
            <w:r>
              <w:rPr>
                <w:sz w:val="4"/>
                <w:szCs w:val="4"/>
              </w:rPr>
            </w:r>
          </w:p>
        </w:tc>
      </w:tr>
      <w:tr>
        <w:trPr/>
        <w:tc>
          <w:tcPr>
            <w:tcW w:w="3973" w:type="dxa"/>
            <w:tcBorders/>
            <w:shd w:fill="CCEEFF" w:val="clear"/>
            <w:vAlign w:val="bottom"/>
          </w:tcPr>
          <w:p>
            <w:pPr>
              <w:pStyle w:val="TableContents"/>
              <w:bidi w:val="0"/>
              <w:spacing w:before="0" w:after="0"/>
              <w:jc w:val="left"/>
              <w:rPr>
                <w:rFonts w:ascii="Arial" w:hAnsi="Arial"/>
                <w:sz w:val="20"/>
              </w:rPr>
            </w:pPr>
            <w:r>
              <w:rPr>
                <w:rFonts w:ascii="Arial" w:hAnsi="Arial"/>
                <w:sz w:val="20"/>
              </w:rPr>
              <w:t>Well Construction</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b/>
              </w:rPr>
            </w:pPr>
            <w:r>
              <w:rPr>
                <w:b/>
              </w:rPr>
              <w:t>2,742</w:t>
            </w:r>
          </w:p>
        </w:tc>
        <w:tc>
          <w:tcPr>
            <w:tcW w:w="3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2,797</w:t>
            </w:r>
          </w:p>
        </w:tc>
        <w:tc>
          <w:tcPr>
            <w:tcW w:w="28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2,963</w:t>
            </w:r>
          </w:p>
        </w:tc>
        <w:tc>
          <w:tcPr>
            <w:tcW w:w="28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left"/>
              <w:rPr>
                <w:sz w:val="4"/>
                <w:szCs w:val="4"/>
              </w:rPr>
            </w:pPr>
            <w:r>
              <w:rPr>
                <w:sz w:val="4"/>
                <w:szCs w:val="4"/>
              </w:rPr>
            </w:r>
          </w:p>
        </w:tc>
      </w:tr>
      <w:tr>
        <w:trPr/>
        <w:tc>
          <w:tcPr>
            <w:tcW w:w="3973" w:type="dxa"/>
            <w:tcBorders/>
            <w:vAlign w:val="bottom"/>
          </w:tcPr>
          <w:p>
            <w:pPr>
              <w:pStyle w:val="TableContents"/>
              <w:bidi w:val="0"/>
              <w:spacing w:before="0" w:after="0"/>
              <w:jc w:val="left"/>
              <w:rPr>
                <w:rFonts w:ascii="Arial" w:hAnsi="Arial"/>
                <w:sz w:val="20"/>
              </w:rPr>
            </w:pPr>
            <w:r>
              <w:rPr>
                <w:rFonts w:ascii="Arial" w:hAnsi="Arial"/>
                <w:sz w:val="20"/>
              </w:rPr>
              <w:t>Production Systems</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b/>
              </w:rPr>
            </w:pPr>
            <w:r>
              <w:rPr>
                <w:b/>
              </w:rPr>
              <w:t>3,771</w:t>
            </w:r>
          </w:p>
        </w:tc>
        <w:tc>
          <w:tcPr>
            <w:tcW w:w="3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3,508</w:t>
            </w:r>
          </w:p>
        </w:tc>
        <w:tc>
          <w:tcPr>
            <w:tcW w:w="28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2,932</w:t>
            </w:r>
          </w:p>
        </w:tc>
        <w:tc>
          <w:tcPr>
            <w:tcW w:w="28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left"/>
              <w:rPr>
                <w:sz w:val="4"/>
                <w:szCs w:val="4"/>
              </w:rPr>
            </w:pPr>
            <w:r>
              <w:rPr>
                <w:sz w:val="4"/>
                <w:szCs w:val="4"/>
              </w:rPr>
            </w:r>
          </w:p>
        </w:tc>
      </w:tr>
      <w:tr>
        <w:trPr/>
        <w:tc>
          <w:tcPr>
            <w:tcW w:w="3973"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42" w:type="dxa"/>
            <w:tcBorders/>
            <w:vAlign w:val="bottom"/>
          </w:tcPr>
          <w:p>
            <w:pPr>
              <w:pStyle w:val="TableContents"/>
              <w:bidi w:val="0"/>
              <w:spacing w:before="0" w:after="283"/>
              <w:jc w:val="left"/>
              <w:rPr/>
            </w:pPr>
            <w:r>
              <w:rPr/>
              <w:t> </w:t>
            </w:r>
          </w:p>
        </w:tc>
        <w:tc>
          <w:tcPr>
            <w:tcW w:w="1338" w:type="dxa"/>
            <w:tcBorders/>
            <w:vAlign w:val="bottom"/>
          </w:tcPr>
          <w:p>
            <w:pPr>
              <w:pStyle w:val="TableContents"/>
              <w:pBdr>
                <w:top w:val="single" w:sz="2" w:space="1" w:color="000000"/>
              </w:pBdr>
              <w:bidi w:val="0"/>
              <w:spacing w:before="0" w:after="0"/>
              <w:jc w:val="left"/>
              <w:rPr/>
            </w:pPr>
            <w:r>
              <w:rPr/>
              <w:t> </w:t>
            </w:r>
          </w:p>
        </w:tc>
      </w:tr>
      <w:tr>
        <w:trPr/>
        <w:tc>
          <w:tcPr>
            <w:tcW w:w="3973"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72" w:type="dxa"/>
            <w:tcBorders/>
            <w:shd w:fill="CCEEFF" w:val="clear"/>
            <w:vAlign w:val="bottom"/>
          </w:tcPr>
          <w:p>
            <w:pPr>
              <w:pStyle w:val="TableContents"/>
              <w:bidi w:val="0"/>
              <w:spacing w:before="0" w:after="283"/>
              <w:jc w:val="right"/>
              <w:rPr>
                <w:b/>
              </w:rPr>
            </w:pPr>
            <w:r>
              <w:rPr>
                <w:b/>
              </w:rPr>
              <w:t>8,069</w:t>
            </w:r>
          </w:p>
        </w:tc>
        <w:tc>
          <w:tcPr>
            <w:tcW w:w="3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7,899</w:t>
            </w:r>
          </w:p>
        </w:tc>
        <w:tc>
          <w:tcPr>
            <w:tcW w:w="28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7,586</w:t>
            </w:r>
          </w:p>
        </w:tc>
        <w:tc>
          <w:tcPr>
            <w:tcW w:w="28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b/>
              </w:rPr>
            </w:pPr>
            <w:r>
              <w:rPr>
                <w:b/>
              </w:rPr>
              <w:t>2%</w:t>
            </w:r>
          </w:p>
        </w:tc>
        <w:tc>
          <w:tcPr>
            <w:tcW w:w="142"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center"/>
              <w:rPr/>
            </w:pPr>
            <w:r>
              <w:rPr/>
              <w:t>6%</w:t>
            </w:r>
          </w:p>
        </w:tc>
      </w:tr>
      <w:tr>
        <w:trPr/>
        <w:tc>
          <w:tcPr>
            <w:tcW w:w="3973"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42" w:type="dxa"/>
            <w:tcBorders/>
            <w:vAlign w:val="bottom"/>
          </w:tcPr>
          <w:p>
            <w:pPr>
              <w:pStyle w:val="TableContents"/>
              <w:bidi w:val="0"/>
              <w:spacing w:before="0" w:after="283"/>
              <w:jc w:val="left"/>
              <w:rPr/>
            </w:pPr>
            <w:r>
              <w:rPr/>
              <w:t> </w:t>
            </w:r>
          </w:p>
        </w:tc>
        <w:tc>
          <w:tcPr>
            <w:tcW w:w="1338" w:type="dxa"/>
            <w:tcBorders/>
            <w:vAlign w:val="bottom"/>
          </w:tcPr>
          <w:p>
            <w:pPr>
              <w:pStyle w:val="TableContents"/>
              <w:pBdr>
                <w:top w:val="double" w:sz="6" w:space="1" w:color="000000"/>
              </w:pBdr>
              <w:bidi w:val="0"/>
              <w:spacing w:before="0" w:after="0"/>
              <w:jc w:val="left"/>
              <w:rPr/>
            </w:pPr>
            <w:r>
              <w:rPr/>
              <w:t> </w:t>
            </w:r>
          </w:p>
        </w:tc>
      </w:tr>
      <w:tr>
        <w:trPr/>
        <w:tc>
          <w:tcPr>
            <w:tcW w:w="4879" w:type="dxa"/>
            <w:gridSpan w:val="4"/>
            <w:tcBorders/>
          </w:tcPr>
          <w:p>
            <w:pPr>
              <w:pStyle w:val="TableContents"/>
              <w:bidi w:val="0"/>
              <w:spacing w:before="0" w:after="0"/>
              <w:jc w:val="left"/>
              <w:rPr>
                <w:rFonts w:ascii="Arial" w:hAnsi="Arial"/>
                <w:b/>
                <w:sz w:val="20"/>
              </w:rPr>
            </w:pPr>
            <w:r>
              <w:rPr>
                <w:rFonts w:ascii="Arial" w:hAnsi="Arial"/>
                <w:b/>
                <w:sz w:val="20"/>
              </w:rPr>
              <w:t>Pretax Operating Income</w:t>
            </w:r>
          </w:p>
        </w:tc>
        <w:tc>
          <w:tcPr>
            <w:tcW w:w="320" w:type="dxa"/>
            <w:tcBorders/>
          </w:tcPr>
          <w:p>
            <w:pPr>
              <w:pStyle w:val="TableContents"/>
              <w:bidi w:val="0"/>
              <w:spacing w:before="0" w:after="0"/>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left"/>
              <w:rPr>
                <w:sz w:val="4"/>
                <w:szCs w:val="4"/>
              </w:rPr>
            </w:pPr>
            <w:r>
              <w:rPr>
                <w:sz w:val="4"/>
                <w:szCs w:val="4"/>
              </w:rPr>
            </w:r>
          </w:p>
        </w:tc>
      </w:tr>
      <w:tr>
        <w:trPr/>
        <w:tc>
          <w:tcPr>
            <w:tcW w:w="3973" w:type="dxa"/>
            <w:tcBorders/>
            <w:shd w:fill="CCEEFF" w:val="clear"/>
            <w:vAlign w:val="bottom"/>
          </w:tcPr>
          <w:p>
            <w:pPr>
              <w:pStyle w:val="TableContents"/>
              <w:bidi w:val="0"/>
              <w:spacing w:before="0" w:after="0"/>
              <w:jc w:val="left"/>
              <w:rPr>
                <w:rFonts w:ascii="Arial" w:hAnsi="Arial"/>
                <w:sz w:val="20"/>
              </w:rPr>
            </w:pPr>
            <w:r>
              <w:rPr>
                <w:rFonts w:ascii="Arial" w:hAnsi="Arial"/>
                <w:sz w:val="20"/>
              </w:rPr>
              <w:t>Reservoir Performance</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72" w:type="dxa"/>
            <w:tcBorders/>
            <w:shd w:fill="CCEEFF" w:val="clear"/>
            <w:vAlign w:val="bottom"/>
          </w:tcPr>
          <w:p>
            <w:pPr>
              <w:pStyle w:val="TableContents"/>
              <w:bidi w:val="0"/>
              <w:spacing w:before="0" w:after="283"/>
              <w:jc w:val="right"/>
              <w:rPr>
                <w:b/>
              </w:rPr>
            </w:pPr>
            <w:r>
              <w:rPr>
                <w:b/>
              </w:rPr>
              <w:t>232</w:t>
            </w:r>
          </w:p>
        </w:tc>
        <w:tc>
          <w:tcPr>
            <w:tcW w:w="3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257</w:t>
            </w:r>
          </w:p>
        </w:tc>
        <w:tc>
          <w:tcPr>
            <w:tcW w:w="28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314</w:t>
            </w:r>
          </w:p>
        </w:tc>
        <w:tc>
          <w:tcPr>
            <w:tcW w:w="28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left"/>
              <w:rPr>
                <w:sz w:val="4"/>
                <w:szCs w:val="4"/>
              </w:rPr>
            </w:pPr>
            <w:r>
              <w:rPr>
                <w:sz w:val="4"/>
                <w:szCs w:val="4"/>
              </w:rPr>
            </w:r>
          </w:p>
        </w:tc>
      </w:tr>
      <w:tr>
        <w:trPr/>
        <w:tc>
          <w:tcPr>
            <w:tcW w:w="3973" w:type="dxa"/>
            <w:tcBorders/>
            <w:vAlign w:val="bottom"/>
          </w:tcPr>
          <w:p>
            <w:pPr>
              <w:pStyle w:val="TableContents"/>
              <w:bidi w:val="0"/>
              <w:spacing w:before="0" w:after="0"/>
              <w:jc w:val="left"/>
              <w:rPr>
                <w:rFonts w:ascii="Arial" w:hAnsi="Arial"/>
                <w:sz w:val="20"/>
              </w:rPr>
            </w:pPr>
            <w:r>
              <w:rPr>
                <w:rFonts w:ascii="Arial" w:hAnsi="Arial"/>
                <w:sz w:val="20"/>
              </w:rPr>
              <w:t>Well Construction</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b/>
              </w:rPr>
            </w:pPr>
            <w:r>
              <w:rPr>
                <w:b/>
              </w:rPr>
              <w:t>417</w:t>
            </w:r>
          </w:p>
        </w:tc>
        <w:tc>
          <w:tcPr>
            <w:tcW w:w="3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424</w:t>
            </w:r>
          </w:p>
        </w:tc>
        <w:tc>
          <w:tcPr>
            <w:tcW w:w="28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551</w:t>
            </w:r>
          </w:p>
        </w:tc>
        <w:tc>
          <w:tcPr>
            <w:tcW w:w="28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left"/>
              <w:rPr>
                <w:sz w:val="4"/>
                <w:szCs w:val="4"/>
              </w:rPr>
            </w:pPr>
            <w:r>
              <w:rPr>
                <w:sz w:val="4"/>
                <w:szCs w:val="4"/>
              </w:rPr>
            </w:r>
          </w:p>
        </w:tc>
      </w:tr>
      <w:tr>
        <w:trPr/>
        <w:tc>
          <w:tcPr>
            <w:tcW w:w="3973" w:type="dxa"/>
            <w:tcBorders/>
            <w:shd w:fill="CCEEFF" w:val="clear"/>
            <w:vAlign w:val="bottom"/>
          </w:tcPr>
          <w:p>
            <w:pPr>
              <w:pStyle w:val="TableContents"/>
              <w:bidi w:val="0"/>
              <w:spacing w:before="0" w:after="0"/>
              <w:jc w:val="left"/>
              <w:rPr>
                <w:rFonts w:ascii="Arial" w:hAnsi="Arial"/>
                <w:sz w:val="20"/>
              </w:rPr>
            </w:pPr>
            <w:r>
              <w:rPr>
                <w:rFonts w:ascii="Arial" w:hAnsi="Arial"/>
                <w:sz w:val="20"/>
              </w:rPr>
              <w:t>Production Systems</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b/>
              </w:rPr>
            </w:pPr>
            <w:r>
              <w:rPr>
                <w:b/>
              </w:rPr>
              <w:t>586</w:t>
            </w:r>
          </w:p>
        </w:tc>
        <w:tc>
          <w:tcPr>
            <w:tcW w:w="3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497</w:t>
            </w:r>
          </w:p>
        </w:tc>
        <w:tc>
          <w:tcPr>
            <w:tcW w:w="28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491</w:t>
            </w:r>
          </w:p>
        </w:tc>
        <w:tc>
          <w:tcPr>
            <w:tcW w:w="28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left"/>
              <w:rPr>
                <w:sz w:val="4"/>
                <w:szCs w:val="4"/>
              </w:rPr>
            </w:pPr>
            <w:r>
              <w:rPr>
                <w:sz w:val="4"/>
                <w:szCs w:val="4"/>
              </w:rPr>
            </w:r>
          </w:p>
        </w:tc>
      </w:tr>
      <w:tr>
        <w:trPr/>
        <w:tc>
          <w:tcPr>
            <w:tcW w:w="3973"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42" w:type="dxa"/>
            <w:tcBorders/>
            <w:vAlign w:val="bottom"/>
          </w:tcPr>
          <w:p>
            <w:pPr>
              <w:pStyle w:val="TableContents"/>
              <w:bidi w:val="0"/>
              <w:spacing w:before="0" w:after="283"/>
              <w:jc w:val="left"/>
              <w:rPr/>
            </w:pPr>
            <w:r>
              <w:rPr/>
              <w:t> </w:t>
            </w:r>
          </w:p>
        </w:tc>
        <w:tc>
          <w:tcPr>
            <w:tcW w:w="1338" w:type="dxa"/>
            <w:tcBorders/>
            <w:vAlign w:val="bottom"/>
          </w:tcPr>
          <w:p>
            <w:pPr>
              <w:pStyle w:val="TableContents"/>
              <w:pBdr>
                <w:top w:val="single" w:sz="2" w:space="1" w:color="000000"/>
              </w:pBdr>
              <w:bidi w:val="0"/>
              <w:spacing w:before="0" w:after="0"/>
              <w:jc w:val="left"/>
              <w:rPr/>
            </w:pPr>
            <w:r>
              <w:rPr/>
              <w:t> </w:t>
            </w:r>
          </w:p>
        </w:tc>
      </w:tr>
      <w:tr>
        <w:trPr/>
        <w:tc>
          <w:tcPr>
            <w:tcW w:w="3973"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72" w:type="dxa"/>
            <w:tcBorders/>
            <w:vAlign w:val="bottom"/>
          </w:tcPr>
          <w:p>
            <w:pPr>
              <w:pStyle w:val="TableContents"/>
              <w:bidi w:val="0"/>
              <w:spacing w:before="0" w:after="283"/>
              <w:jc w:val="right"/>
              <w:rPr>
                <w:b/>
              </w:rPr>
            </w:pPr>
            <w:r>
              <w:rPr>
                <w:b/>
              </w:rPr>
              <w:t>1,235</w:t>
            </w:r>
          </w:p>
        </w:tc>
        <w:tc>
          <w:tcPr>
            <w:tcW w:w="3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1,177</w:t>
            </w:r>
          </w:p>
        </w:tc>
        <w:tc>
          <w:tcPr>
            <w:tcW w:w="28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1,357</w:t>
            </w:r>
          </w:p>
        </w:tc>
        <w:tc>
          <w:tcPr>
            <w:tcW w:w="28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b/>
              </w:rPr>
            </w:pPr>
            <w:r>
              <w:rPr>
                <w:b/>
              </w:rPr>
              <w:t>5%</w:t>
            </w:r>
          </w:p>
        </w:tc>
        <w:tc>
          <w:tcPr>
            <w:tcW w:w="142"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center"/>
              <w:rPr/>
            </w:pPr>
            <w:r>
              <w:rPr/>
              <w:t>-9%</w:t>
            </w:r>
          </w:p>
        </w:tc>
      </w:tr>
      <w:tr>
        <w:trPr/>
        <w:tc>
          <w:tcPr>
            <w:tcW w:w="3973"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42" w:type="dxa"/>
            <w:tcBorders/>
            <w:vAlign w:val="bottom"/>
          </w:tcPr>
          <w:p>
            <w:pPr>
              <w:pStyle w:val="TableContents"/>
              <w:bidi w:val="0"/>
              <w:spacing w:before="0" w:after="283"/>
              <w:jc w:val="left"/>
              <w:rPr/>
            </w:pPr>
            <w:r>
              <w:rPr/>
              <w:t> </w:t>
            </w:r>
          </w:p>
        </w:tc>
        <w:tc>
          <w:tcPr>
            <w:tcW w:w="1338" w:type="dxa"/>
            <w:tcBorders/>
            <w:vAlign w:val="bottom"/>
          </w:tcPr>
          <w:p>
            <w:pPr>
              <w:pStyle w:val="TableContents"/>
              <w:pBdr>
                <w:top w:val="double" w:sz="6" w:space="1" w:color="000000"/>
              </w:pBdr>
              <w:bidi w:val="0"/>
              <w:spacing w:before="0" w:after="0"/>
              <w:jc w:val="left"/>
              <w:rPr/>
            </w:pPr>
            <w:r>
              <w:rPr/>
              <w:t> </w:t>
            </w:r>
          </w:p>
        </w:tc>
      </w:tr>
      <w:tr>
        <w:trPr/>
        <w:tc>
          <w:tcPr>
            <w:tcW w:w="4879" w:type="dxa"/>
            <w:gridSpan w:val="4"/>
            <w:tcBorders/>
            <w:shd w:fill="CCEEFF" w:val="clear"/>
          </w:tcPr>
          <w:p>
            <w:pPr>
              <w:pStyle w:val="TableContents"/>
              <w:bidi w:val="0"/>
              <w:spacing w:before="0" w:after="0"/>
              <w:jc w:val="left"/>
              <w:rPr>
                <w:rFonts w:ascii="Arial" w:hAnsi="Arial"/>
                <w:b/>
                <w:sz w:val="20"/>
              </w:rPr>
            </w:pPr>
            <w:r>
              <w:rPr>
                <w:rFonts w:ascii="Arial" w:hAnsi="Arial"/>
                <w:b/>
                <w:sz w:val="20"/>
              </w:rPr>
              <w:t>Pretax Operating Margin</w:t>
            </w:r>
          </w:p>
        </w:tc>
        <w:tc>
          <w:tcPr>
            <w:tcW w:w="320" w:type="dxa"/>
            <w:tcBorders/>
            <w:shd w:fill="CCEEFF" w:val="clear"/>
          </w:tcPr>
          <w:p>
            <w:pPr>
              <w:pStyle w:val="TableContents"/>
              <w:bidi w:val="0"/>
              <w:spacing w:before="0" w:after="0"/>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left"/>
              <w:rPr>
                <w:sz w:val="4"/>
                <w:szCs w:val="4"/>
              </w:rPr>
            </w:pPr>
            <w:r>
              <w:rPr>
                <w:sz w:val="4"/>
                <w:szCs w:val="4"/>
              </w:rPr>
            </w:r>
          </w:p>
        </w:tc>
      </w:tr>
      <w:tr>
        <w:trPr/>
        <w:tc>
          <w:tcPr>
            <w:tcW w:w="3973" w:type="dxa"/>
            <w:tcBorders/>
            <w:vAlign w:val="bottom"/>
          </w:tcPr>
          <w:p>
            <w:pPr>
              <w:pStyle w:val="TableContents"/>
              <w:bidi w:val="0"/>
              <w:spacing w:before="0" w:after="0"/>
              <w:jc w:val="left"/>
              <w:rPr>
                <w:rFonts w:ascii="Arial" w:hAnsi="Arial"/>
                <w:sz w:val="20"/>
              </w:rPr>
            </w:pPr>
            <w:r>
              <w:rPr>
                <w:rFonts w:ascii="Arial" w:hAnsi="Arial"/>
                <w:sz w:val="20"/>
              </w:rPr>
              <w:t>Reservoir Performance</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b/>
              </w:rPr>
            </w:pPr>
            <w:r>
              <w:rPr>
                <w:b/>
              </w:rPr>
              <w:t>14.9</w:t>
            </w:r>
          </w:p>
        </w:tc>
        <w:tc>
          <w:tcPr>
            <w:tcW w:w="320" w:type="dxa"/>
            <w:tcBorders/>
            <w:vAlign w:val="bottom"/>
          </w:tcPr>
          <w:p>
            <w:pPr>
              <w:pStyle w:val="TableContents"/>
              <w:bidi w:val="0"/>
              <w:spacing w:before="0" w:after="283"/>
              <w:jc w:val="left"/>
              <w:rPr>
                <w:b/>
              </w:rPr>
            </w:pPr>
            <w:r>
              <w:rPr>
                <w:b/>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16.1</w:t>
            </w:r>
          </w:p>
        </w:tc>
        <w:tc>
          <w:tcPr>
            <w:tcW w:w="28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18.6</w:t>
            </w:r>
          </w:p>
        </w:tc>
        <w:tc>
          <w:tcPr>
            <w:tcW w:w="28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left"/>
              <w:rPr>
                <w:sz w:val="4"/>
                <w:szCs w:val="4"/>
              </w:rPr>
            </w:pPr>
            <w:r>
              <w:rPr>
                <w:sz w:val="4"/>
                <w:szCs w:val="4"/>
              </w:rPr>
            </w:r>
          </w:p>
        </w:tc>
      </w:tr>
      <w:tr>
        <w:trPr/>
        <w:tc>
          <w:tcPr>
            <w:tcW w:w="3973" w:type="dxa"/>
            <w:tcBorders/>
            <w:shd w:fill="CCEEFF" w:val="clear"/>
            <w:vAlign w:val="bottom"/>
          </w:tcPr>
          <w:p>
            <w:pPr>
              <w:pStyle w:val="TableContents"/>
              <w:bidi w:val="0"/>
              <w:spacing w:before="0" w:after="0"/>
              <w:jc w:val="left"/>
              <w:rPr>
                <w:rFonts w:ascii="Arial" w:hAnsi="Arial"/>
                <w:sz w:val="20"/>
              </w:rPr>
            </w:pPr>
            <w:r>
              <w:rPr>
                <w:rFonts w:ascii="Arial" w:hAnsi="Arial"/>
                <w:sz w:val="20"/>
              </w:rPr>
              <w:t>Well Construction</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b/>
              </w:rPr>
            </w:pPr>
            <w:r>
              <w:rPr>
                <w:b/>
              </w:rPr>
              <w:t>15.2</w:t>
            </w:r>
          </w:p>
        </w:tc>
        <w:tc>
          <w:tcPr>
            <w:tcW w:w="320" w:type="dxa"/>
            <w:tcBorders/>
            <w:shd w:fill="CCEEFF" w:val="clear"/>
            <w:vAlign w:val="bottom"/>
          </w:tcPr>
          <w:p>
            <w:pPr>
              <w:pStyle w:val="TableContents"/>
              <w:bidi w:val="0"/>
              <w:spacing w:before="0" w:after="283"/>
              <w:jc w:val="left"/>
              <w:rPr>
                <w:b/>
              </w:rPr>
            </w:pPr>
            <w:r>
              <w:rPr>
                <w:b/>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15.2</w:t>
            </w:r>
          </w:p>
        </w:tc>
        <w:tc>
          <w:tcPr>
            <w:tcW w:w="28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18.6</w:t>
            </w:r>
          </w:p>
        </w:tc>
        <w:tc>
          <w:tcPr>
            <w:tcW w:w="28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left"/>
              <w:rPr>
                <w:sz w:val="4"/>
                <w:szCs w:val="4"/>
              </w:rPr>
            </w:pPr>
            <w:r>
              <w:rPr>
                <w:sz w:val="4"/>
                <w:szCs w:val="4"/>
              </w:rPr>
            </w:r>
          </w:p>
        </w:tc>
      </w:tr>
      <w:tr>
        <w:trPr/>
        <w:tc>
          <w:tcPr>
            <w:tcW w:w="3973" w:type="dxa"/>
            <w:tcBorders/>
            <w:vAlign w:val="bottom"/>
          </w:tcPr>
          <w:p>
            <w:pPr>
              <w:pStyle w:val="TableContents"/>
              <w:bidi w:val="0"/>
              <w:spacing w:before="0" w:after="0"/>
              <w:jc w:val="left"/>
              <w:rPr>
                <w:rFonts w:ascii="Arial" w:hAnsi="Arial"/>
                <w:sz w:val="20"/>
              </w:rPr>
            </w:pPr>
            <w:r>
              <w:rPr>
                <w:rFonts w:ascii="Arial" w:hAnsi="Arial"/>
                <w:sz w:val="20"/>
              </w:rPr>
              <w:t>Production Systems</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b/>
              </w:rPr>
            </w:pPr>
            <w:r>
              <w:rPr>
                <w:b/>
              </w:rPr>
              <w:t>15.5</w:t>
            </w:r>
          </w:p>
        </w:tc>
        <w:tc>
          <w:tcPr>
            <w:tcW w:w="320" w:type="dxa"/>
            <w:tcBorders/>
            <w:vAlign w:val="bottom"/>
          </w:tcPr>
          <w:p>
            <w:pPr>
              <w:pStyle w:val="TableContents"/>
              <w:bidi w:val="0"/>
              <w:spacing w:before="0" w:after="283"/>
              <w:jc w:val="left"/>
              <w:rPr>
                <w:b/>
              </w:rPr>
            </w:pPr>
            <w:r>
              <w:rPr>
                <w:b/>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14.2</w:t>
            </w:r>
          </w:p>
        </w:tc>
        <w:tc>
          <w:tcPr>
            <w:tcW w:w="28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16.7</w:t>
            </w:r>
          </w:p>
        </w:tc>
        <w:tc>
          <w:tcPr>
            <w:tcW w:w="28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left"/>
              <w:rPr>
                <w:sz w:val="4"/>
                <w:szCs w:val="4"/>
              </w:rPr>
            </w:pPr>
            <w:r>
              <w:rPr>
                <w:sz w:val="4"/>
                <w:szCs w:val="4"/>
              </w:rPr>
            </w:r>
          </w:p>
        </w:tc>
      </w:tr>
      <w:tr>
        <w:trPr/>
        <w:tc>
          <w:tcPr>
            <w:tcW w:w="3973"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42" w:type="dxa"/>
            <w:tcBorders/>
            <w:vAlign w:val="bottom"/>
          </w:tcPr>
          <w:p>
            <w:pPr>
              <w:pStyle w:val="TableContents"/>
              <w:bidi w:val="0"/>
              <w:spacing w:before="0" w:after="283"/>
              <w:jc w:val="left"/>
              <w:rPr/>
            </w:pPr>
            <w:r>
              <w:rPr/>
              <w:t> </w:t>
            </w:r>
          </w:p>
        </w:tc>
        <w:tc>
          <w:tcPr>
            <w:tcW w:w="1338" w:type="dxa"/>
            <w:tcBorders/>
            <w:vAlign w:val="bottom"/>
          </w:tcPr>
          <w:p>
            <w:pPr>
              <w:pStyle w:val="TableContents"/>
              <w:pBdr>
                <w:top w:val="single" w:sz="2" w:space="1" w:color="000000"/>
              </w:pBdr>
              <w:bidi w:val="0"/>
              <w:spacing w:before="0" w:after="0"/>
              <w:jc w:val="left"/>
              <w:rPr/>
            </w:pPr>
            <w:r>
              <w:rPr/>
              <w:t> </w:t>
            </w:r>
          </w:p>
        </w:tc>
      </w:tr>
      <w:tr>
        <w:trPr/>
        <w:tc>
          <w:tcPr>
            <w:tcW w:w="3973"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b/>
              </w:rPr>
            </w:pPr>
            <w:r>
              <w:rPr>
                <w:b/>
              </w:rPr>
              <w:t>15.3</w:t>
            </w:r>
          </w:p>
        </w:tc>
        <w:tc>
          <w:tcPr>
            <w:tcW w:w="320" w:type="dxa"/>
            <w:tcBorders/>
            <w:shd w:fill="CCEEFF" w:val="clear"/>
            <w:vAlign w:val="bottom"/>
          </w:tcPr>
          <w:p>
            <w:pPr>
              <w:pStyle w:val="TableContents"/>
              <w:bidi w:val="0"/>
              <w:spacing w:before="0" w:after="283"/>
              <w:jc w:val="left"/>
              <w:rPr>
                <w:b/>
              </w:rPr>
            </w:pPr>
            <w:r>
              <w:rPr>
                <w:b/>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14.9</w:t>
            </w:r>
          </w:p>
        </w:tc>
        <w:tc>
          <w:tcPr>
            <w:tcW w:w="28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17.9</w:t>
            </w:r>
          </w:p>
        </w:tc>
        <w:tc>
          <w:tcPr>
            <w:tcW w:w="28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b/>
              </w:rPr>
            </w:pPr>
            <w:r>
              <w:rPr>
                <w:b/>
              </w:rPr>
              <w:t>40 bps</w:t>
            </w:r>
          </w:p>
        </w:tc>
        <w:tc>
          <w:tcPr>
            <w:tcW w:w="142"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center"/>
              <w:rPr/>
            </w:pPr>
            <w:r>
              <w:rPr/>
              <w:t>-258 bps</w:t>
            </w:r>
          </w:p>
        </w:tc>
      </w:tr>
      <w:tr>
        <w:trPr/>
        <w:tc>
          <w:tcPr>
            <w:tcW w:w="3973"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42" w:type="dxa"/>
            <w:tcBorders/>
            <w:vAlign w:val="bottom"/>
          </w:tcPr>
          <w:p>
            <w:pPr>
              <w:pStyle w:val="TableContents"/>
              <w:bidi w:val="0"/>
              <w:spacing w:before="0" w:after="283"/>
              <w:jc w:val="left"/>
              <w:rPr/>
            </w:pPr>
            <w:r>
              <w:rPr/>
              <w:t> </w:t>
            </w:r>
          </w:p>
        </w:tc>
        <w:tc>
          <w:tcPr>
            <w:tcW w:w="1338"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240" w:after="0"/>
        <w:jc w:val="left"/>
        <w:rPr>
          <w:rFonts w:ascii="Arial" w:hAnsi="Arial"/>
          <w:sz w:val="20"/>
        </w:rPr>
      </w:pPr>
      <w:r>
        <w:rPr>
          <w:rFonts w:ascii="Arial" w:hAnsi="Arial"/>
          <w:sz w:val="20"/>
        </w:rPr>
        <w:t xml:space="preserve">Second-quarter 2026 results reflect activity from ChampionX, which contributed $865 million of revenue to Production Systems. Excluding the impact of this acquisition, Core revenue decreased 5% year on year. </w:t>
      </w:r>
    </w:p>
    <w:p>
      <w:pPr>
        <w:pStyle w:val="TextBody"/>
        <w:bidi w:val="0"/>
        <w:spacing w:before="360" w:after="0"/>
        <w:jc w:val="left"/>
        <w:rPr>
          <w:rFonts w:ascii="Arial" w:hAnsi="Arial"/>
          <w:b/>
          <w:sz w:val="20"/>
        </w:rPr>
      </w:pPr>
      <w:r>
        <w:rPr>
          <w:rFonts w:ascii="Arial" w:hAnsi="Arial"/>
          <w:b/>
          <w:sz w:val="20"/>
        </w:rPr>
        <w:t xml:space="preserve">About SLB </w:t>
      </w:r>
    </w:p>
    <w:p>
      <w:pPr>
        <w:pStyle w:val="TextBody"/>
        <w:bidi w:val="0"/>
        <w:spacing w:before="120" w:after="0"/>
        <w:jc w:val="left"/>
        <w:rPr>
          <w:rFonts w:ascii="Arial" w:hAnsi="Arial"/>
          <w:sz w:val="20"/>
        </w:rPr>
      </w:pPr>
      <w:r>
        <w:rPr>
          <w:rFonts w:ascii="Arial" w:hAnsi="Arial"/>
          <w:sz w:val="20"/>
        </w:rPr>
        <w:t xml:space="preserve">SLB (NYSE: SLB) is a global technology company that has driven energy innovation for 100 years.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 </w:t>
      </w:r>
    </w:p>
    <w:p>
      <w:pPr>
        <w:pStyle w:val="TextBody"/>
        <w:bidi w:val="0"/>
        <w:spacing w:before="360" w:after="0"/>
        <w:jc w:val="left"/>
        <w:rPr>
          <w:rFonts w:ascii="Arial" w:hAnsi="Arial"/>
          <w:b/>
          <w:sz w:val="20"/>
        </w:rPr>
      </w:pPr>
      <w:r>
        <w:rPr>
          <w:rFonts w:ascii="Arial" w:hAnsi="Arial"/>
          <w:b/>
          <w:sz w:val="20"/>
        </w:rPr>
        <w:t xml:space="preserve">Conference Call Information </w:t>
      </w:r>
    </w:p>
    <w:p>
      <w:pPr>
        <w:pStyle w:val="TextBody"/>
        <w:bidi w:val="0"/>
        <w:spacing w:before="120" w:after="0"/>
        <w:jc w:val="left"/>
        <w:rPr>
          <w:rFonts w:ascii="Arial" w:hAnsi="Arial"/>
          <w:sz w:val="20"/>
        </w:rPr>
      </w:pPr>
      <w:r>
        <w:rPr>
          <w:rFonts w:ascii="Arial" w:hAnsi="Arial"/>
          <w:sz w:val="20"/>
        </w:rPr>
        <w:t xml:space="preserve">SLB will hold a conference call to discuss the earnings press release and business outlook on Friday, July 24, 2026. The call is scheduled to begin at 9:30 a.m. U.S. Eastern time. To access the call, which is open to the public, please contact the conference call operator at +1 (800) 715-9871 within North America, or +1 (646) 307-1963 outside of North America, approximately 10 minutes prior to the call’s scheduled start time, and provide the access code 3440360. At the conclusion of the conference call, an audio replay will be available until July 31, 2026, by dialling +1 (800) 770-2030 within North America, or +1 (609) 800-9909 outside of North America, and providing the access code 3440360. The conference call will be webcasted simultaneously at https://events.q4inc.com/attendee/157027565 on a listen-only basis. A replay of the webcast will also be available at the same website until July 31, 2026.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464"/>
        <w:gridCol w:w="123"/>
        <w:gridCol w:w="3618"/>
      </w:tblGrid>
      <w:tr>
        <w:trPr/>
        <w:tc>
          <w:tcPr>
            <w:tcW w:w="646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6464" w:type="dxa"/>
            <w:tcBorders/>
            <w:vAlign w:val="bottom"/>
          </w:tcPr>
          <w:p>
            <w:pPr>
              <w:pStyle w:val="TableContents"/>
              <w:bidi w:val="0"/>
              <w:spacing w:before="0" w:after="283"/>
              <w:jc w:val="left"/>
              <w:rPr>
                <w:b/>
              </w:rPr>
            </w:pPr>
            <w:r>
              <w:rPr>
                <w:b/>
              </w:rPr>
              <w:t>Investors</w:t>
            </w:r>
          </w:p>
        </w:tc>
        <w:tc>
          <w:tcPr>
            <w:tcW w:w="123" w:type="dxa"/>
            <w:tcBorders/>
            <w:vAlign w:val="bottom"/>
          </w:tcPr>
          <w:p>
            <w:pPr>
              <w:pStyle w:val="TableContents"/>
              <w:bidi w:val="0"/>
              <w:spacing w:before="0" w:after="283"/>
              <w:jc w:val="left"/>
              <w:rPr/>
            </w:pPr>
            <w:r>
              <w:rPr/>
              <w:t>  </w:t>
            </w:r>
          </w:p>
        </w:tc>
        <w:tc>
          <w:tcPr>
            <w:tcW w:w="3618" w:type="dxa"/>
            <w:tcBorders/>
            <w:vAlign w:val="bottom"/>
          </w:tcPr>
          <w:p>
            <w:pPr>
              <w:pStyle w:val="TableContents"/>
              <w:bidi w:val="0"/>
              <w:spacing w:before="0" w:after="283"/>
              <w:jc w:val="left"/>
              <w:rPr>
                <w:b/>
              </w:rPr>
            </w:pPr>
            <w:r>
              <w:rPr>
                <w:b/>
              </w:rPr>
              <w:t>Media</w:t>
            </w:r>
          </w:p>
        </w:tc>
      </w:tr>
      <w:tr>
        <w:trPr/>
        <w:tc>
          <w:tcPr>
            <w:tcW w:w="6464" w:type="dxa"/>
            <w:tcBorders/>
          </w:tcPr>
          <w:p>
            <w:pPr>
              <w:pStyle w:val="TableContents"/>
              <w:bidi w:val="0"/>
              <w:spacing w:before="0" w:after="283"/>
              <w:jc w:val="left"/>
              <w:rPr/>
            </w:pPr>
            <w:r>
              <w:rPr/>
              <w:t xml:space="preserve">James R. McDonald — SVP, Investor Relations &amp; Industry Affairs, SLB </w:t>
              <w:br/>
              <w:t xml:space="preserve">Joy V. Domingo — Director of Investor Relations, SLB </w:t>
              <w:br/>
              <w:t xml:space="preserve">Tel: +1 (713) 375-3535 </w:t>
              <w:br/>
              <w:t>investor-relations@slb.com</w:t>
            </w:r>
          </w:p>
        </w:tc>
        <w:tc>
          <w:tcPr>
            <w:tcW w:w="123" w:type="dxa"/>
            <w:tcBorders/>
            <w:vAlign w:val="bottom"/>
          </w:tcPr>
          <w:p>
            <w:pPr>
              <w:pStyle w:val="TableContents"/>
              <w:bidi w:val="0"/>
              <w:spacing w:before="0" w:after="283"/>
              <w:jc w:val="left"/>
              <w:rPr/>
            </w:pPr>
            <w:r>
              <w:rPr/>
              <w:t>  </w:t>
            </w:r>
          </w:p>
        </w:tc>
        <w:tc>
          <w:tcPr>
            <w:tcW w:w="3618" w:type="dxa"/>
            <w:tcBorders/>
          </w:tcPr>
          <w:p>
            <w:pPr>
              <w:pStyle w:val="TableContents"/>
              <w:bidi w:val="0"/>
              <w:spacing w:before="0" w:after="283"/>
              <w:jc w:val="left"/>
              <w:rPr/>
            </w:pPr>
            <w:r>
              <w:rPr/>
              <w:t xml:space="preserve">Josh Byerly — SVP of Global Communications, SLB </w:t>
              <w:br/>
              <w:t xml:space="preserve">Moira Duff — Director of External Communications, SLB </w:t>
              <w:br/>
              <w:t xml:space="preserve">Tel: +1 (713) 375-3407 </w:t>
              <w:br/>
              <w:t>media@slb.com</w:t>
            </w:r>
          </w:p>
        </w:tc>
      </w:tr>
    </w:tbl>
    <w:p>
      <w:pPr>
        <w:pStyle w:val="TextBody"/>
        <w:bidi w:val="0"/>
        <w:spacing w:before="360" w:after="0"/>
        <w:jc w:val="left"/>
        <w:rPr>
          <w:rFonts w:ascii="Arial" w:hAnsi="Arial"/>
          <w:b/>
          <w:sz w:val="20"/>
        </w:rPr>
      </w:pPr>
      <w:r>
        <w:rPr>
          <w:rFonts w:ascii="Arial" w:hAnsi="Arial"/>
          <w:b/>
          <w:sz w:val="20"/>
        </w:rPr>
        <w:t xml:space="preserve">Forward-Looking Statements </w:t>
      </w:r>
    </w:p>
    <w:p>
      <w:pPr>
        <w:pStyle w:val="TextBody"/>
        <w:bidi w:val="0"/>
        <w:spacing w:before="120" w:after="0"/>
        <w:jc w:val="left"/>
        <w:rPr>
          <w:rFonts w:ascii="Arial" w:hAnsi="Arial"/>
          <w:sz w:val="20"/>
        </w:rPr>
      </w:pPr>
      <w:r>
        <w:rPr>
          <w:rFonts w:ascii="Arial" w:hAnsi="Arial"/>
          <w:sz w:val="20"/>
        </w:rPr>
        <w:t xml:space="preserve">This second-quarter 2026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the benefits of the ChampionX acquisition, including the ability of SLB to integrate the ChampionX business successfully and to achieve anticipated synergies and value creation from the acquisition;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the ongoing or escalating conflicts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foreign currency risk; inflation; changes in monetary policy by governments; tariffs;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(the “SEC”). </w:t>
      </w:r>
    </w:p>
    <w:p>
      <w:pPr>
        <w:pStyle w:val="TextBody"/>
        <w:bidi w:val="0"/>
        <w:spacing w:before="240" w:after="0"/>
        <w:jc w:val="left"/>
        <w:rPr>
          <w:rFonts w:ascii="Arial" w:hAnsi="Arial"/>
          <w:sz w:val="20"/>
        </w:rPr>
      </w:pPr>
      <w:r>
        <w:rPr>
          <w:rFonts w:ascii="Arial" w:hAnsi="Arial"/>
          <w:sz w:val="20"/>
        </w:rPr>
        <w:t xml:space="preserve">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SLB disclaims any intention or obligation to update publicly or revise such statements, whether as a result of new information, future events, or otherwise.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12885</Words>
  <Characters>69944</Characters>
  <CharactersWithSpaces>87514</CharactersWithSpaces>
  <Paragraphs>8765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dc:title>
</cp:coreProperties>
</file>