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76835</wp:posOffset>
            </wp:positionV>
            <wp:extent cx="14427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2720" cy="8255"/>
                    </a:xfrm>
                    <a:prstGeom prst="rect">
                      <a:avLst/>
                    </a:prstGeom>
                    <a:noFill/>
                  </pic:spPr>
                </pic:pic>
              </a:graphicData>
            </a:graphic>
          </wp:anchor>
        </w:drawing>
      </w:r>
    </w:p>
    <w:p>
      <w:pPr>
        <w:spacing w:after="0" w:line="179"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104775</wp:posOffset>
            </wp:positionV>
            <wp:extent cx="14427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42720" cy="8255"/>
                    </a:xfrm>
                    <a:prstGeom prst="rect">
                      <a:avLst/>
                    </a:prstGeom>
                    <a:noFill/>
                  </pic:spPr>
                </pic:pic>
              </a:graphicData>
            </a:graphic>
          </wp:anchor>
        </w:drawing>
      </w:r>
    </w:p>
    <w:p>
      <w:pPr>
        <w:spacing w:after="0" w:line="237" w:lineRule="exact"/>
        <w:rPr>
          <w:sz w:val="24"/>
          <w:szCs w:val="24"/>
          <w:color w:val="auto"/>
        </w:rPr>
      </w:pPr>
    </w:p>
    <w:p>
      <w:pPr>
        <w:jc w:val="center"/>
        <w:ind w:right="20"/>
        <w:spacing w:after="0"/>
        <w:rPr>
          <w:sz w:val="20"/>
          <w:szCs w:val="20"/>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92075</wp:posOffset>
            </wp:positionV>
            <wp:extent cx="14427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2720" cy="8255"/>
                    </a:xfrm>
                    <a:prstGeom prst="rect">
                      <a:avLst/>
                    </a:prstGeom>
                    <a:noFill/>
                  </pic:spPr>
                </pic:pic>
              </a:graphicData>
            </a:graphic>
          </wp:anchor>
        </w:drawing>
      </w:r>
    </w:p>
    <w:p>
      <w:pPr>
        <w:spacing w:after="0" w:line="22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March 31, 2016</w:t>
      </w:r>
    </w:p>
    <w:p>
      <w:pPr>
        <w:spacing w:after="0" w:line="11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No.: 1-4601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91440</wp:posOffset>
            </wp:positionV>
            <wp:extent cx="14427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2720" cy="8255"/>
                    </a:xfrm>
                    <a:prstGeom prst="rect">
                      <a:avLst/>
                    </a:prstGeom>
                    <a:noFill/>
                  </pic:spPr>
                </pic:pic>
              </a:graphicData>
            </a:graphic>
          </wp:anchor>
        </w:drawing>
      </w:r>
    </w:p>
    <w:p>
      <w:pPr>
        <w:spacing w:after="0" w:line="202"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SCHLUMBERGER N.V.</w:t>
      </w:r>
    </w:p>
    <w:p>
      <w:pPr>
        <w:spacing w:after="0" w:line="38"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(SCHLUMBERGER LIMITED)</w:t>
      </w: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86995</wp:posOffset>
            </wp:positionV>
            <wp:extent cx="14427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2720" cy="8255"/>
                    </a:xfrm>
                    <a:prstGeom prst="rect">
                      <a:avLst/>
                    </a:prstGeom>
                    <a:noFill/>
                  </pic:spPr>
                </pic:pic>
              </a:graphicData>
            </a:graphic>
          </wp:anchor>
        </w:drawing>
      </w:r>
    </w:p>
    <w:p>
      <w:pPr>
        <w:spacing w:after="0" w:line="231" w:lineRule="exact"/>
        <w:rPr>
          <w:sz w:val="24"/>
          <w:szCs w:val="24"/>
          <w:color w:val="auto"/>
        </w:rPr>
      </w:pPr>
    </w:p>
    <w:tbl>
      <w:tblPr>
        <w:tblLayout w:type="fixed"/>
        <w:tblInd w:w="1520" w:type="dxa"/>
        <w:tblCellMar>
          <w:top w:w="0" w:type="dxa"/>
          <w:left w:w="0" w:type="dxa"/>
          <w:bottom w:w="0" w:type="dxa"/>
          <w:right w:w="0" w:type="dxa"/>
        </w:tblCellMar>
      </w:tblPr>
      <w:tr>
        <w:trPr>
          <w:trHeight w:val="208"/>
        </w:trPr>
        <w:tc>
          <w:tcPr>
            <w:tcW w:w="4560" w:type="dxa"/>
            <w:vAlign w:val="bottom"/>
          </w:tcPr>
          <w:p>
            <w:pPr>
              <w:jc w:val="center"/>
              <w:ind w:right="1896"/>
              <w:spacing w:after="0"/>
              <w:rPr>
                <w:sz w:val="20"/>
                <w:szCs w:val="20"/>
                <w:color w:val="auto"/>
              </w:rPr>
            </w:pPr>
            <w:r>
              <w:rPr>
                <w:rFonts w:ascii="Arial" w:cs="Arial" w:eastAsia="Arial" w:hAnsi="Arial"/>
                <w:sz w:val="18"/>
                <w:szCs w:val="18"/>
                <w:b w:val="1"/>
                <w:bCs w:val="1"/>
                <w:color w:val="auto"/>
                <w:w w:val="97"/>
              </w:rPr>
              <w:t>CURAÇAO</w:t>
            </w:r>
          </w:p>
        </w:tc>
        <w:tc>
          <w:tcPr>
            <w:tcW w:w="3100" w:type="dxa"/>
            <w:vAlign w:val="bottom"/>
          </w:tcPr>
          <w:p>
            <w:pPr>
              <w:jc w:val="center"/>
              <w:ind w:left="1918"/>
              <w:spacing w:after="0"/>
              <w:rPr>
                <w:sz w:val="20"/>
                <w:szCs w:val="20"/>
                <w:color w:val="auto"/>
              </w:rPr>
            </w:pPr>
            <w:r>
              <w:rPr>
                <w:rFonts w:ascii="Arial" w:cs="Arial" w:eastAsia="Arial" w:hAnsi="Arial"/>
                <w:sz w:val="18"/>
                <w:szCs w:val="18"/>
                <w:b w:val="1"/>
                <w:bCs w:val="1"/>
                <w:color w:val="auto"/>
                <w:w w:val="89"/>
              </w:rPr>
              <w:t>52-0684746</w:t>
            </w:r>
          </w:p>
        </w:tc>
      </w:tr>
      <w:tr>
        <w:trPr>
          <w:trHeight w:val="146"/>
        </w:trPr>
        <w:tc>
          <w:tcPr>
            <w:tcW w:w="4560" w:type="dxa"/>
            <w:vAlign w:val="bottom"/>
          </w:tcPr>
          <w:p>
            <w:pPr>
              <w:jc w:val="center"/>
              <w:ind w:right="1916"/>
              <w:spacing w:after="0" w:line="146" w:lineRule="exact"/>
              <w:rPr>
                <w:sz w:val="20"/>
                <w:szCs w:val="20"/>
                <w:color w:val="auto"/>
              </w:rPr>
            </w:pPr>
            <w:r>
              <w:rPr>
                <w:rFonts w:ascii="Arial" w:cs="Arial" w:eastAsia="Arial" w:hAnsi="Arial"/>
                <w:sz w:val="14"/>
                <w:szCs w:val="14"/>
                <w:b w:val="1"/>
                <w:bCs w:val="1"/>
                <w:color w:val="auto"/>
                <w:w w:val="91"/>
              </w:rPr>
              <w:t>(State or other jurisdiction of</w:t>
            </w:r>
          </w:p>
        </w:tc>
        <w:tc>
          <w:tcPr>
            <w:tcW w:w="3100" w:type="dxa"/>
            <w:vAlign w:val="bottom"/>
          </w:tcPr>
          <w:p>
            <w:pPr>
              <w:jc w:val="center"/>
              <w:ind w:left="1918"/>
              <w:spacing w:after="0" w:line="146" w:lineRule="exact"/>
              <w:rPr>
                <w:sz w:val="20"/>
                <w:szCs w:val="20"/>
                <w:color w:val="auto"/>
              </w:rPr>
            </w:pPr>
            <w:r>
              <w:rPr>
                <w:rFonts w:ascii="Arial" w:cs="Arial" w:eastAsia="Arial" w:hAnsi="Arial"/>
                <w:sz w:val="14"/>
                <w:szCs w:val="14"/>
                <w:b w:val="1"/>
                <w:bCs w:val="1"/>
                <w:color w:val="auto"/>
                <w:w w:val="94"/>
              </w:rPr>
              <w:t>(I.R.S. Employer</w:t>
            </w:r>
          </w:p>
        </w:tc>
      </w:tr>
      <w:tr>
        <w:trPr>
          <w:trHeight w:val="184"/>
        </w:trPr>
        <w:tc>
          <w:tcPr>
            <w:tcW w:w="4560" w:type="dxa"/>
            <w:vAlign w:val="bottom"/>
          </w:tcPr>
          <w:p>
            <w:pPr>
              <w:jc w:val="center"/>
              <w:ind w:right="1916"/>
              <w:spacing w:after="0"/>
              <w:rPr>
                <w:sz w:val="20"/>
                <w:szCs w:val="20"/>
                <w:color w:val="auto"/>
              </w:rPr>
            </w:pPr>
            <w:r>
              <w:rPr>
                <w:rFonts w:ascii="Arial" w:cs="Arial" w:eastAsia="Arial" w:hAnsi="Arial"/>
                <w:sz w:val="14"/>
                <w:szCs w:val="14"/>
                <w:b w:val="1"/>
                <w:bCs w:val="1"/>
                <w:color w:val="auto"/>
                <w:w w:val="92"/>
              </w:rPr>
              <w:t>incorporation or organization)</w:t>
            </w:r>
          </w:p>
        </w:tc>
        <w:tc>
          <w:tcPr>
            <w:tcW w:w="3100" w:type="dxa"/>
            <w:vAlign w:val="bottom"/>
          </w:tcPr>
          <w:p>
            <w:pPr>
              <w:jc w:val="center"/>
              <w:ind w:left="1918"/>
              <w:spacing w:after="0"/>
              <w:rPr>
                <w:sz w:val="20"/>
                <w:szCs w:val="20"/>
                <w:color w:val="auto"/>
              </w:rPr>
            </w:pPr>
            <w:r>
              <w:rPr>
                <w:rFonts w:ascii="Arial" w:cs="Arial" w:eastAsia="Arial" w:hAnsi="Arial"/>
                <w:sz w:val="14"/>
                <w:szCs w:val="14"/>
                <w:b w:val="1"/>
                <w:bCs w:val="1"/>
                <w:color w:val="auto"/>
                <w:w w:val="92"/>
              </w:rPr>
              <w:t>Identification No.)</w:t>
            </w:r>
          </w:p>
        </w:tc>
      </w:tr>
      <w:tr>
        <w:trPr>
          <w:trHeight w:val="298"/>
        </w:trPr>
        <w:tc>
          <w:tcPr>
            <w:tcW w:w="4560" w:type="dxa"/>
            <w:vAlign w:val="bottom"/>
          </w:tcPr>
          <w:p>
            <w:pPr>
              <w:jc w:val="center"/>
              <w:ind w:right="1896"/>
              <w:spacing w:after="0"/>
              <w:rPr>
                <w:sz w:val="20"/>
                <w:szCs w:val="20"/>
                <w:color w:val="auto"/>
              </w:rPr>
            </w:pPr>
            <w:r>
              <w:rPr>
                <w:rFonts w:ascii="Arial" w:cs="Arial" w:eastAsia="Arial" w:hAnsi="Arial"/>
                <w:sz w:val="18"/>
                <w:szCs w:val="18"/>
                <w:b w:val="1"/>
                <w:bCs w:val="1"/>
                <w:color w:val="auto"/>
                <w:w w:val="99"/>
              </w:rPr>
              <w:t>42 RUE SAINT-DOMINIQUE</w:t>
            </w:r>
          </w:p>
        </w:tc>
        <w:tc>
          <w:tcPr>
            <w:tcW w:w="3100" w:type="dxa"/>
            <w:vAlign w:val="bottom"/>
          </w:tcPr>
          <w:p>
            <w:pPr>
              <w:spacing w:after="0"/>
              <w:rPr>
                <w:sz w:val="24"/>
                <w:szCs w:val="24"/>
                <w:color w:val="auto"/>
              </w:rPr>
            </w:pPr>
          </w:p>
        </w:tc>
      </w:tr>
      <w:tr>
        <w:trPr>
          <w:trHeight w:val="230"/>
        </w:trPr>
        <w:tc>
          <w:tcPr>
            <w:tcW w:w="4560" w:type="dxa"/>
            <w:vAlign w:val="bottom"/>
          </w:tcPr>
          <w:p>
            <w:pPr>
              <w:jc w:val="center"/>
              <w:ind w:right="1896"/>
              <w:spacing w:after="0"/>
              <w:rPr>
                <w:sz w:val="20"/>
                <w:szCs w:val="20"/>
                <w:color w:val="auto"/>
              </w:rPr>
            </w:pPr>
            <w:r>
              <w:rPr>
                <w:rFonts w:ascii="Arial" w:cs="Arial" w:eastAsia="Arial" w:hAnsi="Arial"/>
                <w:sz w:val="18"/>
                <w:szCs w:val="18"/>
                <w:b w:val="1"/>
                <w:bCs w:val="1"/>
                <w:color w:val="auto"/>
                <w:w w:val="95"/>
              </w:rPr>
              <w:t>PARIS, FRANCE</w:t>
            </w:r>
          </w:p>
        </w:tc>
        <w:tc>
          <w:tcPr>
            <w:tcW w:w="3100" w:type="dxa"/>
            <w:vAlign w:val="bottom"/>
          </w:tcPr>
          <w:p>
            <w:pPr>
              <w:jc w:val="center"/>
              <w:ind w:left="1918"/>
              <w:spacing w:after="0"/>
              <w:rPr>
                <w:sz w:val="20"/>
                <w:szCs w:val="20"/>
                <w:color w:val="auto"/>
              </w:rPr>
            </w:pPr>
            <w:r>
              <w:rPr>
                <w:rFonts w:ascii="Arial" w:cs="Arial" w:eastAsia="Arial" w:hAnsi="Arial"/>
                <w:sz w:val="18"/>
                <w:szCs w:val="18"/>
                <w:b w:val="1"/>
                <w:bCs w:val="1"/>
                <w:color w:val="auto"/>
                <w:w w:val="91"/>
              </w:rPr>
              <w:t>75007</w:t>
            </w:r>
          </w:p>
        </w:tc>
      </w:tr>
      <w:tr>
        <w:trPr>
          <w:trHeight w:val="315"/>
        </w:trPr>
        <w:tc>
          <w:tcPr>
            <w:tcW w:w="4560" w:type="dxa"/>
            <w:vAlign w:val="bottom"/>
          </w:tcPr>
          <w:p>
            <w:pPr>
              <w:jc w:val="center"/>
              <w:ind w:right="1896"/>
              <w:spacing w:after="0"/>
              <w:rPr>
                <w:sz w:val="20"/>
                <w:szCs w:val="20"/>
                <w:color w:val="auto"/>
              </w:rPr>
            </w:pPr>
            <w:r>
              <w:rPr>
                <w:rFonts w:ascii="Arial" w:cs="Arial" w:eastAsia="Arial" w:hAnsi="Arial"/>
                <w:sz w:val="18"/>
                <w:szCs w:val="18"/>
                <w:b w:val="1"/>
                <w:bCs w:val="1"/>
                <w:color w:val="auto"/>
                <w:w w:val="95"/>
              </w:rPr>
              <w:t>5599 SAN FELIPE, 17th FLOOR</w:t>
            </w:r>
          </w:p>
        </w:tc>
        <w:tc>
          <w:tcPr>
            <w:tcW w:w="3100" w:type="dxa"/>
            <w:vAlign w:val="bottom"/>
          </w:tcPr>
          <w:p>
            <w:pPr>
              <w:spacing w:after="0"/>
              <w:rPr>
                <w:sz w:val="24"/>
                <w:szCs w:val="24"/>
                <w:color w:val="auto"/>
              </w:rPr>
            </w:pPr>
          </w:p>
        </w:tc>
      </w:tr>
      <w:tr>
        <w:trPr>
          <w:trHeight w:val="230"/>
        </w:trPr>
        <w:tc>
          <w:tcPr>
            <w:tcW w:w="4560" w:type="dxa"/>
            <w:vAlign w:val="bottom"/>
          </w:tcPr>
          <w:p>
            <w:pPr>
              <w:jc w:val="center"/>
              <w:ind w:right="1896"/>
              <w:spacing w:after="0"/>
              <w:rPr>
                <w:sz w:val="20"/>
                <w:szCs w:val="20"/>
                <w:color w:val="auto"/>
              </w:rPr>
            </w:pPr>
            <w:r>
              <w:rPr>
                <w:rFonts w:ascii="Arial" w:cs="Arial" w:eastAsia="Arial" w:hAnsi="Arial"/>
                <w:sz w:val="18"/>
                <w:szCs w:val="18"/>
                <w:b w:val="1"/>
                <w:bCs w:val="1"/>
                <w:color w:val="auto"/>
                <w:w w:val="95"/>
              </w:rPr>
              <w:t>HOUSTON, TEXAS, U.S.A.</w:t>
            </w:r>
          </w:p>
        </w:tc>
        <w:tc>
          <w:tcPr>
            <w:tcW w:w="3100" w:type="dxa"/>
            <w:vAlign w:val="bottom"/>
          </w:tcPr>
          <w:p>
            <w:pPr>
              <w:jc w:val="center"/>
              <w:ind w:left="1918"/>
              <w:spacing w:after="0"/>
              <w:rPr>
                <w:sz w:val="20"/>
                <w:szCs w:val="20"/>
                <w:color w:val="auto"/>
              </w:rPr>
            </w:pPr>
            <w:r>
              <w:rPr>
                <w:rFonts w:ascii="Arial" w:cs="Arial" w:eastAsia="Arial" w:hAnsi="Arial"/>
                <w:sz w:val="18"/>
                <w:szCs w:val="18"/>
                <w:b w:val="1"/>
                <w:bCs w:val="1"/>
                <w:color w:val="auto"/>
                <w:w w:val="91"/>
              </w:rPr>
              <w:t>77056</w:t>
            </w:r>
          </w:p>
        </w:tc>
      </w:tr>
      <w:tr>
        <w:trPr>
          <w:trHeight w:val="315"/>
        </w:trPr>
        <w:tc>
          <w:tcPr>
            <w:tcW w:w="4560" w:type="dxa"/>
            <w:vAlign w:val="bottom"/>
          </w:tcPr>
          <w:p>
            <w:pPr>
              <w:jc w:val="center"/>
              <w:ind w:right="1916"/>
              <w:spacing w:after="0"/>
              <w:rPr>
                <w:sz w:val="20"/>
                <w:szCs w:val="20"/>
                <w:color w:val="auto"/>
              </w:rPr>
            </w:pPr>
            <w:r>
              <w:rPr>
                <w:rFonts w:ascii="Arial" w:cs="Arial" w:eastAsia="Arial" w:hAnsi="Arial"/>
                <w:sz w:val="18"/>
                <w:szCs w:val="18"/>
                <w:b w:val="1"/>
                <w:bCs w:val="1"/>
                <w:color w:val="auto"/>
                <w:w w:val="99"/>
              </w:rPr>
              <w:t>62 BUCKINGHAM GATE</w:t>
            </w:r>
          </w:p>
        </w:tc>
        <w:tc>
          <w:tcPr>
            <w:tcW w:w="3100" w:type="dxa"/>
            <w:vAlign w:val="bottom"/>
          </w:tcPr>
          <w:p>
            <w:pPr>
              <w:spacing w:after="0"/>
              <w:rPr>
                <w:sz w:val="24"/>
                <w:szCs w:val="24"/>
                <w:color w:val="auto"/>
              </w:rPr>
            </w:pPr>
          </w:p>
        </w:tc>
      </w:tr>
      <w:tr>
        <w:trPr>
          <w:trHeight w:val="230"/>
        </w:trPr>
        <w:tc>
          <w:tcPr>
            <w:tcW w:w="4560" w:type="dxa"/>
            <w:vAlign w:val="bottom"/>
          </w:tcPr>
          <w:p>
            <w:pPr>
              <w:jc w:val="center"/>
              <w:ind w:right="1896"/>
              <w:spacing w:after="0"/>
              <w:rPr>
                <w:sz w:val="20"/>
                <w:szCs w:val="20"/>
                <w:color w:val="auto"/>
              </w:rPr>
            </w:pPr>
            <w:r>
              <w:rPr>
                <w:rFonts w:ascii="Arial" w:cs="Arial" w:eastAsia="Arial" w:hAnsi="Arial"/>
                <w:sz w:val="18"/>
                <w:szCs w:val="18"/>
                <w:b w:val="1"/>
                <w:bCs w:val="1"/>
                <w:color w:val="auto"/>
              </w:rPr>
              <w:t>LONDON, UNITED KINGDOM</w:t>
            </w:r>
          </w:p>
        </w:tc>
        <w:tc>
          <w:tcPr>
            <w:tcW w:w="3100" w:type="dxa"/>
            <w:vAlign w:val="bottom"/>
          </w:tcPr>
          <w:p>
            <w:pPr>
              <w:jc w:val="center"/>
              <w:ind w:left="1918"/>
              <w:spacing w:after="0"/>
              <w:rPr>
                <w:sz w:val="20"/>
                <w:szCs w:val="20"/>
                <w:color w:val="auto"/>
              </w:rPr>
            </w:pPr>
            <w:r>
              <w:rPr>
                <w:rFonts w:ascii="Arial" w:cs="Arial" w:eastAsia="Arial" w:hAnsi="Arial"/>
                <w:sz w:val="18"/>
                <w:szCs w:val="18"/>
                <w:b w:val="1"/>
                <w:bCs w:val="1"/>
                <w:color w:val="auto"/>
                <w:w w:val="92"/>
              </w:rPr>
              <w:t>SW1E 6AJ</w:t>
            </w:r>
          </w:p>
        </w:tc>
      </w:tr>
      <w:tr>
        <w:trPr>
          <w:trHeight w:val="315"/>
        </w:trPr>
        <w:tc>
          <w:tcPr>
            <w:tcW w:w="4560" w:type="dxa"/>
            <w:vAlign w:val="bottom"/>
          </w:tcPr>
          <w:p>
            <w:pPr>
              <w:jc w:val="center"/>
              <w:ind w:right="1916"/>
              <w:spacing w:after="0"/>
              <w:rPr>
                <w:sz w:val="20"/>
                <w:szCs w:val="20"/>
                <w:color w:val="auto"/>
              </w:rPr>
            </w:pPr>
            <w:r>
              <w:rPr>
                <w:rFonts w:ascii="Arial" w:cs="Arial" w:eastAsia="Arial" w:hAnsi="Arial"/>
                <w:sz w:val="18"/>
                <w:szCs w:val="18"/>
                <w:b w:val="1"/>
                <w:bCs w:val="1"/>
                <w:color w:val="auto"/>
                <w:w w:val="96"/>
              </w:rPr>
              <w:t>PARKSTRAAT 83 THE HAGUE,</w:t>
            </w:r>
          </w:p>
        </w:tc>
        <w:tc>
          <w:tcPr>
            <w:tcW w:w="3100" w:type="dxa"/>
            <w:vAlign w:val="bottom"/>
          </w:tcPr>
          <w:p>
            <w:pPr>
              <w:spacing w:after="0"/>
              <w:rPr>
                <w:sz w:val="24"/>
                <w:szCs w:val="24"/>
                <w:color w:val="auto"/>
              </w:rPr>
            </w:pPr>
          </w:p>
        </w:tc>
      </w:tr>
      <w:tr>
        <w:trPr>
          <w:trHeight w:val="208"/>
        </w:trPr>
        <w:tc>
          <w:tcPr>
            <w:tcW w:w="4560" w:type="dxa"/>
            <w:vAlign w:val="bottom"/>
          </w:tcPr>
          <w:p>
            <w:pPr>
              <w:jc w:val="center"/>
              <w:ind w:right="1916"/>
              <w:spacing w:after="0"/>
              <w:rPr>
                <w:sz w:val="20"/>
                <w:szCs w:val="20"/>
                <w:color w:val="auto"/>
              </w:rPr>
            </w:pPr>
            <w:r>
              <w:rPr>
                <w:rFonts w:ascii="Arial" w:cs="Arial" w:eastAsia="Arial" w:hAnsi="Arial"/>
                <w:sz w:val="18"/>
                <w:szCs w:val="18"/>
                <w:b w:val="1"/>
                <w:bCs w:val="1"/>
                <w:color w:val="auto"/>
                <w:w w:val="99"/>
              </w:rPr>
              <w:t>THE NETHERLANDS</w:t>
            </w:r>
          </w:p>
        </w:tc>
        <w:tc>
          <w:tcPr>
            <w:tcW w:w="3100" w:type="dxa"/>
            <w:vAlign w:val="bottom"/>
          </w:tcPr>
          <w:p>
            <w:pPr>
              <w:jc w:val="center"/>
              <w:ind w:left="1918"/>
              <w:spacing w:after="0"/>
              <w:rPr>
                <w:sz w:val="20"/>
                <w:szCs w:val="20"/>
                <w:color w:val="auto"/>
              </w:rPr>
            </w:pPr>
            <w:r>
              <w:rPr>
                <w:rFonts w:ascii="Arial" w:cs="Arial" w:eastAsia="Arial" w:hAnsi="Arial"/>
                <w:sz w:val="18"/>
                <w:szCs w:val="18"/>
                <w:b w:val="1"/>
                <w:bCs w:val="1"/>
                <w:color w:val="auto"/>
                <w:w w:val="89"/>
              </w:rPr>
              <w:t>2514 JG</w:t>
            </w:r>
          </w:p>
        </w:tc>
      </w:tr>
      <w:tr>
        <w:trPr>
          <w:trHeight w:val="184"/>
        </w:trPr>
        <w:tc>
          <w:tcPr>
            <w:tcW w:w="4560" w:type="dxa"/>
            <w:vAlign w:val="bottom"/>
          </w:tcPr>
          <w:p>
            <w:pPr>
              <w:jc w:val="center"/>
              <w:ind w:right="1896"/>
              <w:spacing w:after="0"/>
              <w:rPr>
                <w:sz w:val="20"/>
                <w:szCs w:val="20"/>
                <w:color w:val="auto"/>
              </w:rPr>
            </w:pPr>
            <w:r>
              <w:rPr>
                <w:rFonts w:ascii="Arial" w:cs="Arial" w:eastAsia="Arial" w:hAnsi="Arial"/>
                <w:sz w:val="14"/>
                <w:szCs w:val="14"/>
                <w:b w:val="1"/>
                <w:bCs w:val="1"/>
                <w:color w:val="auto"/>
                <w:w w:val="88"/>
              </w:rPr>
              <w:t>(Addresses of principal executive offices)</w:t>
            </w:r>
          </w:p>
        </w:tc>
        <w:tc>
          <w:tcPr>
            <w:tcW w:w="3100" w:type="dxa"/>
            <w:vAlign w:val="bottom"/>
          </w:tcPr>
          <w:p>
            <w:pPr>
              <w:jc w:val="center"/>
              <w:ind w:left="1918"/>
              <w:spacing w:after="0"/>
              <w:rPr>
                <w:sz w:val="20"/>
                <w:szCs w:val="20"/>
                <w:color w:val="auto"/>
              </w:rPr>
            </w:pPr>
            <w:r>
              <w:rPr>
                <w:rFonts w:ascii="Arial" w:cs="Arial" w:eastAsia="Arial" w:hAnsi="Arial"/>
                <w:sz w:val="14"/>
                <w:szCs w:val="14"/>
                <w:b w:val="1"/>
                <w:bCs w:val="1"/>
                <w:color w:val="auto"/>
                <w:w w:val="90"/>
              </w:rPr>
              <w:t>(Zip Codes)</w:t>
            </w:r>
          </w:p>
        </w:tc>
      </w:tr>
    </w:tbl>
    <w:p>
      <w:pPr>
        <w:spacing w:after="0" w:line="7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 the United States, including area code, is:</w:t>
      </w:r>
    </w:p>
    <w:p>
      <w:pPr>
        <w:spacing w:after="0" w:line="11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(713) 513-2000</w:t>
      </w:r>
    </w:p>
    <w:p>
      <w:pPr>
        <w:spacing w:after="0" w:line="118" w:lineRule="exact"/>
        <w:rPr>
          <w:sz w:val="24"/>
          <w:szCs w:val="24"/>
          <w:color w:val="auto"/>
        </w:rPr>
      </w:pPr>
    </w:p>
    <w:p>
      <w:pPr>
        <w:jc w:val="both"/>
        <w:ind w:right="120"/>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7" w:lineRule="exact"/>
        <w:rPr>
          <w:sz w:val="24"/>
          <w:szCs w:val="24"/>
          <w:color w:val="auto"/>
        </w:rPr>
      </w:pPr>
    </w:p>
    <w:p>
      <w:pPr>
        <w:ind w:right="60"/>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7" w:lineRule="exact"/>
        <w:rPr>
          <w:sz w:val="24"/>
          <w:szCs w:val="24"/>
          <w:color w:val="auto"/>
        </w:rPr>
      </w:pPr>
    </w:p>
    <w:p>
      <w:pPr>
        <w:ind w:right="340"/>
        <w:spacing w:after="0" w:line="295"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40"/>
          </w:cols>
          <w:pgMar w:left="240" w:top="205" w:right="219" w:bottom="1440" w:gutter="0" w:footer="0" w:header="0"/>
        </w:sectPr>
      </w:pPr>
    </w:p>
    <w:p>
      <w:pPr>
        <w:spacing w:after="0" w:line="64" w:lineRule="exact"/>
        <w:rPr>
          <w:sz w:val="24"/>
          <w:szCs w:val="24"/>
          <w:color w:val="auto"/>
        </w:rPr>
      </w:pPr>
    </w:p>
    <w:p>
      <w:pPr>
        <w:ind w:left="2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2" w:lineRule="exact"/>
        <w:rPr>
          <w:sz w:val="24"/>
          <w:szCs w:val="24"/>
          <w:color w:val="auto"/>
        </w:rPr>
      </w:pPr>
    </w:p>
    <w:p>
      <w:pPr>
        <w:sectPr>
          <w:pgSz w:w="11900" w:h="16838" w:orient="portrait"/>
          <w:cols w:equalWidth="0" w:num="4">
            <w:col w:w="1600" w:space="520"/>
            <w:col w:w="5260" w:space="720"/>
            <w:col w:w="2320" w:space="720"/>
            <w:col w:w="300"/>
          </w:cols>
          <w:pgMar w:left="240" w:top="205" w:right="219" w:bottom="1440" w:gutter="0" w:footer="0" w:header="0"/>
          <w:type w:val="continuous"/>
        </w:sectPr>
      </w:pPr>
    </w:p>
    <w:p>
      <w:pPr>
        <w:spacing w:after="0" w:line="34" w:lineRule="exact"/>
        <w:rPr>
          <w:sz w:val="24"/>
          <w:szCs w:val="24"/>
          <w:color w:val="auto"/>
        </w:rPr>
      </w:pPr>
    </w:p>
    <w:p>
      <w:pPr>
        <w:ind w:left="2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58" w:lineRule="exact"/>
        <w:rPr>
          <w:sz w:val="24"/>
          <w:szCs w:val="24"/>
          <w:color w:val="auto"/>
        </w:rPr>
      </w:pPr>
    </w:p>
    <w:p>
      <w:pPr>
        <w:sectPr>
          <w:pgSz w:w="11900" w:h="16838" w:orient="portrait"/>
          <w:cols w:equalWidth="0" w:num="5">
            <w:col w:w="1520" w:space="600"/>
            <w:col w:w="160" w:space="80"/>
            <w:col w:w="5020" w:space="720"/>
            <w:col w:w="2320" w:space="720"/>
            <w:col w:w="300"/>
          </w:cols>
          <w:pgMar w:left="240" w:top="205" w:right="219" w:bottom="1440" w:gutter="0" w:footer="0" w:header="0"/>
          <w:type w:val="continuous"/>
        </w:sectPr>
      </w:pPr>
    </w:p>
    <w:p>
      <w:pPr>
        <w:spacing w:after="0" w:line="3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Arial" w:cs="Arial" w:eastAsia="Arial" w:hAnsi="Arial"/>
          <w:sz w:val="14"/>
          <w:szCs w:val="14"/>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58" w:lineRule="exact"/>
        <w:rPr>
          <w:sz w:val="24"/>
          <w:szCs w:val="24"/>
          <w:color w:val="auto"/>
        </w:rPr>
      </w:pPr>
    </w:p>
    <w:p>
      <w:pPr>
        <w:sectPr>
          <w:pgSz w:w="11900" w:h="16838" w:orient="portrait"/>
          <w:cols w:equalWidth="0" w:num="4">
            <w:col w:w="8060" w:space="160"/>
            <w:col w:w="260" w:space="80"/>
            <w:col w:w="160" w:space="180"/>
            <w:col w:w="2540"/>
          </w:cols>
          <w:pgMar w:left="240" w:top="205" w:right="219" w:bottom="1440" w:gutter="0" w:footer="0" w:header="0"/>
          <w:type w:val="continuous"/>
        </w:sect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8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Class</w:t>
            </w:r>
          </w:p>
        </w:tc>
        <w:tc>
          <w:tcPr>
            <w:tcW w:w="290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0"/>
              </w:rPr>
              <w:t>Outstanding at March 31, 2016</w:t>
            </w:r>
          </w:p>
        </w:tc>
      </w:tr>
      <w:tr>
        <w:trPr>
          <w:trHeight w:val="238"/>
        </w:trPr>
        <w:tc>
          <w:tcPr>
            <w:tcW w:w="8540" w:type="dxa"/>
            <w:vAlign w:val="bottom"/>
            <w:gridSpan w:val="3"/>
          </w:tcPr>
          <w:p>
            <w:pPr>
              <w:spacing w:after="0"/>
              <w:rPr>
                <w:sz w:val="20"/>
                <w:szCs w:val="20"/>
                <w:color w:val="auto"/>
              </w:rPr>
            </w:pPr>
            <w:r>
              <w:rPr>
                <w:rFonts w:ascii="Arial" w:cs="Arial" w:eastAsia="Arial" w:hAnsi="Arial"/>
                <w:sz w:val="18"/>
                <w:szCs w:val="18"/>
                <w:color w:val="auto"/>
              </w:rPr>
              <w:t>COMMON STOCK, $0.01 PAR VALUE PER SHARE</w:t>
            </w:r>
          </w:p>
        </w:tc>
        <w:tc>
          <w:tcPr>
            <w:tcW w:w="2360" w:type="dxa"/>
            <w:vAlign w:val="bottom"/>
            <w:tcBorders>
              <w:top w:val="single" w:sz="8" w:color="auto"/>
            </w:tcBorders>
          </w:tcPr>
          <w:p>
            <w:pPr>
              <w:jc w:val="right"/>
              <w:ind w:right="591"/>
              <w:spacing w:after="0"/>
              <w:rPr>
                <w:sz w:val="20"/>
                <w:szCs w:val="20"/>
                <w:color w:val="auto"/>
              </w:rPr>
            </w:pPr>
            <w:r>
              <w:rPr>
                <w:rFonts w:ascii="Arial" w:cs="Arial" w:eastAsia="Arial" w:hAnsi="Arial"/>
                <w:sz w:val="18"/>
                <w:szCs w:val="18"/>
                <w:color w:val="auto"/>
              </w:rPr>
              <w:t>1,252,334,169</w:t>
            </w:r>
          </w:p>
        </w:tc>
        <w:tc>
          <w:tcPr>
            <w:tcW w:w="540" w:type="dxa"/>
            <w:vAlign w:val="bottom"/>
          </w:tcPr>
          <w:p>
            <w:pPr>
              <w:spacing w:after="0"/>
              <w:rPr>
                <w:sz w:val="20"/>
                <w:szCs w:val="20"/>
                <w:color w:val="auto"/>
              </w:rPr>
            </w:pPr>
          </w:p>
        </w:tc>
      </w:tr>
      <w:tr>
        <w:trPr>
          <w:trHeight w:val="898"/>
        </w:trPr>
        <w:tc>
          <w:tcPr>
            <w:tcW w:w="38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205" w:right="21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SCHLUMBERGER LIMITED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First Quarter 2016 Form 10-Q</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1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PART I</w:t>
            </w:r>
          </w:p>
        </w:tc>
        <w:tc>
          <w:tcPr>
            <w:tcW w:w="9660" w:type="dxa"/>
            <w:vAlign w:val="bottom"/>
            <w:gridSpan w:val="11"/>
            <w:vMerge w:val="restart"/>
          </w:tcPr>
          <w:p>
            <w:pPr>
              <w:spacing w:after="0"/>
              <w:rPr>
                <w:sz w:val="20"/>
                <w:szCs w:val="20"/>
                <w:color w:val="auto"/>
              </w:rPr>
            </w:pPr>
            <w:r>
              <w:rPr>
                <w:rFonts w:ascii="Arial" w:cs="Arial" w:eastAsia="Arial" w:hAnsi="Arial"/>
                <w:sz w:val="18"/>
                <w:szCs w:val="18"/>
                <w:b w:val="1"/>
                <w:bCs w:val="1"/>
                <w:color w:val="auto"/>
              </w:rPr>
              <w:t>Financial Information</w:t>
            </w:r>
          </w:p>
        </w:tc>
        <w:tc>
          <w:tcPr>
            <w:tcW w:w="4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5"/>
        </w:trPr>
        <w:tc>
          <w:tcPr>
            <w:tcW w:w="1140" w:type="dxa"/>
            <w:vAlign w:val="bottom"/>
            <w:vMerge w:val="continue"/>
          </w:tcPr>
          <w:p>
            <w:pPr>
              <w:spacing w:after="0"/>
              <w:rPr>
                <w:sz w:val="17"/>
                <w:szCs w:val="17"/>
                <w:color w:val="auto"/>
              </w:rPr>
            </w:pPr>
          </w:p>
        </w:tc>
        <w:tc>
          <w:tcPr>
            <w:tcW w:w="9660" w:type="dxa"/>
            <w:vAlign w:val="bottom"/>
            <w:gridSpan w:val="11"/>
            <w:vMerge w:val="continue"/>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11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660" w:type="dxa"/>
            <w:vAlign w:val="bottom"/>
            <w:gridSpan w:val="1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b w:val="1"/>
                <w:bCs w:val="1"/>
                <w:color w:val="auto"/>
              </w:rPr>
              <w:t>Item 2.</w:t>
            </w: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1140" w:type="dxa"/>
            <w:vAlign w:val="bottom"/>
            <w:vMerge w:val="continue"/>
          </w:tcPr>
          <w:p>
            <w:pPr>
              <w:spacing w:after="0"/>
              <w:rPr>
                <w:sz w:val="23"/>
                <w:szCs w:val="23"/>
                <w:color w:val="auto"/>
              </w:rPr>
            </w:pPr>
          </w:p>
        </w:tc>
        <w:tc>
          <w:tcPr>
            <w:tcW w:w="9660" w:type="dxa"/>
            <w:vAlign w:val="bottom"/>
            <w:gridSpan w:val="11"/>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Management’s Discussion and Analysis of Financial Condition and Results of Operations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2"/>
        </w:trPr>
        <w:tc>
          <w:tcPr>
            <w:tcW w:w="11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6360" w:type="dxa"/>
            <w:vAlign w:val="bottom"/>
            <w:tcBorders>
              <w:top w:val="single" w:sz="8" w:color="0000EE"/>
            </w:tcBorders>
            <w:gridSpan w:val="10"/>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Quantitative and Qualitative Disclosures about Market Risk</w:t>
              </w:r>
            </w:hyperlink>
          </w:p>
        </w:tc>
        <w:tc>
          <w:tcPr>
            <w:tcW w:w="33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2"/>
        </w:trPr>
        <w:tc>
          <w:tcPr>
            <w:tcW w:w="11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7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7"/>
              </w:rPr>
            </w:pPr>
            <w:hyperlink w:anchor="page23">
              <w:r>
                <w:rPr>
                  <w:rFonts w:ascii="Arial" w:cs="Arial" w:eastAsia="Arial" w:hAnsi="Arial"/>
                  <w:sz w:val="18"/>
                  <w:szCs w:val="18"/>
                  <w:color w:val="0000EE"/>
                  <w:w w:val="87"/>
                </w:rPr>
                <w:t>Controls and Procedures</w:t>
              </w:r>
            </w:hyperlink>
          </w:p>
        </w:tc>
        <w:tc>
          <w:tcPr>
            <w:tcW w:w="2480" w:type="dxa"/>
            <w:vAlign w:val="bottom"/>
            <w:tcBorders>
              <w:top w:val="single" w:sz="8" w:color="0000EE"/>
            </w:tcBorders>
            <w:gridSpan w:val="2"/>
          </w:tcPr>
          <w:p>
            <w:pPr>
              <w:spacing w:after="0"/>
              <w:rPr>
                <w:sz w:val="23"/>
                <w:szCs w:val="23"/>
                <w:color w:val="auto"/>
              </w:rPr>
            </w:pPr>
          </w:p>
        </w:tc>
        <w:tc>
          <w:tcPr>
            <w:tcW w:w="5420" w:type="dxa"/>
            <w:vAlign w:val="bottom"/>
            <w:gridSpan w:val="3"/>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11"/>
        </w:trPr>
        <w:tc>
          <w:tcPr>
            <w:tcW w:w="1140" w:type="dxa"/>
            <w:vAlign w:val="bottom"/>
          </w:tcPr>
          <w:p>
            <w:pPr>
              <w:ind w:left="40"/>
              <w:spacing w:after="0"/>
              <w:rPr>
                <w:sz w:val="20"/>
                <w:szCs w:val="20"/>
                <w:color w:val="auto"/>
              </w:rPr>
            </w:pPr>
            <w:r>
              <w:rPr>
                <w:rFonts w:ascii="Arial" w:cs="Arial" w:eastAsia="Arial" w:hAnsi="Arial"/>
                <w:sz w:val="18"/>
                <w:szCs w:val="18"/>
                <w:b w:val="1"/>
                <w:bCs w:val="1"/>
                <w:color w:val="auto"/>
              </w:rPr>
              <w:t>PART II</w:t>
            </w:r>
          </w:p>
        </w:tc>
        <w:tc>
          <w:tcPr>
            <w:tcW w:w="9660" w:type="dxa"/>
            <w:vAlign w:val="bottom"/>
            <w:gridSpan w:val="11"/>
          </w:tcPr>
          <w:p>
            <w:pPr>
              <w:spacing w:after="0"/>
              <w:rPr>
                <w:sz w:val="20"/>
                <w:szCs w:val="20"/>
                <w:color w:val="auto"/>
              </w:rPr>
            </w:pPr>
            <w:r>
              <w:rPr>
                <w:rFonts w:ascii="Arial" w:cs="Arial" w:eastAsia="Arial" w:hAnsi="Arial"/>
                <w:sz w:val="18"/>
                <w:szCs w:val="18"/>
                <w:b w:val="1"/>
                <w:bCs w:val="1"/>
                <w:color w:val="auto"/>
              </w:rPr>
              <w:t>Other Information</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1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660" w:type="dxa"/>
            <w:vAlign w:val="bottom"/>
            <w:gridSpan w:val="11"/>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Legal Proceedings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2"/>
        </w:trPr>
        <w:tc>
          <w:tcPr>
            <w:tcW w:w="114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9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24">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23"/>
                <w:szCs w:val="23"/>
                <w:color w:val="auto"/>
              </w:rPr>
            </w:pPr>
          </w:p>
        </w:tc>
        <w:tc>
          <w:tcPr>
            <w:tcW w:w="8340" w:type="dxa"/>
            <w:vAlign w:val="bottom"/>
            <w:gridSpan w:val="7"/>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2"/>
        </w:trPr>
        <w:tc>
          <w:tcPr>
            <w:tcW w:w="11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660" w:type="dxa"/>
            <w:vAlign w:val="bottom"/>
            <w:gridSpan w:val="11"/>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Unregistered Sales of Equity Securities and Use of Proceeds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2"/>
        </w:trPr>
        <w:tc>
          <w:tcPr>
            <w:tcW w:w="11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23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Defaults Upon Senior Securities</w:t>
              </w:r>
            </w:hyperlink>
          </w:p>
        </w:tc>
        <w:tc>
          <w:tcPr>
            <w:tcW w:w="1980" w:type="dxa"/>
            <w:vAlign w:val="bottom"/>
            <w:tcBorders>
              <w:top w:val="single" w:sz="8" w:color="0000EE"/>
            </w:tcBorders>
            <w:gridSpan w:val="2"/>
          </w:tcPr>
          <w:p>
            <w:pPr>
              <w:spacing w:after="0"/>
              <w:rPr>
                <w:sz w:val="23"/>
                <w:szCs w:val="23"/>
                <w:color w:val="auto"/>
              </w:rPr>
            </w:pPr>
          </w:p>
        </w:tc>
        <w:tc>
          <w:tcPr>
            <w:tcW w:w="5380" w:type="dxa"/>
            <w:vAlign w:val="bottom"/>
            <w:gridSpan w:val="2"/>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2"/>
        </w:trPr>
        <w:tc>
          <w:tcPr>
            <w:tcW w:w="11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76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Mine Safety Disclosures</w:t>
              </w:r>
            </w:hyperlink>
          </w:p>
        </w:tc>
        <w:tc>
          <w:tcPr>
            <w:tcW w:w="7900" w:type="dxa"/>
            <w:vAlign w:val="bottom"/>
            <w:gridSpan w:val="5"/>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2"/>
        </w:trPr>
        <w:tc>
          <w:tcPr>
            <w:tcW w:w="114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9660" w:type="dxa"/>
            <w:vAlign w:val="bottom"/>
            <w:gridSpan w:val="11"/>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Other Information</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2"/>
        </w:trPr>
        <w:tc>
          <w:tcPr>
            <w:tcW w:w="11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0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25">
              <w:r>
                <w:rPr>
                  <w:rFonts w:ascii="Arial" w:cs="Arial" w:eastAsia="Arial" w:hAnsi="Arial"/>
                  <w:sz w:val="18"/>
                  <w:szCs w:val="18"/>
                  <w:color w:val="0000EE"/>
                  <w:w w:val="91"/>
                </w:rPr>
                <w:t>Exhibits</w:t>
              </w:r>
            </w:hyperlink>
          </w:p>
        </w:tc>
        <w:tc>
          <w:tcPr>
            <w:tcW w:w="700" w:type="dxa"/>
            <w:vAlign w:val="bottom"/>
            <w:tcBorders>
              <w:top w:val="single" w:sz="8" w:color="0000EE"/>
            </w:tcBorders>
            <w:gridSpan w:val="2"/>
          </w:tcPr>
          <w:p>
            <w:pPr>
              <w:spacing w:after="0"/>
              <w:rPr>
                <w:sz w:val="23"/>
                <w:szCs w:val="23"/>
                <w:color w:val="auto"/>
              </w:rPr>
            </w:pPr>
          </w:p>
        </w:tc>
        <w:tc>
          <w:tcPr>
            <w:tcW w:w="8360" w:type="dxa"/>
            <w:vAlign w:val="bottom"/>
            <w:gridSpan w:val="8"/>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11"/>
        </w:trPr>
        <w:tc>
          <w:tcPr>
            <w:tcW w:w="1140" w:type="dxa"/>
            <w:vAlign w:val="bottom"/>
          </w:tcPr>
          <w:p>
            <w:pPr>
              <w:spacing w:after="0"/>
              <w:rPr>
                <w:sz w:val="24"/>
                <w:szCs w:val="24"/>
                <w:color w:val="auto"/>
              </w:rPr>
            </w:pPr>
          </w:p>
        </w:tc>
        <w:tc>
          <w:tcPr>
            <w:tcW w:w="9660" w:type="dxa"/>
            <w:vAlign w:val="bottom"/>
            <w:gridSpan w:val="11"/>
          </w:tcPr>
          <w:p>
            <w:pPr>
              <w:spacing w:after="0"/>
              <w:rPr>
                <w:sz w:val="20"/>
                <w:szCs w:val="20"/>
                <w:color w:val="auto"/>
              </w:rPr>
            </w:pPr>
            <w:r>
              <w:rPr>
                <w:rFonts w:ascii="Arial" w:cs="Arial" w:eastAsia="Arial" w:hAnsi="Arial"/>
                <w:sz w:val="18"/>
                <w:szCs w:val="18"/>
                <w:color w:val="auto"/>
              </w:rPr>
              <w:t>Certifications</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66040</wp:posOffset>
            </wp:positionV>
            <wp:extent cx="729107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280"/>
          </w:cols>
          <w:pgMar w:left="320" w:top="121" w:right="2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PART I. FINANCIAL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200" w:lineRule="exact"/>
        <w:rPr>
          <w:sz w:val="20"/>
          <w:szCs w:val="20"/>
          <w:color w:val="auto"/>
        </w:rPr>
      </w:pPr>
    </w:p>
    <w:p>
      <w:pPr>
        <w:spacing w:after="0" w:line="231" w:lineRule="exact"/>
        <w:rPr>
          <w:sz w:val="20"/>
          <w:szCs w:val="20"/>
          <w:color w:val="auto"/>
        </w:rPr>
      </w:pPr>
    </w:p>
    <w:p>
      <w:pPr>
        <w:ind w:left="368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2" w:lineRule="exact"/>
        <w:rPr>
          <w:sz w:val="20"/>
          <w:szCs w:val="20"/>
          <w:color w:val="auto"/>
        </w:rPr>
      </w:pPr>
    </w:p>
    <w:p>
      <w:pPr>
        <w:ind w:left="3900"/>
        <w:spacing w:after="0"/>
        <w:rPr>
          <w:sz w:val="20"/>
          <w:szCs w:val="20"/>
          <w:color w:val="auto"/>
        </w:rPr>
      </w:pPr>
      <w:r>
        <w:rPr>
          <w:rFonts w:ascii="Arial" w:cs="Arial" w:eastAsia="Arial" w:hAnsi="Arial"/>
          <w:sz w:val="18"/>
          <w:szCs w:val="18"/>
          <w:b w:val="1"/>
          <w:bCs w:val="1"/>
          <w:u w:val="single" w:color="auto"/>
          <w:color w:val="auto"/>
        </w:rPr>
        <w:t>CONSOLIDATED STATEMENT OF INCOME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820" w:type="dxa"/>
            <w:vAlign w:val="bottom"/>
          </w:tcPr>
          <w:p>
            <w:pPr>
              <w:spacing w:after="0"/>
              <w:rPr>
                <w:sz w:val="15"/>
                <w:szCs w:val="15"/>
                <w:color w:val="auto"/>
              </w:rPr>
            </w:pPr>
          </w:p>
        </w:tc>
        <w:tc>
          <w:tcPr>
            <w:tcW w:w="3600" w:type="dxa"/>
            <w:vAlign w:val="bottom"/>
            <w:gridSpan w:val="6"/>
          </w:tcPr>
          <w:p>
            <w:pPr>
              <w:ind w:left="880"/>
              <w:spacing w:after="0"/>
              <w:rPr>
                <w:sz w:val="20"/>
                <w:szCs w:val="20"/>
                <w:color w:val="auto"/>
              </w:rPr>
            </w:pPr>
            <w:r>
              <w:rPr>
                <w:rFonts w:ascii="Arial" w:cs="Arial" w:eastAsia="Arial" w:hAnsi="Arial"/>
                <w:sz w:val="14"/>
                <w:szCs w:val="14"/>
                <w:i w:val="1"/>
                <w:iCs w:val="1"/>
                <w:color w:val="auto"/>
                <w:w w:val="94"/>
              </w:rPr>
              <w:t>(Stated in millions, except per share amounts</w:t>
            </w:r>
            <w:r>
              <w:rPr>
                <w:rFonts w:ascii="Arial" w:cs="Arial" w:eastAsia="Arial" w:hAnsi="Arial"/>
                <w:sz w:val="14"/>
                <w:szCs w:val="14"/>
                <w:color w:val="auto"/>
                <w:w w:val="94"/>
              </w:rPr>
              <w:t>)</w:t>
            </w:r>
          </w:p>
        </w:tc>
      </w:tr>
      <w:tr>
        <w:trPr>
          <w:trHeight w:val="436"/>
        </w:trPr>
        <w:tc>
          <w:tcPr>
            <w:tcW w:w="7820" w:type="dxa"/>
            <w:vAlign w:val="bottom"/>
          </w:tcPr>
          <w:p>
            <w:pPr>
              <w:spacing w:after="0"/>
              <w:rPr>
                <w:sz w:val="24"/>
                <w:szCs w:val="24"/>
                <w:color w:val="auto"/>
              </w:rPr>
            </w:pPr>
          </w:p>
        </w:tc>
        <w:tc>
          <w:tcPr>
            <w:tcW w:w="29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782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jc w:val="right"/>
              <w:ind w:right="43"/>
              <w:spacing w:after="0"/>
              <w:rPr>
                <w:sz w:val="20"/>
                <w:szCs w:val="20"/>
                <w:color w:val="auto"/>
              </w:rPr>
            </w:pPr>
            <w:r>
              <w:rPr>
                <w:rFonts w:ascii="Arial" w:cs="Arial" w:eastAsia="Arial" w:hAnsi="Arial"/>
                <w:sz w:val="18"/>
                <w:szCs w:val="18"/>
                <w:b w:val="1"/>
                <w:bCs w:val="1"/>
                <w:color w:val="auto"/>
              </w:rPr>
              <w:t>2016</w:t>
            </w:r>
          </w:p>
        </w:tc>
        <w:tc>
          <w:tcPr>
            <w:tcW w:w="52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2015</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19"/>
        </w:trPr>
        <w:tc>
          <w:tcPr>
            <w:tcW w:w="78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Revenue</w:t>
            </w:r>
          </w:p>
        </w:tc>
        <w:tc>
          <w:tcPr>
            <w:tcW w:w="1080" w:type="dxa"/>
            <w:vAlign w:val="bottom"/>
            <w:shd w:val="clear" w:color="auto" w:fill="CFF0FC"/>
          </w:tcPr>
          <w:p>
            <w:pPr>
              <w:jc w:val="right"/>
              <w:ind w:right="923"/>
              <w:spacing w:after="0"/>
              <w:rPr>
                <w:sz w:val="20"/>
                <w:szCs w:val="20"/>
                <w:color w:val="auto"/>
              </w:rPr>
            </w:pPr>
            <w:r>
              <w:rPr>
                <w:rFonts w:ascii="Arial" w:cs="Arial" w:eastAsia="Arial" w:hAnsi="Arial"/>
                <w:sz w:val="14"/>
                <w:szCs w:val="14"/>
                <w:b w:val="1"/>
                <w:bCs w:val="1"/>
                <w:color w:val="auto"/>
                <w:w w:val="76"/>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6,520</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11"/>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10,248</w:t>
            </w:r>
          </w:p>
        </w:tc>
        <w:tc>
          <w:tcPr>
            <w:tcW w:w="100" w:type="dxa"/>
            <w:vAlign w:val="bottom"/>
            <w:shd w:val="clear" w:color="auto" w:fill="CFF0FC"/>
          </w:tcPr>
          <w:p>
            <w:pPr>
              <w:spacing w:after="0"/>
              <w:rPr>
                <w:sz w:val="19"/>
                <w:szCs w:val="19"/>
                <w:color w:val="auto"/>
              </w:rPr>
            </w:pPr>
          </w:p>
        </w:tc>
      </w:tr>
      <w:tr>
        <w:trPr>
          <w:trHeight w:val="226"/>
        </w:trPr>
        <w:tc>
          <w:tcPr>
            <w:tcW w:w="7820" w:type="dxa"/>
            <w:vAlign w:val="bottom"/>
          </w:tcPr>
          <w:p>
            <w:pPr>
              <w:spacing w:after="0"/>
              <w:rPr>
                <w:sz w:val="20"/>
                <w:szCs w:val="20"/>
                <w:color w:val="auto"/>
              </w:rPr>
            </w:pPr>
            <w:r>
              <w:rPr>
                <w:rFonts w:ascii="Arial" w:cs="Arial" w:eastAsia="Arial" w:hAnsi="Arial"/>
                <w:sz w:val="18"/>
                <w:szCs w:val="18"/>
                <w:i w:val="1"/>
                <w:iCs w:val="1"/>
                <w:color w:val="auto"/>
              </w:rPr>
              <w:t>Interest &amp; other income</w:t>
            </w:r>
          </w:p>
        </w:tc>
        <w:tc>
          <w:tcPr>
            <w:tcW w:w="10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45</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Expenses</w:t>
            </w:r>
          </w:p>
        </w:tc>
        <w:tc>
          <w:tcPr>
            <w:tcW w:w="10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52"/>
        </w:trPr>
        <w:tc>
          <w:tcPr>
            <w:tcW w:w="7820" w:type="dxa"/>
            <w:vAlign w:val="bottom"/>
          </w:tcPr>
          <w:p>
            <w:pPr>
              <w:ind w:left="240"/>
              <w:spacing w:after="0"/>
              <w:rPr>
                <w:sz w:val="20"/>
                <w:szCs w:val="20"/>
                <w:color w:val="auto"/>
              </w:rPr>
            </w:pPr>
            <w:r>
              <w:rPr>
                <w:rFonts w:ascii="Arial" w:cs="Arial" w:eastAsia="Arial" w:hAnsi="Arial"/>
                <w:sz w:val="18"/>
                <w:szCs w:val="18"/>
                <w:color w:val="auto"/>
              </w:rPr>
              <w:t>Cost of revenue</w:t>
            </w:r>
          </w:p>
        </w:tc>
        <w:tc>
          <w:tcPr>
            <w:tcW w:w="10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5,460</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8,096</w:t>
            </w:r>
          </w:p>
        </w:tc>
        <w:tc>
          <w:tcPr>
            <w:tcW w:w="100" w:type="dxa"/>
            <w:vAlign w:val="bottom"/>
          </w:tcPr>
          <w:p>
            <w:pPr>
              <w:spacing w:after="0"/>
              <w:rPr>
                <w:sz w:val="21"/>
                <w:szCs w:val="21"/>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&amp; engineering</w:t>
            </w:r>
          </w:p>
        </w:tc>
        <w:tc>
          <w:tcPr>
            <w:tcW w:w="10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240</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FF0FC"/>
          </w:tcPr>
          <w:p>
            <w:pPr>
              <w:spacing w:after="0"/>
              <w:rPr>
                <w:sz w:val="19"/>
                <w:szCs w:val="19"/>
                <w:color w:val="auto"/>
              </w:rPr>
            </w:pPr>
          </w:p>
        </w:tc>
      </w:tr>
      <w:tr>
        <w:trPr>
          <w:trHeight w:val="226"/>
        </w:trPr>
        <w:tc>
          <w:tcPr>
            <w:tcW w:w="7820" w:type="dxa"/>
            <w:vAlign w:val="bottom"/>
          </w:tcPr>
          <w:p>
            <w:pPr>
              <w:ind w:left="240"/>
              <w:spacing w:after="0"/>
              <w:rPr>
                <w:sz w:val="20"/>
                <w:szCs w:val="20"/>
                <w:color w:val="auto"/>
              </w:rPr>
            </w:pPr>
            <w:r>
              <w:rPr>
                <w:rFonts w:ascii="Arial" w:cs="Arial" w:eastAsia="Arial" w:hAnsi="Arial"/>
                <w:sz w:val="18"/>
                <w:szCs w:val="18"/>
                <w:color w:val="auto"/>
              </w:rPr>
              <w:t>General &amp; administrative</w:t>
            </w:r>
          </w:p>
        </w:tc>
        <w:tc>
          <w:tcPr>
            <w:tcW w:w="10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110</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Restructuring &amp; other</w:t>
            </w:r>
          </w:p>
        </w:tc>
        <w:tc>
          <w:tcPr>
            <w:tcW w:w="10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FF0FC"/>
          </w:tcPr>
          <w:p>
            <w:pPr>
              <w:spacing w:after="0"/>
              <w:rPr>
                <w:sz w:val="19"/>
                <w:szCs w:val="19"/>
                <w:color w:val="auto"/>
              </w:rPr>
            </w:pPr>
          </w:p>
        </w:tc>
      </w:tr>
      <w:tr>
        <w:trPr>
          <w:trHeight w:val="226"/>
        </w:trPr>
        <w:tc>
          <w:tcPr>
            <w:tcW w:w="78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Interest</w:t>
            </w:r>
          </w:p>
        </w:tc>
        <w:tc>
          <w:tcPr>
            <w:tcW w:w="10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w:t>
            </w:r>
          </w:p>
        </w:tc>
        <w:tc>
          <w:tcPr>
            <w:tcW w:w="28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FF0FC"/>
            </w:tcBorders>
          </w:tcPr>
          <w:p>
            <w:pPr>
              <w:spacing w:after="0"/>
              <w:rPr>
                <w:sz w:val="19"/>
                <w:szCs w:val="19"/>
                <w:color w:val="auto"/>
              </w:rPr>
            </w:pPr>
          </w:p>
        </w:tc>
      </w:tr>
      <w:tr>
        <w:trPr>
          <w:trHeight w:val="219"/>
        </w:trPr>
        <w:tc>
          <w:tcPr>
            <w:tcW w:w="78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Income before taxes</w:t>
            </w:r>
          </w:p>
        </w:tc>
        <w:tc>
          <w:tcPr>
            <w:tcW w:w="10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622</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1,294</w:t>
            </w:r>
          </w:p>
        </w:tc>
        <w:tc>
          <w:tcPr>
            <w:tcW w:w="100" w:type="dxa"/>
            <w:vAlign w:val="bottom"/>
            <w:shd w:val="clear" w:color="auto" w:fill="CFF0FC"/>
          </w:tcPr>
          <w:p>
            <w:pPr>
              <w:spacing w:after="0"/>
              <w:rPr>
                <w:sz w:val="19"/>
                <w:szCs w:val="19"/>
                <w:color w:val="auto"/>
              </w:rPr>
            </w:pPr>
          </w:p>
        </w:tc>
      </w:tr>
      <w:tr>
        <w:trPr>
          <w:trHeight w:val="226"/>
        </w:trPr>
        <w:tc>
          <w:tcPr>
            <w:tcW w:w="78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Taxes on income</w:t>
            </w:r>
          </w:p>
        </w:tc>
        <w:tc>
          <w:tcPr>
            <w:tcW w:w="10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w:t>
            </w:r>
          </w:p>
        </w:tc>
        <w:tc>
          <w:tcPr>
            <w:tcW w:w="28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FF0FC"/>
            </w:tcBorders>
          </w:tcPr>
          <w:p>
            <w:pPr>
              <w:spacing w:after="0"/>
              <w:rPr>
                <w:sz w:val="19"/>
                <w:szCs w:val="19"/>
                <w:color w:val="auto"/>
              </w:rPr>
            </w:pPr>
          </w:p>
        </w:tc>
      </w:tr>
      <w:tr>
        <w:trPr>
          <w:trHeight w:val="219"/>
        </w:trPr>
        <w:tc>
          <w:tcPr>
            <w:tcW w:w="78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Net income</w:t>
            </w:r>
          </w:p>
        </w:tc>
        <w:tc>
          <w:tcPr>
            <w:tcW w:w="10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523</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988</w:t>
            </w:r>
          </w:p>
        </w:tc>
        <w:tc>
          <w:tcPr>
            <w:tcW w:w="100" w:type="dxa"/>
            <w:vAlign w:val="bottom"/>
            <w:shd w:val="clear" w:color="auto" w:fill="CFF0FC"/>
          </w:tcPr>
          <w:p>
            <w:pPr>
              <w:spacing w:after="0"/>
              <w:rPr>
                <w:sz w:val="19"/>
                <w:szCs w:val="19"/>
                <w:color w:val="auto"/>
              </w:rPr>
            </w:pPr>
          </w:p>
        </w:tc>
      </w:tr>
      <w:tr>
        <w:trPr>
          <w:trHeight w:val="226"/>
        </w:trPr>
        <w:tc>
          <w:tcPr>
            <w:tcW w:w="78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Net income attributable to noncontrolling interests</w:t>
            </w:r>
          </w:p>
        </w:tc>
        <w:tc>
          <w:tcPr>
            <w:tcW w:w="10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w:t>
            </w:r>
          </w:p>
        </w:tc>
        <w:tc>
          <w:tcPr>
            <w:tcW w:w="28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FF0FC"/>
            </w:tcBorders>
          </w:tcPr>
          <w:p>
            <w:pPr>
              <w:spacing w:after="0"/>
              <w:rPr>
                <w:sz w:val="19"/>
                <w:szCs w:val="19"/>
                <w:color w:val="auto"/>
              </w:rPr>
            </w:pPr>
          </w:p>
        </w:tc>
      </w:tr>
      <w:tr>
        <w:trPr>
          <w:trHeight w:val="219"/>
        </w:trPr>
        <w:tc>
          <w:tcPr>
            <w:tcW w:w="7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Net income attributable to Schlumberger</w:t>
            </w:r>
          </w:p>
        </w:tc>
        <w:tc>
          <w:tcPr>
            <w:tcW w:w="1080" w:type="dxa"/>
            <w:vAlign w:val="bottom"/>
            <w:tcBorders>
              <w:bottom w:val="single" w:sz="8" w:color="auto"/>
            </w:tcBorders>
            <w:shd w:val="clear" w:color="auto" w:fill="CFF0FC"/>
          </w:tcPr>
          <w:p>
            <w:pPr>
              <w:jc w:val="right"/>
              <w:ind w:right="923"/>
              <w:spacing w:after="0"/>
              <w:rPr>
                <w:sz w:val="20"/>
                <w:szCs w:val="20"/>
                <w:color w:val="auto"/>
              </w:rPr>
            </w:pPr>
            <w:r>
              <w:rPr>
                <w:rFonts w:ascii="Arial" w:cs="Arial" w:eastAsia="Arial" w:hAnsi="Arial"/>
                <w:sz w:val="14"/>
                <w:szCs w:val="14"/>
                <w:b w:val="1"/>
                <w:bCs w:val="1"/>
                <w:color w:val="auto"/>
                <w:w w:val="76"/>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501</w:t>
            </w:r>
          </w:p>
        </w:tc>
        <w:tc>
          <w:tcPr>
            <w:tcW w:w="28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11"/>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8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6"/>
        </w:trPr>
        <w:tc>
          <w:tcPr>
            <w:tcW w:w="7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6"/>
        </w:trPr>
        <w:tc>
          <w:tcPr>
            <w:tcW w:w="7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Basic earnings per share of Schlumberger</w:t>
            </w:r>
          </w:p>
        </w:tc>
        <w:tc>
          <w:tcPr>
            <w:tcW w:w="1080" w:type="dxa"/>
            <w:vAlign w:val="bottom"/>
            <w:tcBorders>
              <w:bottom w:val="single" w:sz="8" w:color="auto"/>
            </w:tcBorders>
            <w:shd w:val="clear" w:color="auto" w:fill="CFF0FC"/>
          </w:tcPr>
          <w:p>
            <w:pPr>
              <w:jc w:val="right"/>
              <w:ind w:right="923"/>
              <w:spacing w:after="0"/>
              <w:rPr>
                <w:sz w:val="20"/>
                <w:szCs w:val="20"/>
                <w:color w:val="auto"/>
              </w:rPr>
            </w:pPr>
            <w:r>
              <w:rPr>
                <w:rFonts w:ascii="Arial" w:cs="Arial" w:eastAsia="Arial" w:hAnsi="Arial"/>
                <w:sz w:val="14"/>
                <w:szCs w:val="14"/>
                <w:b w:val="1"/>
                <w:bCs w:val="1"/>
                <w:color w:val="auto"/>
                <w:w w:val="76"/>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0.40</w:t>
            </w:r>
          </w:p>
        </w:tc>
        <w:tc>
          <w:tcPr>
            <w:tcW w:w="28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11"/>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8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6"/>
        </w:trPr>
        <w:tc>
          <w:tcPr>
            <w:tcW w:w="7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6"/>
        </w:trPr>
        <w:tc>
          <w:tcPr>
            <w:tcW w:w="7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Diluted earnings per share of Schlumberger</w:t>
            </w:r>
          </w:p>
        </w:tc>
        <w:tc>
          <w:tcPr>
            <w:tcW w:w="1080" w:type="dxa"/>
            <w:vAlign w:val="bottom"/>
            <w:tcBorders>
              <w:bottom w:val="single" w:sz="8" w:color="auto"/>
            </w:tcBorders>
            <w:shd w:val="clear" w:color="auto" w:fill="CFF0FC"/>
          </w:tcPr>
          <w:p>
            <w:pPr>
              <w:jc w:val="right"/>
              <w:ind w:right="923"/>
              <w:spacing w:after="0"/>
              <w:rPr>
                <w:sz w:val="20"/>
                <w:szCs w:val="20"/>
                <w:color w:val="auto"/>
              </w:rPr>
            </w:pPr>
            <w:r>
              <w:rPr>
                <w:rFonts w:ascii="Arial" w:cs="Arial" w:eastAsia="Arial" w:hAnsi="Arial"/>
                <w:sz w:val="14"/>
                <w:szCs w:val="14"/>
                <w:b w:val="1"/>
                <w:bCs w:val="1"/>
                <w:color w:val="auto"/>
                <w:w w:val="76"/>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0.40</w:t>
            </w:r>
          </w:p>
        </w:tc>
        <w:tc>
          <w:tcPr>
            <w:tcW w:w="28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11"/>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8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6"/>
        </w:trPr>
        <w:tc>
          <w:tcPr>
            <w:tcW w:w="7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Average shares outstanding:</w:t>
            </w:r>
          </w:p>
        </w:tc>
        <w:tc>
          <w:tcPr>
            <w:tcW w:w="10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7820" w:type="dxa"/>
            <w:vAlign w:val="bottom"/>
          </w:tcPr>
          <w:p>
            <w:pPr>
              <w:ind w:left="240"/>
              <w:spacing w:after="0"/>
              <w:rPr>
                <w:sz w:val="20"/>
                <w:szCs w:val="20"/>
                <w:color w:val="auto"/>
              </w:rPr>
            </w:pPr>
            <w:r>
              <w:rPr>
                <w:rFonts w:ascii="Arial" w:cs="Arial" w:eastAsia="Arial" w:hAnsi="Arial"/>
                <w:sz w:val="18"/>
                <w:szCs w:val="18"/>
                <w:color w:val="auto"/>
              </w:rPr>
              <w:t>Basic</w:t>
            </w:r>
          </w:p>
        </w:tc>
        <w:tc>
          <w:tcPr>
            <w:tcW w:w="10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1,254</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1,276</w:t>
            </w: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Assuming dilution</w:t>
            </w:r>
          </w:p>
        </w:tc>
        <w:tc>
          <w:tcPr>
            <w:tcW w:w="10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1,259</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1,285</w:t>
            </w:r>
          </w:p>
        </w:tc>
        <w:tc>
          <w:tcPr>
            <w:tcW w:w="100" w:type="dxa"/>
            <w:vAlign w:val="bottom"/>
            <w:shd w:val="clear" w:color="auto" w:fill="CFF0FC"/>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ind w:left="368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2" w:lineRule="exact"/>
        <w:rPr>
          <w:sz w:val="20"/>
          <w:szCs w:val="20"/>
          <w:color w:val="auto"/>
        </w:rPr>
      </w:pPr>
    </w:p>
    <w:p>
      <w:pPr>
        <w:ind w:left="3080"/>
        <w:spacing w:after="0"/>
        <w:rPr>
          <w:sz w:val="20"/>
          <w:szCs w:val="20"/>
          <w:color w:val="auto"/>
        </w:rPr>
      </w:pPr>
      <w:r>
        <w:rPr>
          <w:rFonts w:ascii="Arial" w:cs="Arial" w:eastAsia="Arial" w:hAnsi="Arial"/>
          <w:sz w:val="18"/>
          <w:szCs w:val="18"/>
          <w:b w:val="1"/>
          <w:bCs w:val="1"/>
          <w:u w:val="single" w:color="auto"/>
          <w:color w:val="auto"/>
        </w:rPr>
        <w:t>CONSOLIDATED STATEMENT OF COMPREHENSIVE INCOME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36"/>
        </w:trPr>
        <w:tc>
          <w:tcPr>
            <w:tcW w:w="7820" w:type="dxa"/>
            <w:vAlign w:val="bottom"/>
          </w:tcPr>
          <w:p>
            <w:pPr>
              <w:spacing w:after="0"/>
              <w:rPr>
                <w:sz w:val="24"/>
                <w:szCs w:val="24"/>
                <w:color w:val="auto"/>
              </w:rPr>
            </w:pPr>
          </w:p>
        </w:tc>
        <w:tc>
          <w:tcPr>
            <w:tcW w:w="360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Three Months Ended March 31,</w:t>
            </w:r>
          </w:p>
        </w:tc>
      </w:tr>
      <w:tr>
        <w:trPr>
          <w:trHeight w:val="220"/>
        </w:trPr>
        <w:tc>
          <w:tcPr>
            <w:tcW w:w="7820" w:type="dxa"/>
            <w:vAlign w:val="bottom"/>
            <w:tcBorders>
              <w:bottom w:val="single" w:sz="8" w:color="CFF0FC"/>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8"/>
                <w:szCs w:val="18"/>
                <w:b w:val="1"/>
                <w:bCs w:val="1"/>
                <w:color w:val="auto"/>
              </w:rPr>
              <w:t>2016</w:t>
            </w:r>
          </w:p>
        </w:tc>
        <w:tc>
          <w:tcPr>
            <w:tcW w:w="46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FF0FC"/>
            </w:tcBorders>
          </w:tcPr>
          <w:p>
            <w:pPr>
              <w:spacing w:after="0"/>
              <w:rPr>
                <w:sz w:val="19"/>
                <w:szCs w:val="19"/>
                <w:color w:val="auto"/>
              </w:rPr>
            </w:pPr>
          </w:p>
        </w:tc>
      </w:tr>
      <w:tr>
        <w:trPr>
          <w:trHeight w:val="219"/>
        </w:trPr>
        <w:tc>
          <w:tcPr>
            <w:tcW w:w="78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Net income</w:t>
            </w:r>
          </w:p>
        </w:tc>
        <w:tc>
          <w:tcPr>
            <w:tcW w:w="1140" w:type="dxa"/>
            <w:vAlign w:val="bottom"/>
            <w:shd w:val="clear" w:color="auto" w:fill="CFF0FC"/>
          </w:tcPr>
          <w:p>
            <w:pPr>
              <w:jc w:val="right"/>
              <w:ind w:right="980"/>
              <w:spacing w:after="0"/>
              <w:rPr>
                <w:sz w:val="20"/>
                <w:szCs w:val="20"/>
                <w:color w:val="auto"/>
              </w:rPr>
            </w:pPr>
            <w:r>
              <w:rPr>
                <w:rFonts w:ascii="Arial" w:cs="Arial" w:eastAsia="Arial" w:hAnsi="Arial"/>
                <w:sz w:val="14"/>
                <w:szCs w:val="14"/>
                <w:b w:val="1"/>
                <w:bCs w:val="1"/>
                <w:color w:val="auto"/>
                <w:w w:val="76"/>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523</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988</w:t>
            </w:r>
          </w:p>
        </w:tc>
        <w:tc>
          <w:tcPr>
            <w:tcW w:w="100" w:type="dxa"/>
            <w:vAlign w:val="bottom"/>
            <w:shd w:val="clear" w:color="auto" w:fill="CFF0FC"/>
          </w:tcPr>
          <w:p>
            <w:pPr>
              <w:spacing w:after="0"/>
              <w:rPr>
                <w:sz w:val="19"/>
                <w:szCs w:val="19"/>
                <w:color w:val="auto"/>
              </w:rPr>
            </w:pPr>
          </w:p>
        </w:tc>
      </w:tr>
      <w:tr>
        <w:trPr>
          <w:trHeight w:val="225"/>
        </w:trPr>
        <w:tc>
          <w:tcPr>
            <w:tcW w:w="7820" w:type="dxa"/>
            <w:vAlign w:val="bottom"/>
          </w:tcPr>
          <w:p>
            <w:pPr>
              <w:spacing w:after="0"/>
              <w:rPr>
                <w:sz w:val="20"/>
                <w:szCs w:val="20"/>
                <w:color w:val="auto"/>
              </w:rPr>
            </w:pPr>
            <w:r>
              <w:rPr>
                <w:rFonts w:ascii="Arial" w:cs="Arial" w:eastAsia="Arial" w:hAnsi="Arial"/>
                <w:sz w:val="18"/>
                <w:szCs w:val="18"/>
                <w:i w:val="1"/>
                <w:iCs w:val="1"/>
                <w:color w:val="auto"/>
              </w:rPr>
              <w:t>Currency translation adjustments</w:t>
            </w: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Unrealized net change arising during the period</w:t>
            </w:r>
          </w:p>
        </w:tc>
        <w:tc>
          <w:tcPr>
            <w:tcW w:w="11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(113)</w:t>
            </w:r>
          </w:p>
        </w:tc>
      </w:tr>
      <w:tr>
        <w:trPr>
          <w:trHeight w:val="225"/>
        </w:trPr>
        <w:tc>
          <w:tcPr>
            <w:tcW w:w="7820" w:type="dxa"/>
            <w:vAlign w:val="bottom"/>
          </w:tcPr>
          <w:p>
            <w:pPr>
              <w:spacing w:after="0"/>
              <w:rPr>
                <w:sz w:val="20"/>
                <w:szCs w:val="20"/>
                <w:color w:val="auto"/>
              </w:rPr>
            </w:pPr>
            <w:r>
              <w:rPr>
                <w:rFonts w:ascii="Arial" w:cs="Arial" w:eastAsia="Arial" w:hAnsi="Arial"/>
                <w:sz w:val="18"/>
                <w:szCs w:val="18"/>
                <w:i w:val="1"/>
                <w:iCs w:val="1"/>
                <w:color w:val="auto"/>
              </w:rPr>
              <w:t>Marketable securities</w:t>
            </w: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Unrealized gain (loss) arising during the period</w:t>
            </w:r>
          </w:p>
        </w:tc>
        <w:tc>
          <w:tcPr>
            <w:tcW w:w="11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w:t>
            </w:r>
          </w:p>
        </w:tc>
      </w:tr>
      <w:tr>
        <w:trPr>
          <w:trHeight w:val="225"/>
        </w:trPr>
        <w:tc>
          <w:tcPr>
            <w:tcW w:w="7820" w:type="dxa"/>
            <w:vAlign w:val="bottom"/>
          </w:tcPr>
          <w:p>
            <w:pPr>
              <w:spacing w:after="0"/>
              <w:rPr>
                <w:sz w:val="20"/>
                <w:szCs w:val="20"/>
                <w:color w:val="auto"/>
              </w:rPr>
            </w:pPr>
            <w:r>
              <w:rPr>
                <w:rFonts w:ascii="Arial" w:cs="Arial" w:eastAsia="Arial" w:hAnsi="Arial"/>
                <w:sz w:val="18"/>
                <w:szCs w:val="18"/>
                <w:i w:val="1"/>
                <w:iCs w:val="1"/>
                <w:color w:val="auto"/>
              </w:rPr>
              <w:t>Cash flow hedges</w:t>
            </w: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loss on cash flow hedges</w:t>
            </w:r>
          </w:p>
        </w:tc>
        <w:tc>
          <w:tcPr>
            <w:tcW w:w="1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(85)</w:t>
            </w:r>
          </w:p>
        </w:tc>
        <w:tc>
          <w:tcPr>
            <w:tcW w:w="3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(152)</w:t>
            </w:r>
          </w:p>
        </w:tc>
      </w:tr>
      <w:tr>
        <w:trPr>
          <w:trHeight w:val="226"/>
        </w:trPr>
        <w:tc>
          <w:tcPr>
            <w:tcW w:w="7820" w:type="dxa"/>
            <w:vAlign w:val="bottom"/>
          </w:tcPr>
          <w:p>
            <w:pPr>
              <w:ind w:left="240"/>
              <w:spacing w:after="0"/>
              <w:rPr>
                <w:sz w:val="20"/>
                <w:szCs w:val="20"/>
                <w:color w:val="auto"/>
              </w:rPr>
            </w:pPr>
            <w:r>
              <w:rPr>
                <w:rFonts w:ascii="Arial" w:cs="Arial" w:eastAsia="Arial" w:hAnsi="Arial"/>
                <w:sz w:val="18"/>
                <w:szCs w:val="18"/>
                <w:color w:val="auto"/>
              </w:rPr>
              <w:t>Reclassification to net income of net realized loss</w:t>
            </w:r>
          </w:p>
        </w:tc>
        <w:tc>
          <w:tcPr>
            <w:tcW w:w="1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94</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Pension and other postretirement benefit plans</w:t>
            </w:r>
          </w:p>
        </w:tc>
        <w:tc>
          <w:tcPr>
            <w:tcW w:w="1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5"/>
        </w:trPr>
        <w:tc>
          <w:tcPr>
            <w:tcW w:w="7820" w:type="dxa"/>
            <w:vAlign w:val="bottom"/>
          </w:tcPr>
          <w:p>
            <w:pPr>
              <w:ind w:left="240"/>
              <w:spacing w:after="0"/>
              <w:rPr>
                <w:sz w:val="20"/>
                <w:szCs w:val="20"/>
                <w:color w:val="auto"/>
              </w:rPr>
            </w:pPr>
            <w:r>
              <w:rPr>
                <w:rFonts w:ascii="Arial" w:cs="Arial" w:eastAsia="Arial" w:hAnsi="Arial"/>
                <w:sz w:val="18"/>
                <w:szCs w:val="18"/>
                <w:color w:val="auto"/>
              </w:rPr>
              <w:t>Actuarial loss</w:t>
            </w: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to net income of net actuarial loss</w:t>
            </w:r>
          </w:p>
        </w:tc>
        <w:tc>
          <w:tcPr>
            <w:tcW w:w="11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45</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FF0FC"/>
          </w:tcPr>
          <w:p>
            <w:pPr>
              <w:spacing w:after="0"/>
              <w:rPr>
                <w:sz w:val="19"/>
                <w:szCs w:val="19"/>
                <w:color w:val="auto"/>
              </w:rPr>
            </w:pPr>
          </w:p>
        </w:tc>
      </w:tr>
      <w:tr>
        <w:trPr>
          <w:trHeight w:val="225"/>
        </w:trPr>
        <w:tc>
          <w:tcPr>
            <w:tcW w:w="7820" w:type="dxa"/>
            <w:vAlign w:val="bottom"/>
          </w:tcPr>
          <w:p>
            <w:pPr>
              <w:ind w:left="240"/>
              <w:spacing w:after="0"/>
              <w:rPr>
                <w:sz w:val="20"/>
                <w:szCs w:val="20"/>
                <w:color w:val="auto"/>
              </w:rPr>
            </w:pPr>
            <w:r>
              <w:rPr>
                <w:rFonts w:ascii="Arial" w:cs="Arial" w:eastAsia="Arial" w:hAnsi="Arial"/>
                <w:sz w:val="18"/>
                <w:szCs w:val="18"/>
                <w:color w:val="auto"/>
              </w:rPr>
              <w:t>Prior service cost</w:t>
            </w: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to net income of net prior service cost</w:t>
            </w:r>
          </w:p>
        </w:tc>
        <w:tc>
          <w:tcPr>
            <w:tcW w:w="11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25</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FF0FC"/>
          </w:tcPr>
          <w:p>
            <w:pPr>
              <w:spacing w:after="0"/>
              <w:rPr>
                <w:sz w:val="19"/>
                <w:szCs w:val="19"/>
                <w:color w:val="auto"/>
              </w:rPr>
            </w:pPr>
          </w:p>
        </w:tc>
      </w:tr>
      <w:tr>
        <w:trPr>
          <w:trHeight w:val="226"/>
        </w:trPr>
        <w:tc>
          <w:tcPr>
            <w:tcW w:w="7820" w:type="dxa"/>
            <w:vAlign w:val="bottom"/>
          </w:tcPr>
          <w:p>
            <w:pPr>
              <w:ind w:left="240"/>
              <w:spacing w:after="0"/>
              <w:rPr>
                <w:sz w:val="20"/>
                <w:szCs w:val="20"/>
                <w:color w:val="auto"/>
              </w:rPr>
            </w:pPr>
            <w:r>
              <w:rPr>
                <w:rFonts w:ascii="Arial" w:cs="Arial" w:eastAsia="Arial" w:hAnsi="Arial"/>
                <w:sz w:val="18"/>
                <w:szCs w:val="18"/>
                <w:color w:val="auto"/>
              </w:rPr>
              <w:t>Income taxes on pension and other postretirement benefit plans</w:t>
            </w:r>
          </w:p>
        </w:tc>
        <w:tc>
          <w:tcPr>
            <w:tcW w:w="114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w:t>
            </w:r>
          </w:p>
        </w:tc>
        <w:tc>
          <w:tcPr>
            <w:tcW w:w="30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219"/>
        </w:trPr>
        <w:tc>
          <w:tcPr>
            <w:tcW w:w="7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Comprehensive income</w:t>
            </w:r>
          </w:p>
        </w:tc>
        <w:tc>
          <w:tcPr>
            <w:tcW w:w="114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615</w:t>
            </w:r>
          </w:p>
        </w:tc>
        <w:tc>
          <w:tcPr>
            <w:tcW w:w="2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909</w:t>
            </w: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78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Comprehensive income attributable to noncontrolling interests</w:t>
            </w:r>
          </w:p>
        </w:tc>
        <w:tc>
          <w:tcPr>
            <w:tcW w:w="1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FF0FC"/>
            </w:tcBorders>
          </w:tcPr>
          <w:p>
            <w:pPr>
              <w:spacing w:after="0"/>
              <w:rPr>
                <w:sz w:val="19"/>
                <w:szCs w:val="19"/>
                <w:color w:val="auto"/>
              </w:rPr>
            </w:pPr>
          </w:p>
        </w:tc>
      </w:tr>
      <w:tr>
        <w:trPr>
          <w:trHeight w:val="219"/>
        </w:trPr>
        <w:tc>
          <w:tcPr>
            <w:tcW w:w="7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Comprehensive income attributable to Schlumberger</w:t>
            </w:r>
          </w:p>
        </w:tc>
        <w:tc>
          <w:tcPr>
            <w:tcW w:w="1140" w:type="dxa"/>
            <w:vAlign w:val="bottom"/>
            <w:tcBorders>
              <w:bottom w:val="single" w:sz="8" w:color="auto"/>
            </w:tcBorders>
            <w:shd w:val="clear" w:color="auto" w:fill="CFF0FC"/>
          </w:tcPr>
          <w:p>
            <w:pPr>
              <w:jc w:val="right"/>
              <w:ind w:right="980"/>
              <w:spacing w:after="0"/>
              <w:rPr>
                <w:sz w:val="20"/>
                <w:szCs w:val="20"/>
                <w:color w:val="auto"/>
              </w:rPr>
            </w:pPr>
            <w:r>
              <w:rPr>
                <w:rFonts w:ascii="Arial" w:cs="Arial" w:eastAsia="Arial" w:hAnsi="Arial"/>
                <w:sz w:val="14"/>
                <w:szCs w:val="14"/>
                <w:b w:val="1"/>
                <w:bCs w:val="1"/>
                <w:color w:val="auto"/>
                <w:w w:val="76"/>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593</w:t>
            </w:r>
          </w:p>
        </w:tc>
        <w:tc>
          <w:tcPr>
            <w:tcW w:w="2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8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BALANCE SHEET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31"/>
        </w:trPr>
        <w:tc>
          <w:tcPr>
            <w:tcW w:w="7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2"/>
              </w:rPr>
              <w:t>Mar. 31,</w:t>
            </w: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center"/>
              <w:ind w:right="151"/>
              <w:spacing w:after="0"/>
              <w:rPr>
                <w:sz w:val="20"/>
                <w:szCs w:val="20"/>
                <w:color w:val="auto"/>
              </w:rPr>
            </w:pPr>
            <w:r>
              <w:rPr>
                <w:rFonts w:ascii="Arial" w:cs="Arial" w:eastAsia="Arial" w:hAnsi="Arial"/>
                <w:sz w:val="18"/>
                <w:szCs w:val="18"/>
                <w:b w:val="1"/>
                <w:bCs w:val="1"/>
                <w:color w:val="auto"/>
                <w:w w:val="84"/>
              </w:rPr>
              <w:t>2016</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Dec. 31,</w:t>
            </w:r>
          </w:p>
        </w:tc>
        <w:tc>
          <w:tcPr>
            <w:tcW w:w="0" w:type="dxa"/>
            <w:vAlign w:val="bottom"/>
          </w:tcPr>
          <w:p>
            <w:pPr>
              <w:spacing w:after="0"/>
              <w:rPr>
                <w:sz w:val="1"/>
                <w:szCs w:val="1"/>
                <w:color w:val="auto"/>
              </w:rPr>
            </w:pPr>
          </w:p>
        </w:tc>
      </w:tr>
      <w:tr>
        <w:trPr>
          <w:trHeight w:val="230"/>
        </w:trPr>
        <w:tc>
          <w:tcPr>
            <w:tcW w:w="7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9"/>
              </w:rPr>
              <w:t>(Unaudited)</w:t>
            </w:r>
          </w:p>
        </w:tc>
        <w:tc>
          <w:tcPr>
            <w:tcW w:w="300" w:type="dxa"/>
            <w:vAlign w:val="bottom"/>
          </w:tcPr>
          <w:p>
            <w:pPr>
              <w:spacing w:after="0"/>
              <w:rPr>
                <w:sz w:val="20"/>
                <w:szCs w:val="20"/>
                <w:color w:val="auto"/>
              </w:rPr>
            </w:pPr>
          </w:p>
        </w:tc>
        <w:tc>
          <w:tcPr>
            <w:tcW w:w="1320" w:type="dxa"/>
            <w:vAlign w:val="bottom"/>
          </w:tcPr>
          <w:p>
            <w:pPr>
              <w:jc w:val="right"/>
              <w:ind w:right="552"/>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7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i w:val="1"/>
                <w:iCs w:val="1"/>
                <w:color w:val="auto"/>
              </w:rPr>
              <w:t>ASSETS</w:t>
            </w:r>
          </w:p>
        </w:tc>
        <w:tc>
          <w:tcPr>
            <w:tcW w:w="220" w:type="dxa"/>
            <w:vAlign w:val="bottom"/>
            <w:tcBorders>
              <w:top w:val="single" w:sz="8" w:color="auto"/>
            </w:tcBorders>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spacing w:after="0"/>
              <w:rPr>
                <w:sz w:val="20"/>
                <w:szCs w:val="20"/>
                <w:color w:val="auto"/>
              </w:rPr>
            </w:pPr>
          </w:p>
        </w:tc>
        <w:tc>
          <w:tcPr>
            <w:tcW w:w="280" w:type="dxa"/>
            <w:vAlign w:val="bottom"/>
            <w:tcBorders>
              <w:top w:val="single" w:sz="8" w:color="CFF0FC"/>
            </w:tcBorders>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82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2,080</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ind w:left="24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12,352</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10,241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Receivables less allowance for doubtful accounts (2016 - $333; 2015 - $333)</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8,382</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3,612</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taxes</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208</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1,066</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27,700</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Arial" w:cs="Arial" w:eastAsia="Arial" w:hAnsi="Arial"/>
                <w:sz w:val="18"/>
                <w:szCs w:val="18"/>
                <w:i w:val="1"/>
                <w:iCs w:val="1"/>
                <w:color w:val="auto"/>
              </w:rPr>
              <w:t>Fixed Income Investments, held to maturity</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401</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Investments in Affiliated Companies</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3,341</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Arial" w:cs="Arial" w:eastAsia="Arial" w:hAnsi="Arial"/>
                <w:sz w:val="18"/>
                <w:szCs w:val="18"/>
                <w:i w:val="1"/>
                <w:iCs w:val="1"/>
                <w:color w:val="auto"/>
              </w:rPr>
              <w:t>Fixed Assets less accumulated depreciation</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13,259</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13,415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Multiclient Seismic Data</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1,108</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Arial" w:cs="Arial" w:eastAsia="Arial" w:hAnsi="Arial"/>
                <w:sz w:val="18"/>
                <w:szCs w:val="18"/>
                <w:i w:val="1"/>
                <w:iCs w:val="1"/>
                <w:color w:val="auto"/>
              </w:rPr>
              <w:t>Goodwill</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15,649</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15,605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Intangible Assets</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4,551</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Borders>
              <w:bottom w:val="single" w:sz="8" w:color="CFF0FC"/>
            </w:tcBorders>
          </w:tcPr>
          <w:p>
            <w:pPr>
              <w:spacing w:after="0"/>
              <w:rPr>
                <w:sz w:val="20"/>
                <w:szCs w:val="20"/>
                <w:color w:val="auto"/>
              </w:rPr>
            </w:pPr>
            <w:r>
              <w:rPr>
                <w:rFonts w:ascii="Arial" w:cs="Arial" w:eastAsia="Arial" w:hAnsi="Arial"/>
                <w:sz w:val="18"/>
                <w:szCs w:val="18"/>
                <w:i w:val="1"/>
                <w:iCs w:val="1"/>
                <w:color w:val="auto"/>
              </w:rPr>
              <w:t>Other Assets</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3,132</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69,141</w:t>
            </w:r>
          </w:p>
        </w:tc>
        <w:tc>
          <w:tcPr>
            <w:tcW w:w="2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68,005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LIABILITIES AND EQUITY</w:t>
            </w: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8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Current Liabilities</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ind w:left="240"/>
              <w:spacing w:after="0"/>
              <w:rPr>
                <w:sz w:val="20"/>
                <w:szCs w:val="20"/>
                <w:color w:val="auto"/>
              </w:rPr>
            </w:pPr>
            <w:r>
              <w:rPr>
                <w:rFonts w:ascii="Arial" w:cs="Arial" w:eastAsia="Arial" w:hAnsi="Arial"/>
                <w:sz w:val="18"/>
                <w:szCs w:val="18"/>
                <w:color w:val="auto"/>
              </w:rPr>
              <w:t>Accounts payable and accrued liabilities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6,725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7,727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Estimated liability for taxes on income</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1,269</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ind w:left="240"/>
              <w:spacing w:after="0"/>
              <w:rPr>
                <w:sz w:val="20"/>
                <w:szCs w:val="20"/>
                <w:color w:val="auto"/>
              </w:rPr>
            </w:pPr>
            <w:r>
              <w:rPr>
                <w:rFonts w:ascii="Arial" w:cs="Arial" w:eastAsia="Arial" w:hAnsi="Arial"/>
                <w:sz w:val="18"/>
                <w:szCs w:val="18"/>
                <w:color w:val="auto"/>
              </w:rPr>
              <w:t>Long-term debt - current portion</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3,267</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Short-term borrowings</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987</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Dividends payable</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632</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12,880</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Arial" w:cs="Arial" w:eastAsia="Arial" w:hAnsi="Arial"/>
                <w:sz w:val="18"/>
                <w:szCs w:val="18"/>
                <w:i w:val="1"/>
                <w:iCs w:val="1"/>
                <w:color w:val="auto"/>
              </w:rPr>
              <w:t>Long-term Debt</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17,233</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14,442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Postretirement Benefits</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1,392</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Arial" w:cs="Arial" w:eastAsia="Arial" w:hAnsi="Arial"/>
                <w:sz w:val="18"/>
                <w:szCs w:val="18"/>
                <w:i w:val="1"/>
                <w:iCs w:val="1"/>
                <w:color w:val="auto"/>
              </w:rPr>
              <w:t>Deferred Taxes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923</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Other Liabilities</w:t>
            </w:r>
          </w:p>
        </w:tc>
        <w:tc>
          <w:tcPr>
            <w:tcW w:w="2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1,051</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33,479</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Equity</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ind w:left="240"/>
              <w:spacing w:after="0"/>
              <w:rPr>
                <w:sz w:val="20"/>
                <w:szCs w:val="20"/>
                <w:color w:val="auto"/>
              </w:rPr>
            </w:pPr>
            <w:r>
              <w:rPr>
                <w:rFonts w:ascii="Arial" w:cs="Arial" w:eastAsia="Arial" w:hAnsi="Arial"/>
                <w:sz w:val="18"/>
                <w:szCs w:val="18"/>
                <w:color w:val="auto"/>
              </w:rPr>
              <w:t>Common stock</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12,700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12,693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Treasury stock</w:t>
            </w:r>
          </w:p>
        </w:tc>
        <w:tc>
          <w:tcPr>
            <w:tcW w:w="2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(13,620)</w:t>
            </w:r>
          </w:p>
        </w:tc>
        <w:tc>
          <w:tcPr>
            <w:tcW w:w="3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(13,372)</w:t>
            </w:r>
          </w:p>
        </w:tc>
        <w:tc>
          <w:tcPr>
            <w:tcW w:w="0" w:type="dxa"/>
            <w:vAlign w:val="bottom"/>
          </w:tcPr>
          <w:p>
            <w:pPr>
              <w:spacing w:after="0"/>
              <w:rPr>
                <w:sz w:val="1"/>
                <w:szCs w:val="1"/>
                <w:color w:val="auto"/>
              </w:rPr>
            </w:pPr>
          </w:p>
        </w:tc>
      </w:tr>
      <w:tr>
        <w:trPr>
          <w:trHeight w:val="226"/>
        </w:trPr>
        <w:tc>
          <w:tcPr>
            <w:tcW w:w="7820" w:type="dxa"/>
            <w:vAlign w:val="bottom"/>
          </w:tcPr>
          <w:p>
            <w:pPr>
              <w:ind w:left="24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40,745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40,870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(4,466)</w:t>
            </w:r>
          </w:p>
        </w:tc>
        <w:tc>
          <w:tcPr>
            <w:tcW w:w="3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(4,558)</w:t>
            </w:r>
          </w:p>
        </w:tc>
        <w:tc>
          <w:tcPr>
            <w:tcW w:w="0" w:type="dxa"/>
            <w:vAlign w:val="bottom"/>
          </w:tcPr>
          <w:p>
            <w:pPr>
              <w:spacing w:after="0"/>
              <w:rPr>
                <w:sz w:val="1"/>
                <w:szCs w:val="1"/>
                <w:color w:val="auto"/>
              </w:rPr>
            </w:pPr>
          </w:p>
        </w:tc>
      </w:tr>
      <w:tr>
        <w:trPr>
          <w:trHeight w:val="219"/>
        </w:trPr>
        <w:tc>
          <w:tcPr>
            <w:tcW w:w="7820" w:type="dxa"/>
            <w:vAlign w:val="bottom"/>
          </w:tcPr>
          <w:p>
            <w:pPr>
              <w:ind w:left="240"/>
              <w:spacing w:after="0"/>
              <w:rPr>
                <w:sz w:val="20"/>
                <w:szCs w:val="20"/>
                <w:color w:val="auto"/>
              </w:rPr>
            </w:pPr>
            <w:r>
              <w:rPr>
                <w:rFonts w:ascii="Arial" w:cs="Arial" w:eastAsia="Arial" w:hAnsi="Arial"/>
                <w:sz w:val="18"/>
                <w:szCs w:val="18"/>
                <w:color w:val="auto"/>
              </w:rPr>
              <w:t>Schlumberger stockholders' equity</w:t>
            </w: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35,359</w:t>
            </w:r>
          </w:p>
        </w:tc>
        <w:tc>
          <w:tcPr>
            <w:tcW w:w="2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303</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35,662</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35,905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69,141</w:t>
            </w:r>
          </w:p>
        </w:tc>
        <w:tc>
          <w:tcPr>
            <w:tcW w:w="2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68,005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ind w:left="368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2" w:lineRule="exact"/>
        <w:rPr>
          <w:sz w:val="20"/>
          <w:szCs w:val="20"/>
          <w:color w:val="auto"/>
        </w:rPr>
      </w:pPr>
    </w:p>
    <w:p>
      <w:pPr>
        <w:ind w:left="3680"/>
        <w:spacing w:after="0"/>
        <w:rPr>
          <w:sz w:val="20"/>
          <w:szCs w:val="20"/>
          <w:color w:val="auto"/>
        </w:rPr>
      </w:pPr>
      <w:r>
        <w:rPr>
          <w:rFonts w:ascii="Arial" w:cs="Arial" w:eastAsia="Arial" w:hAnsi="Arial"/>
          <w:sz w:val="18"/>
          <w:szCs w:val="18"/>
          <w:b w:val="1"/>
          <w:bCs w:val="1"/>
          <w:u w:val="single" w:color="auto"/>
          <w:color w:val="auto"/>
        </w:rPr>
        <w:t>CONSOLIDATED STATEMENT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04"/>
        </w:trPr>
        <w:tc>
          <w:tcPr>
            <w:tcW w:w="7820" w:type="dxa"/>
            <w:vAlign w:val="bottom"/>
          </w:tcPr>
          <w:p>
            <w:pPr>
              <w:spacing w:after="0"/>
              <w:rPr>
                <w:sz w:val="24"/>
                <w:szCs w:val="24"/>
                <w:color w:val="auto"/>
              </w:rPr>
            </w:pPr>
          </w:p>
        </w:tc>
        <w:tc>
          <w:tcPr>
            <w:tcW w:w="3600" w:type="dxa"/>
            <w:vAlign w:val="bottom"/>
            <w:gridSpan w:val="6"/>
          </w:tcPr>
          <w:p>
            <w:pPr>
              <w:jc w:val="right"/>
              <w:ind w:right="940"/>
              <w:spacing w:after="0"/>
              <w:rPr>
                <w:sz w:val="20"/>
                <w:szCs w:val="20"/>
                <w:color w:val="auto"/>
              </w:rPr>
            </w:pPr>
            <w:r>
              <w:rPr>
                <w:rFonts w:ascii="Arial" w:cs="Arial" w:eastAsia="Arial" w:hAnsi="Arial"/>
                <w:sz w:val="13"/>
                <w:szCs w:val="13"/>
                <w:b w:val="1"/>
                <w:bCs w:val="1"/>
                <w:color w:val="auto"/>
              </w:rPr>
              <w:t>Three Months Ended March 31,</w:t>
            </w:r>
          </w:p>
        </w:tc>
        <w:tc>
          <w:tcPr>
            <w:tcW w:w="0" w:type="dxa"/>
            <w:vAlign w:val="bottom"/>
          </w:tcPr>
          <w:p>
            <w:pPr>
              <w:spacing w:after="0"/>
              <w:rPr>
                <w:sz w:val="1"/>
                <w:szCs w:val="1"/>
                <w:color w:val="auto"/>
              </w:rPr>
            </w:pPr>
          </w:p>
        </w:tc>
      </w:tr>
      <w:tr>
        <w:trPr>
          <w:trHeight w:val="153"/>
        </w:trPr>
        <w:tc>
          <w:tcPr>
            <w:tcW w:w="7820" w:type="dxa"/>
            <w:vAlign w:val="bottom"/>
            <w:tcBorders>
              <w:bottom w:val="single" w:sz="8" w:color="CFF0FC"/>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3"/>
                <w:szCs w:val="13"/>
                <w:b w:val="1"/>
                <w:bCs w:val="1"/>
                <w:color w:val="auto"/>
              </w:rPr>
              <w:t>2016</w:t>
            </w:r>
          </w:p>
        </w:tc>
        <w:tc>
          <w:tcPr>
            <w:tcW w:w="56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601"/>
              <w:spacing w:after="0"/>
              <w:rPr>
                <w:sz w:val="20"/>
                <w:szCs w:val="20"/>
                <w:color w:val="auto"/>
              </w:rPr>
            </w:pPr>
            <w:r>
              <w:rPr>
                <w:rFonts w:ascii="Arial" w:cs="Arial" w:eastAsia="Arial" w:hAnsi="Arial"/>
                <w:sz w:val="13"/>
                <w:szCs w:val="13"/>
                <w:color w:val="auto"/>
              </w:rPr>
              <w:t>2015</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782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operating activities:</w:t>
            </w:r>
          </w:p>
        </w:tc>
        <w:tc>
          <w:tcPr>
            <w:tcW w:w="10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820" w:type="dxa"/>
            <w:vAlign w:val="bottom"/>
          </w:tcPr>
          <w:p>
            <w:pPr>
              <w:ind w:left="240"/>
              <w:spacing w:after="0"/>
              <w:rPr>
                <w:sz w:val="20"/>
                <w:szCs w:val="20"/>
                <w:color w:val="auto"/>
              </w:rPr>
            </w:pPr>
            <w:r>
              <w:rPr>
                <w:rFonts w:ascii="Arial" w:cs="Arial" w:eastAsia="Arial" w:hAnsi="Arial"/>
                <w:sz w:val="16"/>
                <w:szCs w:val="16"/>
                <w:color w:val="auto"/>
              </w:rPr>
              <w:t>Net income</w:t>
            </w:r>
          </w:p>
        </w:tc>
        <w:tc>
          <w:tcPr>
            <w:tcW w:w="1040" w:type="dxa"/>
            <w:vAlign w:val="bottom"/>
          </w:tcPr>
          <w:p>
            <w:pPr>
              <w:jc w:val="right"/>
              <w:ind w:right="890"/>
              <w:spacing w:after="0"/>
              <w:rPr>
                <w:sz w:val="20"/>
                <w:szCs w:val="20"/>
                <w:color w:val="auto"/>
              </w:rPr>
            </w:pPr>
            <w:r>
              <w:rPr>
                <w:rFonts w:ascii="Arial" w:cs="Arial" w:eastAsia="Arial" w:hAnsi="Arial"/>
                <w:sz w:val="15"/>
                <w:szCs w:val="15"/>
                <w:b w:val="1"/>
                <w:bCs w:val="1"/>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523</w:t>
            </w:r>
          </w:p>
        </w:tc>
        <w:tc>
          <w:tcPr>
            <w:tcW w:w="280" w:type="dxa"/>
            <w:vAlign w:val="bottom"/>
          </w:tcPr>
          <w:p>
            <w:pPr>
              <w:spacing w:after="0"/>
              <w:rPr>
                <w:sz w:val="18"/>
                <w:szCs w:val="18"/>
                <w:color w:val="auto"/>
              </w:rPr>
            </w:pP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988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Adjustments to reconcile net income to cash provided by operating activities:</w:t>
            </w: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tcPr>
          <w:p>
            <w:pPr>
              <w:ind w:left="620"/>
              <w:spacing w:after="0"/>
              <w:rPr>
                <w:sz w:val="20"/>
                <w:szCs w:val="20"/>
                <w:color w:val="auto"/>
              </w:rPr>
            </w:pPr>
            <w:r>
              <w:rPr>
                <w:rFonts w:ascii="Arial" w:cs="Arial" w:eastAsia="Arial" w:hAnsi="Arial"/>
                <w:sz w:val="16"/>
                <w:szCs w:val="16"/>
                <w:color w:val="auto"/>
              </w:rPr>
              <w:t>Restructuring and other charges</w:t>
            </w: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20" w:type="dxa"/>
            <w:vAlign w:val="bottom"/>
            <w:shd w:val="clear" w:color="auto" w:fill="CFF0FC"/>
          </w:tcPr>
          <w:p>
            <w:pPr>
              <w:ind w:left="620"/>
              <w:spacing w:after="0" w:line="214" w:lineRule="exact"/>
              <w:rPr>
                <w:sz w:val="20"/>
                <w:szCs w:val="20"/>
                <w:color w:val="auto"/>
              </w:rPr>
            </w:pPr>
            <w:r>
              <w:rPr>
                <w:rFonts w:ascii="Arial" w:cs="Arial" w:eastAsia="Arial" w:hAnsi="Arial"/>
                <w:sz w:val="15"/>
                <w:szCs w:val="15"/>
                <w:color w:val="auto"/>
              </w:rPr>
              <w:t xml:space="preserve">Depreciation and amortization </w:t>
            </w:r>
            <w:r>
              <w:rPr>
                <w:rFonts w:ascii="Arial" w:cs="Arial" w:eastAsia="Arial" w:hAnsi="Arial"/>
                <w:sz w:val="24"/>
                <w:szCs w:val="24"/>
                <w:color w:val="auto"/>
                <w:vertAlign w:val="superscript"/>
              </w:rPr>
              <w:t>(1)</w:t>
            </w: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967</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tcPr>
          <w:p>
            <w:pPr>
              <w:ind w:left="620"/>
              <w:spacing w:after="0"/>
              <w:rPr>
                <w:sz w:val="20"/>
                <w:szCs w:val="20"/>
                <w:color w:val="auto"/>
              </w:rPr>
            </w:pPr>
            <w:r>
              <w:rPr>
                <w:rFonts w:ascii="Arial" w:cs="Arial" w:eastAsia="Arial" w:hAnsi="Arial"/>
                <w:sz w:val="16"/>
                <w:szCs w:val="16"/>
                <w:color w:val="auto"/>
              </w:rPr>
              <w:t>Pension and other postretirement benefits expense</w:t>
            </w: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60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20" w:type="dxa"/>
            <w:vAlign w:val="bottom"/>
            <w:shd w:val="clear" w:color="auto" w:fill="CFF0FC"/>
          </w:tcPr>
          <w:p>
            <w:pPr>
              <w:ind w:left="620"/>
              <w:spacing w:after="0"/>
              <w:rPr>
                <w:sz w:val="20"/>
                <w:szCs w:val="20"/>
                <w:color w:val="auto"/>
              </w:rPr>
            </w:pPr>
            <w:r>
              <w:rPr>
                <w:rFonts w:ascii="Arial" w:cs="Arial" w:eastAsia="Arial" w:hAnsi="Arial"/>
                <w:sz w:val="16"/>
                <w:szCs w:val="16"/>
                <w:color w:val="auto"/>
              </w:rPr>
              <w:t>Stock-based compensation expense</w:t>
            </w: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61</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tcPr>
          <w:p>
            <w:pPr>
              <w:ind w:left="620"/>
              <w:spacing w:after="0"/>
              <w:rPr>
                <w:sz w:val="20"/>
                <w:szCs w:val="20"/>
                <w:color w:val="auto"/>
              </w:rPr>
            </w:pPr>
            <w:r>
              <w:rPr>
                <w:rFonts w:ascii="Arial" w:cs="Arial" w:eastAsia="Arial" w:hAnsi="Arial"/>
                <w:sz w:val="16"/>
                <w:szCs w:val="16"/>
                <w:color w:val="auto"/>
              </w:rPr>
              <w:t>Pension and other postretirement benefits funding</w:t>
            </w:r>
          </w:p>
        </w:tc>
        <w:tc>
          <w:tcPr>
            <w:tcW w:w="10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(45)</w:t>
            </w: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15"/>
        </w:trPr>
        <w:tc>
          <w:tcPr>
            <w:tcW w:w="7820" w:type="dxa"/>
            <w:vAlign w:val="bottom"/>
            <w:shd w:val="clear" w:color="auto" w:fill="CFF0FC"/>
          </w:tcPr>
          <w:p>
            <w:pPr>
              <w:ind w:left="620"/>
              <w:spacing w:after="0"/>
              <w:rPr>
                <w:sz w:val="20"/>
                <w:szCs w:val="20"/>
                <w:color w:val="auto"/>
              </w:rPr>
            </w:pPr>
            <w:r>
              <w:rPr>
                <w:rFonts w:ascii="Arial" w:cs="Arial" w:eastAsia="Arial" w:hAnsi="Arial"/>
                <w:sz w:val="16"/>
                <w:szCs w:val="16"/>
                <w:color w:val="auto"/>
              </w:rPr>
              <w:t>Earnings of equity method investments, less dividends received</w:t>
            </w:r>
          </w:p>
        </w:tc>
        <w:tc>
          <w:tcPr>
            <w:tcW w:w="10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(25)</w:t>
            </w: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3"/>
        </w:trPr>
        <w:tc>
          <w:tcPr>
            <w:tcW w:w="7820" w:type="dxa"/>
            <w:vAlign w:val="bottom"/>
          </w:tcPr>
          <w:p>
            <w:pPr>
              <w:ind w:left="240"/>
              <w:spacing w:after="0" w:line="212" w:lineRule="exact"/>
              <w:rPr>
                <w:sz w:val="20"/>
                <w:szCs w:val="20"/>
                <w:color w:val="auto"/>
              </w:rPr>
            </w:pPr>
            <w:r>
              <w:rPr>
                <w:rFonts w:ascii="Arial" w:cs="Arial" w:eastAsia="Arial" w:hAnsi="Arial"/>
                <w:sz w:val="15"/>
                <w:szCs w:val="15"/>
                <w:color w:val="auto"/>
              </w:rPr>
              <w:t xml:space="preserve">Change in assets and liabilities: </w:t>
            </w:r>
            <w:r>
              <w:rPr>
                <w:rFonts w:ascii="Arial" w:cs="Arial" w:eastAsia="Arial" w:hAnsi="Arial"/>
                <w:sz w:val="24"/>
                <w:szCs w:val="24"/>
                <w:color w:val="auto"/>
                <w:vertAlign w:val="superscript"/>
              </w:rPr>
              <w:t>(2)</w:t>
            </w: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20" w:type="dxa"/>
            <w:vAlign w:val="bottom"/>
            <w:shd w:val="clear" w:color="auto" w:fill="CFF0FC"/>
          </w:tcPr>
          <w:p>
            <w:pPr>
              <w:ind w:left="620"/>
              <w:spacing w:after="0"/>
              <w:rPr>
                <w:sz w:val="20"/>
                <w:szCs w:val="20"/>
                <w:color w:val="auto"/>
              </w:rPr>
            </w:pPr>
            <w:r>
              <w:rPr>
                <w:rFonts w:ascii="Arial" w:cs="Arial" w:eastAsia="Arial" w:hAnsi="Arial"/>
                <w:sz w:val="16"/>
                <w:szCs w:val="16"/>
                <w:color w:val="auto"/>
              </w:rPr>
              <w:t>Decrease in receivables</w:t>
            </w: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414</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tcPr>
          <w:p>
            <w:pPr>
              <w:ind w:left="620"/>
              <w:spacing w:after="0"/>
              <w:rPr>
                <w:sz w:val="20"/>
                <w:szCs w:val="20"/>
                <w:color w:val="auto"/>
              </w:rPr>
            </w:pPr>
            <w:r>
              <w:rPr>
                <w:rFonts w:ascii="Arial" w:cs="Arial" w:eastAsia="Arial" w:hAnsi="Arial"/>
                <w:sz w:val="16"/>
                <w:szCs w:val="16"/>
                <w:color w:val="auto"/>
              </w:rPr>
              <w:t>Decrease (increase) in inventories</w:t>
            </w: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125</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5"/>
        </w:trPr>
        <w:tc>
          <w:tcPr>
            <w:tcW w:w="7820" w:type="dxa"/>
            <w:vAlign w:val="bottom"/>
            <w:shd w:val="clear" w:color="auto" w:fill="CFF0FC"/>
          </w:tcPr>
          <w:p>
            <w:pPr>
              <w:ind w:left="620"/>
              <w:spacing w:after="0"/>
              <w:rPr>
                <w:sz w:val="20"/>
                <w:szCs w:val="20"/>
                <w:color w:val="auto"/>
              </w:rPr>
            </w:pPr>
            <w:r>
              <w:rPr>
                <w:rFonts w:ascii="Arial" w:cs="Arial" w:eastAsia="Arial" w:hAnsi="Arial"/>
                <w:sz w:val="16"/>
                <w:szCs w:val="16"/>
                <w:color w:val="auto"/>
              </w:rPr>
              <w:t>Decrease (increase) in other current assets</w:t>
            </w: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85</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10"/>
        </w:trPr>
        <w:tc>
          <w:tcPr>
            <w:tcW w:w="7820" w:type="dxa"/>
            <w:vAlign w:val="bottom"/>
          </w:tcPr>
          <w:p>
            <w:pPr>
              <w:ind w:left="620"/>
              <w:spacing w:after="0"/>
              <w:rPr>
                <w:sz w:val="20"/>
                <w:szCs w:val="20"/>
                <w:color w:val="auto"/>
              </w:rPr>
            </w:pPr>
            <w:r>
              <w:rPr>
                <w:rFonts w:ascii="Arial" w:cs="Arial" w:eastAsia="Arial" w:hAnsi="Arial"/>
                <w:sz w:val="16"/>
                <w:szCs w:val="16"/>
                <w:color w:val="auto"/>
              </w:rPr>
              <w:t>Decrease (increase) in other assets</w:t>
            </w: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15"/>
        </w:trPr>
        <w:tc>
          <w:tcPr>
            <w:tcW w:w="7820" w:type="dxa"/>
            <w:vAlign w:val="bottom"/>
            <w:shd w:val="clear" w:color="auto" w:fill="CFF0FC"/>
          </w:tcPr>
          <w:p>
            <w:pPr>
              <w:ind w:left="620"/>
              <w:spacing w:after="0"/>
              <w:rPr>
                <w:sz w:val="20"/>
                <w:szCs w:val="20"/>
                <w:color w:val="auto"/>
              </w:rPr>
            </w:pPr>
            <w:r>
              <w:rPr>
                <w:rFonts w:ascii="Arial" w:cs="Arial" w:eastAsia="Arial" w:hAnsi="Arial"/>
                <w:sz w:val="16"/>
                <w:szCs w:val="16"/>
                <w:color w:val="auto"/>
              </w:rPr>
              <w:t>Decrease in accounts payable and accrued liabilities</w:t>
            </w:r>
          </w:p>
        </w:tc>
        <w:tc>
          <w:tcPr>
            <w:tcW w:w="10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(983)</w:t>
            </w: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(1,348)</w:t>
            </w:r>
          </w:p>
        </w:tc>
        <w:tc>
          <w:tcPr>
            <w:tcW w:w="0" w:type="dxa"/>
            <w:vAlign w:val="bottom"/>
          </w:tcPr>
          <w:p>
            <w:pPr>
              <w:spacing w:after="0"/>
              <w:rPr>
                <w:sz w:val="1"/>
                <w:szCs w:val="1"/>
                <w:color w:val="auto"/>
              </w:rPr>
            </w:pPr>
          </w:p>
        </w:tc>
      </w:tr>
      <w:tr>
        <w:trPr>
          <w:trHeight w:val="210"/>
        </w:trPr>
        <w:tc>
          <w:tcPr>
            <w:tcW w:w="7820" w:type="dxa"/>
            <w:vAlign w:val="bottom"/>
          </w:tcPr>
          <w:p>
            <w:pPr>
              <w:ind w:left="620"/>
              <w:spacing w:after="0"/>
              <w:rPr>
                <w:sz w:val="20"/>
                <w:szCs w:val="20"/>
                <w:color w:val="auto"/>
              </w:rPr>
            </w:pPr>
            <w:r>
              <w:rPr>
                <w:rFonts w:ascii="Arial" w:cs="Arial" w:eastAsia="Arial" w:hAnsi="Arial"/>
                <w:sz w:val="16"/>
                <w:szCs w:val="16"/>
                <w:color w:val="auto"/>
              </w:rPr>
              <w:t>Decrease in estimated liability for taxes on income</w:t>
            </w:r>
          </w:p>
        </w:tc>
        <w:tc>
          <w:tcPr>
            <w:tcW w:w="10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(104)</w:t>
            </w: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15"/>
        </w:trPr>
        <w:tc>
          <w:tcPr>
            <w:tcW w:w="7820" w:type="dxa"/>
            <w:vAlign w:val="bottom"/>
            <w:shd w:val="clear" w:color="auto" w:fill="CFF0FC"/>
          </w:tcPr>
          <w:p>
            <w:pPr>
              <w:ind w:left="620"/>
              <w:spacing w:after="0"/>
              <w:rPr>
                <w:sz w:val="20"/>
                <w:szCs w:val="20"/>
                <w:color w:val="auto"/>
              </w:rPr>
            </w:pPr>
            <w:r>
              <w:rPr>
                <w:rFonts w:ascii="Arial" w:cs="Arial" w:eastAsia="Arial" w:hAnsi="Arial"/>
                <w:sz w:val="16"/>
                <w:szCs w:val="16"/>
                <w:color w:val="auto"/>
              </w:rPr>
              <w:t>Increase (decrease) in other liabilities</w:t>
            </w: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0"/>
        </w:trPr>
        <w:tc>
          <w:tcPr>
            <w:tcW w:w="7820" w:type="dxa"/>
            <w:vAlign w:val="bottom"/>
            <w:tcBorders>
              <w:bottom w:val="single" w:sz="8" w:color="CFF0FC"/>
            </w:tcBorders>
          </w:tcPr>
          <w:p>
            <w:pPr>
              <w:ind w:left="620"/>
              <w:spacing w:after="0"/>
              <w:rPr>
                <w:sz w:val="20"/>
                <w:szCs w:val="20"/>
                <w:color w:val="auto"/>
              </w:rPr>
            </w:pPr>
            <w:r>
              <w:rPr>
                <w:rFonts w:ascii="Arial" w:cs="Arial" w:eastAsia="Arial" w:hAnsi="Arial"/>
                <w:sz w:val="16"/>
                <w:szCs w:val="16"/>
                <w:color w:val="auto"/>
              </w:rPr>
              <w:t>Other</w:t>
            </w:r>
          </w:p>
        </w:tc>
        <w:tc>
          <w:tcPr>
            <w:tcW w:w="10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125</w:t>
            </w:r>
          </w:p>
        </w:tc>
        <w:tc>
          <w:tcPr>
            <w:tcW w:w="2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820" w:type="dxa"/>
            <w:vAlign w:val="bottom"/>
            <w:shd w:val="clear" w:color="auto" w:fill="CFF0FC"/>
          </w:tcPr>
          <w:p>
            <w:pPr>
              <w:spacing w:after="0"/>
              <w:rPr>
                <w:sz w:val="20"/>
                <w:szCs w:val="20"/>
                <w:color w:val="auto"/>
              </w:rPr>
            </w:pPr>
            <w:r>
              <w:rPr>
                <w:rFonts w:ascii="Arial" w:cs="Arial" w:eastAsia="Arial" w:hAnsi="Arial"/>
                <w:sz w:val="16"/>
                <w:szCs w:val="16"/>
                <w:color w:val="auto"/>
              </w:rPr>
              <w:t>NET CASH PROVIDED BY OPERATING ACTIVITIES</w:t>
            </w:r>
          </w:p>
        </w:tc>
        <w:tc>
          <w:tcPr>
            <w:tcW w:w="104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1,210</w:t>
            </w:r>
          </w:p>
        </w:tc>
        <w:tc>
          <w:tcPr>
            <w:tcW w:w="28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82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820" w:type="dxa"/>
            <w:vAlign w:val="bottom"/>
            <w:shd w:val="clear" w:color="auto" w:fill="CFF0FC"/>
          </w:tcPr>
          <w:p>
            <w:pPr>
              <w:ind w:left="360"/>
              <w:spacing w:after="0"/>
              <w:rPr>
                <w:sz w:val="20"/>
                <w:szCs w:val="20"/>
                <w:color w:val="auto"/>
              </w:rPr>
            </w:pPr>
            <w:r>
              <w:rPr>
                <w:rFonts w:ascii="Arial" w:cs="Arial" w:eastAsia="Arial" w:hAnsi="Arial"/>
                <w:sz w:val="16"/>
                <w:szCs w:val="16"/>
                <w:color w:val="auto"/>
              </w:rPr>
              <w:t>Capital expenditures</w:t>
            </w:r>
          </w:p>
        </w:tc>
        <w:tc>
          <w:tcPr>
            <w:tcW w:w="10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(549)</w:t>
            </w: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(606)</w:t>
            </w:r>
          </w:p>
        </w:tc>
        <w:tc>
          <w:tcPr>
            <w:tcW w:w="0" w:type="dxa"/>
            <w:vAlign w:val="bottom"/>
          </w:tcPr>
          <w:p>
            <w:pPr>
              <w:spacing w:after="0"/>
              <w:rPr>
                <w:sz w:val="1"/>
                <w:szCs w:val="1"/>
                <w:color w:val="auto"/>
              </w:rPr>
            </w:pPr>
          </w:p>
        </w:tc>
      </w:tr>
      <w:tr>
        <w:trPr>
          <w:trHeight w:val="210"/>
        </w:trPr>
        <w:tc>
          <w:tcPr>
            <w:tcW w:w="7820" w:type="dxa"/>
            <w:vAlign w:val="bottom"/>
          </w:tcPr>
          <w:p>
            <w:pPr>
              <w:ind w:left="360"/>
              <w:spacing w:after="0"/>
              <w:rPr>
                <w:sz w:val="20"/>
                <w:szCs w:val="20"/>
                <w:color w:val="auto"/>
              </w:rPr>
            </w:pPr>
            <w:r>
              <w:rPr>
                <w:rFonts w:ascii="Arial" w:cs="Arial" w:eastAsia="Arial" w:hAnsi="Arial"/>
                <w:sz w:val="16"/>
                <w:szCs w:val="16"/>
                <w:color w:val="auto"/>
              </w:rPr>
              <w:t>SPM investments</w:t>
            </w:r>
          </w:p>
        </w:tc>
        <w:tc>
          <w:tcPr>
            <w:tcW w:w="10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(597)</w:t>
            </w: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15"/>
        </w:trPr>
        <w:tc>
          <w:tcPr>
            <w:tcW w:w="7820" w:type="dxa"/>
            <w:vAlign w:val="bottom"/>
            <w:shd w:val="clear" w:color="auto" w:fill="CFF0FC"/>
          </w:tcPr>
          <w:p>
            <w:pPr>
              <w:ind w:left="360"/>
              <w:spacing w:after="0"/>
              <w:rPr>
                <w:sz w:val="20"/>
                <w:szCs w:val="20"/>
                <w:color w:val="auto"/>
              </w:rPr>
            </w:pPr>
            <w:r>
              <w:rPr>
                <w:rFonts w:ascii="Arial" w:cs="Arial" w:eastAsia="Arial" w:hAnsi="Arial"/>
                <w:sz w:val="16"/>
                <w:szCs w:val="16"/>
                <w:color w:val="auto"/>
              </w:rPr>
              <w:t>Multiclient seismic data capitalized</w:t>
            </w:r>
          </w:p>
        </w:tc>
        <w:tc>
          <w:tcPr>
            <w:tcW w:w="10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(167)</w:t>
            </w: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10"/>
        </w:trPr>
        <w:tc>
          <w:tcPr>
            <w:tcW w:w="7820" w:type="dxa"/>
            <w:vAlign w:val="bottom"/>
          </w:tcPr>
          <w:p>
            <w:pPr>
              <w:ind w:left="360"/>
              <w:spacing w:after="0"/>
              <w:rPr>
                <w:sz w:val="20"/>
                <w:szCs w:val="20"/>
                <w:color w:val="auto"/>
              </w:rPr>
            </w:pPr>
            <w:r>
              <w:rPr>
                <w:rFonts w:ascii="Arial" w:cs="Arial" w:eastAsia="Arial" w:hAnsi="Arial"/>
                <w:sz w:val="16"/>
                <w:szCs w:val="16"/>
                <w:color w:val="auto"/>
              </w:rPr>
              <w:t>Business acquisitions and investments, net of cash acquired</w:t>
            </w:r>
          </w:p>
        </w:tc>
        <w:tc>
          <w:tcPr>
            <w:tcW w:w="10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(81)</w:t>
            </w: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5"/>
        </w:trPr>
        <w:tc>
          <w:tcPr>
            <w:tcW w:w="7820" w:type="dxa"/>
            <w:vAlign w:val="bottom"/>
            <w:shd w:val="clear" w:color="auto" w:fill="CFF0FC"/>
          </w:tcPr>
          <w:p>
            <w:pPr>
              <w:ind w:left="360"/>
              <w:spacing w:after="0"/>
              <w:rPr>
                <w:sz w:val="20"/>
                <w:szCs w:val="20"/>
                <w:color w:val="auto"/>
              </w:rPr>
            </w:pPr>
            <w:r>
              <w:rPr>
                <w:rFonts w:ascii="Arial" w:cs="Arial" w:eastAsia="Arial" w:hAnsi="Arial"/>
                <w:sz w:val="16"/>
                <w:szCs w:val="16"/>
                <w:color w:val="auto"/>
              </w:rPr>
              <w:t>Purchase of investments, net</w:t>
            </w:r>
          </w:p>
        </w:tc>
        <w:tc>
          <w:tcPr>
            <w:tcW w:w="10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(2,093)</w:t>
            </w: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210"/>
        </w:trPr>
        <w:tc>
          <w:tcPr>
            <w:tcW w:w="7820" w:type="dxa"/>
            <w:vAlign w:val="bottom"/>
          </w:tcPr>
          <w:p>
            <w:pPr>
              <w:ind w:left="360"/>
              <w:spacing w:after="0"/>
              <w:rPr>
                <w:sz w:val="20"/>
                <w:szCs w:val="20"/>
                <w:color w:val="auto"/>
              </w:rPr>
            </w:pPr>
            <w:r>
              <w:rPr>
                <w:rFonts w:ascii="Arial" w:cs="Arial" w:eastAsia="Arial" w:hAnsi="Arial"/>
                <w:sz w:val="16"/>
                <w:szCs w:val="16"/>
                <w:color w:val="auto"/>
              </w:rPr>
              <w:t>Other</w:t>
            </w:r>
          </w:p>
        </w:tc>
        <w:tc>
          <w:tcPr>
            <w:tcW w:w="10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(26)</w:t>
            </w: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0"/>
        </w:trPr>
        <w:tc>
          <w:tcPr>
            <w:tcW w:w="782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CASH USED IN INVESTING ACTIVITIES</w:t>
            </w:r>
          </w:p>
        </w:tc>
        <w:tc>
          <w:tcPr>
            <w:tcW w:w="10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820" w:type="dxa"/>
            <w:vAlign w:val="bottom"/>
            <w:vMerge w:val="continue"/>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(3,513)</w:t>
            </w:r>
          </w:p>
        </w:tc>
        <w:tc>
          <w:tcPr>
            <w:tcW w:w="280" w:type="dxa"/>
            <w:vAlign w:val="bottom"/>
            <w:vMerge w:val="continue"/>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(1,237)</w:t>
            </w:r>
          </w:p>
        </w:tc>
        <w:tc>
          <w:tcPr>
            <w:tcW w:w="0" w:type="dxa"/>
            <w:vAlign w:val="bottom"/>
          </w:tcPr>
          <w:p>
            <w:pPr>
              <w:spacing w:after="0"/>
              <w:rPr>
                <w:sz w:val="1"/>
                <w:szCs w:val="1"/>
                <w:color w:val="auto"/>
              </w:rPr>
            </w:pPr>
          </w:p>
        </w:tc>
      </w:tr>
      <w:tr>
        <w:trPr>
          <w:trHeight w:val="203"/>
        </w:trPr>
        <w:tc>
          <w:tcPr>
            <w:tcW w:w="782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10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820" w:type="dxa"/>
            <w:vAlign w:val="bottom"/>
            <w:shd w:val="clear" w:color="auto" w:fill="CFF0FC"/>
          </w:tcPr>
          <w:p>
            <w:pPr>
              <w:ind w:left="360"/>
              <w:spacing w:after="0"/>
              <w:rPr>
                <w:sz w:val="20"/>
                <w:szCs w:val="20"/>
                <w:color w:val="auto"/>
              </w:rPr>
            </w:pPr>
            <w:r>
              <w:rPr>
                <w:rFonts w:ascii="Arial" w:cs="Arial" w:eastAsia="Arial" w:hAnsi="Arial"/>
                <w:sz w:val="16"/>
                <w:szCs w:val="16"/>
                <w:color w:val="auto"/>
              </w:rPr>
              <w:t>Dividends paid</w:t>
            </w:r>
          </w:p>
        </w:tc>
        <w:tc>
          <w:tcPr>
            <w:tcW w:w="10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(629)</w:t>
            </w: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(512)</w:t>
            </w:r>
          </w:p>
        </w:tc>
        <w:tc>
          <w:tcPr>
            <w:tcW w:w="0" w:type="dxa"/>
            <w:vAlign w:val="bottom"/>
          </w:tcPr>
          <w:p>
            <w:pPr>
              <w:spacing w:after="0"/>
              <w:rPr>
                <w:sz w:val="1"/>
                <w:szCs w:val="1"/>
                <w:color w:val="auto"/>
              </w:rPr>
            </w:pPr>
          </w:p>
        </w:tc>
      </w:tr>
      <w:tr>
        <w:trPr>
          <w:trHeight w:val="210"/>
        </w:trPr>
        <w:tc>
          <w:tcPr>
            <w:tcW w:w="7820" w:type="dxa"/>
            <w:vAlign w:val="bottom"/>
          </w:tcPr>
          <w:p>
            <w:pPr>
              <w:ind w:left="360"/>
              <w:spacing w:after="0"/>
              <w:rPr>
                <w:sz w:val="20"/>
                <w:szCs w:val="20"/>
                <w:color w:val="auto"/>
              </w:rPr>
            </w:pPr>
            <w:r>
              <w:rPr>
                <w:rFonts w:ascii="Arial" w:cs="Arial" w:eastAsia="Arial" w:hAnsi="Arial"/>
                <w:sz w:val="16"/>
                <w:szCs w:val="16"/>
                <w:color w:val="auto"/>
              </w:rPr>
              <w:t>Proceeds from employee stock purchase plan</w:t>
            </w: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116</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20" w:type="dxa"/>
            <w:vAlign w:val="bottom"/>
            <w:shd w:val="clear" w:color="auto" w:fill="CFF0FC"/>
          </w:tcPr>
          <w:p>
            <w:pPr>
              <w:ind w:left="360"/>
              <w:spacing w:after="0"/>
              <w:rPr>
                <w:sz w:val="20"/>
                <w:szCs w:val="20"/>
                <w:color w:val="auto"/>
              </w:rPr>
            </w:pPr>
            <w:r>
              <w:rPr>
                <w:rFonts w:ascii="Arial" w:cs="Arial" w:eastAsia="Arial" w:hAnsi="Arial"/>
                <w:sz w:val="16"/>
                <w:szCs w:val="16"/>
                <w:color w:val="auto"/>
              </w:rPr>
              <w:t>Proceeds from exercise of stock options</w:t>
            </w: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47</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tcPr>
          <w:p>
            <w:pPr>
              <w:ind w:left="360"/>
              <w:spacing w:after="0"/>
              <w:rPr>
                <w:sz w:val="20"/>
                <w:szCs w:val="20"/>
                <w:color w:val="auto"/>
              </w:rPr>
            </w:pPr>
            <w:r>
              <w:rPr>
                <w:rFonts w:ascii="Arial" w:cs="Arial" w:eastAsia="Arial" w:hAnsi="Arial"/>
                <w:sz w:val="16"/>
                <w:szCs w:val="16"/>
                <w:color w:val="auto"/>
              </w:rPr>
              <w:t>Stock repurchase program</w:t>
            </w:r>
          </w:p>
        </w:tc>
        <w:tc>
          <w:tcPr>
            <w:tcW w:w="10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(475)</w:t>
            </w: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(719)</w:t>
            </w:r>
          </w:p>
        </w:tc>
        <w:tc>
          <w:tcPr>
            <w:tcW w:w="0" w:type="dxa"/>
            <w:vAlign w:val="bottom"/>
          </w:tcPr>
          <w:p>
            <w:pPr>
              <w:spacing w:after="0"/>
              <w:rPr>
                <w:sz w:val="1"/>
                <w:szCs w:val="1"/>
                <w:color w:val="auto"/>
              </w:rPr>
            </w:pPr>
          </w:p>
        </w:tc>
      </w:tr>
      <w:tr>
        <w:trPr>
          <w:trHeight w:val="215"/>
        </w:trPr>
        <w:tc>
          <w:tcPr>
            <w:tcW w:w="7820" w:type="dxa"/>
            <w:vAlign w:val="bottom"/>
            <w:shd w:val="clear" w:color="auto" w:fill="CFF0FC"/>
          </w:tcPr>
          <w:p>
            <w:pPr>
              <w:ind w:left="360"/>
              <w:spacing w:after="0"/>
              <w:rPr>
                <w:sz w:val="20"/>
                <w:szCs w:val="20"/>
                <w:color w:val="auto"/>
              </w:rPr>
            </w:pPr>
            <w:r>
              <w:rPr>
                <w:rFonts w:ascii="Arial" w:cs="Arial" w:eastAsia="Arial" w:hAnsi="Arial"/>
                <w:sz w:val="16"/>
                <w:szCs w:val="16"/>
                <w:color w:val="auto"/>
              </w:rPr>
              <w:t>Proceeds from issuance of long-term debt</w:t>
            </w: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3,542</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tcPr>
          <w:p>
            <w:pPr>
              <w:ind w:left="360"/>
              <w:spacing w:after="0"/>
              <w:rPr>
                <w:sz w:val="20"/>
                <w:szCs w:val="20"/>
                <w:color w:val="auto"/>
              </w:rPr>
            </w:pPr>
            <w:r>
              <w:rPr>
                <w:rFonts w:ascii="Arial" w:cs="Arial" w:eastAsia="Arial" w:hAnsi="Arial"/>
                <w:sz w:val="16"/>
                <w:szCs w:val="16"/>
                <w:color w:val="auto"/>
              </w:rPr>
              <w:t>Repayment of long-term debt</w:t>
            </w:r>
          </w:p>
        </w:tc>
        <w:tc>
          <w:tcPr>
            <w:tcW w:w="10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(500)</w:t>
            </w: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(1,144)</w:t>
            </w:r>
          </w:p>
        </w:tc>
        <w:tc>
          <w:tcPr>
            <w:tcW w:w="0" w:type="dxa"/>
            <w:vAlign w:val="bottom"/>
          </w:tcPr>
          <w:p>
            <w:pPr>
              <w:spacing w:after="0"/>
              <w:rPr>
                <w:sz w:val="1"/>
                <w:szCs w:val="1"/>
                <w:color w:val="auto"/>
              </w:rPr>
            </w:pPr>
          </w:p>
        </w:tc>
      </w:tr>
      <w:tr>
        <w:trPr>
          <w:trHeight w:val="215"/>
        </w:trPr>
        <w:tc>
          <w:tcPr>
            <w:tcW w:w="7820" w:type="dxa"/>
            <w:vAlign w:val="bottom"/>
            <w:shd w:val="clear" w:color="auto" w:fill="CFF0FC"/>
          </w:tcPr>
          <w:p>
            <w:pPr>
              <w:ind w:left="360"/>
              <w:spacing w:after="0"/>
              <w:rPr>
                <w:sz w:val="20"/>
                <w:szCs w:val="20"/>
                <w:color w:val="auto"/>
              </w:rPr>
            </w:pPr>
            <w:r>
              <w:rPr>
                <w:rFonts w:ascii="Arial" w:cs="Arial" w:eastAsia="Arial" w:hAnsi="Arial"/>
                <w:sz w:val="16"/>
                <w:szCs w:val="16"/>
                <w:color w:val="auto"/>
              </w:rPr>
              <w:t>Net decrease in short-term borrowings</w:t>
            </w:r>
          </w:p>
        </w:tc>
        <w:tc>
          <w:tcPr>
            <w:tcW w:w="10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(561)</w:t>
            </w: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(902)</w:t>
            </w:r>
          </w:p>
        </w:tc>
        <w:tc>
          <w:tcPr>
            <w:tcW w:w="0" w:type="dxa"/>
            <w:vAlign w:val="bottom"/>
          </w:tcPr>
          <w:p>
            <w:pPr>
              <w:spacing w:after="0"/>
              <w:rPr>
                <w:sz w:val="1"/>
                <w:szCs w:val="1"/>
                <w:color w:val="auto"/>
              </w:rPr>
            </w:pPr>
          </w:p>
        </w:tc>
      </w:tr>
      <w:tr>
        <w:trPr>
          <w:trHeight w:val="210"/>
        </w:trPr>
        <w:tc>
          <w:tcPr>
            <w:tcW w:w="7820" w:type="dxa"/>
            <w:vAlign w:val="bottom"/>
          </w:tcPr>
          <w:p>
            <w:pPr>
              <w:ind w:left="360"/>
              <w:spacing w:after="0"/>
              <w:rPr>
                <w:sz w:val="20"/>
                <w:szCs w:val="20"/>
                <w:color w:val="auto"/>
              </w:rPr>
            </w:pPr>
            <w:r>
              <w:rPr>
                <w:rFonts w:ascii="Arial" w:cs="Arial" w:eastAsia="Arial" w:hAnsi="Arial"/>
                <w:sz w:val="16"/>
                <w:szCs w:val="16"/>
                <w:color w:val="auto"/>
              </w:rPr>
              <w:t>Other</w:t>
            </w: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47</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782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CASH PROVIDED BY (USED IN) FINANCING ACTIVITIES</w:t>
            </w:r>
          </w:p>
        </w:tc>
        <w:tc>
          <w:tcPr>
            <w:tcW w:w="10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820" w:type="dxa"/>
            <w:vAlign w:val="bottom"/>
            <w:vMerge w:val="continue"/>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1,587</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(1,525)</w:t>
            </w: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Arial" w:cs="Arial" w:eastAsia="Arial" w:hAnsi="Arial"/>
                <w:sz w:val="16"/>
                <w:szCs w:val="16"/>
                <w:color w:val="auto"/>
              </w:rPr>
              <w:t>Net decrease in cash before translation effect</w:t>
            </w:r>
          </w:p>
        </w:tc>
        <w:tc>
          <w:tcPr>
            <w:tcW w:w="10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82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(716)</w:t>
            </w:r>
          </w:p>
        </w:tc>
        <w:tc>
          <w:tcPr>
            <w:tcW w:w="2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(992)</w:t>
            </w:r>
          </w:p>
        </w:tc>
        <w:tc>
          <w:tcPr>
            <w:tcW w:w="0" w:type="dxa"/>
            <w:vAlign w:val="bottom"/>
          </w:tcPr>
          <w:p>
            <w:pPr>
              <w:spacing w:after="0"/>
              <w:rPr>
                <w:sz w:val="1"/>
                <w:szCs w:val="1"/>
                <w:color w:val="auto"/>
              </w:rPr>
            </w:pPr>
          </w:p>
        </w:tc>
      </w:tr>
      <w:tr>
        <w:trPr>
          <w:trHeight w:val="215"/>
        </w:trPr>
        <w:tc>
          <w:tcPr>
            <w:tcW w:w="7820" w:type="dxa"/>
            <w:vAlign w:val="bottom"/>
            <w:shd w:val="clear" w:color="auto" w:fill="CFF0FC"/>
          </w:tcPr>
          <w:p>
            <w:pPr>
              <w:spacing w:after="0"/>
              <w:rPr>
                <w:sz w:val="20"/>
                <w:szCs w:val="20"/>
                <w:color w:val="auto"/>
              </w:rPr>
            </w:pPr>
            <w:r>
              <w:rPr>
                <w:rFonts w:ascii="Arial" w:cs="Arial" w:eastAsia="Arial" w:hAnsi="Arial"/>
                <w:sz w:val="16"/>
                <w:szCs w:val="16"/>
                <w:color w:val="auto"/>
              </w:rPr>
              <w:t>Translation effect on cash</w:t>
            </w: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0"/>
        </w:trPr>
        <w:tc>
          <w:tcPr>
            <w:tcW w:w="78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 beginning of period</w:t>
            </w:r>
          </w:p>
        </w:tc>
        <w:tc>
          <w:tcPr>
            <w:tcW w:w="10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2,793</w:t>
            </w:r>
          </w:p>
        </w:tc>
        <w:tc>
          <w:tcPr>
            <w:tcW w:w="2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3,130</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end of period</w:t>
            </w:r>
          </w:p>
        </w:tc>
        <w:tc>
          <w:tcPr>
            <w:tcW w:w="1040" w:type="dxa"/>
            <w:vAlign w:val="bottom"/>
            <w:tcBorders>
              <w:bottom w:val="single" w:sz="8" w:color="auto"/>
            </w:tcBorders>
            <w:shd w:val="clear" w:color="auto" w:fill="CFF0FC"/>
          </w:tcPr>
          <w:p>
            <w:pPr>
              <w:jc w:val="right"/>
              <w:ind w:right="890"/>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2,080</w:t>
            </w:r>
          </w:p>
        </w:tc>
        <w:tc>
          <w:tcPr>
            <w:tcW w:w="2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46"/>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2,121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20" w:hanging="514"/>
        <w:spacing w:after="0"/>
        <w:tabs>
          <w:tab w:leader="none" w:pos="520" w:val="left"/>
        </w:tabs>
        <w:numPr>
          <w:ilvl w:val="0"/>
          <w:numId w:val="1"/>
        </w:numPr>
        <w:rPr>
          <w:rFonts w:ascii="Arial" w:cs="Arial" w:eastAsia="Arial" w:hAnsi="Arial"/>
          <w:sz w:val="26"/>
          <w:szCs w:val="26"/>
          <w:color w:val="auto"/>
          <w:vertAlign w:val="superscript"/>
        </w:rPr>
      </w:pPr>
      <w:r>
        <w:rPr>
          <w:rFonts w:ascii="Arial" w:cs="Arial" w:eastAsia="Arial" w:hAnsi="Arial"/>
          <w:sz w:val="16"/>
          <w:szCs w:val="16"/>
          <w:color w:val="auto"/>
        </w:rPr>
        <w:t>Includes depreciation of property, plant and equipment and amortization of intangible assets, multiclient seismic data costs and SPM investments.</w:t>
      </w:r>
    </w:p>
    <w:p>
      <w:pPr>
        <w:spacing w:after="0" w:line="9" w:lineRule="exact"/>
        <w:rPr>
          <w:rFonts w:ascii="Arial" w:cs="Arial" w:eastAsia="Arial" w:hAnsi="Arial"/>
          <w:sz w:val="26"/>
          <w:szCs w:val="26"/>
          <w:color w:val="auto"/>
          <w:vertAlign w:val="superscript"/>
        </w:rPr>
      </w:pPr>
    </w:p>
    <w:p>
      <w:pPr>
        <w:ind w:left="520" w:hanging="514"/>
        <w:spacing w:after="0" w:line="180" w:lineRule="auto"/>
        <w:tabs>
          <w:tab w:leader="none" w:pos="520" w:val="left"/>
        </w:tabs>
        <w:numPr>
          <w:ilvl w:val="0"/>
          <w:numId w:val="1"/>
        </w:numPr>
        <w:rPr>
          <w:rFonts w:ascii="Arial" w:cs="Arial" w:eastAsia="Arial" w:hAnsi="Arial"/>
          <w:sz w:val="22"/>
          <w:szCs w:val="22"/>
          <w:color w:val="auto"/>
          <w:vertAlign w:val="superscript"/>
        </w:rPr>
      </w:pPr>
      <w:r>
        <w:rPr>
          <w:rFonts w:ascii="Arial" w:cs="Arial" w:eastAsia="Arial" w:hAnsi="Arial"/>
          <w:sz w:val="14"/>
          <w:szCs w:val="14"/>
          <w:color w:val="auto"/>
        </w:rPr>
        <w:t>Net of the effect of business acquisitions.</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ind w:left="368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2" w:lineRule="exact"/>
        <w:rPr>
          <w:sz w:val="20"/>
          <w:szCs w:val="20"/>
          <w:color w:val="auto"/>
        </w:rPr>
      </w:pPr>
    </w:p>
    <w:p>
      <w:pPr>
        <w:ind w:left="3920"/>
        <w:spacing w:after="0"/>
        <w:rPr>
          <w:sz w:val="20"/>
          <w:szCs w:val="20"/>
          <w:color w:val="auto"/>
        </w:rPr>
      </w:pPr>
      <w:r>
        <w:rPr>
          <w:rFonts w:ascii="Arial" w:cs="Arial" w:eastAsia="Arial" w:hAnsi="Arial"/>
          <w:sz w:val="18"/>
          <w:szCs w:val="18"/>
          <w:b w:val="1"/>
          <w:bCs w:val="1"/>
          <w:u w:val="single" w:color="auto"/>
          <w:color w:val="auto"/>
        </w:rPr>
        <w:t>CONSOLIDATED STATEMENT OF EQUITY</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7"/>
          </w:tcPr>
          <w:p>
            <w:pPr>
              <w:jc w:val="right"/>
              <w:ind w:right="100"/>
              <w:spacing w:after="0"/>
              <w:rPr>
                <w:sz w:val="20"/>
                <w:szCs w:val="20"/>
                <w:color w:val="auto"/>
              </w:rPr>
            </w:pPr>
            <w:r>
              <w:rPr>
                <w:rFonts w:ascii="Arial" w:cs="Arial" w:eastAsia="Arial" w:hAnsi="Arial"/>
                <w:sz w:val="14"/>
                <w:szCs w:val="14"/>
                <w:i w:val="1"/>
                <w:iCs w:val="1"/>
                <w:color w:val="auto"/>
                <w:w w:val="95"/>
              </w:rPr>
              <w:t>(Stated in millions)</w:t>
            </w:r>
          </w:p>
        </w:tc>
      </w:tr>
      <w:tr>
        <w:trPr>
          <w:trHeight w:val="294"/>
        </w:trPr>
        <w:tc>
          <w:tcPr>
            <w:tcW w:w="3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59"/>
        </w:trPr>
        <w:tc>
          <w:tcPr>
            <w:tcW w:w="3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3"/>
          </w:tcPr>
          <w:p>
            <w:pPr>
              <w:jc w:val="center"/>
              <w:ind w:right="320"/>
              <w:spacing w:after="0" w:line="15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9"/>
        </w:trPr>
        <w:tc>
          <w:tcPr>
            <w:tcW w:w="3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Common Stock</w:t>
            </w: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4"/>
                <w:szCs w:val="14"/>
                <w:color w:val="auto"/>
              </w:rPr>
            </w:pPr>
          </w:p>
        </w:tc>
        <w:tc>
          <w:tcPr>
            <w:tcW w:w="13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9"/>
              </w:rPr>
              <w:t>Comprehensive</w:t>
            </w:r>
          </w:p>
        </w:tc>
        <w:tc>
          <w:tcPr>
            <w:tcW w:w="126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6"/>
              </w:rPr>
              <w:t>Noncontrolling</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3"/>
        </w:trPr>
        <w:tc>
          <w:tcPr>
            <w:tcW w:w="3340" w:type="dxa"/>
            <w:vAlign w:val="bottom"/>
          </w:tcPr>
          <w:p>
            <w:pPr>
              <w:spacing w:after="0" w:line="153" w:lineRule="exact"/>
              <w:rPr>
                <w:sz w:val="20"/>
                <w:szCs w:val="20"/>
                <w:color w:val="auto"/>
              </w:rPr>
            </w:pPr>
            <w:r>
              <w:rPr>
                <w:rFonts w:ascii="Arial" w:cs="Arial" w:eastAsia="Arial" w:hAnsi="Arial"/>
                <w:sz w:val="14"/>
                <w:szCs w:val="14"/>
                <w:b w:val="1"/>
                <w:bCs w:val="1"/>
                <w:color w:val="auto"/>
              </w:rPr>
              <w:t>January 1, 2016 – March 31, 2016</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3"/>
          </w:tcPr>
          <w:p>
            <w:pPr>
              <w:jc w:val="right"/>
              <w:ind w:right="420"/>
              <w:spacing w:after="0" w:line="153" w:lineRule="exact"/>
              <w:rPr>
                <w:sz w:val="20"/>
                <w:szCs w:val="20"/>
                <w:color w:val="auto"/>
              </w:rPr>
            </w:pPr>
            <w:r>
              <w:rPr>
                <w:rFonts w:ascii="Arial" w:cs="Arial" w:eastAsia="Arial" w:hAnsi="Arial"/>
                <w:sz w:val="14"/>
                <w:szCs w:val="14"/>
                <w:b w:val="1"/>
                <w:bCs w:val="1"/>
                <w:color w:val="auto"/>
              </w:rPr>
              <w:t>Issued</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3"/>
          </w:tcPr>
          <w:p>
            <w:pPr>
              <w:jc w:val="right"/>
              <w:ind w:right="180"/>
              <w:spacing w:after="0" w:line="153" w:lineRule="exact"/>
              <w:rPr>
                <w:sz w:val="20"/>
                <w:szCs w:val="20"/>
                <w:color w:val="auto"/>
              </w:rPr>
            </w:pPr>
            <w:r>
              <w:rPr>
                <w:rFonts w:ascii="Arial" w:cs="Arial" w:eastAsia="Arial" w:hAnsi="Arial"/>
                <w:sz w:val="14"/>
                <w:szCs w:val="14"/>
                <w:b w:val="1"/>
                <w:bCs w:val="1"/>
                <w:color w:val="auto"/>
              </w:rPr>
              <w:t>In Treasury</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3"/>
          </w:tcPr>
          <w:p>
            <w:pPr>
              <w:jc w:val="right"/>
              <w:ind w:right="340"/>
              <w:spacing w:after="0" w:line="153" w:lineRule="exact"/>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3"/>
          </w:tcPr>
          <w:p>
            <w:pPr>
              <w:jc w:val="center"/>
              <w:ind w:right="320"/>
              <w:spacing w:after="0" w:line="153" w:lineRule="exact"/>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right"/>
              <w:ind w:right="500"/>
              <w:spacing w:after="0" w:line="153" w:lineRule="exact"/>
              <w:rPr>
                <w:sz w:val="20"/>
                <w:szCs w:val="20"/>
                <w:color w:val="auto"/>
              </w:rPr>
            </w:pPr>
            <w:r>
              <w:rPr>
                <w:rFonts w:ascii="Arial" w:cs="Arial" w:eastAsia="Arial" w:hAnsi="Arial"/>
                <w:sz w:val="14"/>
                <w:szCs w:val="14"/>
                <w:b w:val="1"/>
                <w:bCs w:val="1"/>
                <w:color w:val="auto"/>
              </w:rPr>
              <w:t>Interest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480"/>
              <w:spacing w:after="0" w:line="153" w:lineRule="exact"/>
              <w:rPr>
                <w:sz w:val="20"/>
                <w:szCs w:val="20"/>
                <w:color w:val="auto"/>
              </w:rPr>
            </w:pPr>
            <w:r>
              <w:rPr>
                <w:rFonts w:ascii="Arial" w:cs="Arial" w:eastAsia="Arial" w:hAnsi="Arial"/>
                <w:sz w:val="14"/>
                <w:szCs w:val="14"/>
                <w:b w:val="1"/>
                <w:bCs w:val="1"/>
                <w:color w:val="auto"/>
              </w:rPr>
              <w:t>Total</w:t>
            </w:r>
          </w:p>
        </w:tc>
      </w:tr>
      <w:tr>
        <w:trPr>
          <w:trHeight w:val="153"/>
        </w:trPr>
        <w:tc>
          <w:tcPr>
            <w:tcW w:w="3340" w:type="dxa"/>
            <w:vAlign w:val="bottom"/>
            <w:tcBorders>
              <w:top w:val="single" w:sz="8" w:color="auto"/>
            </w:tcBorders>
            <w:shd w:val="clear" w:color="auto" w:fill="CFF0FC"/>
          </w:tcPr>
          <w:p>
            <w:pPr>
              <w:spacing w:after="0" w:line="153" w:lineRule="exact"/>
              <w:rPr>
                <w:sz w:val="20"/>
                <w:szCs w:val="20"/>
                <w:color w:val="auto"/>
              </w:rPr>
            </w:pPr>
            <w:r>
              <w:rPr>
                <w:rFonts w:ascii="Arial" w:cs="Arial" w:eastAsia="Arial" w:hAnsi="Arial"/>
                <w:sz w:val="14"/>
                <w:szCs w:val="14"/>
                <w:color w:val="auto"/>
              </w:rPr>
              <w:t>Balance, January 1, 2016</w:t>
            </w:r>
          </w:p>
        </w:tc>
        <w:tc>
          <w:tcPr>
            <w:tcW w:w="620" w:type="dxa"/>
            <w:vAlign w:val="bottom"/>
            <w:tcBorders>
              <w:top w:val="single" w:sz="8" w:color="auto"/>
            </w:tcBorders>
            <w:gridSpan w:val="3"/>
            <w:shd w:val="clear" w:color="auto" w:fill="CFF0FC"/>
          </w:tcPr>
          <w:p>
            <w:pPr>
              <w:jc w:val="right"/>
              <w:spacing w:after="0" w:line="153" w:lineRule="exact"/>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gridSpan w:val="2"/>
            <w:shd w:val="clear" w:color="auto" w:fill="CFF0FC"/>
          </w:tcPr>
          <w:p>
            <w:pPr>
              <w:jc w:val="right"/>
              <w:ind w:right="20"/>
              <w:spacing w:after="0" w:line="153" w:lineRule="exact"/>
              <w:rPr>
                <w:sz w:val="20"/>
                <w:szCs w:val="20"/>
                <w:color w:val="auto"/>
              </w:rPr>
            </w:pPr>
            <w:r>
              <w:rPr>
                <w:rFonts w:ascii="Arial" w:cs="Arial" w:eastAsia="Arial" w:hAnsi="Arial"/>
                <w:sz w:val="14"/>
                <w:szCs w:val="14"/>
                <w:color w:val="auto"/>
              </w:rPr>
              <w:t>12,693</w:t>
            </w:r>
          </w:p>
        </w:tc>
        <w:tc>
          <w:tcPr>
            <w:tcW w:w="8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400" w:type="dxa"/>
            <w:vAlign w:val="bottom"/>
            <w:tcBorders>
              <w:top w:val="single" w:sz="8" w:color="auto"/>
            </w:tcBorders>
            <w:shd w:val="clear" w:color="auto" w:fill="CFF0FC"/>
          </w:tcPr>
          <w:p>
            <w:pPr>
              <w:jc w:val="right"/>
              <w:ind w:right="249"/>
              <w:spacing w:after="0" w:line="153"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gridSpan w:val="2"/>
            <w:shd w:val="clear" w:color="auto" w:fill="CFF0FC"/>
          </w:tcPr>
          <w:p>
            <w:pPr>
              <w:jc w:val="right"/>
              <w:spacing w:after="0" w:line="153" w:lineRule="exact"/>
              <w:rPr>
                <w:sz w:val="20"/>
                <w:szCs w:val="20"/>
                <w:color w:val="auto"/>
              </w:rPr>
            </w:pPr>
            <w:r>
              <w:rPr>
                <w:rFonts w:ascii="Arial" w:cs="Arial" w:eastAsia="Arial" w:hAnsi="Arial"/>
                <w:sz w:val="14"/>
                <w:szCs w:val="14"/>
                <w:color w:val="auto"/>
              </w:rPr>
              <w:t>(13,372)</w:t>
            </w:r>
          </w:p>
        </w:tc>
        <w:tc>
          <w:tcPr>
            <w:tcW w:w="1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gridSpan w:val="2"/>
            <w:shd w:val="clear" w:color="auto" w:fill="CFF0FC"/>
          </w:tcPr>
          <w:p>
            <w:pPr>
              <w:jc w:val="right"/>
              <w:ind w:right="20"/>
              <w:spacing w:after="0" w:line="153" w:lineRule="exact"/>
              <w:rPr>
                <w:sz w:val="20"/>
                <w:szCs w:val="20"/>
                <w:color w:val="auto"/>
              </w:rPr>
            </w:pPr>
            <w:r>
              <w:rPr>
                <w:rFonts w:ascii="Arial" w:cs="Arial" w:eastAsia="Arial" w:hAnsi="Arial"/>
                <w:sz w:val="14"/>
                <w:szCs w:val="14"/>
                <w:color w:val="auto"/>
              </w:rPr>
              <w:t>40,870</w:t>
            </w:r>
          </w:p>
        </w:tc>
        <w:tc>
          <w:tcPr>
            <w:tcW w:w="8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(4,558)</w:t>
            </w:r>
          </w:p>
        </w:tc>
        <w:tc>
          <w:tcPr>
            <w:tcW w:w="8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272</w:t>
            </w:r>
          </w:p>
        </w:tc>
        <w:tc>
          <w:tcPr>
            <w:tcW w:w="2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tcBorders>
            <w:shd w:val="clear" w:color="auto" w:fill="CFF0FC"/>
          </w:tcPr>
          <w:p>
            <w:pPr>
              <w:spacing w:after="0"/>
              <w:rPr>
                <w:sz w:val="13"/>
                <w:szCs w:val="13"/>
                <w:color w:val="auto"/>
              </w:rPr>
            </w:pPr>
          </w:p>
        </w:tc>
        <w:tc>
          <w:tcPr>
            <w:tcW w:w="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35,905</w:t>
            </w:r>
          </w:p>
        </w:tc>
        <w:tc>
          <w:tcPr>
            <w:tcW w:w="80" w:type="dxa"/>
            <w:vAlign w:val="bottom"/>
            <w:tcBorders>
              <w:top w:val="single" w:sz="8" w:color="CFF0FC"/>
            </w:tcBorders>
            <w:shd w:val="clear" w:color="auto" w:fill="CFF0FC"/>
          </w:tcPr>
          <w:p>
            <w:pPr>
              <w:spacing w:after="0"/>
              <w:rPr>
                <w:sz w:val="13"/>
                <w:szCs w:val="13"/>
                <w:color w:val="auto"/>
              </w:rPr>
            </w:pPr>
          </w:p>
        </w:tc>
      </w:tr>
      <w:tr>
        <w:trPr>
          <w:trHeight w:val="159"/>
        </w:trPr>
        <w:tc>
          <w:tcPr>
            <w:tcW w:w="3340" w:type="dxa"/>
            <w:vAlign w:val="bottom"/>
          </w:tcPr>
          <w:p>
            <w:pPr>
              <w:spacing w:after="0" w:line="159" w:lineRule="exact"/>
              <w:rPr>
                <w:sz w:val="20"/>
                <w:szCs w:val="20"/>
                <w:color w:val="auto"/>
              </w:rPr>
            </w:pPr>
            <w:r>
              <w:rPr>
                <w:rFonts w:ascii="Arial" w:cs="Arial" w:eastAsia="Arial" w:hAnsi="Arial"/>
                <w:sz w:val="14"/>
                <w:szCs w:val="14"/>
                <w:color w:val="auto"/>
              </w:rPr>
              <w:t>Net income</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501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22</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523</w:t>
            </w:r>
          </w:p>
        </w:tc>
        <w:tc>
          <w:tcPr>
            <w:tcW w:w="80" w:type="dxa"/>
            <w:vAlign w:val="bottom"/>
          </w:tcPr>
          <w:p>
            <w:pPr>
              <w:spacing w:after="0"/>
              <w:rPr>
                <w:sz w:val="13"/>
                <w:szCs w:val="13"/>
                <w:color w:val="auto"/>
              </w:rPr>
            </w:pPr>
          </w:p>
        </w:tc>
      </w:tr>
      <w:tr>
        <w:trPr>
          <w:trHeight w:val="159"/>
        </w:trPr>
        <w:tc>
          <w:tcPr>
            <w:tcW w:w="334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Currency translation adjustments</w:t>
            </w:r>
          </w:p>
        </w:tc>
        <w:tc>
          <w:tcPr>
            <w:tcW w:w="3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17</w:t>
            </w: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17</w:t>
            </w:r>
          </w:p>
        </w:tc>
        <w:tc>
          <w:tcPr>
            <w:tcW w:w="80" w:type="dxa"/>
            <w:vAlign w:val="bottom"/>
            <w:shd w:val="clear" w:color="auto" w:fill="CFF0FC"/>
          </w:tcPr>
          <w:p>
            <w:pPr>
              <w:spacing w:after="0"/>
              <w:rPr>
                <w:sz w:val="13"/>
                <w:szCs w:val="13"/>
                <w:color w:val="auto"/>
              </w:rPr>
            </w:pPr>
          </w:p>
        </w:tc>
      </w:tr>
      <w:tr>
        <w:trPr>
          <w:trHeight w:val="159"/>
        </w:trPr>
        <w:tc>
          <w:tcPr>
            <w:tcW w:w="3340" w:type="dxa"/>
            <w:vAlign w:val="bottom"/>
          </w:tcPr>
          <w:p>
            <w:pPr>
              <w:spacing w:after="0" w:line="159" w:lineRule="exact"/>
              <w:rPr>
                <w:sz w:val="20"/>
                <w:szCs w:val="20"/>
                <w:color w:val="auto"/>
              </w:rPr>
            </w:pPr>
            <w:r>
              <w:rPr>
                <w:rFonts w:ascii="Arial" w:cs="Arial" w:eastAsia="Arial" w:hAnsi="Arial"/>
                <w:sz w:val="14"/>
                <w:szCs w:val="14"/>
                <w:color w:val="auto"/>
              </w:rPr>
              <w:t>Changes in unrealized gain on marketable securities</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right"/>
              <w:spacing w:after="0" w:line="159" w:lineRule="exact"/>
              <w:rPr>
                <w:sz w:val="20"/>
                <w:szCs w:val="20"/>
                <w:color w:val="auto"/>
              </w:rPr>
            </w:pPr>
            <w:r>
              <w:rPr>
                <w:rFonts w:ascii="Arial" w:cs="Arial" w:eastAsia="Arial" w:hAnsi="Arial"/>
                <w:sz w:val="14"/>
                <w:szCs w:val="14"/>
                <w:color w:val="auto"/>
              </w:rPr>
              <w:t>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3</w:t>
            </w:r>
          </w:p>
        </w:tc>
        <w:tc>
          <w:tcPr>
            <w:tcW w:w="80" w:type="dxa"/>
            <w:vAlign w:val="bottom"/>
          </w:tcPr>
          <w:p>
            <w:pPr>
              <w:spacing w:after="0"/>
              <w:rPr>
                <w:sz w:val="13"/>
                <w:szCs w:val="13"/>
                <w:color w:val="auto"/>
              </w:rPr>
            </w:pPr>
          </w:p>
        </w:tc>
      </w:tr>
      <w:tr>
        <w:trPr>
          <w:trHeight w:val="186"/>
        </w:trPr>
        <w:tc>
          <w:tcPr>
            <w:tcW w:w="3340" w:type="dxa"/>
            <w:vAlign w:val="bottom"/>
            <w:shd w:val="clear" w:color="auto" w:fill="CFF0FC"/>
          </w:tcPr>
          <w:p>
            <w:pPr>
              <w:spacing w:after="0"/>
              <w:rPr>
                <w:sz w:val="20"/>
                <w:szCs w:val="20"/>
                <w:color w:val="auto"/>
              </w:rPr>
            </w:pPr>
            <w:r>
              <w:rPr>
                <w:rFonts w:ascii="Arial" w:cs="Arial" w:eastAsia="Arial" w:hAnsi="Arial"/>
                <w:sz w:val="14"/>
                <w:szCs w:val="14"/>
                <w:color w:val="auto"/>
              </w:rPr>
              <w:t>Changes in fair value of cash flow hedges</w:t>
            </w:r>
          </w:p>
        </w:tc>
        <w:tc>
          <w:tcPr>
            <w:tcW w:w="3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w:t>
            </w: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w:t>
            </w:r>
          </w:p>
        </w:tc>
        <w:tc>
          <w:tcPr>
            <w:tcW w:w="80" w:type="dxa"/>
            <w:vAlign w:val="bottom"/>
            <w:shd w:val="clear" w:color="auto" w:fill="CFF0FC"/>
          </w:tcPr>
          <w:p>
            <w:pPr>
              <w:spacing w:after="0"/>
              <w:rPr>
                <w:sz w:val="16"/>
                <w:szCs w:val="16"/>
                <w:color w:val="auto"/>
              </w:rPr>
            </w:pPr>
          </w:p>
        </w:tc>
      </w:tr>
      <w:tr>
        <w:trPr>
          <w:trHeight w:val="159"/>
        </w:trPr>
        <w:tc>
          <w:tcPr>
            <w:tcW w:w="3340" w:type="dxa"/>
            <w:vAlign w:val="bottom"/>
          </w:tcPr>
          <w:p>
            <w:pPr>
              <w:spacing w:after="0" w:line="159" w:lineRule="exact"/>
              <w:rPr>
                <w:sz w:val="20"/>
                <w:szCs w:val="20"/>
                <w:color w:val="auto"/>
              </w:rPr>
            </w:pPr>
            <w:r>
              <w:rPr>
                <w:rFonts w:ascii="Arial" w:cs="Arial" w:eastAsia="Arial" w:hAnsi="Arial"/>
                <w:sz w:val="14"/>
                <w:szCs w:val="14"/>
                <w:color w:val="auto"/>
              </w:rPr>
              <w:t>Pension and other postretirement benefit plans</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right"/>
              <w:spacing w:after="0" w:line="159" w:lineRule="exact"/>
              <w:rPr>
                <w:sz w:val="20"/>
                <w:szCs w:val="20"/>
                <w:color w:val="auto"/>
              </w:rPr>
            </w:pPr>
            <w:r>
              <w:rPr>
                <w:rFonts w:ascii="Arial" w:cs="Arial" w:eastAsia="Arial" w:hAnsi="Arial"/>
                <w:sz w:val="14"/>
                <w:szCs w:val="14"/>
                <w:color w:val="auto"/>
              </w:rPr>
              <w:t>63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63</w:t>
            </w:r>
          </w:p>
        </w:tc>
        <w:tc>
          <w:tcPr>
            <w:tcW w:w="80" w:type="dxa"/>
            <w:vAlign w:val="bottom"/>
          </w:tcPr>
          <w:p>
            <w:pPr>
              <w:spacing w:after="0"/>
              <w:rPr>
                <w:sz w:val="13"/>
                <w:szCs w:val="13"/>
                <w:color w:val="auto"/>
              </w:rPr>
            </w:pPr>
          </w:p>
        </w:tc>
      </w:tr>
      <w:tr>
        <w:trPr>
          <w:trHeight w:val="159"/>
        </w:trPr>
        <w:tc>
          <w:tcPr>
            <w:tcW w:w="334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Shares sold to optionees, less shares exchanged</w:t>
            </w:r>
          </w:p>
        </w:tc>
        <w:tc>
          <w:tcPr>
            <w:tcW w:w="3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0" w:type="dxa"/>
            <w:vAlign w:val="bottom"/>
            <w:gridSpan w:val="3"/>
            <w:shd w:val="clear" w:color="auto" w:fill="CFF0FC"/>
          </w:tcPr>
          <w:p>
            <w:pPr>
              <w:jc w:val="right"/>
              <w:ind w:right="40"/>
              <w:spacing w:after="0" w:line="159" w:lineRule="exact"/>
              <w:rPr>
                <w:sz w:val="20"/>
                <w:szCs w:val="20"/>
                <w:color w:val="auto"/>
              </w:rPr>
            </w:pPr>
            <w:r>
              <w:rPr>
                <w:rFonts w:ascii="Arial" w:cs="Arial" w:eastAsia="Arial" w:hAnsi="Arial"/>
                <w:sz w:val="14"/>
                <w:szCs w:val="14"/>
                <w:color w:val="auto"/>
              </w:rPr>
              <w:t>(17)</w:t>
            </w: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20"/>
              <w:spacing w:after="0" w:line="159" w:lineRule="exact"/>
              <w:rPr>
                <w:sz w:val="20"/>
                <w:szCs w:val="20"/>
                <w:color w:val="auto"/>
              </w:rPr>
            </w:pPr>
            <w:r>
              <w:rPr>
                <w:rFonts w:ascii="Arial" w:cs="Arial" w:eastAsia="Arial" w:hAnsi="Arial"/>
                <w:sz w:val="14"/>
                <w:szCs w:val="14"/>
                <w:color w:val="auto"/>
              </w:rPr>
              <w:t>64</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47</w:t>
            </w:r>
          </w:p>
        </w:tc>
        <w:tc>
          <w:tcPr>
            <w:tcW w:w="80" w:type="dxa"/>
            <w:vAlign w:val="bottom"/>
            <w:shd w:val="clear" w:color="auto" w:fill="CFF0FC"/>
          </w:tcPr>
          <w:p>
            <w:pPr>
              <w:spacing w:after="0"/>
              <w:rPr>
                <w:sz w:val="13"/>
                <w:szCs w:val="13"/>
                <w:color w:val="auto"/>
              </w:rPr>
            </w:pPr>
          </w:p>
        </w:tc>
      </w:tr>
      <w:tr>
        <w:trPr>
          <w:trHeight w:val="159"/>
        </w:trPr>
        <w:tc>
          <w:tcPr>
            <w:tcW w:w="3340" w:type="dxa"/>
            <w:vAlign w:val="bottom"/>
          </w:tcPr>
          <w:p>
            <w:pPr>
              <w:spacing w:after="0" w:line="159" w:lineRule="exact"/>
              <w:rPr>
                <w:sz w:val="20"/>
                <w:szCs w:val="20"/>
                <w:color w:val="auto"/>
              </w:rPr>
            </w:pPr>
            <w:r>
              <w:rPr>
                <w:rFonts w:ascii="Arial" w:cs="Arial" w:eastAsia="Arial" w:hAnsi="Arial"/>
                <w:sz w:val="14"/>
                <w:szCs w:val="14"/>
                <w:color w:val="auto"/>
              </w:rPr>
              <w:t>Vesting of restricted stock</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(28)</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28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r>
      <w:tr>
        <w:trPr>
          <w:trHeight w:val="159"/>
        </w:trPr>
        <w:tc>
          <w:tcPr>
            <w:tcW w:w="334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Shares issued under employee stock purchase plan</w:t>
            </w:r>
          </w:p>
        </w:tc>
        <w:tc>
          <w:tcPr>
            <w:tcW w:w="3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0" w:type="dxa"/>
            <w:vAlign w:val="bottom"/>
            <w:gridSpan w:val="3"/>
            <w:shd w:val="clear" w:color="auto" w:fill="CFF0FC"/>
          </w:tcPr>
          <w:p>
            <w:pPr>
              <w:jc w:val="right"/>
              <w:ind w:right="40"/>
              <w:spacing w:after="0" w:line="159" w:lineRule="exact"/>
              <w:rPr>
                <w:sz w:val="20"/>
                <w:szCs w:val="20"/>
                <w:color w:val="auto"/>
              </w:rPr>
            </w:pPr>
            <w:r>
              <w:rPr>
                <w:rFonts w:ascii="Arial" w:cs="Arial" w:eastAsia="Arial" w:hAnsi="Arial"/>
                <w:sz w:val="14"/>
                <w:szCs w:val="14"/>
                <w:color w:val="auto"/>
              </w:rPr>
              <w:t>(19)</w:t>
            </w: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20"/>
              <w:spacing w:after="0" w:line="159" w:lineRule="exact"/>
              <w:rPr>
                <w:sz w:val="20"/>
                <w:szCs w:val="20"/>
                <w:color w:val="auto"/>
              </w:rPr>
            </w:pPr>
            <w:r>
              <w:rPr>
                <w:rFonts w:ascii="Arial" w:cs="Arial" w:eastAsia="Arial" w:hAnsi="Arial"/>
                <w:sz w:val="14"/>
                <w:szCs w:val="14"/>
                <w:color w:val="auto"/>
              </w:rPr>
              <w:t>135</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116</w:t>
            </w:r>
          </w:p>
        </w:tc>
        <w:tc>
          <w:tcPr>
            <w:tcW w:w="80" w:type="dxa"/>
            <w:vAlign w:val="bottom"/>
            <w:shd w:val="clear" w:color="auto" w:fill="CFF0FC"/>
          </w:tcPr>
          <w:p>
            <w:pPr>
              <w:spacing w:after="0"/>
              <w:rPr>
                <w:sz w:val="13"/>
                <w:szCs w:val="13"/>
                <w:color w:val="auto"/>
              </w:rPr>
            </w:pPr>
          </w:p>
        </w:tc>
      </w:tr>
      <w:tr>
        <w:trPr>
          <w:trHeight w:val="159"/>
        </w:trPr>
        <w:tc>
          <w:tcPr>
            <w:tcW w:w="3340" w:type="dxa"/>
            <w:vAlign w:val="bottom"/>
          </w:tcPr>
          <w:p>
            <w:pPr>
              <w:spacing w:after="0" w:line="159" w:lineRule="exact"/>
              <w:rPr>
                <w:sz w:val="20"/>
                <w:szCs w:val="20"/>
                <w:color w:val="auto"/>
              </w:rPr>
            </w:pPr>
            <w:r>
              <w:rPr>
                <w:rFonts w:ascii="Arial" w:cs="Arial" w:eastAsia="Arial" w:hAnsi="Arial"/>
                <w:sz w:val="14"/>
                <w:szCs w:val="14"/>
                <w:color w:val="auto"/>
              </w:rPr>
              <w:t>Stock repurchase program</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(475)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(475)</w:t>
            </w:r>
          </w:p>
        </w:tc>
      </w:tr>
      <w:tr>
        <w:trPr>
          <w:trHeight w:val="159"/>
        </w:trPr>
        <w:tc>
          <w:tcPr>
            <w:tcW w:w="334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Stock-based compensation expense</w:t>
            </w:r>
          </w:p>
        </w:tc>
        <w:tc>
          <w:tcPr>
            <w:tcW w:w="3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0"/>
              <w:spacing w:after="0" w:line="159" w:lineRule="exact"/>
              <w:rPr>
                <w:sz w:val="20"/>
                <w:szCs w:val="20"/>
                <w:color w:val="auto"/>
              </w:rPr>
            </w:pPr>
            <w:r>
              <w:rPr>
                <w:rFonts w:ascii="Arial" w:cs="Arial" w:eastAsia="Arial" w:hAnsi="Arial"/>
                <w:sz w:val="14"/>
                <w:szCs w:val="14"/>
                <w:color w:val="auto"/>
              </w:rPr>
              <w:t>61</w:t>
            </w: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61</w:t>
            </w:r>
          </w:p>
        </w:tc>
        <w:tc>
          <w:tcPr>
            <w:tcW w:w="80" w:type="dxa"/>
            <w:vAlign w:val="bottom"/>
            <w:shd w:val="clear" w:color="auto" w:fill="CFF0FC"/>
          </w:tcPr>
          <w:p>
            <w:pPr>
              <w:spacing w:after="0"/>
              <w:rPr>
                <w:sz w:val="13"/>
                <w:szCs w:val="13"/>
                <w:color w:val="auto"/>
              </w:rPr>
            </w:pPr>
          </w:p>
        </w:tc>
      </w:tr>
      <w:tr>
        <w:trPr>
          <w:trHeight w:val="159"/>
        </w:trPr>
        <w:tc>
          <w:tcPr>
            <w:tcW w:w="3340" w:type="dxa"/>
            <w:vAlign w:val="bottom"/>
          </w:tcPr>
          <w:p>
            <w:pPr>
              <w:spacing w:after="0" w:line="159" w:lineRule="exact"/>
              <w:rPr>
                <w:sz w:val="20"/>
                <w:szCs w:val="20"/>
                <w:color w:val="auto"/>
              </w:rPr>
            </w:pPr>
            <w:r>
              <w:rPr>
                <w:rFonts w:ascii="Arial" w:cs="Arial" w:eastAsia="Arial" w:hAnsi="Arial"/>
                <w:sz w:val="14"/>
                <w:szCs w:val="14"/>
                <w:color w:val="auto"/>
              </w:rPr>
              <w:t>Dividends declared ($0.50 per share)</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(626)</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(626)</w:t>
            </w:r>
          </w:p>
        </w:tc>
      </w:tr>
      <w:tr>
        <w:trPr>
          <w:trHeight w:val="159"/>
        </w:trPr>
        <w:tc>
          <w:tcPr>
            <w:tcW w:w="334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Other</w:t>
            </w:r>
          </w:p>
        </w:tc>
        <w:tc>
          <w:tcPr>
            <w:tcW w:w="3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920" w:type="dxa"/>
            <w:vAlign w:val="bottom"/>
            <w:tcBorders>
              <w:bottom w:val="single" w:sz="8" w:color="auto"/>
            </w:tcBorders>
            <w:gridSpan w:val="2"/>
            <w:shd w:val="clear" w:color="auto" w:fill="CFF0FC"/>
          </w:tcPr>
          <w:p>
            <w:pPr>
              <w:jc w:val="right"/>
              <w:ind w:right="20"/>
              <w:spacing w:after="0" w:line="159" w:lineRule="exact"/>
              <w:rPr>
                <w:sz w:val="20"/>
                <w:szCs w:val="20"/>
                <w:color w:val="auto"/>
              </w:rPr>
            </w:pPr>
            <w:r>
              <w:rPr>
                <w:rFonts w:ascii="Arial" w:cs="Arial" w:eastAsia="Arial" w:hAnsi="Arial"/>
                <w:sz w:val="14"/>
                <w:szCs w:val="14"/>
                <w:color w:val="auto"/>
              </w:rPr>
              <w:t>10</w:t>
            </w: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1000" w:type="dxa"/>
            <w:vAlign w:val="bottom"/>
            <w:tcBorders>
              <w:bottom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spacing w:after="0" w:line="159" w:lineRule="exact"/>
              <w:rPr>
                <w:sz w:val="20"/>
                <w:szCs w:val="20"/>
                <w:color w:val="auto"/>
              </w:rPr>
            </w:pPr>
            <w:r>
              <w:rPr>
                <w:rFonts w:ascii="Arial" w:cs="Arial" w:eastAsia="Arial" w:hAnsi="Arial"/>
                <w:sz w:val="14"/>
                <w:szCs w:val="14"/>
                <w:color w:val="auto"/>
              </w:rPr>
              <w:t>9</w:t>
            </w:r>
          </w:p>
        </w:tc>
        <w:tc>
          <w:tcPr>
            <w:tcW w:w="2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2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jc w:val="right"/>
              <w:spacing w:after="0" w:line="159" w:lineRule="exact"/>
              <w:rPr>
                <w:sz w:val="20"/>
                <w:szCs w:val="20"/>
                <w:color w:val="auto"/>
              </w:rPr>
            </w:pPr>
            <w:r>
              <w:rPr>
                <w:rFonts w:ascii="Arial" w:cs="Arial" w:eastAsia="Arial" w:hAnsi="Arial"/>
                <w:sz w:val="14"/>
                <w:szCs w:val="14"/>
                <w:color w:val="auto"/>
              </w:rPr>
              <w:t>19</w:t>
            </w:r>
          </w:p>
        </w:tc>
        <w:tc>
          <w:tcPr>
            <w:tcW w:w="80" w:type="dxa"/>
            <w:vAlign w:val="bottom"/>
            <w:shd w:val="clear" w:color="auto" w:fill="CFF0FC"/>
          </w:tcPr>
          <w:p>
            <w:pPr>
              <w:spacing w:after="0"/>
              <w:rPr>
                <w:sz w:val="13"/>
                <w:szCs w:val="13"/>
                <w:color w:val="auto"/>
              </w:rPr>
            </w:pPr>
          </w:p>
        </w:tc>
      </w:tr>
      <w:tr>
        <w:trPr>
          <w:trHeight w:val="153"/>
        </w:trPr>
        <w:tc>
          <w:tcPr>
            <w:tcW w:w="3340" w:type="dxa"/>
            <w:vAlign w:val="bottom"/>
          </w:tcPr>
          <w:p>
            <w:pPr>
              <w:spacing w:after="0" w:line="153" w:lineRule="exact"/>
              <w:rPr>
                <w:sz w:val="20"/>
                <w:szCs w:val="20"/>
                <w:color w:val="auto"/>
              </w:rPr>
            </w:pPr>
            <w:r>
              <w:rPr>
                <w:rFonts w:ascii="Arial" w:cs="Arial" w:eastAsia="Arial" w:hAnsi="Arial"/>
                <w:sz w:val="14"/>
                <w:szCs w:val="14"/>
                <w:color w:val="auto"/>
              </w:rPr>
              <w:t>Balance, March 31, 2016</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gridSpan w:val="2"/>
          </w:tcPr>
          <w:p>
            <w:pPr>
              <w:jc w:val="right"/>
              <w:ind w:right="20"/>
              <w:spacing w:after="0" w:line="153" w:lineRule="exact"/>
              <w:rPr>
                <w:sz w:val="20"/>
                <w:szCs w:val="20"/>
                <w:color w:val="auto"/>
              </w:rPr>
            </w:pPr>
            <w:r>
              <w:rPr>
                <w:rFonts w:ascii="Arial" w:cs="Arial" w:eastAsia="Arial" w:hAnsi="Arial"/>
                <w:sz w:val="14"/>
                <w:szCs w:val="14"/>
                <w:color w:val="auto"/>
              </w:rPr>
              <w:t>12,700</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Borders>
              <w:bottom w:val="single" w:sz="8" w:color="auto"/>
            </w:tcBorders>
          </w:tcPr>
          <w:p>
            <w:pPr>
              <w:jc w:val="right"/>
              <w:ind w:right="249"/>
              <w:spacing w:after="0" w:line="153"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gridSpan w:val="2"/>
          </w:tcPr>
          <w:p>
            <w:pPr>
              <w:jc w:val="right"/>
              <w:spacing w:after="0" w:line="153" w:lineRule="exact"/>
              <w:rPr>
                <w:sz w:val="20"/>
                <w:szCs w:val="20"/>
                <w:color w:val="auto"/>
              </w:rPr>
            </w:pPr>
            <w:r>
              <w:rPr>
                <w:rFonts w:ascii="Arial" w:cs="Arial" w:eastAsia="Arial" w:hAnsi="Arial"/>
                <w:sz w:val="14"/>
                <w:szCs w:val="14"/>
                <w:color w:val="auto"/>
              </w:rPr>
              <w:t>(13,620)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gridSpan w:val="2"/>
          </w:tcPr>
          <w:p>
            <w:pPr>
              <w:jc w:val="right"/>
              <w:ind w:right="20"/>
              <w:spacing w:after="0" w:line="153" w:lineRule="exact"/>
              <w:rPr>
                <w:sz w:val="20"/>
                <w:szCs w:val="20"/>
                <w:color w:val="auto"/>
              </w:rPr>
            </w:pPr>
            <w:r>
              <w:rPr>
                <w:rFonts w:ascii="Arial" w:cs="Arial" w:eastAsia="Arial" w:hAnsi="Arial"/>
                <w:sz w:val="14"/>
                <w:szCs w:val="14"/>
                <w:color w:val="auto"/>
              </w:rPr>
              <w:t>40,745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(4,466)</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w w:val="76"/>
              </w:rPr>
              <w:t>$</w:t>
            </w: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303</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35,662</w:t>
            </w:r>
          </w:p>
        </w:tc>
        <w:tc>
          <w:tcPr>
            <w:tcW w:w="80" w:type="dxa"/>
            <w:vAlign w:val="bottom"/>
          </w:tcPr>
          <w:p>
            <w:pPr>
              <w:spacing w:after="0"/>
              <w:rPr>
                <w:sz w:val="13"/>
                <w:szCs w:val="13"/>
                <w:color w:val="auto"/>
              </w:rPr>
            </w:pPr>
          </w:p>
        </w:tc>
      </w:tr>
      <w:tr>
        <w:trPr>
          <w:trHeight w:val="20"/>
        </w:trPr>
        <w:tc>
          <w:tcPr>
            <w:tcW w:w="3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1"/>
        </w:trPr>
        <w:tc>
          <w:tcPr>
            <w:tcW w:w="3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5"/>
          </w:tcPr>
          <w:p>
            <w:pPr>
              <w:jc w:val="right"/>
              <w:spacing w:after="0"/>
              <w:rPr>
                <w:sz w:val="20"/>
                <w:szCs w:val="20"/>
                <w:color w:val="auto"/>
              </w:rPr>
            </w:pPr>
            <w:r>
              <w:rPr>
                <w:rFonts w:ascii="Arial" w:cs="Arial" w:eastAsia="Arial" w:hAnsi="Arial"/>
                <w:sz w:val="14"/>
                <w:szCs w:val="14"/>
                <w:i w:val="1"/>
                <w:iCs w:val="1"/>
                <w:color w:val="auto"/>
                <w:w w:val="94"/>
              </w:rPr>
              <w:t>(Stated in millions</w:t>
            </w:r>
          </w:p>
        </w:tc>
      </w:tr>
      <w:tr>
        <w:trPr>
          <w:trHeight w:val="294"/>
        </w:trPr>
        <w:tc>
          <w:tcPr>
            <w:tcW w:w="3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59"/>
        </w:trPr>
        <w:tc>
          <w:tcPr>
            <w:tcW w:w="3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3"/>
          </w:tcPr>
          <w:p>
            <w:pPr>
              <w:jc w:val="center"/>
              <w:ind w:right="400"/>
              <w:spacing w:after="0" w:line="15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9"/>
        </w:trPr>
        <w:tc>
          <w:tcPr>
            <w:tcW w:w="3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6"/>
          </w:tcPr>
          <w:p>
            <w:pPr>
              <w:jc w:val="right"/>
              <w:ind w:right="109"/>
              <w:spacing w:after="0"/>
              <w:rPr>
                <w:sz w:val="20"/>
                <w:szCs w:val="20"/>
                <w:color w:val="auto"/>
              </w:rPr>
            </w:pPr>
            <w:r>
              <w:rPr>
                <w:rFonts w:ascii="Arial" w:cs="Arial" w:eastAsia="Arial" w:hAnsi="Arial"/>
                <w:sz w:val="14"/>
                <w:szCs w:val="14"/>
                <w:b w:val="1"/>
                <w:bCs w:val="1"/>
                <w:color w:val="auto"/>
              </w:rPr>
              <w:t>Common Stock</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1"/>
              </w:rPr>
              <w:t>Retained</w:t>
            </w:r>
          </w:p>
        </w:tc>
        <w:tc>
          <w:tcPr>
            <w:tcW w:w="160" w:type="dxa"/>
            <w:vAlign w:val="bottom"/>
          </w:tcPr>
          <w:p>
            <w:pPr>
              <w:spacing w:after="0"/>
              <w:rPr>
                <w:sz w:val="14"/>
                <w:szCs w:val="14"/>
                <w:color w:val="auto"/>
              </w:rPr>
            </w:pPr>
          </w:p>
        </w:tc>
        <w:tc>
          <w:tcPr>
            <w:tcW w:w="13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9"/>
              </w:rPr>
              <w:t>Comprehensive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2"/>
              </w:rPr>
              <w:t>Noncontrolling</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3"/>
        </w:trPr>
        <w:tc>
          <w:tcPr>
            <w:tcW w:w="3340" w:type="dxa"/>
            <w:vAlign w:val="bottom"/>
          </w:tcPr>
          <w:p>
            <w:pPr>
              <w:spacing w:after="0" w:line="153" w:lineRule="exact"/>
              <w:rPr>
                <w:sz w:val="20"/>
                <w:szCs w:val="20"/>
                <w:color w:val="auto"/>
              </w:rPr>
            </w:pPr>
            <w:r>
              <w:rPr>
                <w:rFonts w:ascii="Arial" w:cs="Arial" w:eastAsia="Arial" w:hAnsi="Arial"/>
                <w:sz w:val="14"/>
                <w:szCs w:val="14"/>
                <w:b w:val="1"/>
                <w:bCs w:val="1"/>
                <w:color w:val="auto"/>
              </w:rPr>
              <w:t>January 1, 2015 – March 31, 2015</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3"/>
          </w:tcPr>
          <w:p>
            <w:pPr>
              <w:jc w:val="right"/>
              <w:ind w:right="540"/>
              <w:spacing w:after="0" w:line="153" w:lineRule="exact"/>
              <w:rPr>
                <w:sz w:val="20"/>
                <w:szCs w:val="20"/>
                <w:color w:val="auto"/>
              </w:rPr>
            </w:pPr>
            <w:r>
              <w:rPr>
                <w:rFonts w:ascii="Arial" w:cs="Arial" w:eastAsia="Arial" w:hAnsi="Arial"/>
                <w:sz w:val="14"/>
                <w:szCs w:val="14"/>
                <w:b w:val="1"/>
                <w:bCs w:val="1"/>
                <w:color w:val="auto"/>
                <w:w w:val="99"/>
              </w:rPr>
              <w:t>Issued</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89"/>
              <w:spacing w:after="0" w:line="153" w:lineRule="exact"/>
              <w:rPr>
                <w:sz w:val="20"/>
                <w:szCs w:val="20"/>
                <w:color w:val="auto"/>
              </w:rPr>
            </w:pPr>
            <w:r>
              <w:rPr>
                <w:rFonts w:ascii="Arial" w:cs="Arial" w:eastAsia="Arial" w:hAnsi="Arial"/>
                <w:sz w:val="14"/>
                <w:szCs w:val="14"/>
                <w:b w:val="1"/>
                <w:bCs w:val="1"/>
                <w:color w:val="auto"/>
                <w:w w:val="95"/>
              </w:rPr>
              <w:t>In Treasury</w:t>
            </w:r>
          </w:p>
        </w:tc>
        <w:tc>
          <w:tcPr>
            <w:tcW w:w="26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3"/>
          </w:tcPr>
          <w:p>
            <w:pPr>
              <w:jc w:val="right"/>
              <w:ind w:right="500"/>
              <w:spacing w:after="0" w:line="153" w:lineRule="exact"/>
              <w:rPr>
                <w:sz w:val="20"/>
                <w:szCs w:val="20"/>
                <w:color w:val="auto"/>
              </w:rPr>
            </w:pPr>
            <w:r>
              <w:rPr>
                <w:rFonts w:ascii="Arial" w:cs="Arial" w:eastAsia="Arial" w:hAnsi="Arial"/>
                <w:sz w:val="14"/>
                <w:szCs w:val="14"/>
                <w:b w:val="1"/>
                <w:bCs w:val="1"/>
                <w:color w:val="auto"/>
                <w:w w:val="90"/>
              </w:rPr>
              <w:t>Earnings</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3"/>
          </w:tcPr>
          <w:p>
            <w:pPr>
              <w:jc w:val="center"/>
              <w:ind w:right="400"/>
              <w:spacing w:after="0" w:line="153" w:lineRule="exact"/>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right"/>
              <w:ind w:right="360"/>
              <w:spacing w:after="0" w:line="153" w:lineRule="exact"/>
              <w:rPr>
                <w:sz w:val="20"/>
                <w:szCs w:val="20"/>
                <w:color w:val="auto"/>
              </w:rPr>
            </w:pPr>
            <w:r>
              <w:rPr>
                <w:rFonts w:ascii="Arial" w:cs="Arial" w:eastAsia="Arial" w:hAnsi="Arial"/>
                <w:sz w:val="14"/>
                <w:szCs w:val="14"/>
                <w:b w:val="1"/>
                <w:bCs w:val="1"/>
                <w:color w:val="auto"/>
              </w:rPr>
              <w:t>Interest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300"/>
              <w:spacing w:after="0" w:line="153" w:lineRule="exact"/>
              <w:rPr>
                <w:sz w:val="20"/>
                <w:szCs w:val="20"/>
                <w:color w:val="auto"/>
              </w:rPr>
            </w:pPr>
            <w:r>
              <w:rPr>
                <w:rFonts w:ascii="Arial" w:cs="Arial" w:eastAsia="Arial" w:hAnsi="Arial"/>
                <w:sz w:val="14"/>
                <w:szCs w:val="14"/>
                <w:b w:val="1"/>
                <w:bCs w:val="1"/>
                <w:color w:val="auto"/>
              </w:rPr>
              <w:t>Total</w:t>
            </w:r>
          </w:p>
        </w:tc>
      </w:tr>
      <w:tr>
        <w:trPr>
          <w:trHeight w:val="153"/>
        </w:trPr>
        <w:tc>
          <w:tcPr>
            <w:tcW w:w="3340" w:type="dxa"/>
            <w:vAlign w:val="bottom"/>
            <w:tcBorders>
              <w:top w:val="single" w:sz="8" w:color="auto"/>
            </w:tcBorders>
            <w:shd w:val="clear" w:color="auto" w:fill="CFF0FC"/>
          </w:tcPr>
          <w:p>
            <w:pPr>
              <w:spacing w:after="0" w:line="153" w:lineRule="exact"/>
              <w:rPr>
                <w:sz w:val="20"/>
                <w:szCs w:val="20"/>
                <w:color w:val="auto"/>
              </w:rPr>
            </w:pPr>
            <w:r>
              <w:rPr>
                <w:rFonts w:ascii="Arial" w:cs="Arial" w:eastAsia="Arial" w:hAnsi="Arial"/>
                <w:sz w:val="14"/>
                <w:szCs w:val="14"/>
                <w:color w:val="auto"/>
              </w:rPr>
              <w:t>Balance, January 1, 2015</w:t>
            </w:r>
          </w:p>
        </w:tc>
        <w:tc>
          <w:tcPr>
            <w:tcW w:w="480" w:type="dxa"/>
            <w:vAlign w:val="bottom"/>
            <w:tcBorders>
              <w:top w:val="single" w:sz="8" w:color="auto"/>
            </w:tcBorders>
            <w:gridSpan w:val="2"/>
            <w:shd w:val="clear" w:color="auto" w:fill="CFF0FC"/>
          </w:tcPr>
          <w:p>
            <w:pPr>
              <w:jc w:val="right"/>
              <w:spacing w:after="0" w:line="153"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12,495</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w w:val="91"/>
              </w:rPr>
              <w:t>(11,772)</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41,333</w:t>
            </w:r>
          </w:p>
        </w:tc>
        <w:tc>
          <w:tcPr>
            <w:tcW w:w="1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9"/>
              <w:spacing w:after="0" w:line="153" w:lineRule="exact"/>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tcBorders>
            <w:shd w:val="clear" w:color="auto" w:fill="CFF0FC"/>
          </w:tcPr>
          <w:p>
            <w:pPr>
              <w:spacing w:after="0"/>
              <w:rPr>
                <w:sz w:val="13"/>
                <w:szCs w:val="13"/>
                <w:color w:val="auto"/>
              </w:rPr>
            </w:pPr>
          </w:p>
        </w:tc>
        <w:tc>
          <w:tcPr>
            <w:tcW w:w="1080" w:type="dxa"/>
            <w:vAlign w:val="bottom"/>
            <w:tcBorders>
              <w:top w:val="single" w:sz="8" w:color="auto"/>
            </w:tcBorders>
            <w:gridSpan w:val="2"/>
            <w:shd w:val="clear" w:color="auto" w:fill="CFF0FC"/>
          </w:tcPr>
          <w:p>
            <w:pPr>
              <w:jc w:val="right"/>
              <w:spacing w:after="0" w:line="153" w:lineRule="exact"/>
              <w:rPr>
                <w:sz w:val="20"/>
                <w:szCs w:val="20"/>
                <w:color w:val="auto"/>
              </w:rPr>
            </w:pPr>
            <w:r>
              <w:rPr>
                <w:rFonts w:ascii="Arial" w:cs="Arial" w:eastAsia="Arial" w:hAnsi="Arial"/>
                <w:sz w:val="14"/>
                <w:szCs w:val="14"/>
                <w:color w:val="auto"/>
              </w:rPr>
              <w:t>(4,206)</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gridSpan w:val="2"/>
            <w:shd w:val="clear" w:color="auto" w:fill="CFF0FC"/>
          </w:tcPr>
          <w:p>
            <w:pPr>
              <w:jc w:val="right"/>
              <w:ind w:right="20"/>
              <w:spacing w:after="0" w:line="153" w:lineRule="exact"/>
              <w:rPr>
                <w:sz w:val="20"/>
                <w:szCs w:val="20"/>
                <w:color w:val="auto"/>
              </w:rPr>
            </w:pPr>
            <w:r>
              <w:rPr>
                <w:rFonts w:ascii="Arial" w:cs="Arial" w:eastAsia="Arial" w:hAnsi="Arial"/>
                <w:sz w:val="14"/>
                <w:szCs w:val="14"/>
                <w:color w:val="auto"/>
              </w:rPr>
              <w:t>199</w:t>
            </w:r>
          </w:p>
        </w:tc>
        <w:tc>
          <w:tcPr>
            <w:tcW w:w="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gridSpan w:val="2"/>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gridSpan w:val="2"/>
            <w:shd w:val="clear" w:color="auto" w:fill="CFF0FC"/>
          </w:tcPr>
          <w:p>
            <w:pPr>
              <w:jc w:val="right"/>
              <w:spacing w:after="0" w:line="153" w:lineRule="exact"/>
              <w:rPr>
                <w:sz w:val="20"/>
                <w:szCs w:val="20"/>
                <w:color w:val="auto"/>
              </w:rPr>
            </w:pPr>
            <w:r>
              <w:rPr>
                <w:rFonts w:ascii="Arial" w:cs="Arial" w:eastAsia="Arial" w:hAnsi="Arial"/>
                <w:sz w:val="14"/>
                <w:szCs w:val="14"/>
                <w:color w:val="auto"/>
              </w:rPr>
              <w:t>38,04</w:t>
            </w:r>
          </w:p>
        </w:tc>
      </w:tr>
      <w:tr>
        <w:trPr>
          <w:trHeight w:val="159"/>
        </w:trPr>
        <w:tc>
          <w:tcPr>
            <w:tcW w:w="3340" w:type="dxa"/>
            <w:vAlign w:val="bottom"/>
          </w:tcPr>
          <w:p>
            <w:pPr>
              <w:spacing w:after="0" w:line="159" w:lineRule="exact"/>
              <w:rPr>
                <w:sz w:val="20"/>
                <w:szCs w:val="20"/>
                <w:color w:val="auto"/>
              </w:rPr>
            </w:pPr>
            <w:r>
              <w:rPr>
                <w:rFonts w:ascii="Arial" w:cs="Arial" w:eastAsia="Arial" w:hAnsi="Arial"/>
                <w:sz w:val="14"/>
                <w:szCs w:val="14"/>
                <w:color w:val="auto"/>
              </w:rPr>
              <w:t>Net income</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Arial" w:cs="Arial" w:eastAsia="Arial" w:hAnsi="Arial"/>
                <w:sz w:val="14"/>
                <w:szCs w:val="14"/>
                <w:color w:val="auto"/>
              </w:rPr>
              <w:t>975</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13</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98</w:t>
            </w:r>
          </w:p>
        </w:tc>
      </w:tr>
      <w:tr>
        <w:trPr>
          <w:trHeight w:val="159"/>
        </w:trPr>
        <w:tc>
          <w:tcPr>
            <w:tcW w:w="334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Currency translation adjustments</w:t>
            </w:r>
          </w:p>
        </w:tc>
        <w:tc>
          <w:tcPr>
            <w:tcW w:w="3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40" w:type="dxa"/>
            <w:vAlign w:val="bottom"/>
            <w:gridSpan w:val="3"/>
            <w:shd w:val="clear" w:color="auto" w:fill="CFF0FC"/>
          </w:tcPr>
          <w:p>
            <w:pPr>
              <w:jc w:val="right"/>
              <w:ind w:right="100"/>
              <w:spacing w:after="0" w:line="159" w:lineRule="exact"/>
              <w:rPr>
                <w:sz w:val="20"/>
                <w:szCs w:val="20"/>
                <w:color w:val="auto"/>
              </w:rPr>
            </w:pPr>
            <w:r>
              <w:rPr>
                <w:rFonts w:ascii="Arial" w:cs="Arial" w:eastAsia="Arial" w:hAnsi="Arial"/>
                <w:sz w:val="14"/>
                <w:szCs w:val="14"/>
                <w:color w:val="auto"/>
              </w:rPr>
              <w:t>(113)</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spacing w:after="0" w:line="159" w:lineRule="exact"/>
              <w:rPr>
                <w:sz w:val="20"/>
                <w:szCs w:val="20"/>
                <w:color w:val="auto"/>
              </w:rPr>
            </w:pPr>
            <w:r>
              <w:rPr>
                <w:rFonts w:ascii="Arial" w:cs="Arial" w:eastAsia="Arial" w:hAnsi="Arial"/>
                <w:sz w:val="14"/>
                <w:szCs w:val="14"/>
                <w:color w:val="auto"/>
              </w:rPr>
              <w:t>(11</w:t>
            </w:r>
          </w:p>
        </w:tc>
      </w:tr>
      <w:tr>
        <w:trPr>
          <w:trHeight w:val="159"/>
        </w:trPr>
        <w:tc>
          <w:tcPr>
            <w:tcW w:w="3340" w:type="dxa"/>
            <w:vAlign w:val="bottom"/>
          </w:tcPr>
          <w:p>
            <w:pPr>
              <w:spacing w:after="0" w:line="159" w:lineRule="exact"/>
              <w:rPr>
                <w:sz w:val="20"/>
                <w:szCs w:val="20"/>
                <w:color w:val="auto"/>
              </w:rPr>
            </w:pPr>
            <w:r>
              <w:rPr>
                <w:rFonts w:ascii="Arial" w:cs="Arial" w:eastAsia="Arial" w:hAnsi="Arial"/>
                <w:sz w:val="14"/>
                <w:szCs w:val="14"/>
                <w:color w:val="auto"/>
              </w:rPr>
              <w:t>Changes in unrealized gain on marketable securities</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(18)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w:t>
            </w:r>
          </w:p>
        </w:tc>
      </w:tr>
      <w:tr>
        <w:trPr>
          <w:trHeight w:val="159"/>
        </w:trPr>
        <w:tc>
          <w:tcPr>
            <w:tcW w:w="334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Changes in fair value of cash flow hedges</w:t>
            </w:r>
          </w:p>
        </w:tc>
        <w:tc>
          <w:tcPr>
            <w:tcW w:w="3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40" w:type="dxa"/>
            <w:vAlign w:val="bottom"/>
            <w:gridSpan w:val="3"/>
            <w:shd w:val="clear" w:color="auto" w:fill="CFF0FC"/>
          </w:tcPr>
          <w:p>
            <w:pPr>
              <w:jc w:val="right"/>
              <w:ind w:right="100"/>
              <w:spacing w:after="0" w:line="159" w:lineRule="exact"/>
              <w:rPr>
                <w:sz w:val="20"/>
                <w:szCs w:val="20"/>
                <w:color w:val="auto"/>
              </w:rPr>
            </w:pPr>
            <w:r>
              <w:rPr>
                <w:rFonts w:ascii="Arial" w:cs="Arial" w:eastAsia="Arial" w:hAnsi="Arial"/>
                <w:sz w:val="14"/>
                <w:szCs w:val="14"/>
                <w:color w:val="auto"/>
              </w:rPr>
              <w:t>(34)</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spacing w:after="0" w:line="159" w:lineRule="exact"/>
              <w:rPr>
                <w:sz w:val="20"/>
                <w:szCs w:val="20"/>
                <w:color w:val="auto"/>
              </w:rPr>
            </w:pPr>
            <w:r>
              <w:rPr>
                <w:rFonts w:ascii="Arial" w:cs="Arial" w:eastAsia="Arial" w:hAnsi="Arial"/>
                <w:sz w:val="14"/>
                <w:szCs w:val="14"/>
                <w:color w:val="auto"/>
              </w:rPr>
              <w:t>(3</w:t>
            </w:r>
          </w:p>
        </w:tc>
      </w:tr>
      <w:tr>
        <w:trPr>
          <w:trHeight w:val="159"/>
        </w:trPr>
        <w:tc>
          <w:tcPr>
            <w:tcW w:w="3340" w:type="dxa"/>
            <w:vAlign w:val="bottom"/>
          </w:tcPr>
          <w:p>
            <w:pPr>
              <w:spacing w:after="0" w:line="159" w:lineRule="exact"/>
              <w:rPr>
                <w:sz w:val="20"/>
                <w:szCs w:val="20"/>
                <w:color w:val="auto"/>
              </w:rPr>
            </w:pPr>
            <w:r>
              <w:rPr>
                <w:rFonts w:ascii="Arial" w:cs="Arial" w:eastAsia="Arial" w:hAnsi="Arial"/>
                <w:sz w:val="14"/>
                <w:szCs w:val="14"/>
                <w:color w:val="auto"/>
              </w:rPr>
              <w:t>Pension and other postretirement benefit plans</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86</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8</w:t>
            </w:r>
          </w:p>
        </w:tc>
      </w:tr>
      <w:tr>
        <w:trPr>
          <w:trHeight w:val="159"/>
        </w:trPr>
        <w:tc>
          <w:tcPr>
            <w:tcW w:w="334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Shares sold to optionees, less shares exchanged</w:t>
            </w:r>
          </w:p>
        </w:tc>
        <w:tc>
          <w:tcPr>
            <w:tcW w:w="3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80"/>
              <w:spacing w:after="0" w:line="159" w:lineRule="exact"/>
              <w:rPr>
                <w:sz w:val="20"/>
                <w:szCs w:val="20"/>
                <w:color w:val="auto"/>
              </w:rPr>
            </w:pPr>
            <w:r>
              <w:rPr>
                <w:rFonts w:ascii="Arial" w:cs="Arial" w:eastAsia="Arial" w:hAnsi="Arial"/>
                <w:sz w:val="14"/>
                <w:szCs w:val="14"/>
                <w:color w:val="auto"/>
              </w:rPr>
              <w:t>(16)</w:t>
            </w: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54</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spacing w:after="0" w:line="159" w:lineRule="exact"/>
              <w:rPr>
                <w:sz w:val="20"/>
                <w:szCs w:val="20"/>
                <w:color w:val="auto"/>
              </w:rPr>
            </w:pPr>
            <w:r>
              <w:rPr>
                <w:rFonts w:ascii="Arial" w:cs="Arial" w:eastAsia="Arial" w:hAnsi="Arial"/>
                <w:sz w:val="14"/>
                <w:szCs w:val="14"/>
                <w:color w:val="auto"/>
              </w:rPr>
              <w:t>3</w:t>
            </w:r>
          </w:p>
        </w:tc>
      </w:tr>
      <w:tr>
        <w:trPr>
          <w:trHeight w:val="159"/>
        </w:trPr>
        <w:tc>
          <w:tcPr>
            <w:tcW w:w="3340" w:type="dxa"/>
            <w:vAlign w:val="bottom"/>
          </w:tcPr>
          <w:p>
            <w:pPr>
              <w:spacing w:after="0" w:line="159" w:lineRule="exact"/>
              <w:rPr>
                <w:sz w:val="20"/>
                <w:szCs w:val="20"/>
                <w:color w:val="auto"/>
              </w:rPr>
            </w:pPr>
            <w:r>
              <w:rPr>
                <w:rFonts w:ascii="Arial" w:cs="Arial" w:eastAsia="Arial" w:hAnsi="Arial"/>
                <w:sz w:val="14"/>
                <w:szCs w:val="14"/>
                <w:color w:val="auto"/>
              </w:rPr>
              <w:t>Vesting of restricted stock</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(39)</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39</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9"/>
        </w:trPr>
        <w:tc>
          <w:tcPr>
            <w:tcW w:w="334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Shares issued under employee stock purchase plan</w:t>
            </w:r>
          </w:p>
        </w:tc>
        <w:tc>
          <w:tcPr>
            <w:tcW w:w="3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9</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135</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spacing w:after="0" w:line="159" w:lineRule="exact"/>
              <w:rPr>
                <w:sz w:val="20"/>
                <w:szCs w:val="20"/>
                <w:color w:val="auto"/>
              </w:rPr>
            </w:pPr>
            <w:r>
              <w:rPr>
                <w:rFonts w:ascii="Arial" w:cs="Arial" w:eastAsia="Arial" w:hAnsi="Arial"/>
                <w:sz w:val="14"/>
                <w:szCs w:val="14"/>
                <w:color w:val="auto"/>
              </w:rPr>
              <w:t>14</w:t>
            </w:r>
          </w:p>
        </w:tc>
      </w:tr>
      <w:tr>
        <w:trPr>
          <w:trHeight w:val="159"/>
        </w:trPr>
        <w:tc>
          <w:tcPr>
            <w:tcW w:w="3340" w:type="dxa"/>
            <w:vAlign w:val="bottom"/>
          </w:tcPr>
          <w:p>
            <w:pPr>
              <w:spacing w:after="0" w:line="159" w:lineRule="exact"/>
              <w:rPr>
                <w:sz w:val="20"/>
                <w:szCs w:val="20"/>
                <w:color w:val="auto"/>
              </w:rPr>
            </w:pPr>
            <w:r>
              <w:rPr>
                <w:rFonts w:ascii="Arial" w:cs="Arial" w:eastAsia="Arial" w:hAnsi="Arial"/>
                <w:sz w:val="14"/>
                <w:szCs w:val="14"/>
                <w:color w:val="auto"/>
              </w:rPr>
              <w:t>Stock repurchase program</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(719)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(71</w:t>
            </w:r>
          </w:p>
        </w:tc>
      </w:tr>
      <w:tr>
        <w:trPr>
          <w:trHeight w:val="159"/>
        </w:trPr>
        <w:tc>
          <w:tcPr>
            <w:tcW w:w="334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Stock-based compensation expense</w:t>
            </w:r>
          </w:p>
        </w:tc>
        <w:tc>
          <w:tcPr>
            <w:tcW w:w="3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80</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spacing w:after="0" w:line="159" w:lineRule="exact"/>
              <w:rPr>
                <w:sz w:val="20"/>
                <w:szCs w:val="20"/>
                <w:color w:val="auto"/>
              </w:rPr>
            </w:pPr>
            <w:r>
              <w:rPr>
                <w:rFonts w:ascii="Arial" w:cs="Arial" w:eastAsia="Arial" w:hAnsi="Arial"/>
                <w:sz w:val="14"/>
                <w:szCs w:val="14"/>
                <w:color w:val="auto"/>
              </w:rPr>
              <w:t>8</w:t>
            </w:r>
          </w:p>
        </w:tc>
      </w:tr>
      <w:tr>
        <w:trPr>
          <w:trHeight w:val="159"/>
        </w:trPr>
        <w:tc>
          <w:tcPr>
            <w:tcW w:w="3340" w:type="dxa"/>
            <w:vAlign w:val="bottom"/>
          </w:tcPr>
          <w:p>
            <w:pPr>
              <w:spacing w:after="0" w:line="159" w:lineRule="exact"/>
              <w:rPr>
                <w:sz w:val="20"/>
                <w:szCs w:val="20"/>
                <w:color w:val="auto"/>
              </w:rPr>
            </w:pPr>
            <w:r>
              <w:rPr>
                <w:rFonts w:ascii="Arial" w:cs="Arial" w:eastAsia="Arial" w:hAnsi="Arial"/>
                <w:sz w:val="14"/>
                <w:szCs w:val="14"/>
                <w:color w:val="auto"/>
              </w:rPr>
              <w:t>Dividends declared ($0.50 per share)</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(639)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(63</w:t>
            </w:r>
          </w:p>
        </w:tc>
      </w:tr>
      <w:tr>
        <w:trPr>
          <w:trHeight w:val="159"/>
        </w:trPr>
        <w:tc>
          <w:tcPr>
            <w:tcW w:w="334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Other</w:t>
            </w:r>
          </w:p>
        </w:tc>
        <w:tc>
          <w:tcPr>
            <w:tcW w:w="3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6</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3</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40" w:type="dxa"/>
            <w:vAlign w:val="bottom"/>
            <w:gridSpan w:val="3"/>
            <w:shd w:val="clear" w:color="auto" w:fill="CFF0FC"/>
          </w:tcPr>
          <w:p>
            <w:pPr>
              <w:jc w:val="right"/>
              <w:spacing w:after="0" w:line="159" w:lineRule="exact"/>
              <w:rPr>
                <w:sz w:val="20"/>
                <w:szCs w:val="20"/>
                <w:color w:val="auto"/>
              </w:rPr>
            </w:pPr>
            <w:r>
              <w:rPr>
                <w:rFonts w:ascii="Arial" w:cs="Arial" w:eastAsia="Arial" w:hAnsi="Arial"/>
                <w:sz w:val="14"/>
                <w:szCs w:val="14"/>
                <w:color w:val="auto"/>
              </w:rPr>
              <w:t>(2)</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53"/>
        </w:trPr>
        <w:tc>
          <w:tcPr>
            <w:tcW w:w="3340" w:type="dxa"/>
            <w:vAlign w:val="bottom"/>
          </w:tcPr>
          <w:p>
            <w:pPr>
              <w:spacing w:after="0" w:line="153" w:lineRule="exact"/>
              <w:rPr>
                <w:sz w:val="20"/>
                <w:szCs w:val="20"/>
                <w:color w:val="auto"/>
              </w:rPr>
            </w:pPr>
            <w:r>
              <w:rPr>
                <w:rFonts w:ascii="Arial" w:cs="Arial" w:eastAsia="Arial" w:hAnsi="Arial"/>
                <w:sz w:val="14"/>
                <w:szCs w:val="14"/>
                <w:color w:val="auto"/>
              </w:rPr>
              <w:t>Balance, March 31, 2015</w:t>
            </w:r>
          </w:p>
        </w:tc>
        <w:tc>
          <w:tcPr>
            <w:tcW w:w="380" w:type="dxa"/>
            <w:vAlign w:val="bottom"/>
          </w:tcPr>
          <w:p>
            <w:pPr>
              <w:spacing w:after="0"/>
              <w:rPr>
                <w:sz w:val="13"/>
                <w:szCs w:val="13"/>
                <w:color w:val="auto"/>
              </w:rPr>
            </w:pPr>
          </w:p>
        </w:tc>
        <w:tc>
          <w:tcPr>
            <w:tcW w:w="10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w w:val="76"/>
              </w:rPr>
              <w:t>$</w:t>
            </w: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rPr>
              <w:t>12,535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w w:val="91"/>
              </w:rPr>
              <w:t>(12,260)</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rPr>
              <w:t>41,669</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jc w:val="right"/>
              <w:ind w:right="9"/>
              <w:spacing w:after="0" w:line="153" w:lineRule="exact"/>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jc w:val="right"/>
              <w:spacing w:after="0" w:line="153" w:lineRule="exact"/>
              <w:rPr>
                <w:sz w:val="20"/>
                <w:szCs w:val="20"/>
                <w:color w:val="auto"/>
              </w:rPr>
            </w:pPr>
            <w:r>
              <w:rPr>
                <w:rFonts w:ascii="Arial" w:cs="Arial" w:eastAsia="Arial" w:hAnsi="Arial"/>
                <w:sz w:val="14"/>
                <w:szCs w:val="14"/>
                <w:color w:val="auto"/>
              </w:rPr>
              <w:t>(4,285)</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gridSpan w:val="2"/>
          </w:tcPr>
          <w:p>
            <w:pPr>
              <w:jc w:val="right"/>
              <w:ind w:right="20"/>
              <w:spacing w:after="0" w:line="153" w:lineRule="exact"/>
              <w:rPr>
                <w:sz w:val="20"/>
                <w:szCs w:val="20"/>
                <w:color w:val="auto"/>
              </w:rPr>
            </w:pPr>
            <w:r>
              <w:rPr>
                <w:rFonts w:ascii="Arial" w:cs="Arial" w:eastAsia="Arial" w:hAnsi="Arial"/>
                <w:sz w:val="14"/>
                <w:szCs w:val="14"/>
                <w:color w:val="auto"/>
              </w:rPr>
              <w:t>210</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gridSpan w:val="2"/>
          </w:tcPr>
          <w:p>
            <w:pPr>
              <w:jc w:val="right"/>
              <w:spacing w:after="0" w:line="153" w:lineRule="exact"/>
              <w:rPr>
                <w:sz w:val="20"/>
                <w:szCs w:val="20"/>
                <w:color w:val="auto"/>
              </w:rPr>
            </w:pPr>
            <w:r>
              <w:rPr>
                <w:rFonts w:ascii="Arial" w:cs="Arial" w:eastAsia="Arial" w:hAnsi="Arial"/>
                <w:sz w:val="14"/>
                <w:szCs w:val="14"/>
                <w:color w:val="auto"/>
              </w:rPr>
              <w:t>37,86</w:t>
            </w:r>
          </w:p>
        </w:tc>
      </w:tr>
      <w:tr>
        <w:trPr>
          <w:trHeight w:val="20"/>
        </w:trPr>
        <w:tc>
          <w:tcPr>
            <w:tcW w:w="3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u w:val="single" w:color="auto"/>
          <w:color w:val="auto"/>
        </w:rPr>
        <w:t>SHARES OF COMMON STOCK</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365"/>
        </w:trPr>
        <w:tc>
          <w:tcPr>
            <w:tcW w:w="6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Shares</w:t>
            </w:r>
          </w:p>
        </w:tc>
      </w:tr>
      <w:tr>
        <w:trPr>
          <w:trHeight w:val="230"/>
        </w:trPr>
        <w:tc>
          <w:tcPr>
            <w:tcW w:w="6720" w:type="dxa"/>
            <w:vAlign w:val="bottom"/>
            <w:tcBorders>
              <w:bottom w:val="single" w:sz="8" w:color="CFF0FC"/>
            </w:tcBorders>
          </w:tcPr>
          <w:p>
            <w:pPr>
              <w:spacing w:after="0"/>
              <w:rPr>
                <w:sz w:val="20"/>
                <w:szCs w:val="20"/>
                <w:color w:val="auto"/>
              </w:rPr>
            </w:pPr>
          </w:p>
        </w:tc>
        <w:tc>
          <w:tcPr>
            <w:tcW w:w="92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w w:val="84"/>
              </w:rPr>
              <w:t>Issued</w:t>
            </w:r>
          </w:p>
        </w:tc>
        <w:tc>
          <w:tcPr>
            <w:tcW w:w="440" w:type="dxa"/>
            <w:vAlign w:val="bottom"/>
            <w:tcBorders>
              <w:bottom w:val="single" w:sz="8" w:color="auto"/>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13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In Treasury</w:t>
            </w:r>
          </w:p>
        </w:tc>
        <w:tc>
          <w:tcPr>
            <w:tcW w:w="260" w:type="dxa"/>
            <w:vAlign w:val="bottom"/>
            <w:tcBorders>
              <w:bottom w:val="single" w:sz="8" w:color="CFF0FC"/>
            </w:tcBorders>
          </w:tcPr>
          <w:p>
            <w:pPr>
              <w:spacing w:after="0"/>
              <w:rPr>
                <w:sz w:val="20"/>
                <w:szCs w:val="20"/>
                <w:color w:val="auto"/>
              </w:rPr>
            </w:pPr>
          </w:p>
        </w:tc>
        <w:tc>
          <w:tcPr>
            <w:tcW w:w="13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b w:val="1"/>
                <w:bCs w:val="1"/>
                <w:color w:val="auto"/>
              </w:rPr>
              <w:t>Outstanding</w:t>
            </w:r>
          </w:p>
        </w:tc>
        <w:tc>
          <w:tcPr>
            <w:tcW w:w="100" w:type="dxa"/>
            <w:vAlign w:val="bottom"/>
            <w:tcBorders>
              <w:bottom w:val="single" w:sz="8" w:color="CFF0FC"/>
            </w:tcBorders>
          </w:tcPr>
          <w:p>
            <w:pPr>
              <w:spacing w:after="0"/>
              <w:rPr>
                <w:sz w:val="20"/>
                <w:szCs w:val="20"/>
                <w:color w:val="auto"/>
              </w:rPr>
            </w:pPr>
          </w:p>
        </w:tc>
      </w:tr>
      <w:tr>
        <w:trPr>
          <w:trHeight w:val="220"/>
        </w:trPr>
        <w:tc>
          <w:tcPr>
            <w:tcW w:w="7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Balance, January 1, 2016</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1,434</w:t>
            </w:r>
          </w:p>
        </w:tc>
        <w:tc>
          <w:tcPr>
            <w:tcW w:w="26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(178)</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1,256</w:t>
            </w:r>
          </w:p>
        </w:tc>
        <w:tc>
          <w:tcPr>
            <w:tcW w:w="100" w:type="dxa"/>
            <w:vAlign w:val="bottom"/>
            <w:shd w:val="clear" w:color="auto" w:fill="CFF0FC"/>
          </w:tcPr>
          <w:p>
            <w:pPr>
              <w:spacing w:after="0"/>
              <w:rPr>
                <w:sz w:val="19"/>
                <w:szCs w:val="19"/>
                <w:color w:val="auto"/>
              </w:rPr>
            </w:pPr>
          </w:p>
        </w:tc>
      </w:tr>
      <w:tr>
        <w:trPr>
          <w:trHeight w:val="225"/>
        </w:trPr>
        <w:tc>
          <w:tcPr>
            <w:tcW w:w="7640" w:type="dxa"/>
            <w:vAlign w:val="bottom"/>
            <w:gridSpan w:val="2"/>
          </w:tcPr>
          <w:p>
            <w:pPr>
              <w:spacing w:after="0"/>
              <w:rPr>
                <w:sz w:val="20"/>
                <w:szCs w:val="20"/>
                <w:color w:val="auto"/>
              </w:rPr>
            </w:pPr>
            <w:r>
              <w:rPr>
                <w:rFonts w:ascii="Arial" w:cs="Arial" w:eastAsia="Arial" w:hAnsi="Arial"/>
                <w:sz w:val="18"/>
                <w:szCs w:val="18"/>
                <w:color w:val="auto"/>
              </w:rPr>
              <w:t>Shares sold to optionees, less shares exchanged</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r>
      <w:tr>
        <w:trPr>
          <w:trHeight w:val="226"/>
        </w:trPr>
        <w:tc>
          <w:tcPr>
            <w:tcW w:w="7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Vesting of restricted stock</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5"/>
        </w:trPr>
        <w:tc>
          <w:tcPr>
            <w:tcW w:w="7640" w:type="dxa"/>
            <w:vAlign w:val="bottom"/>
            <w:gridSpan w:val="2"/>
          </w:tcPr>
          <w:p>
            <w:pPr>
              <w:spacing w:after="0"/>
              <w:rPr>
                <w:sz w:val="20"/>
                <w:szCs w:val="20"/>
                <w:color w:val="auto"/>
              </w:rPr>
            </w:pPr>
            <w:r>
              <w:rPr>
                <w:rFonts w:ascii="Arial" w:cs="Arial" w:eastAsia="Arial" w:hAnsi="Arial"/>
                <w:sz w:val="18"/>
                <w:szCs w:val="18"/>
                <w:color w:val="auto"/>
              </w:rPr>
              <w:t>Shares issued under employee stock purchase plan</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26"/>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Stock repurchase program</w:t>
            </w: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w:t>
            </w: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w:t>
            </w:r>
          </w:p>
        </w:tc>
      </w:tr>
      <w:tr>
        <w:trPr>
          <w:trHeight w:val="20"/>
        </w:trPr>
        <w:tc>
          <w:tcPr>
            <w:tcW w:w="67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9"/>
        </w:trPr>
        <w:tc>
          <w:tcPr>
            <w:tcW w:w="6720" w:type="dxa"/>
            <w:vAlign w:val="bottom"/>
          </w:tcPr>
          <w:p>
            <w:pPr>
              <w:spacing w:after="0"/>
              <w:rPr>
                <w:sz w:val="20"/>
                <w:szCs w:val="20"/>
                <w:color w:val="auto"/>
              </w:rPr>
            </w:pPr>
            <w:r>
              <w:rPr>
                <w:rFonts w:ascii="Arial" w:cs="Arial" w:eastAsia="Arial" w:hAnsi="Arial"/>
                <w:sz w:val="18"/>
                <w:szCs w:val="18"/>
                <w:color w:val="auto"/>
              </w:rPr>
              <w:t>Balance, March 31, 2016</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1,434</w:t>
            </w:r>
          </w:p>
        </w:tc>
        <w:tc>
          <w:tcPr>
            <w:tcW w:w="26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(182)</w:t>
            </w:r>
          </w:p>
        </w:tc>
        <w:tc>
          <w:tcPr>
            <w:tcW w:w="1360" w:type="dxa"/>
            <w:vAlign w:val="bottom"/>
          </w:tcPr>
          <w:p>
            <w:pPr>
              <w:jc w:val="right"/>
              <w:spacing w:after="0"/>
              <w:rPr>
                <w:sz w:val="20"/>
                <w:szCs w:val="20"/>
                <w:color w:val="auto"/>
              </w:rPr>
            </w:pPr>
            <w:r>
              <w:rPr>
                <w:rFonts w:ascii="Arial" w:cs="Arial" w:eastAsia="Arial" w:hAnsi="Arial"/>
                <w:sz w:val="18"/>
                <w:szCs w:val="18"/>
                <w:color w:val="auto"/>
              </w:rPr>
              <w:t>1,252</w:t>
            </w:r>
          </w:p>
        </w:tc>
        <w:tc>
          <w:tcPr>
            <w:tcW w:w="100" w:type="dxa"/>
            <w:vAlign w:val="bottom"/>
          </w:tcPr>
          <w:p>
            <w:pPr>
              <w:spacing w:after="0"/>
              <w:rPr>
                <w:sz w:val="19"/>
                <w:szCs w:val="19"/>
                <w:color w:val="auto"/>
              </w:rPr>
            </w:pPr>
          </w:p>
        </w:tc>
      </w:tr>
      <w:tr>
        <w:trPr>
          <w:trHeight w:val="20"/>
        </w:trPr>
        <w:tc>
          <w:tcPr>
            <w:tcW w:w="67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37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520"/>
          </w:cols>
          <w:pgMar w:left="240" w:top="121" w:right="139" w:bottom="1440" w:gutter="0" w:footer="0" w:header="0"/>
        </w:sectPr>
      </w:pPr>
    </w:p>
    <w:bookmarkStart w:id="7" w:name="page8"/>
    <w:bookmarkEnd w:id="7"/>
    <w:p>
      <w:pPr>
        <w:ind w:left="368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2" w:lineRule="exact"/>
        <w:rPr>
          <w:sz w:val="20"/>
          <w:szCs w:val="20"/>
          <w:color w:val="auto"/>
        </w:rPr>
      </w:pPr>
    </w:p>
    <w:p>
      <w:pPr>
        <w:ind w:left="3400"/>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1" w:lineRule="exact"/>
        <w:rPr>
          <w:sz w:val="20"/>
          <w:szCs w:val="20"/>
          <w:color w:val="auto"/>
        </w:rPr>
      </w:pPr>
    </w:p>
    <w:p>
      <w:pPr>
        <w:ind w:left="320" w:hanging="314"/>
        <w:spacing w:after="0"/>
        <w:tabs>
          <w:tab w:leader="none" w:pos="3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Basis of Presentation</w:t>
      </w:r>
    </w:p>
    <w:p>
      <w:pPr>
        <w:spacing w:after="0" w:line="11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 xml:space="preserve">The accompanying unaudited consolidated financial statements of Schlumberger Limited and its subsidiaries (Schlumberger) have been prepared in accordance with generally accepted accounting principles in the United States of America for interim financial information and with the instructions to Form 10-Q and Article 10 of Regulation S-X. Accordingly, they do not include all of the information and footnotes required by generally accepted accounting principles for complete financial statements. In the opinion of Schlumberger management, all adjustments considered necessary for a fair statement have been included in the accompanying unaudited financial statements. All intercompany transactions and balances have been eliminated in consolidation. Operating results for the three-month period ended March 31, 2016 are not necessarily indicative of the results that may be expected for the full year ending December 31, 2016. The December 31, 2015 balance sheet information has been derived from the Schlumberger 2015 audited financial statements. For further information, refer to the </w:t>
      </w:r>
      <w:r>
        <w:rPr>
          <w:rFonts w:ascii="Arial" w:cs="Arial" w:eastAsia="Arial" w:hAnsi="Arial"/>
          <w:sz w:val="17"/>
          <w:szCs w:val="17"/>
          <w:i w:val="1"/>
          <w:iCs w:val="1"/>
          <w:color w:val="auto"/>
        </w:rPr>
        <w:t xml:space="preserve">Consolidated Financial Statements </w:t>
      </w:r>
      <w:r>
        <w:rPr>
          <w:rFonts w:ascii="Arial" w:cs="Arial" w:eastAsia="Arial" w:hAnsi="Arial"/>
          <w:sz w:val="17"/>
          <w:szCs w:val="17"/>
          <w:color w:val="auto"/>
        </w:rPr>
        <w:t>and notes thereto included in the Schlumberger Annual Report on Form 10-K for the year ended December 31, 2015, filed</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Securities and Exchange Commission on January 27, 2016.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Certain prior period items have been reclassified to conform to the current period presentation.</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Merger with Cameron International Corporation</w:t>
      </w:r>
    </w:p>
    <w:p>
      <w:pPr>
        <w:spacing w:after="0" w:line="11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April 1, 2016, Schlumberger acquired all of the outstanding shares of Cameron International Corporation (Cameron), a leading provider of flow equipment products, systems and services to the oil and gas industry worldwide. The merger will create technology-driven growth by integrating Schlumberger’s reservoir and well technologies with Cameron wellhead and surface equipment, flow control and processing technology. The combination of the two complementary technology portfolios provides the industry’s most comprehensive range of products and services, from exploration to production and integrated pore-to-pipeline solutions that optimize hydrocarbon recovery to deliver reservoir performance. Cameron’s revenue for the year ended December 31, 2015 and the three months ended March 31, 2016 was $8.8 billion and $1.6 billion, respectively.</w:t>
      </w:r>
    </w:p>
    <w:p>
      <w:pPr>
        <w:spacing w:after="0" w:line="17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Under the terms of the merger agreement, Cameron became a wholly-owned subsidiary of Schlumberger. Each share of Cameron common stock issued and outstanding immediately prior to the effective time of the merger was converted into the right to receive 0.716 share of Schlumberger stock and $14.44 in cash. As a result, Schlumberger issued approximately 138 million shares of its common stock and paid cash of approximately $2.8 billion in connection with this transaction. Based on the closing price of Schlumberger’s common stock on April 1, 2016, the total fair value of the consideration transferred to effect the acquisition of Cameron was approximately $12.9 billion. Due to the fact that the acquisition just recently closed, the initial accounting for the transaction has not yet been completed. Cameron reported net tangible assets of approximately $3.0 billion as of December 31, 2015, consisting of $2.4 billion of cash and short-term investments, $2.0 billion of accounts receivable, $2.4 billion of inventories, $1.7 billion of fixed assets, $2.8 billion of debt and $2.7 billion of other net liabilities.</w:t>
      </w:r>
    </w:p>
    <w:p>
      <w:pPr>
        <w:spacing w:after="0" w:line="19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As this transaction closed subsequent to the end of the first quarter of 2016,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and the related footnotes do not reflect any amounts relating to the acquired Cameron business.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11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In May 2014, the Financial Accounting Standards Board (FASB) issued Accounting Standards Update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This ASU amends the existing accounting standards for revenue recognition and is based on the principle that revenue should be recognized to depict the transfer of goods or services to a customer at an amount that reflects the consideration a company expects to receive in exchange for those goods or services. Schlumberger is required to adopt this ASU on January 1, 2018, with early adoption permitted on January 1, 2017, and does not expect the adoption of this ASU to have a material impact on its consolidated financial statements.</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November 2015, the FASB issued ASU 2015-17</w:t>
      </w:r>
      <w:r>
        <w:rPr>
          <w:rFonts w:ascii="Arial" w:cs="Arial" w:eastAsia="Arial" w:hAnsi="Arial"/>
          <w:sz w:val="18"/>
          <w:szCs w:val="18"/>
          <w:i w:val="1"/>
          <w:iCs w:val="1"/>
          <w:color w:val="auto"/>
        </w:rPr>
        <w:t>, Balance Sheet Classification of Deferred Taxes</w:t>
      </w:r>
      <w:r>
        <w:rPr>
          <w:rFonts w:ascii="Arial" w:cs="Arial" w:eastAsia="Arial" w:hAnsi="Arial"/>
          <w:sz w:val="18"/>
          <w:szCs w:val="18"/>
          <w:color w:val="auto"/>
        </w:rPr>
        <w:t>, which amends existing guidance on income taxes to require the classification of all deferred tax assets and liabilities as non-current on the balance sheet. Schlumberger is required to adopt this ASU no later than January 1, 2018, with early adoption permitted, and the guidance may be applied either prospectively or retrospectively. Schlumberger does not expect the adoption of this ASU to have a material impact on its consolidated financial statements.</w:t>
      </w:r>
    </w:p>
    <w:p>
      <w:pPr>
        <w:spacing w:after="0" w:line="190"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This ASU requires lessees to recognize for all leases, with the exception of short-term leases, a liability equal to the present value of lease payments and a corresponding right-of-use asset also</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line="266" w:lineRule="auto"/>
        <w:rPr>
          <w:sz w:val="20"/>
          <w:szCs w:val="20"/>
          <w:color w:val="auto"/>
        </w:rPr>
      </w:pPr>
      <w:r>
        <w:rPr>
          <w:rFonts w:ascii="Arial" w:cs="Arial" w:eastAsia="Arial" w:hAnsi="Arial"/>
          <w:sz w:val="18"/>
          <w:szCs w:val="18"/>
          <w:color w:val="auto"/>
        </w:rPr>
        <w:t>based on the present value of lease payments. Schlumberger is evaluating the impact that the adoption of this ASU will have on its consolidated financial statements.</w:t>
      </w:r>
    </w:p>
    <w:p>
      <w:pPr>
        <w:spacing w:after="0" w:line="279" w:lineRule="exact"/>
        <w:rPr>
          <w:sz w:val="20"/>
          <w:szCs w:val="20"/>
          <w:color w:val="auto"/>
        </w:rPr>
      </w:pPr>
    </w:p>
    <w:p>
      <w:pPr>
        <w:ind w:left="280" w:hanging="274"/>
        <w:spacing w:after="0"/>
        <w:tabs>
          <w:tab w:leader="none" w:pos="2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Charges and Credits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Schlumberger did not record any charges or credits during the first quarter of 2016.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Schlumberger recorded the following charges and credits during the first quarter of 2015:</w:t>
      </w:r>
    </w:p>
    <w:p>
      <w:pPr>
        <w:spacing w:after="0" w:line="112" w:lineRule="exact"/>
        <w:rPr>
          <w:sz w:val="20"/>
          <w:szCs w:val="20"/>
          <w:color w:val="auto"/>
        </w:rPr>
      </w:pPr>
    </w:p>
    <w:p>
      <w:pPr>
        <w:jc w:val="both"/>
        <w:ind w:left="760" w:hanging="382"/>
        <w:spacing w:after="0" w:line="278" w:lineRule="auto"/>
        <w:tabs>
          <w:tab w:leader="none" w:pos="760" w:val="left"/>
        </w:tabs>
        <w:numPr>
          <w:ilvl w:val="1"/>
          <w:numId w:val="4"/>
        </w:numPr>
        <w:rPr>
          <w:rFonts w:ascii="Arial" w:cs="Arial" w:eastAsia="Arial" w:hAnsi="Arial"/>
          <w:sz w:val="17"/>
          <w:szCs w:val="17"/>
          <w:color w:val="auto"/>
        </w:rPr>
      </w:pPr>
      <w:r>
        <w:rPr>
          <w:rFonts w:ascii="Arial" w:cs="Arial" w:eastAsia="Arial" w:hAnsi="Arial"/>
          <w:sz w:val="17"/>
          <w:szCs w:val="17"/>
          <w:color w:val="auto"/>
        </w:rPr>
        <w:t>As a result of the severe fall in activity in North America, combined with the impact of lower international activity due to customer budget cuts driven by lower oil prices, Schlumberger decided to reduce its headcount during the first quarter of 2015. Schlumberger recorded a $390 million charge during the first quarter associated with this headcount reduction as well as an incentivized leave of absence program.</w:t>
      </w:r>
    </w:p>
    <w:p>
      <w:pPr>
        <w:spacing w:after="0" w:line="211" w:lineRule="exact"/>
        <w:rPr>
          <w:rFonts w:ascii="Arial" w:cs="Arial" w:eastAsia="Arial" w:hAnsi="Arial"/>
          <w:sz w:val="17"/>
          <w:szCs w:val="17"/>
          <w:color w:val="auto"/>
        </w:rPr>
      </w:pPr>
    </w:p>
    <w:p>
      <w:pPr>
        <w:jc w:val="both"/>
        <w:ind w:left="760" w:hanging="395"/>
        <w:spacing w:after="0" w:line="251"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February 2015, the Venezuelan government replaced the SICAD II exchange rate with a new foreign exchange market system known as SIMADI. The SIMADI exchange rate was approximately 192 Venezuelan Bolivares fuertes to the US dollar as of March 31, 2015. As a result, Schlumberger recorded a $49 million devaluation charge during the first quarter of 2015, reflecting the adoption of the SIMADI exchange rate. This change resulted in a reduction in the US dollar reported amount of local currency denominated revenues, expenses and, consequently, income before taxes and net income in Venezuela.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is a summary of these charges, all of which were classified as </w:t>
      </w:r>
      <w:r>
        <w:rPr>
          <w:rFonts w:ascii="Arial" w:cs="Arial" w:eastAsia="Arial" w:hAnsi="Arial"/>
          <w:sz w:val="18"/>
          <w:szCs w:val="18"/>
          <w:i w:val="1"/>
          <w:iCs w:val="1"/>
          <w:color w:val="auto"/>
        </w:rPr>
        <w:t>Restructuring &amp; other</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i w:val="1"/>
                <w:iCs w:val="1"/>
                <w:color w:val="auto"/>
              </w:rPr>
              <w:t>(Stated in millions)</w:t>
            </w:r>
          </w:p>
        </w:tc>
      </w:tr>
      <w:tr>
        <w:trPr>
          <w:trHeight w:val="436"/>
        </w:trPr>
        <w:tc>
          <w:tcPr>
            <w:tcW w:w="6720" w:type="dxa"/>
            <w:vAlign w:val="bottom"/>
            <w:tcBorders>
              <w:bottom w:val="single" w:sz="8" w:color="CFF0FC"/>
            </w:tcBorders>
          </w:tcPr>
          <w:p>
            <w:pPr>
              <w:spacing w:after="0"/>
              <w:rPr>
                <w:sz w:val="24"/>
                <w:szCs w:val="24"/>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Pretax</w:t>
            </w: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CFF0FC"/>
            </w:tcBorders>
          </w:tcPr>
          <w:p>
            <w:pPr>
              <w:spacing w:after="0"/>
              <w:rPr>
                <w:sz w:val="24"/>
                <w:szCs w:val="24"/>
                <w:color w:val="auto"/>
              </w:rPr>
            </w:pPr>
          </w:p>
        </w:tc>
        <w:tc>
          <w:tcPr>
            <w:tcW w:w="9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Tax</w:t>
            </w: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75"/>
              <w:spacing w:after="0"/>
              <w:rPr>
                <w:sz w:val="20"/>
                <w:szCs w:val="20"/>
                <w:color w:val="auto"/>
              </w:rPr>
            </w:pPr>
            <w:r>
              <w:rPr>
                <w:rFonts w:ascii="Arial" w:cs="Arial" w:eastAsia="Arial" w:hAnsi="Arial"/>
                <w:sz w:val="18"/>
                <w:szCs w:val="18"/>
                <w:color w:val="auto"/>
              </w:rPr>
              <w:t>Net</w:t>
            </w:r>
          </w:p>
        </w:tc>
        <w:tc>
          <w:tcPr>
            <w:tcW w:w="100" w:type="dxa"/>
            <w:vAlign w:val="bottom"/>
            <w:tcBorders>
              <w:bottom w:val="single" w:sz="8" w:color="CFF0FC"/>
            </w:tcBorders>
          </w:tcPr>
          <w:p>
            <w:pPr>
              <w:spacing w:after="0"/>
              <w:rPr>
                <w:sz w:val="24"/>
                <w:szCs w:val="24"/>
                <w:color w:val="auto"/>
              </w:rPr>
            </w:pPr>
          </w:p>
        </w:tc>
      </w:tr>
      <w:tr>
        <w:trPr>
          <w:trHeight w:val="220"/>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Workforce reduction</w:t>
            </w:r>
          </w:p>
        </w:tc>
        <w:tc>
          <w:tcPr>
            <w:tcW w:w="980" w:type="dxa"/>
            <w:vAlign w:val="bottom"/>
            <w:shd w:val="clear" w:color="auto" w:fill="CFF0FC"/>
          </w:tcPr>
          <w:p>
            <w:pPr>
              <w:jc w:val="right"/>
              <w:ind w:right="822"/>
              <w:spacing w:after="0"/>
              <w:rPr>
                <w:sz w:val="20"/>
                <w:szCs w:val="20"/>
                <w:color w:val="auto"/>
              </w:rPr>
            </w:pPr>
            <w:r>
              <w:rPr>
                <w:rFonts w:ascii="Arial" w:cs="Arial" w:eastAsia="Arial" w:hAnsi="Arial"/>
                <w:sz w:val="14"/>
                <w:szCs w:val="14"/>
                <w:color w:val="auto"/>
                <w:w w:val="76"/>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w:t>
            </w:r>
          </w:p>
        </w:tc>
        <w:tc>
          <w:tcPr>
            <w:tcW w:w="1240" w:type="dxa"/>
            <w:vAlign w:val="bottom"/>
            <w:gridSpan w:val="2"/>
            <w:shd w:val="clear" w:color="auto" w:fill="CFF0FC"/>
          </w:tcPr>
          <w:p>
            <w:pPr>
              <w:jc w:val="right"/>
              <w:ind w:right="811"/>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FF0FC"/>
          </w:tcPr>
          <w:p>
            <w:pPr>
              <w:spacing w:after="0"/>
              <w:rPr>
                <w:sz w:val="19"/>
                <w:szCs w:val="19"/>
                <w:color w:val="auto"/>
              </w:rPr>
            </w:pPr>
          </w:p>
        </w:tc>
      </w:tr>
      <w:tr>
        <w:trPr>
          <w:trHeight w:val="225"/>
        </w:trPr>
        <w:tc>
          <w:tcPr>
            <w:tcW w:w="6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Currency devaluation loss in Venezuela</w:t>
            </w:r>
          </w:p>
        </w:tc>
        <w:tc>
          <w:tcPr>
            <w:tcW w:w="9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6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FF0FC"/>
            </w:tcBorders>
          </w:tcPr>
          <w:p>
            <w:pPr>
              <w:spacing w:after="0"/>
              <w:rPr>
                <w:sz w:val="19"/>
                <w:szCs w:val="19"/>
                <w:color w:val="auto"/>
              </w:rPr>
            </w:pPr>
          </w:p>
        </w:tc>
      </w:tr>
      <w:tr>
        <w:trPr>
          <w:trHeight w:val="219"/>
        </w:trPr>
        <w:tc>
          <w:tcPr>
            <w:tcW w:w="67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822"/>
              <w:spacing w:after="0"/>
              <w:rPr>
                <w:sz w:val="20"/>
                <w:szCs w:val="20"/>
                <w:color w:val="auto"/>
              </w:rPr>
            </w:pPr>
            <w:r>
              <w:rPr>
                <w:rFonts w:ascii="Arial" w:cs="Arial" w:eastAsia="Arial" w:hAnsi="Arial"/>
                <w:sz w:val="14"/>
                <w:szCs w:val="14"/>
                <w:color w:val="auto"/>
                <w:w w:val="76"/>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w:t>
            </w:r>
          </w:p>
        </w:tc>
        <w:tc>
          <w:tcPr>
            <w:tcW w:w="1240" w:type="dxa"/>
            <w:vAlign w:val="bottom"/>
            <w:gridSpan w:val="2"/>
            <w:shd w:val="clear" w:color="auto" w:fill="CFF0FC"/>
          </w:tcPr>
          <w:p>
            <w:pPr>
              <w:jc w:val="right"/>
              <w:ind w:right="811"/>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FF0FC"/>
          </w:tcPr>
          <w:p>
            <w:pPr>
              <w:spacing w:after="0"/>
              <w:rPr>
                <w:sz w:val="19"/>
                <w:szCs w:val="19"/>
                <w:color w:val="auto"/>
              </w:rPr>
            </w:pPr>
          </w:p>
        </w:tc>
      </w:tr>
      <w:tr>
        <w:trPr>
          <w:trHeight w:val="20"/>
        </w:trPr>
        <w:tc>
          <w:tcPr>
            <w:tcW w:w="67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280" w:hanging="274"/>
        <w:spacing w:after="0"/>
        <w:tabs>
          <w:tab w:leader="none" w:pos="2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Per Share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from basic earnings per share of Schlumberger to diluted earnings per share of Schlumberger: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0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0" w:type="dxa"/>
            <w:vAlign w:val="bottom"/>
            <w:gridSpan w:val="6"/>
          </w:tcPr>
          <w:p>
            <w:pPr>
              <w:jc w:val="right"/>
              <w:ind w:right="100"/>
              <w:spacing w:after="0"/>
              <w:rPr>
                <w:sz w:val="20"/>
                <w:szCs w:val="20"/>
                <w:color w:val="auto"/>
              </w:rPr>
            </w:pPr>
            <w:r>
              <w:rPr>
                <w:rFonts w:ascii="Arial" w:cs="Arial" w:eastAsia="Arial" w:hAnsi="Arial"/>
                <w:sz w:val="14"/>
                <w:szCs w:val="14"/>
                <w:i w:val="1"/>
                <w:iCs w:val="1"/>
                <w:color w:val="auto"/>
                <w:w w:val="94"/>
              </w:rPr>
              <w:t>(Stated in millions, except per share amounts)</w:t>
            </w:r>
          </w:p>
        </w:tc>
      </w:tr>
      <w:tr>
        <w:trPr>
          <w:trHeight w:val="421"/>
        </w:trPr>
        <w:tc>
          <w:tcPr>
            <w:tcW w:w="10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2016</w:t>
            </w: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center"/>
              <w:ind w:left="137"/>
              <w:spacing w:after="0"/>
              <w:rPr>
                <w:sz w:val="20"/>
                <w:szCs w:val="20"/>
                <w:color w:val="auto"/>
              </w:rPr>
            </w:pPr>
            <w:r>
              <w:rPr>
                <w:rFonts w:ascii="Arial" w:cs="Arial" w:eastAsia="Arial" w:hAnsi="Arial"/>
                <w:sz w:val="16"/>
                <w:szCs w:val="16"/>
                <w:color w:val="auto"/>
                <w:w w:val="89"/>
              </w:rPr>
              <w:t>2015</w:t>
            </w: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5"/>
        </w:trPr>
        <w:tc>
          <w:tcPr>
            <w:tcW w:w="10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5"/>
              </w:rPr>
              <w:t>Average</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color w:val="auto"/>
                <w:w w:val="87"/>
              </w:rPr>
              <w:t>Average</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9"/>
        </w:trPr>
        <w:tc>
          <w:tcPr>
            <w:tcW w:w="10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Schlumberger</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Earnings per</w:t>
            </w:r>
          </w:p>
        </w:tc>
        <w:tc>
          <w:tcPr>
            <w:tcW w:w="100" w:type="dxa"/>
            <w:vAlign w:val="bottom"/>
          </w:tcPr>
          <w:p>
            <w:pPr>
              <w:spacing w:after="0"/>
              <w:rPr>
                <w:sz w:val="17"/>
                <w:szCs w:val="17"/>
                <w:color w:val="auto"/>
              </w:rPr>
            </w:pPr>
          </w:p>
        </w:tc>
        <w:tc>
          <w:tcPr>
            <w:tcW w:w="1040" w:type="dxa"/>
            <w:vAlign w:val="bottom"/>
          </w:tcPr>
          <w:p>
            <w:pPr>
              <w:jc w:val="right"/>
              <w:ind w:right="34"/>
              <w:spacing w:after="0"/>
              <w:rPr>
                <w:sz w:val="20"/>
                <w:szCs w:val="20"/>
                <w:color w:val="auto"/>
              </w:rPr>
            </w:pPr>
            <w:r>
              <w:rPr>
                <w:rFonts w:ascii="Arial" w:cs="Arial" w:eastAsia="Arial" w:hAnsi="Arial"/>
                <w:sz w:val="16"/>
                <w:szCs w:val="16"/>
                <w:color w:val="auto"/>
                <w:w w:val="90"/>
              </w:rPr>
              <w:t>Schlumberger</w:t>
            </w:r>
          </w:p>
        </w:tc>
        <w:tc>
          <w:tcPr>
            <w:tcW w:w="2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color w:val="auto"/>
                <w:w w:val="82"/>
              </w:rPr>
              <w:t>Shares</w:t>
            </w: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color w:val="auto"/>
                <w:w w:val="90"/>
              </w:rPr>
              <w:t>Earnings per</w:t>
            </w:r>
          </w:p>
        </w:tc>
      </w:tr>
      <w:tr>
        <w:trPr>
          <w:trHeight w:val="211"/>
        </w:trPr>
        <w:tc>
          <w:tcPr>
            <w:tcW w:w="10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Net Income</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1"/>
              </w:rPr>
              <w:t>Outstanding</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5"/>
              </w:rPr>
              <w:t>Share</w:t>
            </w:r>
          </w:p>
        </w:tc>
        <w:tc>
          <w:tcPr>
            <w:tcW w:w="100" w:type="dxa"/>
            <w:vAlign w:val="bottom"/>
          </w:tcPr>
          <w:p>
            <w:pPr>
              <w:spacing w:after="0"/>
              <w:rPr>
                <w:sz w:val="18"/>
                <w:szCs w:val="18"/>
                <w:color w:val="auto"/>
              </w:rPr>
            </w:pPr>
          </w:p>
        </w:tc>
        <w:tc>
          <w:tcPr>
            <w:tcW w:w="1040" w:type="dxa"/>
            <w:vAlign w:val="bottom"/>
          </w:tcPr>
          <w:p>
            <w:pPr>
              <w:jc w:val="right"/>
              <w:ind w:right="114"/>
              <w:spacing w:after="0"/>
              <w:rPr>
                <w:sz w:val="20"/>
                <w:szCs w:val="20"/>
                <w:color w:val="auto"/>
              </w:rPr>
            </w:pPr>
            <w:r>
              <w:rPr>
                <w:rFonts w:ascii="Arial" w:cs="Arial" w:eastAsia="Arial" w:hAnsi="Arial"/>
                <w:sz w:val="16"/>
                <w:szCs w:val="16"/>
                <w:color w:val="auto"/>
              </w:rPr>
              <w:t>Net Income</w:t>
            </w:r>
          </w:p>
        </w:tc>
        <w:tc>
          <w:tcPr>
            <w:tcW w:w="2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color w:val="auto"/>
                <w:w w:val="90"/>
              </w:rPr>
              <w:t>Outstanding</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color w:val="auto"/>
                <w:w w:val="88"/>
              </w:rPr>
              <w:t>Share</w:t>
            </w:r>
          </w:p>
        </w:tc>
      </w:tr>
      <w:tr>
        <w:trPr>
          <w:trHeight w:val="202"/>
        </w:trPr>
        <w:tc>
          <w:tcPr>
            <w:tcW w:w="1040" w:type="dxa"/>
            <w:vAlign w:val="bottom"/>
            <w:tcBorders>
              <w:top w:val="single" w:sz="8" w:color="CFF0FC"/>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b w:val="1"/>
                <w:bCs w:val="1"/>
                <w:color w:val="auto"/>
                <w:w w:val="93"/>
              </w:rPr>
              <w:t>First Quarter</w:t>
            </w:r>
          </w:p>
        </w:tc>
        <w:tc>
          <w:tcPr>
            <w:tcW w:w="1820" w:type="dxa"/>
            <w:vAlign w:val="bottom"/>
            <w:tcBorders>
              <w:top w:val="single" w:sz="8" w:color="CFF0FC"/>
              <w:bottom w:val="single" w:sz="8" w:color="CFF0FC"/>
            </w:tcBorders>
            <w:shd w:val="clear" w:color="auto" w:fill="CFF0FC"/>
          </w:tcPr>
          <w:p>
            <w:pPr>
              <w:spacing w:after="0"/>
              <w:rPr>
                <w:sz w:val="17"/>
                <w:szCs w:val="17"/>
                <w:color w:val="auto"/>
              </w:rPr>
            </w:pPr>
          </w:p>
        </w:tc>
        <w:tc>
          <w:tcPr>
            <w:tcW w:w="38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1100" w:type="dxa"/>
            <w:vAlign w:val="bottom"/>
            <w:tcBorders>
              <w:top w:val="single" w:sz="8" w:color="auto"/>
              <w:bottom w:val="single" w:sz="8" w:color="CFF0FC"/>
            </w:tcBorders>
            <w:shd w:val="clear" w:color="auto" w:fill="CFF0FC"/>
          </w:tcPr>
          <w:p>
            <w:pPr>
              <w:spacing w:after="0"/>
              <w:rPr>
                <w:sz w:val="17"/>
                <w:szCs w:val="17"/>
                <w:color w:val="auto"/>
              </w:rPr>
            </w:pP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140" w:type="dxa"/>
            <w:vAlign w:val="bottom"/>
            <w:tcBorders>
              <w:top w:val="single" w:sz="8" w:color="auto"/>
              <w:bottom w:val="single" w:sz="8" w:color="CFF0FC"/>
            </w:tcBorders>
            <w:shd w:val="clear" w:color="auto" w:fill="CFF0FC"/>
          </w:tcPr>
          <w:p>
            <w:pPr>
              <w:spacing w:after="0"/>
              <w:rPr>
                <w:sz w:val="17"/>
                <w:szCs w:val="17"/>
                <w:color w:val="auto"/>
              </w:rPr>
            </w:pP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1060" w:type="dxa"/>
            <w:vAlign w:val="bottom"/>
            <w:tcBorders>
              <w:top w:val="single" w:sz="8" w:color="auto"/>
              <w:bottom w:val="single" w:sz="8" w:color="CFF0FC"/>
            </w:tcBorders>
            <w:shd w:val="clear" w:color="auto" w:fill="CFF0FC"/>
          </w:tcPr>
          <w:p>
            <w:pPr>
              <w:spacing w:after="0"/>
              <w:rPr>
                <w:sz w:val="17"/>
                <w:szCs w:val="17"/>
                <w:color w:val="auto"/>
              </w:rPr>
            </w:pP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1040" w:type="dxa"/>
            <w:vAlign w:val="bottom"/>
            <w:tcBorders>
              <w:top w:val="single" w:sz="8" w:color="auto"/>
              <w:bottom w:val="single" w:sz="8" w:color="CFF0FC"/>
            </w:tcBorders>
            <w:shd w:val="clear" w:color="auto" w:fill="CFF0FC"/>
          </w:tcPr>
          <w:p>
            <w:pPr>
              <w:spacing w:after="0"/>
              <w:rPr>
                <w:sz w:val="17"/>
                <w:szCs w:val="17"/>
                <w:color w:val="auto"/>
              </w:rPr>
            </w:pP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120" w:type="dxa"/>
            <w:vAlign w:val="bottom"/>
            <w:tcBorders>
              <w:top w:val="single" w:sz="8" w:color="auto"/>
              <w:bottom w:val="single" w:sz="8" w:color="CFF0FC"/>
            </w:tcBorders>
            <w:shd w:val="clear" w:color="auto" w:fill="CFF0FC"/>
          </w:tcPr>
          <w:p>
            <w:pPr>
              <w:spacing w:after="0"/>
              <w:rPr>
                <w:sz w:val="17"/>
                <w:szCs w:val="17"/>
                <w:color w:val="auto"/>
              </w:rPr>
            </w:pP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102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66"/>
        </w:trPr>
        <w:tc>
          <w:tcPr>
            <w:tcW w:w="2860" w:type="dxa"/>
            <w:vAlign w:val="bottom"/>
            <w:gridSpan w:val="2"/>
          </w:tcPr>
          <w:p>
            <w:pPr>
              <w:spacing w:after="0"/>
              <w:rPr>
                <w:sz w:val="20"/>
                <w:szCs w:val="20"/>
                <w:color w:val="auto"/>
              </w:rPr>
            </w:pPr>
            <w:r>
              <w:rPr>
                <w:rFonts w:ascii="Arial" w:cs="Arial" w:eastAsia="Arial" w:hAnsi="Arial"/>
                <w:sz w:val="18"/>
                <w:szCs w:val="18"/>
                <w:color w:val="auto"/>
              </w:rPr>
              <w:t>Basic</w:t>
            </w: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501</w:t>
            </w: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1,254</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0.40</w:t>
            </w:r>
          </w:p>
        </w:tc>
        <w:tc>
          <w:tcPr>
            <w:tcW w:w="24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975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1,276</w:t>
            </w:r>
          </w:p>
        </w:tc>
        <w:tc>
          <w:tcPr>
            <w:tcW w:w="2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0.76</w:t>
            </w:r>
          </w:p>
        </w:tc>
        <w:tc>
          <w:tcPr>
            <w:tcW w:w="100" w:type="dxa"/>
            <w:vAlign w:val="bottom"/>
          </w:tcPr>
          <w:p>
            <w:pPr>
              <w:spacing w:after="0"/>
              <w:rPr>
                <w:sz w:val="23"/>
                <w:szCs w:val="23"/>
                <w:color w:val="auto"/>
              </w:rPr>
            </w:pPr>
          </w:p>
        </w:tc>
      </w:tr>
      <w:tr>
        <w:trPr>
          <w:trHeight w:val="206"/>
        </w:trPr>
        <w:tc>
          <w:tcPr>
            <w:tcW w:w="2860" w:type="dxa"/>
            <w:vAlign w:val="bottom"/>
            <w:tcBorders>
              <w:top w:val="single" w:sz="8" w:color="CFF0FC"/>
            </w:tcBorders>
            <w:gridSpan w:val="2"/>
            <w:shd w:val="clear" w:color="auto" w:fill="CFF0FC"/>
          </w:tcPr>
          <w:p>
            <w:pPr>
              <w:spacing w:after="0" w:line="205" w:lineRule="exact"/>
              <w:rPr>
                <w:sz w:val="20"/>
                <w:szCs w:val="20"/>
                <w:color w:val="auto"/>
              </w:rPr>
            </w:pPr>
            <w:r>
              <w:rPr>
                <w:rFonts w:ascii="Arial" w:cs="Arial" w:eastAsia="Arial" w:hAnsi="Arial"/>
                <w:sz w:val="18"/>
                <w:szCs w:val="18"/>
                <w:color w:val="auto"/>
              </w:rPr>
              <w:t>Assumed exercise of stock options</w:t>
            </w:r>
          </w:p>
        </w:tc>
        <w:tc>
          <w:tcPr>
            <w:tcW w:w="3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100" w:type="dxa"/>
            <w:vAlign w:val="bottom"/>
            <w:tcBorders>
              <w:top w:val="single" w:sz="8" w:color="CFF0FC"/>
            </w:tcBorders>
            <w:shd w:val="clear" w:color="auto" w:fill="CFF0FC"/>
          </w:tcPr>
          <w:p>
            <w:pPr>
              <w:jc w:val="right"/>
              <w:spacing w:after="0" w:line="205" w:lineRule="exact"/>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CFF0FC"/>
            </w:tcBorders>
            <w:shd w:val="clear" w:color="auto" w:fill="CFF0FC"/>
          </w:tcPr>
          <w:p>
            <w:pPr>
              <w:jc w:val="right"/>
              <w:spacing w:after="0" w:line="205" w:lineRule="exact"/>
              <w:rPr>
                <w:sz w:val="20"/>
                <w:szCs w:val="20"/>
                <w:color w:val="auto"/>
              </w:rPr>
            </w:pPr>
            <w:r>
              <w:rPr>
                <w:rFonts w:ascii="Arial" w:cs="Arial" w:eastAsia="Arial" w:hAnsi="Arial"/>
                <w:sz w:val="18"/>
                <w:szCs w:val="18"/>
                <w:b w:val="1"/>
                <w:bCs w:val="1"/>
                <w:color w:val="auto"/>
              </w:rPr>
              <w:t>1</w:t>
            </w:r>
          </w:p>
        </w:tc>
        <w:tc>
          <w:tcPr>
            <w:tcW w:w="2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40" w:type="dxa"/>
            <w:vAlign w:val="bottom"/>
            <w:tcBorders>
              <w:top w:val="single" w:sz="8" w:color="CFF0FC"/>
            </w:tcBorders>
            <w:shd w:val="clear" w:color="auto" w:fill="CFF0FC"/>
          </w:tcPr>
          <w:p>
            <w:pPr>
              <w:jc w:val="right"/>
              <w:spacing w:after="0" w:line="205" w:lineRule="exact"/>
              <w:rPr>
                <w:sz w:val="20"/>
                <w:szCs w:val="20"/>
                <w:color w:val="auto"/>
              </w:rPr>
            </w:pPr>
            <w:r>
              <w:rPr>
                <w:rFonts w:ascii="Arial" w:cs="Arial" w:eastAsia="Arial" w:hAnsi="Arial"/>
                <w:sz w:val="18"/>
                <w:szCs w:val="18"/>
                <w:color w:val="auto"/>
              </w:rPr>
              <w:t>-</w:t>
            </w:r>
          </w:p>
        </w:tc>
        <w:tc>
          <w:tcPr>
            <w:tcW w:w="1340" w:type="dxa"/>
            <w:vAlign w:val="bottom"/>
            <w:tcBorders>
              <w:top w:val="single" w:sz="8" w:color="CFF0FC"/>
            </w:tcBorders>
            <w:gridSpan w:val="2"/>
            <w:shd w:val="clear" w:color="auto" w:fill="CFF0FC"/>
          </w:tcPr>
          <w:p>
            <w:pPr>
              <w:jc w:val="right"/>
              <w:spacing w:after="0" w:line="205" w:lineRule="exact"/>
              <w:rPr>
                <w:sz w:val="20"/>
                <w:szCs w:val="20"/>
                <w:color w:val="auto"/>
              </w:rPr>
            </w:pPr>
            <w:r>
              <w:rPr>
                <w:rFonts w:ascii="Arial" w:cs="Arial" w:eastAsia="Arial" w:hAnsi="Arial"/>
                <w:sz w:val="18"/>
                <w:szCs w:val="18"/>
                <w:color w:val="auto"/>
              </w:rPr>
              <w:t>5</w:t>
            </w: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26"/>
        </w:trPr>
        <w:tc>
          <w:tcPr>
            <w:tcW w:w="28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Unvested restricted stock</w:t>
            </w:r>
          </w:p>
        </w:tc>
        <w:tc>
          <w:tcPr>
            <w:tcW w:w="3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19"/>
        </w:trPr>
        <w:tc>
          <w:tcPr>
            <w:tcW w:w="2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Diluted</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501</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1,259</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0.40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975</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1,285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0.76</w:t>
            </w:r>
          </w:p>
        </w:tc>
        <w:tc>
          <w:tcPr>
            <w:tcW w:w="100" w:type="dxa"/>
            <w:vAlign w:val="bottom"/>
            <w:shd w:val="clear" w:color="auto" w:fill="CFF0FC"/>
          </w:tcPr>
          <w:p>
            <w:pPr>
              <w:spacing w:after="0"/>
              <w:rPr>
                <w:sz w:val="19"/>
                <w:szCs w:val="19"/>
                <w:color w:val="auto"/>
              </w:rPr>
            </w:pPr>
          </w:p>
        </w:tc>
      </w:tr>
      <w:tr>
        <w:trPr>
          <w:trHeight w:val="20"/>
        </w:trPr>
        <w:tc>
          <w:tcPr>
            <w:tcW w:w="1040" w:type="dxa"/>
            <w:vAlign w:val="bottom"/>
            <w:tcBorders>
              <w:top w:val="single" w:sz="8" w:color="CFF0FC"/>
            </w:tcBorders>
          </w:tcPr>
          <w:p>
            <w:pPr>
              <w:spacing w:after="0" w:line="20" w:lineRule="exact"/>
              <w:rPr>
                <w:sz w:val="1"/>
                <w:szCs w:val="1"/>
                <w:color w:val="auto"/>
              </w:rPr>
            </w:pPr>
          </w:p>
        </w:tc>
        <w:tc>
          <w:tcPr>
            <w:tcW w:w="182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number of outstanding options to purchase shares of Schlumberger common stock which were not included in the computation of diluted earnings per share, because to do so would have had an antidilutive effect, was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36"/>
        </w:trPr>
        <w:tc>
          <w:tcPr>
            <w:tcW w:w="7820" w:type="dxa"/>
            <w:vAlign w:val="bottom"/>
            <w:tcBorders>
              <w:bottom w:val="single" w:sz="8" w:color="CFF0FC"/>
            </w:tcBorders>
          </w:tcPr>
          <w:p>
            <w:pPr>
              <w:spacing w:after="0"/>
              <w:rPr>
                <w:sz w:val="24"/>
                <w:szCs w:val="24"/>
                <w:color w:val="auto"/>
              </w:rPr>
            </w:pPr>
          </w:p>
        </w:tc>
        <w:tc>
          <w:tcPr>
            <w:tcW w:w="11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2016</w:t>
            </w:r>
          </w:p>
        </w:tc>
        <w:tc>
          <w:tcPr>
            <w:tcW w:w="420" w:type="dxa"/>
            <w:vAlign w:val="bottom"/>
            <w:tcBorders>
              <w:bottom w:val="single" w:sz="8" w:color="auto"/>
            </w:tcBorders>
          </w:tcPr>
          <w:p>
            <w:pPr>
              <w:spacing w:after="0"/>
              <w:rPr>
                <w:sz w:val="24"/>
                <w:szCs w:val="24"/>
                <w:color w:val="auto"/>
              </w:rPr>
            </w:pPr>
          </w:p>
        </w:tc>
        <w:tc>
          <w:tcPr>
            <w:tcW w:w="280" w:type="dxa"/>
            <w:vAlign w:val="bottom"/>
            <w:tcBorders>
              <w:bottom w:val="single" w:sz="8" w:color="CFF0FC"/>
            </w:tcBorders>
          </w:tcPr>
          <w:p>
            <w:pPr>
              <w:spacing w:after="0"/>
              <w:rPr>
                <w:sz w:val="24"/>
                <w:szCs w:val="24"/>
                <w:color w:val="auto"/>
              </w:rPr>
            </w:pPr>
          </w:p>
        </w:tc>
        <w:tc>
          <w:tcPr>
            <w:tcW w:w="1620" w:type="dxa"/>
            <w:vAlign w:val="bottom"/>
            <w:tcBorders>
              <w:bottom w:val="single" w:sz="8" w:color="auto"/>
            </w:tcBorders>
          </w:tcPr>
          <w:p>
            <w:pPr>
              <w:jc w:val="right"/>
              <w:ind w:right="557"/>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FF0FC"/>
            </w:tcBorders>
          </w:tcPr>
          <w:p>
            <w:pPr>
              <w:spacing w:after="0"/>
              <w:rPr>
                <w:sz w:val="24"/>
                <w:szCs w:val="24"/>
                <w:color w:val="auto"/>
              </w:rPr>
            </w:pPr>
          </w:p>
        </w:tc>
      </w:tr>
      <w:tr>
        <w:trPr>
          <w:trHeight w:val="220"/>
        </w:trPr>
        <w:tc>
          <w:tcPr>
            <w:tcW w:w="9000" w:type="dxa"/>
            <w:vAlign w:val="bottom"/>
            <w:gridSpan w:val="2"/>
            <w:shd w:val="clear" w:color="auto" w:fill="CFF0FC"/>
          </w:tcPr>
          <w:p>
            <w:pPr>
              <w:jc w:val="right"/>
              <w:ind w:right="7991"/>
              <w:spacing w:after="0"/>
              <w:rPr>
                <w:sz w:val="20"/>
                <w:szCs w:val="20"/>
                <w:color w:val="auto"/>
              </w:rPr>
            </w:pPr>
            <w:r>
              <w:rPr>
                <w:rFonts w:ascii="Arial" w:cs="Arial" w:eastAsia="Arial" w:hAnsi="Arial"/>
                <w:sz w:val="18"/>
                <w:szCs w:val="18"/>
                <w:color w:val="auto"/>
                <w:w w:val="89"/>
              </w:rPr>
              <w:t>First Quarter</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32</w:t>
            </w:r>
          </w:p>
        </w:tc>
        <w:tc>
          <w:tcPr>
            <w:tcW w:w="28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19"/>
                <w:szCs w:val="19"/>
                <w:color w:val="auto"/>
              </w:rPr>
            </w:pPr>
          </w:p>
        </w:tc>
      </w:tr>
    </w:tbl>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9" w:name="page10"/>
    <w:bookmarkEnd w:id="9"/>
    <w:p>
      <w:pPr>
        <w:ind w:left="280" w:hanging="274"/>
        <w:spacing w:after="0"/>
        <w:tabs>
          <w:tab w:leader="none" w:pos="2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Inventories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inventories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gridSpan w:val="3"/>
          </w:tcPr>
          <w:p>
            <w:pPr>
              <w:ind w:left="2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31"/>
        </w:trPr>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center"/>
              <w:ind w:right="171"/>
              <w:spacing w:after="0"/>
              <w:rPr>
                <w:sz w:val="20"/>
                <w:szCs w:val="20"/>
                <w:color w:val="auto"/>
              </w:rPr>
            </w:pPr>
            <w:r>
              <w:rPr>
                <w:rFonts w:ascii="Arial" w:cs="Arial" w:eastAsia="Arial" w:hAnsi="Arial"/>
                <w:sz w:val="18"/>
                <w:szCs w:val="18"/>
                <w:b w:val="1"/>
                <w:bCs w:val="1"/>
                <w:color w:val="auto"/>
                <w:w w:val="92"/>
              </w:rPr>
              <w:t>Mar. 31,</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gridSpan w:val="3"/>
          </w:tcPr>
          <w:p>
            <w:pPr>
              <w:jc w:val="center"/>
              <w:ind w:right="400"/>
              <w:spacing w:after="0"/>
              <w:rPr>
                <w:sz w:val="20"/>
                <w:szCs w:val="20"/>
                <w:color w:val="auto"/>
              </w:rPr>
            </w:pPr>
            <w:r>
              <w:rPr>
                <w:rFonts w:ascii="Arial" w:cs="Arial" w:eastAsia="Arial" w:hAnsi="Arial"/>
                <w:sz w:val="18"/>
                <w:szCs w:val="18"/>
                <w:color w:val="auto"/>
                <w:w w:val="89"/>
              </w:rPr>
              <w:t>Dec. 31,</w:t>
            </w:r>
          </w:p>
        </w:tc>
        <w:tc>
          <w:tcPr>
            <w:tcW w:w="0" w:type="dxa"/>
            <w:vAlign w:val="bottom"/>
          </w:tcPr>
          <w:p>
            <w:pPr>
              <w:spacing w:after="0"/>
              <w:rPr>
                <w:sz w:val="1"/>
                <w:szCs w:val="1"/>
                <w:color w:val="auto"/>
              </w:rPr>
            </w:pPr>
          </w:p>
        </w:tc>
      </w:tr>
      <w:tr>
        <w:trPr>
          <w:trHeight w:val="230"/>
        </w:trPr>
        <w:tc>
          <w:tcPr>
            <w:tcW w:w="280" w:type="dxa"/>
            <w:vAlign w:val="bottom"/>
            <w:tcBorders>
              <w:bottom w:val="single" w:sz="8" w:color="CFF0FC"/>
            </w:tcBorders>
          </w:tcPr>
          <w:p>
            <w:pPr>
              <w:spacing w:after="0"/>
              <w:rPr>
                <w:sz w:val="20"/>
                <w:szCs w:val="20"/>
                <w:color w:val="auto"/>
              </w:rPr>
            </w:pPr>
          </w:p>
        </w:tc>
        <w:tc>
          <w:tcPr>
            <w:tcW w:w="940" w:type="dxa"/>
            <w:vAlign w:val="bottom"/>
            <w:tcBorders>
              <w:bottom w:val="single" w:sz="8" w:color="CFF0FC"/>
            </w:tcBorders>
          </w:tcPr>
          <w:p>
            <w:pPr>
              <w:spacing w:after="0"/>
              <w:rPr>
                <w:sz w:val="20"/>
                <w:szCs w:val="20"/>
                <w:color w:val="auto"/>
              </w:rPr>
            </w:pPr>
          </w:p>
        </w:tc>
        <w:tc>
          <w:tcPr>
            <w:tcW w:w="660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91"/>
              <w:spacing w:after="0"/>
              <w:rPr>
                <w:sz w:val="20"/>
                <w:szCs w:val="20"/>
                <w:color w:val="auto"/>
              </w:rPr>
            </w:pPr>
            <w:r>
              <w:rPr>
                <w:rFonts w:ascii="Arial" w:cs="Arial" w:eastAsia="Arial" w:hAnsi="Arial"/>
                <w:sz w:val="18"/>
                <w:szCs w:val="18"/>
                <w:b w:val="1"/>
                <w:bCs w:val="1"/>
                <w:color w:val="auto"/>
                <w:w w:val="89"/>
              </w:rPr>
              <w:t>2016</w:t>
            </w:r>
          </w:p>
        </w:tc>
        <w:tc>
          <w:tcPr>
            <w:tcW w:w="28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94"/>
              <w:spacing w:after="0"/>
              <w:rPr>
                <w:sz w:val="20"/>
                <w:szCs w:val="20"/>
                <w:color w:val="auto"/>
              </w:rPr>
            </w:pPr>
            <w:r>
              <w:rPr>
                <w:rFonts w:ascii="Arial" w:cs="Arial" w:eastAsia="Arial" w:hAnsi="Arial"/>
                <w:sz w:val="18"/>
                <w:szCs w:val="18"/>
                <w:color w:val="auto"/>
                <w:w w:val="89"/>
              </w:rPr>
              <w:t>2015</w:t>
            </w:r>
          </w:p>
        </w:tc>
        <w:tc>
          <w:tcPr>
            <w:tcW w:w="10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8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Raw materials &amp; field materials</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2,355</w:t>
            </w:r>
          </w:p>
        </w:tc>
        <w:tc>
          <w:tcPr>
            <w:tcW w:w="58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2,300</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gridSpan w:val="3"/>
          </w:tcPr>
          <w:p>
            <w:pPr>
              <w:spacing w:after="0"/>
              <w:rPr>
                <w:sz w:val="20"/>
                <w:szCs w:val="20"/>
                <w:color w:val="auto"/>
              </w:rPr>
            </w:pPr>
            <w:r>
              <w:rPr>
                <w:rFonts w:ascii="Arial" w:cs="Arial" w:eastAsia="Arial" w:hAnsi="Arial"/>
                <w:sz w:val="18"/>
                <w:szCs w:val="18"/>
                <w:color w:val="auto"/>
              </w:rPr>
              <w:t>Work in progress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155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1,102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1,278</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3,612</w:t>
            </w:r>
          </w:p>
        </w:tc>
        <w:tc>
          <w:tcPr>
            <w:tcW w:w="5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3,756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5.  Fixed Assets</w:t>
            </w: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782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7820" w:type="dxa"/>
            <w:vAlign w:val="bottom"/>
            <w:gridSpan w:val="3"/>
          </w:tcPr>
          <w:p>
            <w:pPr>
              <w:spacing w:after="0"/>
              <w:rPr>
                <w:sz w:val="20"/>
                <w:szCs w:val="20"/>
                <w:color w:val="auto"/>
              </w:rPr>
            </w:pPr>
            <w:r>
              <w:rPr>
                <w:rFonts w:ascii="Arial" w:cs="Arial" w:eastAsia="Arial" w:hAnsi="Arial"/>
                <w:sz w:val="18"/>
                <w:szCs w:val="18"/>
                <w:color w:val="auto"/>
              </w:rPr>
              <w:t>A summary of fixed assets follows:</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gridSpan w:val="3"/>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31"/>
        </w:trPr>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center"/>
              <w:ind w:right="211"/>
              <w:spacing w:after="0"/>
              <w:rPr>
                <w:sz w:val="20"/>
                <w:szCs w:val="20"/>
                <w:color w:val="auto"/>
              </w:rPr>
            </w:pPr>
            <w:r>
              <w:rPr>
                <w:rFonts w:ascii="Arial" w:cs="Arial" w:eastAsia="Arial" w:hAnsi="Arial"/>
                <w:sz w:val="18"/>
                <w:szCs w:val="18"/>
                <w:b w:val="1"/>
                <w:bCs w:val="1"/>
                <w:color w:val="auto"/>
                <w:w w:val="92"/>
              </w:rPr>
              <w:t>Mar. 31,</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gridSpan w:val="3"/>
          </w:tcPr>
          <w:p>
            <w:pPr>
              <w:jc w:val="center"/>
              <w:ind w:right="440"/>
              <w:spacing w:after="0"/>
              <w:rPr>
                <w:sz w:val="20"/>
                <w:szCs w:val="20"/>
                <w:color w:val="auto"/>
              </w:rPr>
            </w:pPr>
            <w:r>
              <w:rPr>
                <w:rFonts w:ascii="Arial" w:cs="Arial" w:eastAsia="Arial" w:hAnsi="Arial"/>
                <w:sz w:val="18"/>
                <w:szCs w:val="18"/>
                <w:color w:val="auto"/>
                <w:w w:val="89"/>
              </w:rPr>
              <w:t>Dec. 31,</w:t>
            </w:r>
          </w:p>
        </w:tc>
        <w:tc>
          <w:tcPr>
            <w:tcW w:w="0" w:type="dxa"/>
            <w:vAlign w:val="bottom"/>
          </w:tcPr>
          <w:p>
            <w:pPr>
              <w:spacing w:after="0"/>
              <w:rPr>
                <w:sz w:val="1"/>
                <w:szCs w:val="1"/>
                <w:color w:val="auto"/>
              </w:rPr>
            </w:pPr>
          </w:p>
        </w:tc>
      </w:tr>
      <w:tr>
        <w:trPr>
          <w:trHeight w:val="230"/>
        </w:trPr>
        <w:tc>
          <w:tcPr>
            <w:tcW w:w="280" w:type="dxa"/>
            <w:vAlign w:val="bottom"/>
            <w:tcBorders>
              <w:bottom w:val="single" w:sz="8" w:color="CFF0FC"/>
            </w:tcBorders>
          </w:tcPr>
          <w:p>
            <w:pPr>
              <w:spacing w:after="0"/>
              <w:rPr>
                <w:sz w:val="20"/>
                <w:szCs w:val="20"/>
                <w:color w:val="auto"/>
              </w:rPr>
            </w:pPr>
          </w:p>
        </w:tc>
        <w:tc>
          <w:tcPr>
            <w:tcW w:w="940" w:type="dxa"/>
            <w:vAlign w:val="bottom"/>
            <w:tcBorders>
              <w:bottom w:val="single" w:sz="8" w:color="CFF0FC"/>
            </w:tcBorders>
          </w:tcPr>
          <w:p>
            <w:pPr>
              <w:spacing w:after="0"/>
              <w:rPr>
                <w:sz w:val="20"/>
                <w:szCs w:val="20"/>
                <w:color w:val="auto"/>
              </w:rPr>
            </w:pPr>
          </w:p>
        </w:tc>
        <w:tc>
          <w:tcPr>
            <w:tcW w:w="6600" w:type="dxa"/>
            <w:vAlign w:val="bottom"/>
            <w:tcBorders>
              <w:bottom w:val="single" w:sz="8" w:color="CFF0FC"/>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211"/>
              <w:spacing w:after="0"/>
              <w:rPr>
                <w:sz w:val="20"/>
                <w:szCs w:val="20"/>
                <w:color w:val="auto"/>
              </w:rPr>
            </w:pPr>
            <w:r>
              <w:rPr>
                <w:rFonts w:ascii="Arial" w:cs="Arial" w:eastAsia="Arial" w:hAnsi="Arial"/>
                <w:sz w:val="18"/>
                <w:szCs w:val="18"/>
                <w:b w:val="1"/>
                <w:bCs w:val="1"/>
                <w:color w:val="auto"/>
                <w:w w:val="84"/>
              </w:rPr>
              <w:t>2016</w:t>
            </w:r>
          </w:p>
        </w:tc>
        <w:tc>
          <w:tcPr>
            <w:tcW w:w="280" w:type="dxa"/>
            <w:vAlign w:val="bottom"/>
            <w:tcBorders>
              <w:bottom w:val="single" w:sz="8" w:color="CFF0FC"/>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234"/>
              <w:spacing w:after="0"/>
              <w:rPr>
                <w:sz w:val="20"/>
                <w:szCs w:val="20"/>
                <w:color w:val="auto"/>
              </w:rPr>
            </w:pPr>
            <w:r>
              <w:rPr>
                <w:rFonts w:ascii="Arial" w:cs="Arial" w:eastAsia="Arial" w:hAnsi="Arial"/>
                <w:sz w:val="18"/>
                <w:szCs w:val="18"/>
                <w:color w:val="auto"/>
                <w:w w:val="89"/>
              </w:rPr>
              <w:t>2015</w:t>
            </w:r>
          </w:p>
        </w:tc>
        <w:tc>
          <w:tcPr>
            <w:tcW w:w="10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8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Property, plant &amp; equipment</w:t>
            </w:r>
          </w:p>
        </w:tc>
        <w:tc>
          <w:tcPr>
            <w:tcW w:w="28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37,275</w:t>
            </w:r>
          </w:p>
        </w:tc>
        <w:tc>
          <w:tcPr>
            <w:tcW w:w="58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37,120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Less: Accumulated depreciation</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24,016</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23,705</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60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13,259</w:t>
            </w:r>
          </w:p>
        </w:tc>
        <w:tc>
          <w:tcPr>
            <w:tcW w:w="58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13,415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66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relating to fixed assets was $682 million and $827 million in the first quarter of 2016 and 2015, respectively.</w:t>
      </w:r>
    </w:p>
    <w:p>
      <w:pPr>
        <w:spacing w:after="0" w:line="200" w:lineRule="exact"/>
        <w:rPr>
          <w:sz w:val="20"/>
          <w:szCs w:val="20"/>
          <w:color w:val="auto"/>
        </w:rPr>
      </w:pPr>
    </w:p>
    <w:p>
      <w:pPr>
        <w:spacing w:after="0" w:line="371" w:lineRule="exact"/>
        <w:rPr>
          <w:sz w:val="20"/>
          <w:szCs w:val="20"/>
          <w:color w:val="auto"/>
        </w:rPr>
      </w:pPr>
    </w:p>
    <w:p>
      <w:pPr>
        <w:ind w:left="280" w:hanging="274"/>
        <w:spacing w:after="0"/>
        <w:tabs>
          <w:tab w:leader="none" w:pos="2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Multiclient Seismic Data</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carrying amount of multiclient seismic data for the three months ended March 31, 2016 was as follows:</w:t>
      </w:r>
    </w:p>
    <w:p>
      <w:pPr>
        <w:spacing w:after="0" w:line="225" w:lineRule="exact"/>
        <w:rPr>
          <w:sz w:val="20"/>
          <w:szCs w:val="20"/>
          <w:color w:val="auto"/>
        </w:rPr>
      </w:pPr>
    </w:p>
    <w:p>
      <w:pPr>
        <w:ind w:left="10200"/>
        <w:spacing w:after="0"/>
        <w:rPr>
          <w:sz w:val="20"/>
          <w:szCs w:val="20"/>
          <w:color w:val="auto"/>
        </w:rPr>
      </w:pPr>
      <w:r>
        <w:rPr>
          <w:rFonts w:ascii="Arial" w:cs="Arial" w:eastAsia="Arial" w:hAnsi="Arial"/>
          <w:sz w:val="14"/>
          <w:szCs w:val="14"/>
          <w:i w:val="1"/>
          <w:i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146050</wp:posOffset>
            </wp:positionV>
            <wp:extent cx="7248525" cy="143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8525" cy="14351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Balance at December 31, 2015</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Capitalized in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8525" cy="143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8525" cy="1435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Charged to expense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Balance at March 31, 2016</w:t>
      </w:r>
    </w:p>
    <w:p>
      <w:pPr>
        <w:spacing w:after="0" w:line="372" w:lineRule="exact"/>
        <w:rPr>
          <w:sz w:val="20"/>
          <w:szCs w:val="20"/>
          <w:color w:val="auto"/>
        </w:rPr>
      </w:pPr>
    </w:p>
    <w:p>
      <w:pPr>
        <w:ind w:left="280" w:hanging="274"/>
        <w:spacing w:after="0"/>
        <w:tabs>
          <w:tab w:leader="none" w:pos="2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Goodwill</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The changes in the carrying amount of goodwill by reporting unit for the three months ended March 31, 2016 were as follows:</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left="967" w:hanging="967"/>
        <w:spacing w:after="0"/>
        <w:tabs>
          <w:tab w:leader="none" w:pos="967" w:val="left"/>
        </w:tabs>
        <w:numPr>
          <w:ilvl w:val="0"/>
          <w:numId w:val="9"/>
        </w:numPr>
        <w:rPr>
          <w:rFonts w:ascii="Arial" w:cs="Arial" w:eastAsia="Arial" w:hAnsi="Arial"/>
          <w:sz w:val="18"/>
          <w:szCs w:val="18"/>
          <w:color w:val="auto"/>
        </w:rPr>
      </w:pPr>
      <w:r>
        <w:rPr>
          <w:rFonts w:ascii="Arial" w:cs="Arial" w:eastAsia="Arial" w:hAnsi="Arial"/>
          <w:sz w:val="18"/>
          <w:szCs w:val="18"/>
          <w:color w:val="auto"/>
        </w:rPr>
        <w:t>1,026</w:t>
      </w:r>
    </w:p>
    <w:p>
      <w:pPr>
        <w:spacing w:after="0" w:line="18" w:lineRule="exact"/>
        <w:rPr>
          <w:rFonts w:ascii="Arial" w:cs="Arial" w:eastAsia="Arial" w:hAnsi="Arial"/>
          <w:sz w:val="18"/>
          <w:szCs w:val="18"/>
          <w:color w:val="auto"/>
        </w:rPr>
      </w:pPr>
    </w:p>
    <w:p>
      <w:pPr>
        <w:ind w:left="1087"/>
        <w:spacing w:after="0"/>
        <w:rPr>
          <w:rFonts w:ascii="Arial" w:cs="Arial" w:eastAsia="Arial" w:hAnsi="Arial"/>
          <w:sz w:val="18"/>
          <w:szCs w:val="18"/>
          <w:color w:val="auto"/>
        </w:rPr>
      </w:pPr>
      <w:r>
        <w:rPr>
          <w:rFonts w:ascii="Arial" w:cs="Arial" w:eastAsia="Arial" w:hAnsi="Arial"/>
          <w:sz w:val="18"/>
          <w:szCs w:val="18"/>
          <w:color w:val="auto"/>
        </w:rPr>
        <w:t>167</w:t>
      </w:r>
    </w:p>
    <w:p>
      <w:pPr>
        <w:spacing w:after="0" w:line="18" w:lineRule="exact"/>
        <w:rPr>
          <w:rFonts w:ascii="Arial" w:cs="Arial" w:eastAsia="Arial" w:hAnsi="Arial"/>
          <w:sz w:val="18"/>
          <w:szCs w:val="18"/>
          <w:color w:val="auto"/>
        </w:rPr>
      </w:pPr>
    </w:p>
    <w:p>
      <w:pPr>
        <w:ind w:left="1127"/>
        <w:spacing w:after="0"/>
        <w:rPr>
          <w:rFonts w:ascii="Arial" w:cs="Arial" w:eastAsia="Arial" w:hAnsi="Arial"/>
          <w:sz w:val="18"/>
          <w:szCs w:val="18"/>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8693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35" w:lineRule="exact"/>
        <w:rPr>
          <w:sz w:val="20"/>
          <w:szCs w:val="20"/>
          <w:color w:val="auto"/>
        </w:rPr>
      </w:pPr>
    </w:p>
    <w:p>
      <w:pPr>
        <w:ind w:left="967" w:hanging="967"/>
        <w:spacing w:after="0"/>
        <w:tabs>
          <w:tab w:leader="none" w:pos="967" w:val="left"/>
        </w:tabs>
        <w:numPr>
          <w:ilvl w:val="0"/>
          <w:numId w:val="10"/>
        </w:numPr>
        <w:rPr>
          <w:rFonts w:ascii="Arial" w:cs="Arial" w:eastAsia="Arial" w:hAnsi="Arial"/>
          <w:sz w:val="18"/>
          <w:szCs w:val="18"/>
          <w:color w:val="auto"/>
        </w:rPr>
      </w:pPr>
      <w:r>
        <w:rPr>
          <w:rFonts w:ascii="Arial" w:cs="Arial" w:eastAsia="Arial" w:hAnsi="Arial"/>
          <w:sz w:val="18"/>
          <w:szCs w:val="18"/>
          <w:color w:val="auto"/>
        </w:rPr>
        <w:t>1,108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8693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6931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28575</wp:posOffset>
            </wp:positionV>
            <wp:extent cx="8693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87"/>
        <w:spacing w:after="0"/>
        <w:rPr>
          <w:sz w:val="20"/>
          <w:szCs w:val="20"/>
          <w:color w:val="auto"/>
        </w:rPr>
      </w:pPr>
      <w:r>
        <w:rPr>
          <w:rFonts w:ascii="Arial" w:cs="Arial" w:eastAsia="Arial" w:hAnsi="Arial"/>
          <w:sz w:val="13"/>
          <w:szCs w:val="13"/>
          <w:i w:val="1"/>
          <w:iCs w:val="1"/>
          <w:color w:val="auto"/>
        </w:rPr>
        <w:t>(Stated in millions)</w:t>
      </w:r>
    </w:p>
    <w:p>
      <w:pPr>
        <w:spacing w:after="0" w:line="200" w:lineRule="exact"/>
        <w:rPr>
          <w:sz w:val="20"/>
          <w:szCs w:val="20"/>
          <w:color w:val="auto"/>
        </w:rPr>
      </w:pPr>
    </w:p>
    <w:p>
      <w:pPr>
        <w:sectPr>
          <w:pgSz w:w="11900" w:h="16838" w:orient="portrait"/>
          <w:cols w:equalWidth="0" w:num="2">
            <w:col w:w="9213" w:space="720"/>
            <w:col w:w="1507"/>
          </w:cols>
          <w:pgMar w:left="240" w:top="121" w:right="219" w:bottom="1440" w:gutter="0" w:footer="0" w:header="0"/>
          <w:type w:val="continuous"/>
        </w:sectPr>
      </w:pP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ind w:right="191"/>
              <w:spacing w:after="0"/>
              <w:rPr>
                <w:sz w:val="20"/>
                <w:szCs w:val="20"/>
                <w:color w:val="auto"/>
              </w:rPr>
            </w:pPr>
            <w:r>
              <w:rPr>
                <w:rFonts w:ascii="Arial" w:cs="Arial" w:eastAsia="Arial" w:hAnsi="Arial"/>
                <w:sz w:val="18"/>
                <w:szCs w:val="18"/>
                <w:color w:val="auto"/>
                <w:w w:val="96"/>
              </w:rPr>
              <w:t>Reservoir</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100" w:type="dxa"/>
            <w:vAlign w:val="bottom"/>
            <w:tcBorders>
              <w:bottom w:val="single" w:sz="8" w:color="CFF0FC"/>
            </w:tcBorders>
          </w:tcPr>
          <w:p>
            <w:pPr>
              <w:spacing w:after="0"/>
              <w:rPr>
                <w:sz w:val="19"/>
                <w:szCs w:val="19"/>
                <w:color w:val="auto"/>
              </w:rPr>
            </w:pPr>
          </w:p>
        </w:tc>
        <w:tc>
          <w:tcPr>
            <w:tcW w:w="172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0"/>
              </w:rPr>
              <w:t>Characterization</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Drilling</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5"/>
              </w:rPr>
              <w:t>Production</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2015</w:t>
            </w:r>
          </w:p>
        </w:tc>
        <w:tc>
          <w:tcPr>
            <w:tcW w:w="1900" w:type="dxa"/>
            <w:vAlign w:val="bottom"/>
            <w:gridSpan w:val="2"/>
            <w:shd w:val="clear" w:color="auto" w:fill="CFF0FC"/>
          </w:tcPr>
          <w:p>
            <w:pPr>
              <w:ind w:left="17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3,798</w:t>
            </w: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8,584</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3,223</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15,605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00" w:type="dxa"/>
            <w:vAlign w:val="bottom"/>
          </w:tcPr>
          <w:p>
            <w:pPr>
              <w:spacing w:after="0"/>
              <w:rPr>
                <w:sz w:val="20"/>
                <w:szCs w:val="20"/>
                <w:color w:val="auto"/>
              </w:rPr>
            </w:pPr>
            <w:r>
              <w:rPr>
                <w:rFonts w:ascii="Arial" w:cs="Arial" w:eastAsia="Arial" w:hAnsi="Arial"/>
                <w:sz w:val="18"/>
                <w:szCs w:val="18"/>
                <w:color w:val="auto"/>
              </w:rPr>
              <w:t>Acquisitions</w:t>
            </w:r>
          </w:p>
        </w:tc>
        <w:tc>
          <w:tcPr>
            <w:tcW w:w="1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Impact of changes in exchange rates</w:t>
            </w:r>
          </w:p>
        </w:tc>
        <w:tc>
          <w:tcPr>
            <w:tcW w:w="17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100" w:type="dxa"/>
            <w:vAlign w:val="bottom"/>
          </w:tcPr>
          <w:p>
            <w:pPr>
              <w:spacing w:after="0"/>
              <w:rPr>
                <w:sz w:val="20"/>
                <w:szCs w:val="20"/>
                <w:color w:val="auto"/>
              </w:rPr>
            </w:pPr>
            <w:r>
              <w:rPr>
                <w:rFonts w:ascii="Arial" w:cs="Arial" w:eastAsia="Arial" w:hAnsi="Arial"/>
                <w:sz w:val="18"/>
                <w:szCs w:val="18"/>
                <w:color w:val="auto"/>
              </w:rPr>
              <w:t>Balance at March 31, 2016</w:t>
            </w:r>
          </w:p>
        </w:tc>
        <w:tc>
          <w:tcPr>
            <w:tcW w:w="1900" w:type="dxa"/>
            <w:vAlign w:val="bottom"/>
            <w:gridSpan w:val="2"/>
          </w:tcPr>
          <w:p>
            <w:pPr>
              <w:ind w:left="17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3,807</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8,588</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3,254</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15,649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72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410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410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type w:val="continuous"/>
        </w:sectPr>
      </w:pPr>
    </w:p>
    <w:bookmarkStart w:id="10" w:name="page11"/>
    <w:bookmarkEnd w:id="10"/>
    <w:p>
      <w:pPr>
        <w:ind w:left="280" w:hanging="274"/>
        <w:spacing w:after="0"/>
        <w:tabs>
          <w:tab w:leader="none" w:pos="2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Intangible Assets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gross book value, accumulated amortization and net book value of intangible assets were as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3"/>
          </w:tcPr>
          <w:p>
            <w:pPr>
              <w:ind w:left="60"/>
              <w:spacing w:after="0"/>
              <w:rPr>
                <w:sz w:val="20"/>
                <w:szCs w:val="20"/>
                <w:color w:val="auto"/>
              </w:rPr>
            </w:pPr>
            <w:r>
              <w:rPr>
                <w:rFonts w:ascii="Arial" w:cs="Arial" w:eastAsia="Arial" w:hAnsi="Arial"/>
                <w:sz w:val="14"/>
                <w:szCs w:val="14"/>
                <w:i w:val="1"/>
                <w:iCs w:val="1"/>
                <w:color w:val="auto"/>
              </w:rPr>
              <w:t>(Stated in millions)</w:t>
            </w:r>
          </w:p>
        </w:tc>
      </w:tr>
      <w:tr>
        <w:trPr>
          <w:trHeight w:val="434"/>
        </w:trPr>
        <w:tc>
          <w:tcPr>
            <w:tcW w:w="3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6"/>
                <w:szCs w:val="16"/>
                <w:b w:val="1"/>
                <w:bCs w:val="1"/>
                <w:color w:val="auto"/>
                <w:w w:val="92"/>
              </w:rPr>
              <w:t>Mar. 31, 2016</w:t>
            </w: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6"/>
                <w:szCs w:val="16"/>
                <w:color w:val="auto"/>
                <w:w w:val="90"/>
              </w:rPr>
              <w:t>Dec. 31, 2015</w:t>
            </w: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4"/>
        </w:trPr>
        <w:tc>
          <w:tcPr>
            <w:tcW w:w="3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ind w:left="220"/>
              <w:spacing w:after="0"/>
              <w:rPr>
                <w:sz w:val="20"/>
                <w:szCs w:val="20"/>
                <w:color w:val="auto"/>
              </w:rPr>
            </w:pPr>
            <w:r>
              <w:rPr>
                <w:rFonts w:ascii="Arial" w:cs="Arial" w:eastAsia="Arial" w:hAnsi="Arial"/>
                <w:sz w:val="16"/>
                <w:szCs w:val="16"/>
                <w:b w:val="1"/>
                <w:bCs w:val="1"/>
                <w:color w:val="auto"/>
              </w:rPr>
              <w:t>Gross</w:t>
            </w:r>
          </w:p>
        </w:tc>
        <w:tc>
          <w:tcPr>
            <w:tcW w:w="80" w:type="dxa"/>
            <w:vAlign w:val="bottom"/>
          </w:tcPr>
          <w:p>
            <w:pPr>
              <w:spacing w:after="0"/>
              <w:rPr>
                <w:sz w:val="17"/>
                <w:szCs w:val="17"/>
                <w:color w:val="auto"/>
              </w:rPr>
            </w:pPr>
          </w:p>
        </w:tc>
        <w:tc>
          <w:tcPr>
            <w:tcW w:w="1040" w:type="dxa"/>
            <w:vAlign w:val="bottom"/>
          </w:tcPr>
          <w:p>
            <w:pPr>
              <w:jc w:val="right"/>
              <w:ind w:right="35"/>
              <w:spacing w:after="0"/>
              <w:rPr>
                <w:sz w:val="20"/>
                <w:szCs w:val="20"/>
                <w:color w:val="auto"/>
              </w:rPr>
            </w:pPr>
            <w:r>
              <w:rPr>
                <w:rFonts w:ascii="Arial" w:cs="Arial" w:eastAsia="Arial" w:hAnsi="Arial"/>
                <w:sz w:val="16"/>
                <w:szCs w:val="16"/>
                <w:b w:val="1"/>
                <w:bCs w:val="1"/>
                <w:color w:val="auto"/>
                <w:w w:val="89"/>
              </w:rPr>
              <w:t>Accumulated</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174"/>
              <w:spacing w:after="0"/>
              <w:rPr>
                <w:sz w:val="20"/>
                <w:szCs w:val="20"/>
                <w:color w:val="auto"/>
              </w:rPr>
            </w:pPr>
            <w:r>
              <w:rPr>
                <w:rFonts w:ascii="Arial" w:cs="Arial" w:eastAsia="Arial" w:hAnsi="Arial"/>
                <w:sz w:val="16"/>
                <w:szCs w:val="16"/>
                <w:b w:val="1"/>
                <w:bCs w:val="1"/>
                <w:color w:val="auto"/>
                <w:w w:val="96"/>
              </w:rPr>
              <w:t>Net Book</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ind w:left="240"/>
              <w:spacing w:after="0"/>
              <w:rPr>
                <w:sz w:val="20"/>
                <w:szCs w:val="20"/>
                <w:color w:val="auto"/>
              </w:rPr>
            </w:pPr>
            <w:r>
              <w:rPr>
                <w:rFonts w:ascii="Arial" w:cs="Arial" w:eastAsia="Arial" w:hAnsi="Arial"/>
                <w:sz w:val="16"/>
                <w:szCs w:val="16"/>
                <w:color w:val="auto"/>
              </w:rPr>
              <w:t>Gross</w:t>
            </w:r>
          </w:p>
        </w:tc>
        <w:tc>
          <w:tcPr>
            <w:tcW w:w="100" w:type="dxa"/>
            <w:vAlign w:val="bottom"/>
          </w:tcPr>
          <w:p>
            <w:pPr>
              <w:spacing w:after="0"/>
              <w:rPr>
                <w:sz w:val="17"/>
                <w:szCs w:val="17"/>
                <w:color w:val="auto"/>
              </w:rPr>
            </w:pPr>
          </w:p>
        </w:tc>
        <w:tc>
          <w:tcPr>
            <w:tcW w:w="1040" w:type="dxa"/>
            <w:vAlign w:val="bottom"/>
          </w:tcPr>
          <w:p>
            <w:pPr>
              <w:jc w:val="right"/>
              <w:ind w:right="75"/>
              <w:spacing w:after="0"/>
              <w:rPr>
                <w:sz w:val="20"/>
                <w:szCs w:val="20"/>
                <w:color w:val="auto"/>
              </w:rPr>
            </w:pPr>
            <w:r>
              <w:rPr>
                <w:rFonts w:ascii="Arial" w:cs="Arial" w:eastAsia="Arial" w:hAnsi="Arial"/>
                <w:sz w:val="16"/>
                <w:szCs w:val="16"/>
                <w:color w:val="auto"/>
                <w:w w:val="92"/>
              </w:rPr>
              <w:t>Accumulated</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ind w:left="80"/>
              <w:spacing w:after="0"/>
              <w:rPr>
                <w:sz w:val="20"/>
                <w:szCs w:val="20"/>
                <w:color w:val="auto"/>
              </w:rPr>
            </w:pPr>
            <w:r>
              <w:rPr>
                <w:rFonts w:ascii="Arial" w:cs="Arial" w:eastAsia="Arial" w:hAnsi="Arial"/>
                <w:sz w:val="16"/>
                <w:szCs w:val="16"/>
                <w:color w:val="auto"/>
              </w:rPr>
              <w:t>Net Book</w:t>
            </w:r>
          </w:p>
        </w:tc>
      </w:tr>
      <w:tr>
        <w:trPr>
          <w:trHeight w:val="241"/>
        </w:trPr>
        <w:tc>
          <w:tcPr>
            <w:tcW w:w="328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4"/>
              <w:spacing w:after="0"/>
              <w:rPr>
                <w:sz w:val="20"/>
                <w:szCs w:val="20"/>
                <w:color w:val="auto"/>
              </w:rPr>
            </w:pPr>
            <w:r>
              <w:rPr>
                <w:rFonts w:ascii="Arial" w:cs="Arial" w:eastAsia="Arial" w:hAnsi="Arial"/>
                <w:sz w:val="16"/>
                <w:szCs w:val="16"/>
                <w:b w:val="1"/>
                <w:bCs w:val="1"/>
                <w:color w:val="auto"/>
                <w:w w:val="91"/>
              </w:rPr>
              <w:t>Book Value</w:t>
            </w:r>
          </w:p>
        </w:tc>
        <w:tc>
          <w:tcPr>
            <w:tcW w:w="24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6"/>
                <w:szCs w:val="16"/>
                <w:b w:val="1"/>
                <w:bCs w:val="1"/>
                <w:color w:val="auto"/>
                <w:w w:val="94"/>
              </w:rPr>
              <w:t>Amortization</w:t>
            </w:r>
          </w:p>
        </w:tc>
        <w:tc>
          <w:tcPr>
            <w:tcW w:w="2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4"/>
              <w:spacing w:after="0"/>
              <w:rPr>
                <w:sz w:val="20"/>
                <w:szCs w:val="20"/>
                <w:color w:val="auto"/>
              </w:rPr>
            </w:pPr>
            <w:r>
              <w:rPr>
                <w:rFonts w:ascii="Arial" w:cs="Arial" w:eastAsia="Arial" w:hAnsi="Arial"/>
                <w:sz w:val="16"/>
                <w:szCs w:val="16"/>
                <w:b w:val="1"/>
                <w:bCs w:val="1"/>
                <w:color w:val="auto"/>
              </w:rPr>
              <w:t>Value</w:t>
            </w:r>
          </w:p>
        </w:tc>
        <w:tc>
          <w:tcPr>
            <w:tcW w:w="24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4"/>
              <w:spacing w:after="0"/>
              <w:rPr>
                <w:sz w:val="20"/>
                <w:szCs w:val="20"/>
                <w:color w:val="auto"/>
              </w:rPr>
            </w:pPr>
            <w:r>
              <w:rPr>
                <w:rFonts w:ascii="Arial" w:cs="Arial" w:eastAsia="Arial" w:hAnsi="Arial"/>
                <w:sz w:val="16"/>
                <w:szCs w:val="16"/>
                <w:color w:val="auto"/>
                <w:w w:val="95"/>
              </w:rPr>
              <w:t>Book Value</w:t>
            </w:r>
          </w:p>
        </w:tc>
        <w:tc>
          <w:tcPr>
            <w:tcW w:w="24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75"/>
              <w:spacing w:after="0"/>
              <w:rPr>
                <w:sz w:val="20"/>
                <w:szCs w:val="20"/>
                <w:color w:val="auto"/>
              </w:rPr>
            </w:pPr>
            <w:r>
              <w:rPr>
                <w:rFonts w:ascii="Arial" w:cs="Arial" w:eastAsia="Arial" w:hAnsi="Arial"/>
                <w:sz w:val="16"/>
                <w:szCs w:val="16"/>
                <w:color w:val="auto"/>
                <w:w w:val="96"/>
              </w:rPr>
              <w:t>Amortization</w:t>
            </w:r>
          </w:p>
        </w:tc>
        <w:tc>
          <w:tcPr>
            <w:tcW w:w="2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6"/>
                <w:szCs w:val="16"/>
                <w:color w:val="auto"/>
              </w:rPr>
              <w:t>Value</w:t>
            </w:r>
          </w:p>
        </w:tc>
        <w:tc>
          <w:tcPr>
            <w:tcW w:w="100" w:type="dxa"/>
            <w:vAlign w:val="bottom"/>
            <w:tcBorders>
              <w:bottom w:val="single" w:sz="8" w:color="CFF0FC"/>
            </w:tcBorders>
          </w:tcPr>
          <w:p>
            <w:pPr>
              <w:spacing w:after="0"/>
              <w:rPr>
                <w:sz w:val="20"/>
                <w:szCs w:val="20"/>
                <w:color w:val="auto"/>
              </w:rPr>
            </w:pPr>
          </w:p>
        </w:tc>
      </w:tr>
      <w:tr>
        <w:trPr>
          <w:trHeight w:val="222"/>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2,503</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686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1,817</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w:t>
            </w:r>
          </w:p>
        </w:tc>
        <w:tc>
          <w:tcPr>
            <w:tcW w:w="420" w:type="dxa"/>
            <w:vAlign w:val="bottom"/>
            <w:gridSpan w:val="2"/>
            <w:shd w:val="clear" w:color="auto" w:fill="CFF0FC"/>
          </w:tcPr>
          <w:p>
            <w:pPr>
              <w:jc w:val="right"/>
              <w:ind w:right="29"/>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1,844</w:t>
            </w:r>
          </w:p>
        </w:tc>
        <w:tc>
          <w:tcPr>
            <w:tcW w:w="100" w:type="dxa"/>
            <w:vAlign w:val="bottom"/>
            <w:shd w:val="clear" w:color="auto" w:fill="CFF0FC"/>
          </w:tcPr>
          <w:p>
            <w:pPr>
              <w:spacing w:after="0"/>
              <w:rPr>
                <w:sz w:val="19"/>
                <w:szCs w:val="19"/>
                <w:color w:val="auto"/>
              </w:rPr>
            </w:pPr>
          </w:p>
        </w:tc>
      </w:tr>
      <w:tr>
        <w:trPr>
          <w:trHeight w:val="226"/>
        </w:trPr>
        <w:tc>
          <w:tcPr>
            <w:tcW w:w="3280" w:type="dxa"/>
            <w:vAlign w:val="bottom"/>
          </w:tcPr>
          <w:p>
            <w:pPr>
              <w:spacing w:after="0"/>
              <w:rPr>
                <w:sz w:val="20"/>
                <w:szCs w:val="20"/>
                <w:color w:val="auto"/>
              </w:rPr>
            </w:pPr>
            <w:r>
              <w:rPr>
                <w:rFonts w:ascii="Arial" w:cs="Arial" w:eastAsia="Arial" w:hAnsi="Arial"/>
                <w:sz w:val="18"/>
                <w:szCs w:val="18"/>
                <w:color w:val="auto"/>
              </w:rPr>
              <w:t>Technology/Technical Know-How</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1,866</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681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1,185</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1,864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1,211</w:t>
            </w:r>
          </w:p>
        </w:tc>
        <w:tc>
          <w:tcPr>
            <w:tcW w:w="100" w:type="dxa"/>
            <w:vAlign w:val="bottom"/>
          </w:tcPr>
          <w:p>
            <w:pPr>
              <w:spacing w:after="0"/>
              <w:rPr>
                <w:sz w:val="19"/>
                <w:szCs w:val="19"/>
                <w:color w:val="auto"/>
              </w:rPr>
            </w:pPr>
          </w:p>
        </w:tc>
      </w:tr>
      <w:tr>
        <w:trPr>
          <w:trHeight w:val="226"/>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Tradenames</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1,623</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380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1,243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1,258</w:t>
            </w:r>
          </w:p>
        </w:tc>
        <w:tc>
          <w:tcPr>
            <w:tcW w:w="100" w:type="dxa"/>
            <w:vAlign w:val="bottom"/>
            <w:shd w:val="clear" w:color="auto" w:fill="CFF0FC"/>
          </w:tcPr>
          <w:p>
            <w:pPr>
              <w:spacing w:after="0"/>
              <w:rPr>
                <w:sz w:val="19"/>
                <w:szCs w:val="19"/>
                <w:color w:val="auto"/>
              </w:rPr>
            </w:pPr>
          </w:p>
        </w:tc>
      </w:tr>
      <w:tr>
        <w:trPr>
          <w:trHeight w:val="226"/>
        </w:trPr>
        <w:tc>
          <w:tcPr>
            <w:tcW w:w="3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557</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251</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306</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FF0FC"/>
            </w:tcBorders>
          </w:tcPr>
          <w:p>
            <w:pPr>
              <w:spacing w:after="0"/>
              <w:rPr>
                <w:sz w:val="19"/>
                <w:szCs w:val="19"/>
                <w:color w:val="auto"/>
              </w:rPr>
            </w:pPr>
          </w:p>
        </w:tc>
      </w:tr>
      <w:tr>
        <w:trPr>
          <w:trHeight w:val="219"/>
        </w:trPr>
        <w:tc>
          <w:tcPr>
            <w:tcW w:w="3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6,549</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1,998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4,551</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1,922</w:t>
            </w:r>
          </w:p>
        </w:tc>
        <w:tc>
          <w:tcPr>
            <w:tcW w:w="420" w:type="dxa"/>
            <w:vAlign w:val="bottom"/>
            <w:gridSpan w:val="2"/>
            <w:shd w:val="clear" w:color="auto" w:fill="CFF0FC"/>
          </w:tcPr>
          <w:p>
            <w:pPr>
              <w:jc w:val="right"/>
              <w:ind w:right="29"/>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4,569</w:t>
            </w:r>
          </w:p>
        </w:tc>
        <w:tc>
          <w:tcPr>
            <w:tcW w:w="100" w:type="dxa"/>
            <w:vAlign w:val="bottom"/>
            <w:shd w:val="clear" w:color="auto" w:fill="CFF0FC"/>
          </w:tcPr>
          <w:p>
            <w:pPr>
              <w:spacing w:after="0"/>
              <w:rPr>
                <w:sz w:val="19"/>
                <w:szCs w:val="19"/>
                <w:color w:val="auto"/>
              </w:rPr>
            </w:pPr>
          </w:p>
        </w:tc>
      </w:tr>
      <w:tr>
        <w:trPr>
          <w:trHeight w:val="20"/>
        </w:trPr>
        <w:tc>
          <w:tcPr>
            <w:tcW w:w="3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charged to income was $89 million during the first quarter of 2016 and $88 million during the first quarter of 2015</w:t>
      </w:r>
    </w:p>
    <w:p>
      <w:pPr>
        <w:spacing w:after="0" w:line="218" w:lineRule="exact"/>
        <w:rPr>
          <w:sz w:val="20"/>
          <w:szCs w:val="20"/>
          <w:color w:val="auto"/>
        </w:rPr>
      </w:pPr>
    </w:p>
    <w:p>
      <w:pPr>
        <w:ind w:right="160"/>
        <w:spacing w:after="0" w:line="329" w:lineRule="auto"/>
        <w:rPr>
          <w:sz w:val="20"/>
          <w:szCs w:val="20"/>
          <w:color w:val="auto"/>
        </w:rPr>
      </w:pPr>
      <w:r>
        <w:rPr>
          <w:rFonts w:ascii="Arial" w:cs="Arial" w:eastAsia="Arial" w:hAnsi="Arial"/>
          <w:sz w:val="16"/>
          <w:szCs w:val="16"/>
          <w:color w:val="auto"/>
        </w:rPr>
        <w:t>Based on the net book value of intangible assets at March 31, 2016, amortization charged to income for the subsequent five years is estimated to be: remaining three quarters of 2016—$287 million; 2017—$372 million; 2018—$364 million; 2019—$351 million; 2020—$330 million; and 2021—$307 million.</w:t>
      </w:r>
    </w:p>
    <w:p>
      <w:pPr>
        <w:spacing w:after="0" w:line="274" w:lineRule="exact"/>
        <w:rPr>
          <w:sz w:val="20"/>
          <w:szCs w:val="20"/>
          <w:color w:val="auto"/>
        </w:rPr>
      </w:pPr>
    </w:p>
    <w:p>
      <w:pPr>
        <w:ind w:left="280" w:hanging="274"/>
        <w:spacing w:after="0"/>
        <w:tabs>
          <w:tab w:leader="none" w:pos="2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Long-term Debt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summary of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80" w:type="dxa"/>
            <w:vAlign w:val="bottom"/>
          </w:tcPr>
          <w:p>
            <w:pPr>
              <w:spacing w:after="0"/>
              <w:rPr>
                <w:sz w:val="15"/>
                <w:szCs w:val="15"/>
                <w:color w:val="auto"/>
              </w:rPr>
            </w:pPr>
          </w:p>
        </w:tc>
        <w:tc>
          <w:tcPr>
            <w:tcW w:w="7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gridSpan w:val="2"/>
          </w:tcPr>
          <w:p>
            <w:pPr>
              <w:ind w:left="220"/>
              <w:spacing w:after="0"/>
              <w:rPr>
                <w:sz w:val="20"/>
                <w:szCs w:val="20"/>
                <w:color w:val="auto"/>
              </w:rPr>
            </w:pPr>
            <w:r>
              <w:rPr>
                <w:rFonts w:ascii="Arial" w:cs="Arial" w:eastAsia="Arial" w:hAnsi="Arial"/>
                <w:sz w:val="14"/>
                <w:szCs w:val="14"/>
                <w:i w:val="1"/>
                <w:iCs w:val="1"/>
                <w:color w:val="auto"/>
              </w:rPr>
              <w:t>(Stated in millions)</w:t>
            </w:r>
          </w:p>
        </w:tc>
      </w:tr>
      <w:tr>
        <w:trPr>
          <w:trHeight w:val="431"/>
        </w:trPr>
        <w:tc>
          <w:tcPr>
            <w:tcW w:w="48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gridSpan w:val="2"/>
          </w:tcPr>
          <w:p>
            <w:pPr>
              <w:ind w:left="200"/>
              <w:spacing w:after="0"/>
              <w:rPr>
                <w:sz w:val="20"/>
                <w:szCs w:val="20"/>
                <w:color w:val="auto"/>
              </w:rPr>
            </w:pPr>
            <w:r>
              <w:rPr>
                <w:rFonts w:ascii="Arial" w:cs="Arial" w:eastAsia="Arial" w:hAnsi="Arial"/>
                <w:sz w:val="18"/>
                <w:szCs w:val="18"/>
                <w:b w:val="1"/>
                <w:bCs w:val="1"/>
                <w:color w:val="auto"/>
              </w:rPr>
              <w:t>Mar. 31,</w:t>
            </w:r>
          </w:p>
        </w:tc>
        <w:tc>
          <w:tcPr>
            <w:tcW w:w="300" w:type="dxa"/>
            <w:vAlign w:val="bottom"/>
          </w:tcPr>
          <w:p>
            <w:pPr>
              <w:spacing w:after="0"/>
              <w:rPr>
                <w:sz w:val="24"/>
                <w:szCs w:val="24"/>
                <w:color w:val="auto"/>
              </w:rPr>
            </w:pPr>
          </w:p>
        </w:tc>
        <w:tc>
          <w:tcPr>
            <w:tcW w:w="1420" w:type="dxa"/>
            <w:vAlign w:val="bottom"/>
            <w:gridSpan w:val="2"/>
          </w:tcPr>
          <w:p>
            <w:pPr>
              <w:ind w:left="200"/>
              <w:spacing w:after="0"/>
              <w:rPr>
                <w:sz w:val="20"/>
                <w:szCs w:val="20"/>
                <w:color w:val="auto"/>
              </w:rPr>
            </w:pPr>
            <w:r>
              <w:rPr>
                <w:rFonts w:ascii="Arial" w:cs="Arial" w:eastAsia="Arial" w:hAnsi="Arial"/>
                <w:sz w:val="18"/>
                <w:szCs w:val="18"/>
                <w:color w:val="auto"/>
              </w:rPr>
              <w:t>Dec. 31,</w:t>
            </w:r>
          </w:p>
        </w:tc>
      </w:tr>
      <w:tr>
        <w:trPr>
          <w:trHeight w:val="230"/>
        </w:trPr>
        <w:tc>
          <w:tcPr>
            <w:tcW w:w="480" w:type="dxa"/>
            <w:vAlign w:val="bottom"/>
            <w:tcBorders>
              <w:bottom w:val="single" w:sz="8" w:color="CFF0FC"/>
            </w:tcBorders>
          </w:tcPr>
          <w:p>
            <w:pPr>
              <w:spacing w:after="0"/>
              <w:rPr>
                <w:sz w:val="20"/>
                <w:szCs w:val="20"/>
                <w:color w:val="auto"/>
              </w:rPr>
            </w:pPr>
          </w:p>
        </w:tc>
        <w:tc>
          <w:tcPr>
            <w:tcW w:w="73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b w:val="1"/>
                <w:bCs w:val="1"/>
                <w:color w:val="auto"/>
              </w:rPr>
              <w:t>2016</w:t>
            </w:r>
          </w:p>
        </w:tc>
        <w:tc>
          <w:tcPr>
            <w:tcW w:w="28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FF0FC"/>
            </w:tcBorders>
          </w:tcPr>
          <w:p>
            <w:pPr>
              <w:spacing w:after="0"/>
              <w:rPr>
                <w:sz w:val="20"/>
                <w:szCs w:val="20"/>
                <w:color w:val="auto"/>
              </w:rPr>
            </w:pPr>
          </w:p>
        </w:tc>
      </w:tr>
      <w:tr>
        <w:trPr>
          <w:trHeight w:val="220"/>
        </w:trPr>
        <w:tc>
          <w:tcPr>
            <w:tcW w:w="480" w:type="dxa"/>
            <w:vAlign w:val="bottom"/>
            <w:shd w:val="clear" w:color="auto" w:fill="CFF0FC"/>
          </w:tcPr>
          <w:p>
            <w:pPr>
              <w:spacing w:after="0"/>
              <w:rPr>
                <w:sz w:val="20"/>
                <w:szCs w:val="20"/>
                <w:color w:val="auto"/>
              </w:rPr>
            </w:pPr>
            <w:r>
              <w:rPr>
                <w:rFonts w:ascii="Arial" w:cs="Arial" w:eastAsia="Arial" w:hAnsi="Arial"/>
                <w:sz w:val="18"/>
                <w:szCs w:val="18"/>
                <w:color w:val="auto"/>
                <w:w w:val="90"/>
              </w:rPr>
              <w:t>4.00%</w:t>
            </w:r>
          </w:p>
        </w:tc>
        <w:tc>
          <w:tcPr>
            <w:tcW w:w="7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2025</w:t>
            </w: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1,739</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1,741</w:t>
            </w:r>
          </w:p>
        </w:tc>
        <w:tc>
          <w:tcPr>
            <w:tcW w:w="10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Arial" w:cs="Arial" w:eastAsia="Arial" w:hAnsi="Arial"/>
                <w:sz w:val="18"/>
                <w:szCs w:val="18"/>
                <w:color w:val="auto"/>
                <w:w w:val="90"/>
              </w:rPr>
              <w:t>3.30%</w:t>
            </w:r>
          </w:p>
        </w:tc>
        <w:tc>
          <w:tcPr>
            <w:tcW w:w="7340" w:type="dxa"/>
            <w:vAlign w:val="bottom"/>
          </w:tcPr>
          <w:p>
            <w:pPr>
              <w:ind w:left="20"/>
              <w:spacing w:after="0"/>
              <w:rPr>
                <w:sz w:val="20"/>
                <w:szCs w:val="20"/>
                <w:color w:val="auto"/>
              </w:rPr>
            </w:pPr>
            <w:r>
              <w:rPr>
                <w:rFonts w:ascii="Arial" w:cs="Arial" w:eastAsia="Arial" w:hAnsi="Arial"/>
                <w:sz w:val="18"/>
                <w:szCs w:val="18"/>
                <w:color w:val="auto"/>
              </w:rPr>
              <w:t>Senior Notes due 2021</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1,593</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1,597</w:t>
            </w:r>
          </w:p>
        </w:tc>
        <w:tc>
          <w:tcPr>
            <w:tcW w:w="10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Arial" w:cs="Arial" w:eastAsia="Arial" w:hAnsi="Arial"/>
                <w:sz w:val="18"/>
                <w:szCs w:val="18"/>
                <w:color w:val="auto"/>
                <w:w w:val="90"/>
              </w:rPr>
              <w:t>3.00%</w:t>
            </w:r>
          </w:p>
        </w:tc>
        <w:tc>
          <w:tcPr>
            <w:tcW w:w="7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2020</w:t>
            </w: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1,590</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1,591</w:t>
            </w:r>
          </w:p>
        </w:tc>
        <w:tc>
          <w:tcPr>
            <w:tcW w:w="10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Arial" w:cs="Arial" w:eastAsia="Arial" w:hAnsi="Arial"/>
                <w:sz w:val="18"/>
                <w:szCs w:val="18"/>
                <w:color w:val="auto"/>
                <w:w w:val="90"/>
              </w:rPr>
              <w:t>3.65%</w:t>
            </w:r>
          </w:p>
        </w:tc>
        <w:tc>
          <w:tcPr>
            <w:tcW w:w="7340" w:type="dxa"/>
            <w:vAlign w:val="bottom"/>
          </w:tcPr>
          <w:p>
            <w:pPr>
              <w:ind w:left="20"/>
              <w:spacing w:after="0"/>
              <w:rPr>
                <w:sz w:val="20"/>
                <w:szCs w:val="20"/>
                <w:color w:val="auto"/>
              </w:rPr>
            </w:pPr>
            <w:r>
              <w:rPr>
                <w:rFonts w:ascii="Arial" w:cs="Arial" w:eastAsia="Arial" w:hAnsi="Arial"/>
                <w:sz w:val="18"/>
                <w:szCs w:val="18"/>
                <w:color w:val="auto"/>
              </w:rPr>
              <w:t>Senior Notes due 2023</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1,490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1,496</w:t>
            </w:r>
          </w:p>
        </w:tc>
        <w:tc>
          <w:tcPr>
            <w:tcW w:w="10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Arial" w:cs="Arial" w:eastAsia="Arial" w:hAnsi="Arial"/>
                <w:sz w:val="18"/>
                <w:szCs w:val="18"/>
                <w:color w:val="auto"/>
                <w:w w:val="90"/>
              </w:rPr>
              <w:t>2.35%</w:t>
            </w:r>
          </w:p>
        </w:tc>
        <w:tc>
          <w:tcPr>
            <w:tcW w:w="7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2018</w:t>
            </w: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1,296</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1,297</w:t>
            </w:r>
          </w:p>
        </w:tc>
        <w:tc>
          <w:tcPr>
            <w:tcW w:w="10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Arial" w:cs="Arial" w:eastAsia="Arial" w:hAnsi="Arial"/>
                <w:sz w:val="18"/>
                <w:szCs w:val="18"/>
                <w:color w:val="auto"/>
                <w:w w:val="90"/>
              </w:rPr>
              <w:t>4.20%</w:t>
            </w:r>
          </w:p>
        </w:tc>
        <w:tc>
          <w:tcPr>
            <w:tcW w:w="7340" w:type="dxa"/>
            <w:vAlign w:val="bottom"/>
          </w:tcPr>
          <w:p>
            <w:pPr>
              <w:ind w:left="20"/>
              <w:spacing w:after="0"/>
              <w:rPr>
                <w:sz w:val="20"/>
                <w:szCs w:val="20"/>
                <w:color w:val="auto"/>
              </w:rPr>
            </w:pPr>
            <w:r>
              <w:rPr>
                <w:rFonts w:ascii="Arial" w:cs="Arial" w:eastAsia="Arial" w:hAnsi="Arial"/>
                <w:sz w:val="18"/>
                <w:szCs w:val="18"/>
                <w:color w:val="auto"/>
              </w:rPr>
              <w:t>Senior Notes due 2021</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1,099</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Arial" w:cs="Arial" w:eastAsia="Arial" w:hAnsi="Arial"/>
                <w:sz w:val="18"/>
                <w:szCs w:val="18"/>
                <w:color w:val="auto"/>
                <w:w w:val="90"/>
              </w:rPr>
              <w:t>1.25%</w:t>
            </w:r>
          </w:p>
        </w:tc>
        <w:tc>
          <w:tcPr>
            <w:tcW w:w="7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2017</w:t>
            </w: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999</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Arial" w:cs="Arial" w:eastAsia="Arial" w:hAnsi="Arial"/>
                <w:sz w:val="18"/>
                <w:szCs w:val="18"/>
                <w:color w:val="auto"/>
                <w:w w:val="90"/>
              </w:rPr>
              <w:t>2.40%</w:t>
            </w:r>
          </w:p>
        </w:tc>
        <w:tc>
          <w:tcPr>
            <w:tcW w:w="7340" w:type="dxa"/>
            <w:vAlign w:val="bottom"/>
          </w:tcPr>
          <w:p>
            <w:pPr>
              <w:ind w:left="20"/>
              <w:spacing w:after="0"/>
              <w:rPr>
                <w:sz w:val="20"/>
                <w:szCs w:val="20"/>
                <w:color w:val="auto"/>
              </w:rPr>
            </w:pPr>
            <w:r>
              <w:rPr>
                <w:rFonts w:ascii="Arial" w:cs="Arial" w:eastAsia="Arial" w:hAnsi="Arial"/>
                <w:sz w:val="18"/>
                <w:szCs w:val="18"/>
                <w:color w:val="auto"/>
              </w:rPr>
              <w:t>Senior Notes due 2022</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995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Arial" w:cs="Arial" w:eastAsia="Arial" w:hAnsi="Arial"/>
                <w:sz w:val="18"/>
                <w:szCs w:val="18"/>
                <w:color w:val="auto"/>
                <w:w w:val="90"/>
              </w:rPr>
              <w:t>3.63%</w:t>
            </w:r>
          </w:p>
        </w:tc>
        <w:tc>
          <w:tcPr>
            <w:tcW w:w="7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2022</w:t>
            </w: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845</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w:t>
            </w:r>
          </w:p>
        </w:tc>
        <w:tc>
          <w:tcPr>
            <w:tcW w:w="10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Arial" w:cs="Arial" w:eastAsia="Arial" w:hAnsi="Arial"/>
                <w:sz w:val="18"/>
                <w:szCs w:val="18"/>
                <w:color w:val="auto"/>
                <w:w w:val="90"/>
              </w:rPr>
              <w:t>0.63%</w:t>
            </w:r>
          </w:p>
        </w:tc>
        <w:tc>
          <w:tcPr>
            <w:tcW w:w="7340" w:type="dxa"/>
            <w:vAlign w:val="bottom"/>
          </w:tcPr>
          <w:p>
            <w:pPr>
              <w:ind w:left="20"/>
              <w:spacing w:after="0"/>
              <w:rPr>
                <w:sz w:val="20"/>
                <w:szCs w:val="20"/>
                <w:color w:val="auto"/>
              </w:rPr>
            </w:pPr>
            <w:r>
              <w:rPr>
                <w:rFonts w:ascii="Arial" w:cs="Arial" w:eastAsia="Arial" w:hAnsi="Arial"/>
                <w:sz w:val="18"/>
                <w:szCs w:val="18"/>
                <w:color w:val="auto"/>
              </w:rPr>
              <w:t>Guaranteed Notes due 2019</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669</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Arial" w:cs="Arial" w:eastAsia="Arial" w:hAnsi="Arial"/>
                <w:sz w:val="18"/>
                <w:szCs w:val="18"/>
                <w:color w:val="auto"/>
                <w:w w:val="90"/>
              </w:rPr>
              <w:t>1.50%</w:t>
            </w:r>
          </w:p>
        </w:tc>
        <w:tc>
          <w:tcPr>
            <w:tcW w:w="7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Guaranteed Notes due 2019</w:t>
            </w: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581</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w:t>
            </w:r>
          </w:p>
        </w:tc>
        <w:tc>
          <w:tcPr>
            <w:tcW w:w="10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Arial" w:cs="Arial" w:eastAsia="Arial" w:hAnsi="Arial"/>
                <w:sz w:val="18"/>
                <w:szCs w:val="18"/>
                <w:color w:val="auto"/>
                <w:w w:val="90"/>
              </w:rPr>
              <w:t>1.90%</w:t>
            </w:r>
          </w:p>
        </w:tc>
        <w:tc>
          <w:tcPr>
            <w:tcW w:w="7340" w:type="dxa"/>
            <w:vAlign w:val="bottom"/>
          </w:tcPr>
          <w:p>
            <w:pPr>
              <w:ind w:left="20"/>
              <w:spacing w:after="0"/>
              <w:rPr>
                <w:sz w:val="20"/>
                <w:szCs w:val="20"/>
                <w:color w:val="auto"/>
              </w:rPr>
            </w:pPr>
            <w:r>
              <w:rPr>
                <w:rFonts w:ascii="Arial" w:cs="Arial" w:eastAsia="Arial" w:hAnsi="Arial"/>
                <w:sz w:val="18"/>
                <w:szCs w:val="18"/>
                <w:color w:val="auto"/>
              </w:rPr>
              <w:t>Senior Notes due 2017</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498</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19"/>
                <w:szCs w:val="19"/>
                <w:color w:val="auto"/>
              </w:rPr>
            </w:pPr>
          </w:p>
        </w:tc>
      </w:tr>
      <w:tr>
        <w:trPr>
          <w:trHeight w:val="226"/>
        </w:trPr>
        <w:tc>
          <w:tcPr>
            <w:tcW w:w="7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Commercial paper borrowings</w:t>
            </w: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2,624</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Arial" w:cs="Arial" w:eastAsia="Arial" w:hAnsi="Arial"/>
                <w:sz w:val="18"/>
                <w:szCs w:val="18"/>
                <w:color w:val="auto"/>
              </w:rPr>
              <w:t>Other</w:t>
            </w:r>
          </w:p>
        </w:tc>
        <w:tc>
          <w:tcPr>
            <w:tcW w:w="73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1,215</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w:t>
            </w:r>
          </w:p>
        </w:tc>
        <w:tc>
          <w:tcPr>
            <w:tcW w:w="100" w:type="dxa"/>
            <w:vAlign w:val="bottom"/>
          </w:tcPr>
          <w:p>
            <w:pPr>
              <w:spacing w:after="0"/>
              <w:rPr>
                <w:sz w:val="19"/>
                <w:szCs w:val="19"/>
                <w:color w:val="auto"/>
              </w:rPr>
            </w:pPr>
          </w:p>
        </w:tc>
      </w:tr>
      <w:tr>
        <w:trPr>
          <w:trHeight w:val="219"/>
        </w:trPr>
        <w:tc>
          <w:tcPr>
            <w:tcW w:w="480" w:type="dxa"/>
            <w:vAlign w:val="bottom"/>
          </w:tcPr>
          <w:p>
            <w:pPr>
              <w:spacing w:after="0"/>
              <w:rPr>
                <w:sz w:val="19"/>
                <w:szCs w:val="19"/>
                <w:color w:val="auto"/>
              </w:rPr>
            </w:pPr>
          </w:p>
        </w:tc>
        <w:tc>
          <w:tcPr>
            <w:tcW w:w="7340" w:type="dxa"/>
            <w:vAlign w:val="bottom"/>
          </w:tcPr>
          <w:p>
            <w:pPr>
              <w:spacing w:after="0"/>
              <w:rPr>
                <w:sz w:val="19"/>
                <w:szCs w:val="19"/>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17,233</w:t>
            </w:r>
          </w:p>
        </w:tc>
        <w:tc>
          <w:tcPr>
            <w:tcW w:w="28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14,442</w:t>
            </w:r>
          </w:p>
        </w:tc>
        <w:tc>
          <w:tcPr>
            <w:tcW w:w="100" w:type="dxa"/>
            <w:vAlign w:val="bottom"/>
          </w:tcPr>
          <w:p>
            <w:pPr>
              <w:spacing w:after="0"/>
              <w:rPr>
                <w:sz w:val="19"/>
                <w:szCs w:val="19"/>
                <w:color w:val="auto"/>
              </w:rPr>
            </w:pPr>
          </w:p>
        </w:tc>
      </w:tr>
      <w:tr>
        <w:trPr>
          <w:trHeight w:val="20"/>
        </w:trPr>
        <w:tc>
          <w:tcPr>
            <w:tcW w:w="48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estimated fair value of Schlumberger’s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at March 31, 2016 and December 31, 2015, based on quoted market prices, was $17.5 billion and $14.4 billion, respectively.</w:t>
      </w:r>
    </w:p>
    <w:p>
      <w:pPr>
        <w:spacing w:after="0" w:line="1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Borrowings under the commercial paper program at March 31, 2016 were $4.8 billion, of which $2.6 billion was classified within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and $2.2 billion was classified within </w:t>
      </w:r>
      <w:r>
        <w:rPr>
          <w:rFonts w:ascii="Arial" w:cs="Arial" w:eastAsia="Arial" w:hAnsi="Arial"/>
          <w:sz w:val="18"/>
          <w:szCs w:val="18"/>
          <w:i w:val="1"/>
          <w:iCs w:val="1"/>
          <w:color w:val="auto"/>
        </w:rPr>
        <w:t>Long-term debt – current portion</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Balance Sheet</w:t>
      </w:r>
      <w:r>
        <w:rPr>
          <w:rFonts w:ascii="Arial" w:cs="Arial" w:eastAsia="Arial" w:hAnsi="Arial"/>
          <w:sz w:val="18"/>
          <w:szCs w:val="18"/>
          <w:color w:val="auto"/>
        </w:rPr>
        <w:t xml:space="preserve">. At December 31, 2015, borrowings under the commercial paper program were $2.4 billion, of which $1.0 billion was classified within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and $1.4 billion was classified within </w:t>
      </w:r>
      <w:r>
        <w:rPr>
          <w:rFonts w:ascii="Arial" w:cs="Arial" w:eastAsia="Arial" w:hAnsi="Arial"/>
          <w:sz w:val="18"/>
          <w:szCs w:val="18"/>
          <w:i w:val="1"/>
          <w:iCs w:val="1"/>
          <w:color w:val="auto"/>
        </w:rPr>
        <w:t>Long-term debt – current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portion </w:t>
      </w:r>
      <w:r>
        <w:rPr>
          <w:rFonts w:ascii="Arial" w:cs="Arial" w:eastAsia="Arial" w:hAnsi="Arial"/>
          <w:sz w:val="18"/>
          <w:szCs w:val="18"/>
          <w:color w:val="auto"/>
        </w:rPr>
        <w:t>in the</w:t>
      </w:r>
      <w:r>
        <w:rPr>
          <w:rFonts w:ascii="Arial" w:cs="Arial" w:eastAsia="Arial" w:hAnsi="Arial"/>
          <w:sz w:val="18"/>
          <w:szCs w:val="18"/>
          <w:i w:val="1"/>
          <w:iCs w:val="1"/>
          <w:color w:val="auto"/>
        </w:rPr>
        <w:t xml:space="preserve"> Consolidated Balance Sheet</w:t>
      </w:r>
      <w:r>
        <w:rPr>
          <w:rFonts w:ascii="Arial" w:cs="Arial" w:eastAsia="Arial" w:hAnsi="Arial"/>
          <w:sz w:val="18"/>
          <w:szCs w:val="18"/>
          <w:color w:val="auto"/>
        </w:rPr>
        <w: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ind w:left="360" w:hanging="354"/>
        <w:spacing w:after="0"/>
        <w:tabs>
          <w:tab w:leader="none" w:pos="3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Instruments and Hedging Activities</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Schlumberger is exposed to market risks related to fluctuations in foreign currency exchange rates and interest rates. To mitigate these risks, Schlumberger utilizes derivative instruments. Schlumberger does not enter into derivative transactions for speculative purposes.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Schlumberger is subject to interest rate risk on its debt and its investment portfolio. Schlumberger maintains an interest rate risk management strategy that uses a mix of variable and fixed rate debt combined with its investment portfolio and occasionally interest rate swaps to mitigate the exposure to changes in interest rates.</w:t>
      </w:r>
    </w:p>
    <w:p>
      <w:pPr>
        <w:spacing w:after="0" w:line="188"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During the fourth quarter of 2013, Schlumberger entered into a cross currency swap for a notional amount of €0.5 billion in order to hedge changes in the fair value of Schlumberger’s €0.5 billion 1.50% Guaranteed Notes due 2019. Under the terms of this swap, Schlumberger receives interest at a fixed rate of 1.50% on the euro notional amount and pays interest at a floating rate of three-month LIBOR plus approximately 64 basis points on the US dollar notional amount.</w:t>
      </w:r>
    </w:p>
    <w:p>
      <w:pPr>
        <w:spacing w:after="0" w:line="154"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This cross currency swap is designated as a fair value hedge of the underlying debt. This derivative instrument is marked to market with gains and losses recognized in income to largely offset the respective gains and losses recognized on changes in the fair value of the hedged debt.</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At March 31, 2016, Schlumberger had fixed rate debt of $13.9 billion and variable rate debt of $7.6 billion after taking into account the effect of the swap.</w:t>
      </w:r>
    </w:p>
    <w:p>
      <w:pPr>
        <w:spacing w:after="0" w:line="24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Short-term investments </w:t>
      </w:r>
      <w:r>
        <w:rPr>
          <w:rFonts w:ascii="Arial" w:cs="Arial" w:eastAsia="Arial" w:hAnsi="Arial"/>
          <w:sz w:val="18"/>
          <w:szCs w:val="18"/>
          <w:color w:val="auto"/>
        </w:rPr>
        <w:t>and</w:t>
      </w:r>
      <w:r>
        <w:rPr>
          <w:rFonts w:ascii="Arial" w:cs="Arial" w:eastAsia="Arial" w:hAnsi="Arial"/>
          <w:sz w:val="18"/>
          <w:szCs w:val="18"/>
          <w:i w:val="1"/>
          <w:iCs w:val="1"/>
          <w:color w:val="auto"/>
        </w:rPr>
        <w:t xml:space="preserve"> Fixed income investments</w:t>
      </w:r>
      <w:r>
        <w:rPr>
          <w:rFonts w:ascii="Arial" w:cs="Arial" w:eastAsia="Arial" w:hAnsi="Arial"/>
          <w:sz w:val="18"/>
          <w:szCs w:val="18"/>
          <w:color w:val="auto"/>
        </w:rPr>
        <w:t>,</w:t>
      </w:r>
      <w:r>
        <w:rPr>
          <w:rFonts w:ascii="Arial" w:cs="Arial" w:eastAsia="Arial" w:hAnsi="Arial"/>
          <w:sz w:val="18"/>
          <w:szCs w:val="18"/>
          <w:i w:val="1"/>
          <w:iCs w:val="1"/>
          <w:color w:val="auto"/>
        </w:rPr>
        <w:t xml:space="preserve"> held to maturity </w:t>
      </w:r>
      <w:r>
        <w:rPr>
          <w:rFonts w:ascii="Arial" w:cs="Arial" w:eastAsia="Arial" w:hAnsi="Arial"/>
          <w:sz w:val="18"/>
          <w:szCs w:val="18"/>
          <w:color w:val="auto"/>
        </w:rPr>
        <w:t>totaled $12.8 billion at March 31, 2016. The carrying value of these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approximated fair value, which was estimated using quoted market prices for those or similar investments.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a multinational company, Schlumberger conducts its business in more than 85 countries. Schlumberger’s functional currency is primarily the US dollar. However, outside the United States, a significant portion of Schlumberger’s expenses is incurred in foreign currencies. Therefore, when the US dollar weakens (strengthens) in relation to the foreign currencies of the countries in which Schlumberger conducts business, the US dollar–reported expenses will increase (decrease).</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Schlumberger is exposed to risks on future cash flows to the extent that the local currency is not the functional currency and expenses denominated in local currency are not equal to revenues denominated in local currency. Schlumberger is also exposed to risks on future cash flows relating to certain of its fixed rate debt which is denominated in currencies other than the functional currency. Schlumberger uses foreign currency forward contracts and foreign currency options to provide a hedge against a portion of these cash flow risks. These contracts are accounted for as cash flow hedges, with the effective portion of changes in the fair value of the hedge recorded on the </w:t>
      </w:r>
      <w:r>
        <w:rPr>
          <w:rFonts w:ascii="Arial" w:cs="Arial" w:eastAsia="Arial" w:hAnsi="Arial"/>
          <w:sz w:val="17"/>
          <w:szCs w:val="17"/>
          <w:i w:val="1"/>
          <w:iCs w:val="1"/>
          <w:color w:val="auto"/>
        </w:rPr>
        <w:t>Consolidated Balance Sheet</w:t>
      </w:r>
      <w:r>
        <w:rPr>
          <w:rFonts w:ascii="Arial" w:cs="Arial" w:eastAsia="Arial" w:hAnsi="Arial"/>
          <w:sz w:val="17"/>
          <w:szCs w:val="17"/>
          <w:color w:val="auto"/>
        </w:rPr>
        <w:t xml:space="preserve"> and in </w:t>
      </w:r>
      <w:r>
        <w:rPr>
          <w:rFonts w:ascii="Arial" w:cs="Arial" w:eastAsia="Arial" w:hAnsi="Arial"/>
          <w:sz w:val="17"/>
          <w:szCs w:val="17"/>
          <w:i w:val="1"/>
          <w:iCs w:val="1"/>
          <w:color w:val="auto"/>
        </w:rPr>
        <w:t>Accumulated other comprehensive loss.</w:t>
      </w:r>
      <w:r>
        <w:rPr>
          <w:rFonts w:ascii="Arial" w:cs="Arial" w:eastAsia="Arial" w:hAnsi="Arial"/>
          <w:sz w:val="17"/>
          <w:szCs w:val="17"/>
          <w:color w:val="auto"/>
        </w:rPr>
        <w:t xml:space="preserve"> Amounts recorded in </w:t>
      </w:r>
      <w:r>
        <w:rPr>
          <w:rFonts w:ascii="Arial" w:cs="Arial" w:eastAsia="Arial" w:hAnsi="Arial"/>
          <w:sz w:val="17"/>
          <w:szCs w:val="17"/>
          <w:i w:val="1"/>
          <w:iCs w:val="1"/>
          <w:color w:val="auto"/>
        </w:rPr>
        <w:t>Accumulated other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comprehensive loss </w:t>
      </w:r>
      <w:r>
        <w:rPr>
          <w:rFonts w:ascii="Arial" w:cs="Arial" w:eastAsia="Arial" w:hAnsi="Arial"/>
          <w:sz w:val="17"/>
          <w:szCs w:val="17"/>
          <w:color w:val="auto"/>
        </w:rPr>
        <w:t>are reclassified into earnings in the same period or periods that the hedged item is recognized in earnings. The ineffective portion of changes</w:t>
      </w:r>
      <w:r>
        <w:rPr>
          <w:rFonts w:ascii="Arial" w:cs="Arial" w:eastAsia="Arial" w:hAnsi="Arial"/>
          <w:sz w:val="17"/>
          <w:szCs w:val="17"/>
          <w:i w:val="1"/>
          <w:iCs w:val="1"/>
          <w:color w:val="auto"/>
        </w:rPr>
        <w:t xml:space="preserve"> </w:t>
      </w:r>
      <w:r>
        <w:rPr>
          <w:rFonts w:ascii="Arial" w:cs="Arial" w:eastAsia="Arial" w:hAnsi="Arial"/>
          <w:sz w:val="17"/>
          <w:szCs w:val="17"/>
          <w:color w:val="auto"/>
        </w:rPr>
        <w:t>in the fair value of hedging instruments, if any, is recorded directly to earnings.</w:t>
      </w:r>
    </w:p>
    <w:p>
      <w:pPr>
        <w:spacing w:after="0" w:line="18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At March 31, 2016, Schlumberger recognized a cumulative net $30 million loss in </w:t>
      </w:r>
      <w:r>
        <w:rPr>
          <w:rFonts w:ascii="Arial" w:cs="Arial" w:eastAsia="Arial" w:hAnsi="Arial"/>
          <w:sz w:val="18"/>
          <w:szCs w:val="18"/>
          <w:i w:val="1"/>
          <w:iCs w:val="1"/>
          <w:color w:val="auto"/>
        </w:rPr>
        <w:t>Accumulated other comprehensive loss</w:t>
      </w:r>
      <w:r>
        <w:rPr>
          <w:rFonts w:ascii="Arial" w:cs="Arial" w:eastAsia="Arial" w:hAnsi="Arial"/>
          <w:sz w:val="18"/>
          <w:szCs w:val="18"/>
          <w:color w:val="auto"/>
        </w:rPr>
        <w:t xml:space="preserve"> relating to revaluation of foreign currency forward contracts and foreign currency options designated as cash flow hedges, the majority of which is expected to be reclassified into earnings within the next 12 months.</w:t>
      </w:r>
    </w:p>
    <w:p>
      <w:pPr>
        <w:spacing w:after="0" w:line="18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 xml:space="preserve">Schlumberger is exposed to changes in the fair value of assets and liabilities which are denominated in currencies other than the functional currency. While Schlumberger uses foreign currency forward contracts and foreign currency options to economically hedge this exposure as it relates to certain currencies, these contracts are not designated as hedges for accounting purposes. Instead, the fair value of the contracts is recorded on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and changes in the fair value are recognized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as are changes in fair value of the hedged item.</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At March 31, 2016, contracts were outstanding for the US dollar equivalent of $4.1 billion in various foreign currencies, of which $0.7 billion relate to hedges of debt denominated in currencies other than the functional currency.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The fair values of outstanding derivative instruments were as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Arial" w:cs="Arial" w:eastAsia="Arial" w:hAnsi="Arial"/>
                <w:sz w:val="14"/>
                <w:szCs w:val="14"/>
                <w:i w:val="1"/>
                <w:iCs w:val="1"/>
                <w:color w:val="auto"/>
              </w:rPr>
              <w:t>(Stated in millions)</w:t>
            </w:r>
          </w:p>
        </w:tc>
        <w:tc>
          <w:tcPr>
            <w:tcW w:w="26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4"/>
        </w:trPr>
        <w:tc>
          <w:tcPr>
            <w:tcW w:w="4820" w:type="dxa"/>
            <w:vAlign w:val="bottom"/>
          </w:tcPr>
          <w:p>
            <w:pPr>
              <w:spacing w:after="0"/>
              <w:rPr>
                <w:sz w:val="24"/>
                <w:szCs w:val="24"/>
                <w:color w:val="auto"/>
              </w:rPr>
            </w:pPr>
          </w:p>
        </w:tc>
        <w:tc>
          <w:tcPr>
            <w:tcW w:w="2660" w:type="dxa"/>
            <w:vAlign w:val="bottom"/>
            <w:gridSpan w:val="4"/>
          </w:tcPr>
          <w:p>
            <w:pPr>
              <w:jc w:val="right"/>
              <w:ind w:right="255"/>
              <w:spacing w:after="0"/>
              <w:rPr>
                <w:sz w:val="20"/>
                <w:szCs w:val="20"/>
                <w:color w:val="auto"/>
              </w:rPr>
            </w:pPr>
            <w:r>
              <w:rPr>
                <w:rFonts w:ascii="Arial" w:cs="Arial" w:eastAsia="Arial" w:hAnsi="Arial"/>
                <w:sz w:val="16"/>
                <w:szCs w:val="16"/>
                <w:b w:val="1"/>
                <w:bCs w:val="1"/>
                <w:color w:val="auto"/>
              </w:rPr>
              <w:t>Fair Value of Derivatives</w:t>
            </w:r>
          </w:p>
        </w:tc>
        <w:tc>
          <w:tcPr>
            <w:tcW w:w="300" w:type="dxa"/>
            <w:vAlign w:val="bottom"/>
          </w:tcPr>
          <w:p>
            <w:pPr>
              <w:spacing w:after="0"/>
              <w:rPr>
                <w:sz w:val="24"/>
                <w:szCs w:val="24"/>
                <w:color w:val="auto"/>
              </w:rPr>
            </w:pPr>
          </w:p>
        </w:tc>
        <w:tc>
          <w:tcPr>
            <w:tcW w:w="3640" w:type="dxa"/>
            <w:vAlign w:val="bottom"/>
            <w:gridSpan w:val="2"/>
          </w:tcPr>
          <w:p>
            <w:pPr>
              <w:ind w:left="260"/>
              <w:spacing w:after="0"/>
              <w:rPr>
                <w:sz w:val="20"/>
                <w:szCs w:val="20"/>
                <w:color w:val="auto"/>
              </w:rPr>
            </w:pPr>
            <w:r>
              <w:rPr>
                <w:rFonts w:ascii="Arial" w:cs="Arial" w:eastAsia="Arial" w:hAnsi="Arial"/>
                <w:sz w:val="16"/>
                <w:szCs w:val="16"/>
                <w:color w:val="auto"/>
              </w:rPr>
              <w:t>Consolidated Balance Sheet Classification</w:t>
            </w:r>
          </w:p>
        </w:tc>
        <w:tc>
          <w:tcPr>
            <w:tcW w:w="0" w:type="dxa"/>
            <w:vAlign w:val="bottom"/>
          </w:tcPr>
          <w:p>
            <w:pPr>
              <w:spacing w:after="0"/>
              <w:rPr>
                <w:sz w:val="1"/>
                <w:szCs w:val="1"/>
                <w:color w:val="auto"/>
              </w:rPr>
            </w:pPr>
          </w:p>
        </w:tc>
      </w:tr>
      <w:tr>
        <w:trPr>
          <w:trHeight w:val="204"/>
        </w:trPr>
        <w:tc>
          <w:tcPr>
            <w:tcW w:w="4820" w:type="dxa"/>
            <w:vAlign w:val="bottom"/>
          </w:tcPr>
          <w:p>
            <w:pPr>
              <w:spacing w:after="0"/>
              <w:rPr>
                <w:sz w:val="17"/>
                <w:szCs w:val="17"/>
                <w:color w:val="auto"/>
              </w:rPr>
            </w:pPr>
          </w:p>
        </w:tc>
        <w:tc>
          <w:tcPr>
            <w:tcW w:w="1040" w:type="dxa"/>
            <w:vAlign w:val="bottom"/>
            <w:tcBorders>
              <w:top w:val="single" w:sz="8" w:color="auto"/>
            </w:tcBorders>
          </w:tcPr>
          <w:p>
            <w:pPr>
              <w:jc w:val="right"/>
              <w:ind w:right="26"/>
              <w:spacing w:after="0"/>
              <w:rPr>
                <w:sz w:val="20"/>
                <w:szCs w:val="20"/>
                <w:color w:val="auto"/>
              </w:rPr>
            </w:pPr>
            <w:r>
              <w:rPr>
                <w:rFonts w:ascii="Arial" w:cs="Arial" w:eastAsia="Arial" w:hAnsi="Arial"/>
                <w:sz w:val="16"/>
                <w:szCs w:val="16"/>
                <w:b w:val="1"/>
                <w:bCs w:val="1"/>
                <w:color w:val="auto"/>
              </w:rPr>
              <w:t>Mar. 31,</w:t>
            </w:r>
          </w:p>
        </w:tc>
        <w:tc>
          <w:tcPr>
            <w:tcW w:w="3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35"/>
              <w:spacing w:after="0"/>
              <w:rPr>
                <w:sz w:val="20"/>
                <w:szCs w:val="20"/>
                <w:color w:val="auto"/>
              </w:rPr>
            </w:pPr>
            <w:r>
              <w:rPr>
                <w:rFonts w:ascii="Arial" w:cs="Arial" w:eastAsia="Arial" w:hAnsi="Arial"/>
                <w:sz w:val="16"/>
                <w:szCs w:val="16"/>
                <w:color w:val="auto"/>
              </w:rPr>
              <w:t>Dec. 31,</w:t>
            </w:r>
          </w:p>
        </w:tc>
        <w:tc>
          <w:tcPr>
            <w:tcW w:w="3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3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82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tcPr>
          <w:p>
            <w:pPr>
              <w:jc w:val="right"/>
              <w:ind w:right="146"/>
              <w:spacing w:after="0"/>
              <w:rPr>
                <w:sz w:val="20"/>
                <w:szCs w:val="20"/>
                <w:color w:val="auto"/>
              </w:rPr>
            </w:pPr>
            <w:r>
              <w:rPr>
                <w:rFonts w:ascii="Arial" w:cs="Arial" w:eastAsia="Arial" w:hAnsi="Arial"/>
                <w:sz w:val="16"/>
                <w:szCs w:val="16"/>
                <w:b w:val="1"/>
                <w:bCs w:val="1"/>
                <w:color w:val="auto"/>
              </w:rPr>
              <w:t>2016</w:t>
            </w:r>
          </w:p>
        </w:tc>
        <w:tc>
          <w:tcPr>
            <w:tcW w:w="300" w:type="dxa"/>
            <w:vAlign w:val="bottom"/>
            <w:tcBorders>
              <w:bottom w:val="single" w:sz="8" w:color="auto"/>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060" w:type="dxa"/>
            <w:vAlign w:val="bottom"/>
            <w:tcBorders>
              <w:bottom w:val="single" w:sz="8" w:color="auto"/>
            </w:tcBorders>
          </w:tcPr>
          <w:p>
            <w:pPr>
              <w:jc w:val="right"/>
              <w:ind w:right="135"/>
              <w:spacing w:after="0"/>
              <w:rPr>
                <w:sz w:val="20"/>
                <w:szCs w:val="20"/>
                <w:color w:val="auto"/>
              </w:rPr>
            </w:pPr>
            <w:r>
              <w:rPr>
                <w:rFonts w:ascii="Arial" w:cs="Arial" w:eastAsia="Arial" w:hAnsi="Arial"/>
                <w:sz w:val="16"/>
                <w:szCs w:val="16"/>
                <w:color w:val="auto"/>
              </w:rPr>
              <w:t>2015</w:t>
            </w:r>
          </w:p>
        </w:tc>
        <w:tc>
          <w:tcPr>
            <w:tcW w:w="300" w:type="dxa"/>
            <w:vAlign w:val="bottom"/>
            <w:tcBorders>
              <w:bottom w:val="single" w:sz="8" w:color="auto"/>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33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Derivative Assets</w:t>
            </w: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20" w:type="dxa"/>
            <w:vAlign w:val="bottom"/>
          </w:tcPr>
          <w:p>
            <w:pPr>
              <w:spacing w:after="0"/>
              <w:rPr>
                <w:sz w:val="20"/>
                <w:szCs w:val="20"/>
                <w:color w:val="auto"/>
              </w:rPr>
            </w:pPr>
            <w:r>
              <w:rPr>
                <w:rFonts w:ascii="Arial" w:cs="Arial" w:eastAsia="Arial" w:hAnsi="Arial"/>
                <w:sz w:val="18"/>
                <w:szCs w:val="18"/>
                <w:color w:val="auto"/>
              </w:rPr>
              <w:t>Derivatives designated as hedges:</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Foreign exchange contracts</w:t>
            </w:r>
          </w:p>
        </w:tc>
        <w:tc>
          <w:tcPr>
            <w:tcW w:w="1040" w:type="dxa"/>
            <w:vAlign w:val="bottom"/>
            <w:shd w:val="clear" w:color="auto" w:fill="CFF0FC"/>
          </w:tcPr>
          <w:p>
            <w:pPr>
              <w:jc w:val="right"/>
              <w:ind w:right="886"/>
              <w:spacing w:after="0"/>
              <w:rPr>
                <w:sz w:val="20"/>
                <w:szCs w:val="20"/>
                <w:color w:val="auto"/>
              </w:rPr>
            </w:pPr>
            <w:r>
              <w:rPr>
                <w:rFonts w:ascii="Arial" w:cs="Arial" w:eastAsia="Arial" w:hAnsi="Arial"/>
                <w:sz w:val="14"/>
                <w:szCs w:val="14"/>
                <w:b w:val="1"/>
                <w:bCs w:val="1"/>
                <w:color w:val="auto"/>
                <w:w w:val="76"/>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w:t>
            </w: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875"/>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640" w:type="dxa"/>
            <w:vAlign w:val="bottom"/>
            <w:gridSpan w:val="2"/>
            <w:shd w:val="clear" w:color="auto" w:fill="CFF0FC"/>
          </w:tcPr>
          <w:p>
            <w:pPr>
              <w:ind w:left="260"/>
              <w:spacing w:after="0"/>
              <w:rPr>
                <w:sz w:val="20"/>
                <w:szCs w:val="20"/>
                <w:color w:val="auto"/>
              </w:rPr>
            </w:pPr>
            <w:r>
              <w:rPr>
                <w:rFonts w:ascii="Arial" w:cs="Arial" w:eastAsia="Arial" w:hAnsi="Arial"/>
                <w:sz w:val="18"/>
                <w:szCs w:val="18"/>
                <w:i w:val="1"/>
                <w:iCs w:val="1"/>
                <w:color w:val="auto"/>
              </w:rPr>
              <w:t>Other current assets</w:t>
            </w:r>
          </w:p>
        </w:tc>
        <w:tc>
          <w:tcPr>
            <w:tcW w:w="0" w:type="dxa"/>
            <w:vAlign w:val="bottom"/>
          </w:tcPr>
          <w:p>
            <w:pPr>
              <w:spacing w:after="0"/>
              <w:rPr>
                <w:sz w:val="1"/>
                <w:szCs w:val="1"/>
                <w:color w:val="auto"/>
              </w:rPr>
            </w:pPr>
          </w:p>
        </w:tc>
      </w:tr>
      <w:tr>
        <w:trPr>
          <w:trHeight w:val="226"/>
        </w:trPr>
        <w:tc>
          <w:tcPr>
            <w:tcW w:w="4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Foreign exchange contracts</w:t>
            </w:r>
          </w:p>
        </w:tc>
        <w:tc>
          <w:tcPr>
            <w:tcW w:w="10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26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64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i w:val="1"/>
                <w:iCs w:val="1"/>
                <w:color w:val="auto"/>
              </w:rPr>
              <w:t>Other Assets</w:t>
            </w:r>
          </w:p>
        </w:tc>
        <w:tc>
          <w:tcPr>
            <w:tcW w:w="0" w:type="dxa"/>
            <w:vAlign w:val="bottom"/>
          </w:tcPr>
          <w:p>
            <w:pPr>
              <w:spacing w:after="0"/>
              <w:rPr>
                <w:sz w:val="1"/>
                <w:szCs w:val="1"/>
                <w:color w:val="auto"/>
              </w:rPr>
            </w:pPr>
          </w:p>
        </w:tc>
      </w:tr>
      <w:tr>
        <w:trPr>
          <w:trHeight w:val="219"/>
        </w:trPr>
        <w:tc>
          <w:tcPr>
            <w:tcW w:w="482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86"/>
              <w:spacing w:after="0"/>
              <w:rPr>
                <w:sz w:val="20"/>
                <w:szCs w:val="20"/>
                <w:color w:val="auto"/>
              </w:rPr>
            </w:pPr>
            <w:r>
              <w:rPr>
                <w:rFonts w:ascii="Arial" w:cs="Arial" w:eastAsia="Arial" w:hAnsi="Arial"/>
                <w:sz w:val="14"/>
                <w:szCs w:val="14"/>
                <w:b w:val="1"/>
                <w:bCs w:val="1"/>
                <w:color w:val="auto"/>
                <w:w w:val="76"/>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w:t>
            </w:r>
          </w:p>
        </w:tc>
        <w:tc>
          <w:tcPr>
            <w:tcW w:w="26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875"/>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FF0FC"/>
          </w:tcPr>
          <w:p>
            <w:pPr>
              <w:spacing w:after="0"/>
              <w:rPr>
                <w:sz w:val="19"/>
                <w:szCs w:val="19"/>
                <w:color w:val="auto"/>
              </w:rPr>
            </w:pPr>
          </w:p>
        </w:tc>
        <w:tc>
          <w:tcPr>
            <w:tcW w:w="3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Derivatives not designated as hedges:</w:t>
            </w: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Foreign exchange contracts</w:t>
            </w:r>
          </w:p>
        </w:tc>
        <w:tc>
          <w:tcPr>
            <w:tcW w:w="1040" w:type="dxa"/>
            <w:vAlign w:val="bottom"/>
            <w:tcBorders>
              <w:bottom w:val="single" w:sz="8" w:color="auto"/>
            </w:tcBorders>
          </w:tcPr>
          <w:p>
            <w:pPr>
              <w:jc w:val="right"/>
              <w:ind w:right="886"/>
              <w:spacing w:after="0"/>
              <w:rPr>
                <w:sz w:val="20"/>
                <w:szCs w:val="20"/>
                <w:color w:val="auto"/>
              </w:rPr>
            </w:pPr>
            <w:r>
              <w:rPr>
                <w:rFonts w:ascii="Arial" w:cs="Arial" w:eastAsia="Arial" w:hAnsi="Arial"/>
                <w:sz w:val="14"/>
                <w:szCs w:val="14"/>
                <w:b w:val="1"/>
                <w:bCs w:val="1"/>
                <w:color w:val="auto"/>
                <w:w w:val="76"/>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26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jc w:val="right"/>
              <w:ind w:right="875"/>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364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i w:val="1"/>
                <w:iCs w:val="1"/>
                <w:color w:val="auto"/>
              </w:rPr>
              <w:t>Other current assets</w:t>
            </w:r>
          </w:p>
        </w:tc>
        <w:tc>
          <w:tcPr>
            <w:tcW w:w="0" w:type="dxa"/>
            <w:vAlign w:val="bottom"/>
          </w:tcPr>
          <w:p>
            <w:pPr>
              <w:spacing w:after="0"/>
              <w:rPr>
                <w:sz w:val="1"/>
                <w:szCs w:val="1"/>
                <w:color w:val="auto"/>
              </w:rPr>
            </w:pPr>
          </w:p>
        </w:tc>
      </w:tr>
      <w:tr>
        <w:trPr>
          <w:trHeight w:val="219"/>
        </w:trPr>
        <w:tc>
          <w:tcPr>
            <w:tcW w:w="482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86"/>
              <w:spacing w:after="0"/>
              <w:rPr>
                <w:sz w:val="20"/>
                <w:szCs w:val="20"/>
                <w:color w:val="auto"/>
              </w:rPr>
            </w:pPr>
            <w:r>
              <w:rPr>
                <w:rFonts w:ascii="Arial" w:cs="Arial" w:eastAsia="Arial" w:hAnsi="Arial"/>
                <w:sz w:val="14"/>
                <w:szCs w:val="14"/>
                <w:b w:val="1"/>
                <w:bCs w:val="1"/>
                <w:color w:val="auto"/>
                <w:w w:val="76"/>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w:t>
            </w:r>
          </w:p>
        </w:tc>
        <w:tc>
          <w:tcPr>
            <w:tcW w:w="26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875"/>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60" w:type="dxa"/>
            <w:vAlign w:val="bottom"/>
            <w:tcBorders>
              <w:bottom w:val="single" w:sz="8" w:color="CFF0FC"/>
            </w:tcBorders>
            <w:shd w:val="clear" w:color="auto" w:fill="CFF0FC"/>
          </w:tcPr>
          <w:p>
            <w:pPr>
              <w:spacing w:after="0"/>
              <w:rPr>
                <w:sz w:val="19"/>
                <w:szCs w:val="19"/>
                <w:color w:val="auto"/>
              </w:rPr>
            </w:pPr>
          </w:p>
        </w:tc>
        <w:tc>
          <w:tcPr>
            <w:tcW w:w="33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8"/>
                <w:szCs w:val="18"/>
                <w:b w:val="1"/>
                <w:bCs w:val="1"/>
                <w:color w:val="auto"/>
              </w:rPr>
              <w:t>Derivative Liabilities</w:t>
            </w: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82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Derivatives designated as hedges:</w:t>
            </w: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20" w:type="dxa"/>
            <w:vAlign w:val="bottom"/>
          </w:tcPr>
          <w:p>
            <w:pPr>
              <w:spacing w:after="0"/>
              <w:rPr>
                <w:sz w:val="20"/>
                <w:szCs w:val="20"/>
                <w:color w:val="auto"/>
              </w:rPr>
            </w:pPr>
            <w:r>
              <w:rPr>
                <w:rFonts w:ascii="Arial" w:cs="Arial" w:eastAsia="Arial" w:hAnsi="Arial"/>
                <w:sz w:val="18"/>
                <w:szCs w:val="18"/>
                <w:color w:val="auto"/>
              </w:rPr>
              <w:t>Foreign exchange contracts</w:t>
            </w:r>
          </w:p>
        </w:tc>
        <w:tc>
          <w:tcPr>
            <w:tcW w:w="1040" w:type="dxa"/>
            <w:vAlign w:val="bottom"/>
          </w:tcPr>
          <w:p>
            <w:pPr>
              <w:jc w:val="right"/>
              <w:ind w:right="886"/>
              <w:spacing w:after="0"/>
              <w:rPr>
                <w:sz w:val="20"/>
                <w:szCs w:val="20"/>
                <w:color w:val="auto"/>
              </w:rPr>
            </w:pPr>
            <w:r>
              <w:rPr>
                <w:rFonts w:ascii="Arial" w:cs="Arial" w:eastAsia="Arial" w:hAnsi="Arial"/>
                <w:sz w:val="14"/>
                <w:szCs w:val="14"/>
                <w:b w:val="1"/>
                <w:bCs w:val="1"/>
                <w:color w:val="auto"/>
                <w:w w:val="76"/>
              </w:rPr>
              <w: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27</w:t>
            </w:r>
          </w:p>
        </w:tc>
        <w:tc>
          <w:tcPr>
            <w:tcW w:w="260" w:type="dxa"/>
            <w:vAlign w:val="bottom"/>
          </w:tcPr>
          <w:p>
            <w:pPr>
              <w:spacing w:after="0"/>
              <w:rPr>
                <w:sz w:val="19"/>
                <w:szCs w:val="19"/>
                <w:color w:val="auto"/>
              </w:rPr>
            </w:pPr>
          </w:p>
        </w:tc>
        <w:tc>
          <w:tcPr>
            <w:tcW w:w="1060" w:type="dxa"/>
            <w:vAlign w:val="bottom"/>
          </w:tcPr>
          <w:p>
            <w:pPr>
              <w:jc w:val="right"/>
              <w:ind w:right="875"/>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37</w:t>
            </w:r>
          </w:p>
        </w:tc>
        <w:tc>
          <w:tcPr>
            <w:tcW w:w="3640" w:type="dxa"/>
            <w:vAlign w:val="bottom"/>
            <w:gridSpan w:val="2"/>
          </w:tcPr>
          <w:p>
            <w:pPr>
              <w:ind w:left="260"/>
              <w:spacing w:after="0"/>
              <w:rPr>
                <w:sz w:val="20"/>
                <w:szCs w:val="20"/>
                <w:color w:val="auto"/>
              </w:rPr>
            </w:pPr>
            <w:r>
              <w:rPr>
                <w:rFonts w:ascii="Arial" w:cs="Arial" w:eastAsia="Arial" w:hAnsi="Arial"/>
                <w:sz w:val="18"/>
                <w:szCs w:val="18"/>
                <w:i w:val="1"/>
                <w:iCs w:val="1"/>
                <w:color w:val="auto"/>
              </w:rPr>
              <w:t>Accounts payable and accrued liabilities</w:t>
            </w:r>
          </w:p>
        </w:tc>
        <w:tc>
          <w:tcPr>
            <w:tcW w:w="0" w:type="dxa"/>
            <w:vAlign w:val="bottom"/>
          </w:tcPr>
          <w:p>
            <w:pPr>
              <w:spacing w:after="0"/>
              <w:rPr>
                <w:sz w:val="1"/>
                <w:szCs w:val="1"/>
                <w:color w:val="auto"/>
              </w:rPr>
            </w:pPr>
          </w:p>
        </w:tc>
      </w:tr>
      <w:tr>
        <w:trPr>
          <w:trHeight w:val="226"/>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Foreign exchange contracts</w:t>
            </w: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w:t>
            </w: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640" w:type="dxa"/>
            <w:vAlign w:val="bottom"/>
            <w:gridSpan w:val="2"/>
            <w:shd w:val="clear" w:color="auto" w:fill="CFF0FC"/>
          </w:tcPr>
          <w:p>
            <w:pPr>
              <w:ind w:left="260"/>
              <w:spacing w:after="0"/>
              <w:rPr>
                <w:sz w:val="20"/>
                <w:szCs w:val="20"/>
                <w:color w:val="auto"/>
              </w:rPr>
            </w:pPr>
            <w:r>
              <w:rPr>
                <w:rFonts w:ascii="Arial" w:cs="Arial" w:eastAsia="Arial" w:hAnsi="Arial"/>
                <w:sz w:val="18"/>
                <w:szCs w:val="18"/>
                <w:i w:val="1"/>
                <w:iCs w:val="1"/>
                <w:color w:val="auto"/>
              </w:rPr>
              <w:t>Other Liabilities</w:t>
            </w:r>
          </w:p>
        </w:tc>
        <w:tc>
          <w:tcPr>
            <w:tcW w:w="0" w:type="dxa"/>
            <w:vAlign w:val="bottom"/>
          </w:tcPr>
          <w:p>
            <w:pPr>
              <w:spacing w:after="0"/>
              <w:rPr>
                <w:sz w:val="1"/>
                <w:szCs w:val="1"/>
                <w:color w:val="auto"/>
              </w:rPr>
            </w:pPr>
          </w:p>
        </w:tc>
      </w:tr>
      <w:tr>
        <w:trPr>
          <w:trHeight w:val="226"/>
        </w:trPr>
        <w:tc>
          <w:tcPr>
            <w:tcW w:w="4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Cross currency swap</w:t>
            </w:r>
          </w:p>
        </w:tc>
        <w:tc>
          <w:tcPr>
            <w:tcW w:w="10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w:t>
            </w:r>
          </w:p>
        </w:tc>
        <w:tc>
          <w:tcPr>
            <w:tcW w:w="26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364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i w:val="1"/>
                <w:iCs w:val="1"/>
                <w:color w:val="auto"/>
              </w:rPr>
              <w:t>Other Liabilities</w:t>
            </w:r>
          </w:p>
        </w:tc>
        <w:tc>
          <w:tcPr>
            <w:tcW w:w="0" w:type="dxa"/>
            <w:vAlign w:val="bottom"/>
          </w:tcPr>
          <w:p>
            <w:pPr>
              <w:spacing w:after="0"/>
              <w:rPr>
                <w:sz w:val="1"/>
                <w:szCs w:val="1"/>
                <w:color w:val="auto"/>
              </w:rPr>
            </w:pPr>
          </w:p>
        </w:tc>
      </w:tr>
      <w:tr>
        <w:trPr>
          <w:trHeight w:val="219"/>
        </w:trPr>
        <w:tc>
          <w:tcPr>
            <w:tcW w:w="482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86"/>
              <w:spacing w:after="0"/>
              <w:rPr>
                <w:sz w:val="20"/>
                <w:szCs w:val="20"/>
                <w:color w:val="auto"/>
              </w:rPr>
            </w:pPr>
            <w:r>
              <w:rPr>
                <w:rFonts w:ascii="Arial" w:cs="Arial" w:eastAsia="Arial" w:hAnsi="Arial"/>
                <w:sz w:val="14"/>
                <w:szCs w:val="14"/>
                <w:b w:val="1"/>
                <w:bCs w:val="1"/>
                <w:color w:val="auto"/>
                <w:w w:val="76"/>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57</w:t>
            </w:r>
          </w:p>
        </w:tc>
        <w:tc>
          <w:tcPr>
            <w:tcW w:w="26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875"/>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60" w:type="dxa"/>
            <w:vAlign w:val="bottom"/>
            <w:shd w:val="clear" w:color="auto" w:fill="CFF0FC"/>
          </w:tcPr>
          <w:p>
            <w:pPr>
              <w:spacing w:after="0"/>
              <w:rPr>
                <w:sz w:val="19"/>
                <w:szCs w:val="19"/>
                <w:color w:val="auto"/>
              </w:rPr>
            </w:pPr>
          </w:p>
        </w:tc>
        <w:tc>
          <w:tcPr>
            <w:tcW w:w="3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Derivatives not designated as hedges:</w:t>
            </w: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Foreign exchange contracts</w:t>
            </w:r>
          </w:p>
        </w:tc>
        <w:tc>
          <w:tcPr>
            <w:tcW w:w="1040" w:type="dxa"/>
            <w:vAlign w:val="bottom"/>
            <w:tcBorders>
              <w:bottom w:val="single" w:sz="8" w:color="auto"/>
            </w:tcBorders>
          </w:tcPr>
          <w:p>
            <w:pPr>
              <w:jc w:val="right"/>
              <w:ind w:right="886"/>
              <w:spacing w:after="0"/>
              <w:rPr>
                <w:sz w:val="20"/>
                <w:szCs w:val="20"/>
                <w:color w:val="auto"/>
              </w:rPr>
            </w:pPr>
            <w:r>
              <w:rPr>
                <w:rFonts w:ascii="Arial" w:cs="Arial" w:eastAsia="Arial" w:hAnsi="Arial"/>
                <w:sz w:val="14"/>
                <w:szCs w:val="14"/>
                <w:b w:val="1"/>
                <w:bCs w:val="1"/>
                <w:color w:val="auto"/>
                <w:w w:val="76"/>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26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jc w:val="right"/>
              <w:ind w:right="875"/>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364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i w:val="1"/>
                <w:iCs w:val="1"/>
                <w:color w:val="auto"/>
              </w:rPr>
              <w:t>Accounts payable and accrued liabilities</w:t>
            </w:r>
          </w:p>
        </w:tc>
        <w:tc>
          <w:tcPr>
            <w:tcW w:w="0" w:type="dxa"/>
            <w:vAlign w:val="bottom"/>
          </w:tcPr>
          <w:p>
            <w:pPr>
              <w:spacing w:after="0"/>
              <w:rPr>
                <w:sz w:val="1"/>
                <w:szCs w:val="1"/>
                <w:color w:val="auto"/>
              </w:rPr>
            </w:pPr>
          </w:p>
        </w:tc>
      </w:tr>
      <w:tr>
        <w:trPr>
          <w:trHeight w:val="219"/>
        </w:trPr>
        <w:tc>
          <w:tcPr>
            <w:tcW w:w="482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86"/>
              <w:spacing w:after="0"/>
              <w:rPr>
                <w:sz w:val="20"/>
                <w:szCs w:val="20"/>
                <w:color w:val="auto"/>
              </w:rPr>
            </w:pPr>
            <w:r>
              <w:rPr>
                <w:rFonts w:ascii="Arial" w:cs="Arial" w:eastAsia="Arial" w:hAnsi="Arial"/>
                <w:sz w:val="14"/>
                <w:szCs w:val="14"/>
                <w:b w:val="1"/>
                <w:bCs w:val="1"/>
                <w:color w:val="auto"/>
                <w:w w:val="76"/>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63</w:t>
            </w:r>
          </w:p>
        </w:tc>
        <w:tc>
          <w:tcPr>
            <w:tcW w:w="26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875"/>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260" w:type="dxa"/>
            <w:vAlign w:val="bottom"/>
            <w:tcBorders>
              <w:bottom w:val="single" w:sz="8" w:color="CFF0FC"/>
            </w:tcBorders>
            <w:shd w:val="clear" w:color="auto" w:fill="CFF0FC"/>
          </w:tcPr>
          <w:p>
            <w:pPr>
              <w:spacing w:after="0"/>
              <w:rPr>
                <w:sz w:val="19"/>
                <w:szCs w:val="19"/>
                <w:color w:val="auto"/>
              </w:rPr>
            </w:pPr>
          </w:p>
        </w:tc>
        <w:tc>
          <w:tcPr>
            <w:tcW w:w="33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right="740"/>
        <w:spacing w:after="0" w:line="266" w:lineRule="auto"/>
        <w:rPr>
          <w:sz w:val="20"/>
          <w:szCs w:val="20"/>
          <w:color w:val="auto"/>
        </w:rPr>
      </w:pPr>
      <w:r>
        <w:rPr>
          <w:rFonts w:ascii="Arial" w:cs="Arial" w:eastAsia="Arial" w:hAnsi="Arial"/>
          <w:sz w:val="18"/>
          <w:szCs w:val="18"/>
          <w:color w:val="auto"/>
        </w:rPr>
        <w:t>The fair value of all outstanding derivatives was determined using a model with inputs that are observable in the market or that can be derived from, or corroborated by, observable data.</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The effect of derivative instruments designated as fair value hedges and those not designated as hedges on the </w:t>
      </w:r>
      <w:r>
        <w:rPr>
          <w:rFonts w:ascii="Arial" w:cs="Arial" w:eastAsia="Arial" w:hAnsi="Arial"/>
          <w:sz w:val="14"/>
          <w:szCs w:val="14"/>
          <w:i w:val="1"/>
          <w:iCs w:val="1"/>
          <w:color w:val="auto"/>
        </w:rPr>
        <w:t>Consolidated Statement of Income</w:t>
      </w:r>
      <w:r>
        <w:rPr>
          <w:rFonts w:ascii="Arial" w:cs="Arial" w:eastAsia="Arial" w:hAnsi="Arial"/>
          <w:sz w:val="14"/>
          <w:szCs w:val="14"/>
          <w:color w:val="auto"/>
        </w:rPr>
        <w:t xml:space="preserve"> was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3"/>
          </w:tcPr>
          <w:p>
            <w:pPr>
              <w:jc w:val="right"/>
              <w:ind w:right="280"/>
              <w:spacing w:after="0"/>
              <w:rPr>
                <w:sz w:val="20"/>
                <w:szCs w:val="20"/>
                <w:color w:val="auto"/>
              </w:rPr>
            </w:pPr>
            <w:r>
              <w:rPr>
                <w:rFonts w:ascii="Arial" w:cs="Arial" w:eastAsia="Arial" w:hAnsi="Arial"/>
                <w:sz w:val="14"/>
                <w:szCs w:val="14"/>
                <w:i w:val="1"/>
                <w:iCs w:val="1"/>
                <w:color w:val="auto"/>
              </w:rPr>
              <w:t>(Stated in millions)</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1"/>
        </w:trPr>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78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Gain (Loss) Recognized in Income</w:t>
            </w:r>
          </w:p>
        </w:tc>
        <w:tc>
          <w:tcPr>
            <w:tcW w:w="34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4"/>
          </w:tcPr>
          <w:p>
            <w:pPr>
              <w:jc w:val="right"/>
              <w:ind w:right="684"/>
              <w:spacing w:after="0"/>
              <w:rPr>
                <w:sz w:val="20"/>
                <w:szCs w:val="20"/>
                <w:color w:val="auto"/>
              </w:rPr>
            </w:pPr>
            <w:r>
              <w:rPr>
                <w:rFonts w:ascii="Arial" w:cs="Arial" w:eastAsia="Arial" w:hAnsi="Arial"/>
                <w:sz w:val="16"/>
                <w:szCs w:val="16"/>
                <w:b w:val="1"/>
                <w:bCs w:val="1"/>
                <w:color w:val="auto"/>
              </w:rPr>
              <w:t>First Quarter</w:t>
            </w:r>
          </w:p>
        </w:tc>
        <w:tc>
          <w:tcPr>
            <w:tcW w:w="34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480" w:type="dxa"/>
            <w:vAlign w:val="bottom"/>
            <w:gridSpan w:val="2"/>
            <w:vMerge w:val="restart"/>
          </w:tcPr>
          <w:p>
            <w:pPr>
              <w:jc w:val="right"/>
              <w:ind w:right="40"/>
              <w:spacing w:after="0"/>
              <w:rPr>
                <w:sz w:val="20"/>
                <w:szCs w:val="20"/>
                <w:color w:val="auto"/>
              </w:rPr>
            </w:pPr>
            <w:r>
              <w:rPr>
                <w:rFonts w:ascii="Arial" w:cs="Arial" w:eastAsia="Arial" w:hAnsi="Arial"/>
                <w:sz w:val="16"/>
                <w:szCs w:val="16"/>
                <w:b w:val="1"/>
                <w:bCs w:val="1"/>
                <w:color w:val="auto"/>
              </w:rPr>
              <w:t>2016</w:t>
            </w: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20" w:type="dxa"/>
            <w:vAlign w:val="bottom"/>
            <w:gridSpan w:val="5"/>
          </w:tcPr>
          <w:p>
            <w:pPr>
              <w:spacing w:after="0"/>
              <w:rPr>
                <w:sz w:val="20"/>
                <w:szCs w:val="20"/>
                <w:color w:val="auto"/>
              </w:rPr>
            </w:pPr>
            <w:r>
              <w:rPr>
                <w:rFonts w:ascii="Arial" w:cs="Arial" w:eastAsia="Arial" w:hAnsi="Arial"/>
                <w:sz w:val="16"/>
                <w:szCs w:val="16"/>
                <w:color w:val="auto"/>
              </w:rPr>
              <w:t>Consolidated Statement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144"/>
              <w:spacing w:after="0"/>
              <w:rPr>
                <w:sz w:val="20"/>
                <w:szCs w:val="20"/>
                <w:color w:val="auto"/>
              </w:rPr>
            </w:pPr>
            <w:r>
              <w:rPr>
                <w:rFonts w:ascii="Arial" w:cs="Arial" w:eastAsia="Arial" w:hAnsi="Arial"/>
                <w:sz w:val="16"/>
                <w:szCs w:val="16"/>
                <w:color w:val="auto"/>
              </w:rPr>
              <w:t>2015</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0" w:type="dxa"/>
            <w:vAlign w:val="bottom"/>
            <w:gridSpan w:val="4"/>
          </w:tcPr>
          <w:p>
            <w:pPr>
              <w:ind w:left="20"/>
              <w:spacing w:after="0"/>
              <w:rPr>
                <w:sz w:val="20"/>
                <w:szCs w:val="20"/>
                <w:color w:val="auto"/>
              </w:rPr>
            </w:pPr>
            <w:r>
              <w:rPr>
                <w:rFonts w:ascii="Arial" w:cs="Arial" w:eastAsia="Arial" w:hAnsi="Arial"/>
                <w:sz w:val="16"/>
                <w:szCs w:val="16"/>
                <w:color w:val="auto"/>
              </w:rPr>
              <w:t>of Income Classification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52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Derivatives designated as fair value hedges:</w:t>
            </w:r>
          </w:p>
        </w:tc>
        <w:tc>
          <w:tcPr>
            <w:tcW w:w="5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20" w:type="dxa"/>
            <w:vAlign w:val="bottom"/>
            <w:gridSpan w:val="3"/>
          </w:tcPr>
          <w:p>
            <w:pPr>
              <w:spacing w:after="0"/>
              <w:rPr>
                <w:sz w:val="20"/>
                <w:szCs w:val="20"/>
                <w:color w:val="auto"/>
              </w:rPr>
            </w:pPr>
            <w:r>
              <w:rPr>
                <w:rFonts w:ascii="Arial" w:cs="Arial" w:eastAsia="Arial" w:hAnsi="Arial"/>
                <w:sz w:val="18"/>
                <w:szCs w:val="18"/>
                <w:color w:val="auto"/>
              </w:rPr>
              <w:t>Cross currency swap</w:t>
            </w:r>
          </w:p>
        </w:tc>
        <w:tc>
          <w:tcPr>
            <w:tcW w:w="148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(70)</w:t>
            </w:r>
          </w:p>
        </w:tc>
        <w:tc>
          <w:tcPr>
            <w:tcW w:w="740" w:type="dxa"/>
            <w:vAlign w:val="bottom"/>
            <w:gridSpan w:val="3"/>
          </w:tcPr>
          <w:p>
            <w:pPr>
              <w:spacing w:after="0"/>
              <w:rPr>
                <w:sz w:val="20"/>
                <w:szCs w:val="20"/>
                <w:color w:val="auto"/>
              </w:rPr>
            </w:pPr>
            <w:r>
              <w:rPr>
                <w:rFonts w:ascii="Arial" w:cs="Arial" w:eastAsia="Arial" w:hAnsi="Arial"/>
                <w:sz w:val="18"/>
                <w:szCs w:val="18"/>
                <w:i w:val="1"/>
                <w:iCs w:val="1"/>
                <w:color w:val="auto"/>
              </w:rPr>
              <w:t>Interest</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5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Derivatives not designated as hedges:</w:t>
            </w:r>
          </w:p>
        </w:tc>
        <w:tc>
          <w:tcPr>
            <w:tcW w:w="5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20" w:type="dxa"/>
            <w:vAlign w:val="bottom"/>
            <w:gridSpan w:val="3"/>
          </w:tcPr>
          <w:p>
            <w:pPr>
              <w:spacing w:after="0"/>
              <w:rPr>
                <w:sz w:val="20"/>
                <w:szCs w:val="20"/>
                <w:color w:val="auto"/>
              </w:rPr>
            </w:pPr>
            <w:r>
              <w:rPr>
                <w:rFonts w:ascii="Arial" w:cs="Arial" w:eastAsia="Arial" w:hAnsi="Arial"/>
                <w:sz w:val="18"/>
                <w:szCs w:val="18"/>
                <w:color w:val="auto"/>
              </w:rPr>
              <w:t>Foreign exchange contracts</w:t>
            </w:r>
          </w:p>
        </w:tc>
        <w:tc>
          <w:tcPr>
            <w:tcW w:w="148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(81)</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(118)</w:t>
            </w:r>
          </w:p>
        </w:tc>
        <w:tc>
          <w:tcPr>
            <w:tcW w:w="2020" w:type="dxa"/>
            <w:vAlign w:val="bottom"/>
            <w:gridSpan w:val="5"/>
          </w:tcPr>
          <w:p>
            <w:pPr>
              <w:spacing w:after="0"/>
              <w:rPr>
                <w:sz w:val="20"/>
                <w:szCs w:val="20"/>
                <w:color w:val="auto"/>
              </w:rPr>
            </w:pPr>
            <w:r>
              <w:rPr>
                <w:rFonts w:ascii="Arial" w:cs="Arial" w:eastAsia="Arial" w:hAnsi="Arial"/>
                <w:sz w:val="18"/>
                <w:szCs w:val="18"/>
                <w:i w:val="1"/>
                <w:iCs w:val="1"/>
                <w:color w:val="auto"/>
              </w:rPr>
              <w:t>Cost of revenue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11.  Income Taxes</w:t>
            </w:r>
          </w:p>
        </w:tc>
        <w:tc>
          <w:tcPr>
            <w:tcW w:w="5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5520" w:type="dxa"/>
            <w:vAlign w:val="bottom"/>
            <w:gridSpan w:val="3"/>
            <w:vMerge w:val="continue"/>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5520" w:type="dxa"/>
            <w:vAlign w:val="bottom"/>
            <w:gridSpan w:val="3"/>
          </w:tcPr>
          <w:p>
            <w:pPr>
              <w:spacing w:after="0"/>
              <w:rPr>
                <w:sz w:val="20"/>
                <w:szCs w:val="20"/>
                <w:color w:val="auto"/>
              </w:rPr>
            </w:pPr>
            <w:r>
              <w:rPr>
                <w:rFonts w:ascii="Arial" w:cs="Arial" w:eastAsia="Arial" w:hAnsi="Arial"/>
                <w:sz w:val="18"/>
                <w:szCs w:val="18"/>
                <w:i w:val="1"/>
                <w:iCs w:val="1"/>
                <w:color w:val="auto"/>
                <w:w w:val="89"/>
              </w:rPr>
              <w:t xml:space="preserve">Income before taxes </w:t>
            </w:r>
            <w:r>
              <w:rPr>
                <w:rFonts w:ascii="Arial" w:cs="Arial" w:eastAsia="Arial" w:hAnsi="Arial"/>
                <w:sz w:val="18"/>
                <w:szCs w:val="18"/>
                <w:color w:val="auto"/>
                <w:w w:val="89"/>
              </w:rPr>
              <w:t>subject to US and non-US income taxes was as follows:</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i w:val="1"/>
                <w:iCs w:val="1"/>
                <w:color w:val="auto"/>
              </w:rPr>
              <w:t>(Stated in millions)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First Quarter</w:t>
            </w: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6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tcPr>
          <w:p>
            <w:pPr>
              <w:spacing w:after="0"/>
              <w:rPr>
                <w:sz w:val="19"/>
                <w:szCs w:val="19"/>
                <w:color w:val="auto"/>
              </w:rPr>
            </w:pPr>
          </w:p>
        </w:tc>
        <w:tc>
          <w:tcPr>
            <w:tcW w:w="4140" w:type="dxa"/>
            <w:vAlign w:val="bottom"/>
            <w:tcBorders>
              <w:bottom w:val="single" w:sz="8" w:color="CFF0FC"/>
            </w:tcBorders>
          </w:tcPr>
          <w:p>
            <w:pPr>
              <w:spacing w:after="0"/>
              <w:rPr>
                <w:sz w:val="19"/>
                <w:szCs w:val="19"/>
                <w:color w:val="auto"/>
              </w:rPr>
            </w:pPr>
          </w:p>
        </w:tc>
        <w:tc>
          <w:tcPr>
            <w:tcW w:w="50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tcPr>
          <w:p>
            <w:pPr>
              <w:spacing w:after="0"/>
              <w:rPr>
                <w:sz w:val="19"/>
                <w:szCs w:val="19"/>
                <w:color w:val="auto"/>
              </w:rPr>
            </w:pPr>
          </w:p>
        </w:tc>
        <w:tc>
          <w:tcPr>
            <w:tcW w:w="44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3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55"/>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5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United States</w:t>
            </w:r>
          </w:p>
        </w:tc>
        <w:tc>
          <w:tcPr>
            <w:tcW w:w="5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824"/>
              <w:spacing w:after="0"/>
              <w:rPr>
                <w:sz w:val="20"/>
                <w:szCs w:val="20"/>
                <w:color w:val="auto"/>
              </w:rPr>
            </w:pPr>
            <w:r>
              <w:rPr>
                <w:rFonts w:ascii="Arial" w:cs="Arial" w:eastAsia="Arial" w:hAnsi="Arial"/>
                <w:sz w:val="14"/>
                <w:szCs w:val="14"/>
                <w:b w:val="1"/>
                <w:bCs w:val="1"/>
                <w:color w:val="auto"/>
                <w:w w:val="76"/>
              </w:rPr>
              <w:t>$</w:t>
            </w:r>
          </w:p>
        </w:tc>
        <w:tc>
          <w:tcPr>
            <w:tcW w:w="620" w:type="dxa"/>
            <w:vAlign w:val="bottom"/>
            <w:gridSpan w:val="3"/>
            <w:shd w:val="clear" w:color="auto" w:fill="CFF0FC"/>
          </w:tcPr>
          <w:p>
            <w:pPr>
              <w:jc w:val="right"/>
              <w:spacing w:after="0"/>
              <w:rPr>
                <w:sz w:val="20"/>
                <w:szCs w:val="20"/>
                <w:color w:val="auto"/>
              </w:rPr>
            </w:pPr>
            <w:r>
              <w:rPr>
                <w:rFonts w:ascii="Arial" w:cs="Arial" w:eastAsia="Arial" w:hAnsi="Arial"/>
                <w:sz w:val="18"/>
                <w:szCs w:val="18"/>
                <w:b w:val="1"/>
                <w:bCs w:val="1"/>
                <w:color w:val="auto"/>
              </w:rPr>
              <w:t>(203)</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1"/>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2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Outside United States</w:t>
            </w:r>
          </w:p>
        </w:tc>
        <w:tc>
          <w:tcPr>
            <w:tcW w:w="50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tcPr>
          <w:p>
            <w:pPr>
              <w:spacing w:after="0"/>
              <w:rPr>
                <w:sz w:val="19"/>
                <w:szCs w:val="19"/>
                <w:color w:val="auto"/>
              </w:rPr>
            </w:pPr>
          </w:p>
        </w:tc>
        <w:tc>
          <w:tcPr>
            <w:tcW w:w="44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825</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6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spacing w:after="0"/>
              <w:rPr>
                <w:sz w:val="19"/>
                <w:szCs w:val="19"/>
                <w:color w:val="auto"/>
              </w:rPr>
            </w:pPr>
          </w:p>
        </w:tc>
        <w:tc>
          <w:tcPr>
            <w:tcW w:w="414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824"/>
              <w:spacing w:after="0"/>
              <w:rPr>
                <w:sz w:val="20"/>
                <w:szCs w:val="20"/>
                <w:color w:val="auto"/>
              </w:rPr>
            </w:pPr>
            <w:r>
              <w:rPr>
                <w:rFonts w:ascii="Arial" w:cs="Arial" w:eastAsia="Arial" w:hAnsi="Arial"/>
                <w:sz w:val="14"/>
                <w:szCs w:val="14"/>
                <w:b w:val="1"/>
                <w:bCs w:val="1"/>
                <w:color w:val="auto"/>
                <w:w w:val="76"/>
              </w:rPr>
              <w:t>$</w:t>
            </w:r>
          </w:p>
        </w:tc>
        <w:tc>
          <w:tcPr>
            <w:tcW w:w="6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622</w:t>
            </w:r>
          </w:p>
        </w:tc>
        <w:tc>
          <w:tcPr>
            <w:tcW w:w="2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1"/>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1,294</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500" w:type="dxa"/>
            <w:vAlign w:val="bottom"/>
            <w:vMerge w:val="restart"/>
          </w:tcPr>
          <w:p>
            <w:pPr>
              <w:jc w:val="right"/>
              <w:ind w:right="134"/>
              <w:spacing w:after="0"/>
              <w:rPr>
                <w:sz w:val="20"/>
                <w:szCs w:val="20"/>
                <w:color w:val="auto"/>
              </w:rPr>
            </w:pPr>
            <w:r>
              <w:rPr>
                <w:rFonts w:ascii="Arial" w:cs="Arial" w:eastAsia="Arial" w:hAnsi="Arial"/>
                <w:sz w:val="18"/>
                <w:szCs w:val="18"/>
                <w:color w:val="auto"/>
              </w:rPr>
              <w:t>13</w:t>
            </w: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7"/>
        </w:trPr>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5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3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41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40" w:right="219" w:bottom="1440" w:gutter="0" w:footer="0" w:header="0"/>
        </w:sectPr>
      </w:pPr>
    </w:p>
    <w:bookmarkStart w:id="13" w:name="page14"/>
    <w:bookmarkEnd w:id="13"/>
    <w:p>
      <w:pPr>
        <w:ind w:right="320"/>
        <w:spacing w:after="0" w:line="266" w:lineRule="auto"/>
        <w:rPr>
          <w:sz w:val="20"/>
          <w:szCs w:val="20"/>
          <w:color w:val="auto"/>
        </w:rPr>
      </w:pPr>
      <w:r>
        <w:rPr>
          <w:rFonts w:ascii="Arial" w:cs="Arial" w:eastAsia="Arial" w:hAnsi="Arial"/>
          <w:sz w:val="18"/>
          <w:szCs w:val="18"/>
          <w:color w:val="auto"/>
        </w:rPr>
        <w:t xml:space="preserve">Schlumberger recorded pretax charges of $439 million during the three months ended March 31, 2015 ($93 million of charges in the US and $346 million of charges outside the US). See Note 2 – </w:t>
      </w:r>
      <w:r>
        <w:rPr>
          <w:rFonts w:ascii="Arial" w:cs="Arial" w:eastAsia="Arial" w:hAnsi="Arial"/>
          <w:sz w:val="18"/>
          <w:szCs w:val="18"/>
          <w:i w:val="1"/>
          <w:iCs w:val="1"/>
          <w:color w:val="auto"/>
        </w:rPr>
        <w:t>Charges and Credits</w:t>
      </w:r>
      <w:r>
        <w:rPr>
          <w:rFonts w:ascii="Arial" w:cs="Arial" w:eastAsia="Arial" w:hAnsi="Arial"/>
          <w:sz w:val="18"/>
          <w:szCs w:val="18"/>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deferred tax assets (liabilities)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31"/>
        </w:trPr>
        <w:tc>
          <w:tcPr>
            <w:tcW w:w="78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Mar. 31,</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Dec. 31,</w:t>
            </w:r>
          </w:p>
        </w:tc>
      </w:tr>
      <w:tr>
        <w:trPr>
          <w:trHeight w:val="230"/>
        </w:trPr>
        <w:tc>
          <w:tcPr>
            <w:tcW w:w="7820" w:type="dxa"/>
            <w:vAlign w:val="bottom"/>
            <w:tcBorders>
              <w:bottom w:val="single" w:sz="8" w:color="CFF0FC"/>
            </w:tcBorders>
          </w:tcPr>
          <w:p>
            <w:pPr>
              <w:spacing w:after="0"/>
              <w:rPr>
                <w:sz w:val="20"/>
                <w:szCs w:val="20"/>
                <w:color w:val="auto"/>
              </w:rPr>
            </w:pPr>
          </w:p>
        </w:tc>
        <w:tc>
          <w:tcPr>
            <w:tcW w:w="1120" w:type="dxa"/>
            <w:vAlign w:val="bottom"/>
            <w:tcBorders>
              <w:bottom w:val="single" w:sz="8" w:color="auto"/>
            </w:tcBorders>
          </w:tcPr>
          <w:p>
            <w:pPr>
              <w:jc w:val="right"/>
              <w:ind w:right="80"/>
              <w:spacing w:after="0"/>
              <w:rPr>
                <w:sz w:val="20"/>
                <w:szCs w:val="20"/>
                <w:color w:val="auto"/>
              </w:rPr>
            </w:pPr>
            <w:r>
              <w:rPr>
                <w:rFonts w:ascii="Arial" w:cs="Arial" w:eastAsia="Arial" w:hAnsi="Arial"/>
                <w:sz w:val="18"/>
                <w:szCs w:val="18"/>
                <w:b w:val="1"/>
                <w:bCs w:val="1"/>
                <w:color w:val="auto"/>
              </w:rPr>
              <w:t>2016</w:t>
            </w:r>
          </w:p>
        </w:tc>
        <w:tc>
          <w:tcPr>
            <w:tcW w:w="480" w:type="dxa"/>
            <w:vAlign w:val="bottom"/>
            <w:tcBorders>
              <w:bottom w:val="single" w:sz="8" w:color="auto"/>
            </w:tcBorders>
          </w:tcPr>
          <w:p>
            <w:pPr>
              <w:spacing w:after="0"/>
              <w:rPr>
                <w:sz w:val="20"/>
                <w:szCs w:val="20"/>
                <w:color w:val="auto"/>
              </w:rPr>
            </w:pPr>
          </w:p>
        </w:tc>
        <w:tc>
          <w:tcPr>
            <w:tcW w:w="28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53"/>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FF0FC"/>
            </w:tcBorders>
          </w:tcPr>
          <w:p>
            <w:pPr>
              <w:spacing w:after="0"/>
              <w:rPr>
                <w:sz w:val="20"/>
                <w:szCs w:val="20"/>
                <w:color w:val="auto"/>
              </w:rPr>
            </w:pPr>
          </w:p>
        </w:tc>
      </w:tr>
      <w:tr>
        <w:trPr>
          <w:trHeight w:val="22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Postretirement benefits</w:t>
            </w:r>
          </w:p>
        </w:tc>
        <w:tc>
          <w:tcPr>
            <w:tcW w:w="1120" w:type="dxa"/>
            <w:vAlign w:val="bottom"/>
            <w:shd w:val="clear" w:color="auto" w:fill="CFF0FC"/>
          </w:tcPr>
          <w:p>
            <w:pPr>
              <w:jc w:val="right"/>
              <w:ind w:right="960"/>
              <w:spacing w:after="0"/>
              <w:rPr>
                <w:sz w:val="20"/>
                <w:szCs w:val="20"/>
                <w:color w:val="auto"/>
              </w:rPr>
            </w:pPr>
            <w:r>
              <w:rPr>
                <w:rFonts w:ascii="Arial" w:cs="Arial" w:eastAsia="Arial" w:hAnsi="Arial"/>
                <w:sz w:val="14"/>
                <w:szCs w:val="14"/>
                <w:b w:val="1"/>
                <w:bCs w:val="1"/>
                <w:color w:val="auto"/>
                <w:w w:val="76"/>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264</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FF0FC"/>
          </w:tcPr>
          <w:p>
            <w:pPr>
              <w:spacing w:after="0"/>
              <w:rPr>
                <w:sz w:val="19"/>
                <w:szCs w:val="19"/>
                <w:color w:val="auto"/>
              </w:rPr>
            </w:pPr>
          </w:p>
        </w:tc>
      </w:tr>
      <w:tr>
        <w:trPr>
          <w:trHeight w:val="226"/>
        </w:trPr>
        <w:tc>
          <w:tcPr>
            <w:tcW w:w="7820" w:type="dxa"/>
            <w:vAlign w:val="bottom"/>
          </w:tcPr>
          <w:p>
            <w:pPr>
              <w:spacing w:after="0"/>
              <w:rPr>
                <w:sz w:val="20"/>
                <w:szCs w:val="20"/>
                <w:color w:val="auto"/>
              </w:rPr>
            </w:pPr>
            <w:r>
              <w:rPr>
                <w:rFonts w:ascii="Arial" w:cs="Arial" w:eastAsia="Arial" w:hAnsi="Arial"/>
                <w:sz w:val="18"/>
                <w:szCs w:val="18"/>
                <w:color w:val="auto"/>
              </w:rPr>
              <w:t>Intangible assets</w:t>
            </w:r>
          </w:p>
        </w:tc>
        <w:tc>
          <w:tcPr>
            <w:tcW w:w="112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1"/>
              </w:rPr>
              <w:t>(1,414)</w:t>
            </w:r>
          </w:p>
        </w:tc>
        <w:tc>
          <w:tcPr>
            <w:tcW w:w="30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(1,418)</w:t>
            </w: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Investments in non-US subsidiaries</w:t>
            </w:r>
          </w:p>
        </w:tc>
        <w:tc>
          <w:tcPr>
            <w:tcW w:w="11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(149)</w:t>
            </w:r>
          </w:p>
        </w:tc>
        <w:tc>
          <w:tcPr>
            <w:tcW w:w="3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(152)</w:t>
            </w:r>
          </w:p>
        </w:tc>
      </w:tr>
      <w:tr>
        <w:trPr>
          <w:trHeight w:val="226"/>
        </w:trPr>
        <w:tc>
          <w:tcPr>
            <w:tcW w:w="7820" w:type="dxa"/>
            <w:vAlign w:val="bottom"/>
          </w:tcPr>
          <w:p>
            <w:pPr>
              <w:spacing w:after="0"/>
              <w:rPr>
                <w:sz w:val="20"/>
                <w:szCs w:val="20"/>
                <w:color w:val="auto"/>
              </w:rPr>
            </w:pPr>
            <w:r>
              <w:rPr>
                <w:rFonts w:ascii="Arial" w:cs="Arial" w:eastAsia="Arial" w:hAnsi="Arial"/>
                <w:sz w:val="18"/>
                <w:szCs w:val="18"/>
                <w:color w:val="auto"/>
              </w:rPr>
              <w:t>Fixed assets, net</w:t>
            </w:r>
          </w:p>
        </w:tc>
        <w:tc>
          <w:tcPr>
            <w:tcW w:w="112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(173)</w:t>
            </w:r>
          </w:p>
        </w:tc>
        <w:tc>
          <w:tcPr>
            <w:tcW w:w="30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(176)</w:t>
            </w: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Inventories</w:t>
            </w:r>
          </w:p>
        </w:tc>
        <w:tc>
          <w:tcPr>
            <w:tcW w:w="11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144</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FF0FC"/>
          </w:tcPr>
          <w:p>
            <w:pPr>
              <w:spacing w:after="0"/>
              <w:rPr>
                <w:sz w:val="19"/>
                <w:szCs w:val="19"/>
                <w:color w:val="auto"/>
              </w:rPr>
            </w:pPr>
          </w:p>
        </w:tc>
      </w:tr>
      <w:tr>
        <w:trPr>
          <w:trHeight w:val="226"/>
        </w:trPr>
        <w:tc>
          <w:tcPr>
            <w:tcW w:w="7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net</w:t>
            </w:r>
          </w:p>
        </w:tc>
        <w:tc>
          <w:tcPr>
            <w:tcW w:w="1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613</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FF0FC"/>
            </w:tcBorders>
          </w:tcPr>
          <w:p>
            <w:pPr>
              <w:spacing w:after="0"/>
              <w:rPr>
                <w:sz w:val="19"/>
                <w:szCs w:val="19"/>
                <w:color w:val="auto"/>
              </w:rPr>
            </w:pPr>
          </w:p>
        </w:tc>
      </w:tr>
      <w:tr>
        <w:trPr>
          <w:trHeight w:val="219"/>
        </w:trPr>
        <w:tc>
          <w:tcPr>
            <w:tcW w:w="78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960"/>
              <w:spacing w:after="0"/>
              <w:rPr>
                <w:sz w:val="20"/>
                <w:szCs w:val="20"/>
                <w:color w:val="auto"/>
              </w:rPr>
            </w:pPr>
            <w:r>
              <w:rPr>
                <w:rFonts w:ascii="Arial" w:cs="Arial" w:eastAsia="Arial" w:hAnsi="Arial"/>
                <w:sz w:val="14"/>
                <w:szCs w:val="14"/>
                <w:b w:val="1"/>
                <w:bCs w:val="1"/>
                <w:color w:val="auto"/>
                <w:w w:val="76"/>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(715)</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(867)</w:t>
            </w:r>
          </w:p>
        </w:tc>
      </w:tr>
      <w:tr>
        <w:trPr>
          <w:trHeight w:val="20"/>
        </w:trPr>
        <w:tc>
          <w:tcPr>
            <w:tcW w:w="782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jc w:val="both"/>
        <w:ind w:right="60"/>
        <w:spacing w:after="0" w:line="266" w:lineRule="auto"/>
        <w:rPr>
          <w:sz w:val="20"/>
          <w:szCs w:val="20"/>
          <w:color w:val="auto"/>
        </w:rPr>
      </w:pPr>
      <w:r>
        <w:rPr>
          <w:rFonts w:ascii="Arial" w:cs="Arial" w:eastAsia="Arial" w:hAnsi="Arial"/>
          <w:sz w:val="18"/>
          <w:szCs w:val="18"/>
          <w:color w:val="auto"/>
        </w:rPr>
        <w:t>The above deferred tax balances at March 31, 2016 and December 31, 2015 were net of valuation allowances relating to net operating losses in certain countries of $155 million and $162 million,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components of </w:t>
      </w:r>
      <w:r>
        <w:rPr>
          <w:rFonts w:ascii="Arial" w:cs="Arial" w:eastAsia="Arial" w:hAnsi="Arial"/>
          <w:sz w:val="18"/>
          <w:szCs w:val="18"/>
          <w:i w:val="1"/>
          <w:iCs w:val="1"/>
          <w:color w:val="auto"/>
        </w:rPr>
        <w:t>Taxes on income</w:t>
      </w:r>
      <w:r>
        <w:rPr>
          <w:rFonts w:ascii="Arial" w:cs="Arial" w:eastAsia="Arial" w:hAnsi="Arial"/>
          <w:sz w:val="18"/>
          <w:szCs w:val="18"/>
          <w:color w:val="auto"/>
        </w:rPr>
        <w:t xml:space="preserve">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w w:val="98"/>
              </w:rPr>
              <w:t>(Stated in millions)</w:t>
            </w:r>
          </w:p>
        </w:tc>
        <w:tc>
          <w:tcPr>
            <w:tcW w:w="0" w:type="dxa"/>
            <w:vAlign w:val="bottom"/>
          </w:tcPr>
          <w:p>
            <w:pPr>
              <w:spacing w:after="0"/>
              <w:rPr>
                <w:sz w:val="1"/>
                <w:szCs w:val="1"/>
                <w:color w:val="auto"/>
              </w:rPr>
            </w:pPr>
          </w:p>
        </w:tc>
      </w:tr>
      <w:tr>
        <w:trPr>
          <w:trHeight w:val="423"/>
        </w:trPr>
        <w:tc>
          <w:tcPr>
            <w:tcW w:w="78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First Quarter</w:t>
            </w: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8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b w:val="1"/>
                <w:bCs w:val="1"/>
                <w:color w:val="auto"/>
              </w:rPr>
              <w:t>2016</w:t>
            </w:r>
          </w:p>
        </w:tc>
        <w:tc>
          <w:tcPr>
            <w:tcW w:w="2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Arial" w:cs="Arial" w:eastAsia="Arial" w:hAnsi="Arial"/>
                <w:sz w:val="18"/>
                <w:szCs w:val="18"/>
                <w:color w:val="auto"/>
              </w:rPr>
              <w:t>United States-Federal</w:t>
            </w:r>
          </w:p>
        </w:tc>
        <w:tc>
          <w:tcPr>
            <w:tcW w:w="360" w:type="dxa"/>
            <w:vAlign w:val="bottom"/>
          </w:tcPr>
          <w:p>
            <w:pPr>
              <w:jc w:val="right"/>
              <w:ind w:right="208"/>
              <w:spacing w:after="0"/>
              <w:rPr>
                <w:sz w:val="20"/>
                <w:szCs w:val="20"/>
                <w:color w:val="auto"/>
              </w:rPr>
            </w:pPr>
            <w:r>
              <w:rPr>
                <w:rFonts w:ascii="Arial" w:cs="Arial" w:eastAsia="Arial" w:hAnsi="Arial"/>
                <w:sz w:val="14"/>
                <w:szCs w:val="14"/>
                <w:b w:val="1"/>
                <w:bCs w:val="1"/>
                <w:color w:val="auto"/>
                <w:w w:val="76"/>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280" w:type="dxa"/>
            <w:vAlign w:val="bottom"/>
          </w:tcPr>
          <w:p>
            <w:pPr>
              <w:spacing w:after="0"/>
              <w:rPr>
                <w:sz w:val="19"/>
                <w:szCs w:val="19"/>
                <w:color w:val="auto"/>
              </w:rPr>
            </w:pPr>
          </w:p>
        </w:tc>
        <w:tc>
          <w:tcPr>
            <w:tcW w:w="440" w:type="dxa"/>
            <w:vAlign w:val="bottom"/>
          </w:tcPr>
          <w:p>
            <w:pPr>
              <w:jc w:val="right"/>
              <w:ind w:right="251"/>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United States-State</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Outside United States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w:t>
            </w:r>
          </w:p>
        </w:tc>
        <w:tc>
          <w:tcPr>
            <w:tcW w:w="2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258</w:t>
            </w:r>
          </w:p>
        </w:tc>
        <w:tc>
          <w:tcPr>
            <w:tcW w:w="28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tcPr>
          <w:p>
            <w:pPr>
              <w:spacing w:after="0"/>
              <w:rPr>
                <w:sz w:val="20"/>
                <w:szCs w:val="20"/>
                <w:color w:val="auto"/>
              </w:rPr>
            </w:pPr>
            <w:r>
              <w:rPr>
                <w:rFonts w:ascii="Arial" w:cs="Arial" w:eastAsia="Arial" w:hAnsi="Arial"/>
                <w:sz w:val="18"/>
                <w:szCs w:val="18"/>
                <w:color w:val="auto"/>
              </w:rPr>
              <w:t>Deferred:</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United States-Federal</w:t>
            </w: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b w:val="1"/>
                <w:bCs w:val="1"/>
                <w:color w:val="auto"/>
                <w:w w:val="76"/>
              </w:rPr>
              <w:t>$</w:t>
            </w: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(116)</w:t>
            </w:r>
          </w:p>
        </w:tc>
        <w:tc>
          <w:tcPr>
            <w:tcW w:w="440" w:type="dxa"/>
            <w:vAlign w:val="bottom"/>
            <w:shd w:val="clear" w:color="auto" w:fill="CFF0FC"/>
          </w:tcPr>
          <w:p>
            <w:pPr>
              <w:jc w:val="right"/>
              <w:ind w:right="251"/>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Arial" w:cs="Arial" w:eastAsia="Arial" w:hAnsi="Arial"/>
                <w:sz w:val="18"/>
                <w:szCs w:val="18"/>
                <w:color w:val="auto"/>
              </w:rPr>
              <w:t>United States-State</w:t>
            </w:r>
          </w:p>
        </w:tc>
        <w:tc>
          <w:tcPr>
            <w:tcW w:w="36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w:t>
            </w:r>
          </w:p>
        </w:tc>
        <w:tc>
          <w:tcPr>
            <w:tcW w:w="4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Outside United States</w:t>
            </w: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(35)</w:t>
            </w:r>
          </w:p>
        </w:tc>
        <w:tc>
          <w:tcPr>
            <w:tcW w:w="4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Arial" w:cs="Arial" w:eastAsia="Arial" w:hAnsi="Arial"/>
                <w:sz w:val="18"/>
                <w:szCs w:val="18"/>
                <w:color w:val="auto"/>
              </w:rPr>
              <w:t>Valuation Allowance</w:t>
            </w:r>
          </w:p>
        </w:tc>
        <w:tc>
          <w:tcPr>
            <w:tcW w:w="36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w:t>
            </w:r>
          </w:p>
        </w:tc>
        <w:tc>
          <w:tcPr>
            <w:tcW w:w="4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(159)</w:t>
            </w:r>
          </w:p>
        </w:tc>
        <w:tc>
          <w:tcPr>
            <w:tcW w:w="280" w:type="dxa"/>
            <w:vAlign w:val="bottom"/>
            <w:vMerge w:val="continue"/>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9"/>
        </w:trPr>
        <w:tc>
          <w:tcPr>
            <w:tcW w:w="78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w w:val="76"/>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w:t>
            </w:r>
          </w:p>
        </w:tc>
        <w:tc>
          <w:tcPr>
            <w:tcW w:w="28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US statutory federal tax rate (35%) to the consolidated effective income tax rate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p>
        </w:tc>
        <w:tc>
          <w:tcPr>
            <w:tcW w:w="2400" w:type="dxa"/>
            <w:vAlign w:val="bottom"/>
            <w:tcBorders>
              <w:bottom w:val="single" w:sz="8" w:color="auto"/>
            </w:tcBorders>
            <w:gridSpan w:val="3"/>
          </w:tcPr>
          <w:p>
            <w:pPr>
              <w:ind w:left="1240"/>
              <w:spacing w:after="0"/>
              <w:rPr>
                <w:sz w:val="20"/>
                <w:szCs w:val="20"/>
                <w:color w:val="auto"/>
              </w:rPr>
            </w:pPr>
            <w:r>
              <w:rPr>
                <w:rFonts w:ascii="Arial" w:cs="Arial" w:eastAsia="Arial" w:hAnsi="Arial"/>
                <w:sz w:val="18"/>
                <w:szCs w:val="18"/>
                <w:b w:val="1"/>
                <w:bCs w:val="1"/>
                <w:color w:val="auto"/>
              </w:rPr>
              <w:t>First Quarter</w:t>
            </w:r>
          </w:p>
        </w:tc>
        <w:tc>
          <w:tcPr>
            <w:tcW w:w="11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0"/>
        </w:trPr>
        <w:tc>
          <w:tcPr>
            <w:tcW w:w="7560" w:type="dxa"/>
            <w:vAlign w:val="bottom"/>
            <w:tcBorders>
              <w:bottom w:val="single" w:sz="8" w:color="CFF0FC"/>
            </w:tcBorders>
          </w:tcPr>
          <w:p>
            <w:pPr>
              <w:spacing w:after="0"/>
              <w:rPr>
                <w:sz w:val="19"/>
                <w:szCs w:val="19"/>
                <w:color w:val="auto"/>
              </w:rPr>
            </w:pPr>
          </w:p>
        </w:tc>
        <w:tc>
          <w:tcPr>
            <w:tcW w:w="158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b w:val="1"/>
                <w:bCs w:val="1"/>
                <w:color w:val="auto"/>
              </w:rPr>
              <w:t>2016</w:t>
            </w:r>
          </w:p>
        </w:tc>
        <w:tc>
          <w:tcPr>
            <w:tcW w:w="36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color w:val="auto"/>
              </w:rPr>
              <w:t>2015</w:t>
            </w:r>
          </w:p>
        </w:tc>
        <w:tc>
          <w:tcPr>
            <w:tcW w:w="160" w:type="dxa"/>
            <w:vAlign w:val="bottom"/>
            <w:tcBorders>
              <w:bottom w:val="single" w:sz="8" w:color="CFF0FC"/>
            </w:tcBorders>
          </w:tcPr>
          <w:p>
            <w:pPr>
              <w:spacing w:after="0"/>
              <w:rPr>
                <w:sz w:val="19"/>
                <w:szCs w:val="19"/>
                <w:color w:val="auto"/>
              </w:rPr>
            </w:pPr>
          </w:p>
        </w:tc>
      </w:tr>
      <w:tr>
        <w:trPr>
          <w:trHeight w:val="219"/>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US federal statutory rate</w:t>
            </w:r>
          </w:p>
        </w:tc>
        <w:tc>
          <w:tcPr>
            <w:tcW w:w="1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35%</w:t>
            </w:r>
          </w:p>
        </w:tc>
        <w:tc>
          <w:tcPr>
            <w:tcW w:w="4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w:t>
            </w:r>
          </w:p>
        </w:tc>
      </w:tr>
      <w:tr>
        <w:trPr>
          <w:trHeight w:val="226"/>
        </w:trPr>
        <w:tc>
          <w:tcPr>
            <w:tcW w:w="7560" w:type="dxa"/>
            <w:vAlign w:val="bottom"/>
          </w:tcPr>
          <w:p>
            <w:pPr>
              <w:spacing w:after="0"/>
              <w:rPr>
                <w:sz w:val="20"/>
                <w:szCs w:val="20"/>
                <w:color w:val="auto"/>
              </w:rPr>
            </w:pPr>
            <w:r>
              <w:rPr>
                <w:rFonts w:ascii="Arial" w:cs="Arial" w:eastAsia="Arial" w:hAnsi="Arial"/>
                <w:sz w:val="18"/>
                <w:szCs w:val="18"/>
                <w:color w:val="auto"/>
              </w:rPr>
              <w:t>State tax</w:t>
            </w:r>
          </w:p>
        </w:tc>
        <w:tc>
          <w:tcPr>
            <w:tcW w:w="19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w:t>
            </w: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r>
      <w:tr>
        <w:trPr>
          <w:trHeight w:val="226"/>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Non-US income taxed at different rates</w:t>
            </w:r>
          </w:p>
        </w:tc>
        <w:tc>
          <w:tcPr>
            <w:tcW w:w="19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b w:val="1"/>
                <w:bCs w:val="1"/>
                <w:color w:val="auto"/>
              </w:rPr>
              <w:t>(16)</w:t>
            </w:r>
          </w:p>
        </w:tc>
        <w:tc>
          <w:tcPr>
            <w:tcW w:w="4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w:t>
            </w:r>
          </w:p>
        </w:tc>
      </w:tr>
      <w:tr>
        <w:trPr>
          <w:trHeight w:val="226"/>
        </w:trPr>
        <w:tc>
          <w:tcPr>
            <w:tcW w:w="7560" w:type="dxa"/>
            <w:vAlign w:val="bottom"/>
          </w:tcPr>
          <w:p>
            <w:pPr>
              <w:spacing w:after="0"/>
              <w:rPr>
                <w:sz w:val="20"/>
                <w:szCs w:val="20"/>
                <w:color w:val="auto"/>
              </w:rPr>
            </w:pPr>
            <w:r>
              <w:rPr>
                <w:rFonts w:ascii="Arial" w:cs="Arial" w:eastAsia="Arial" w:hAnsi="Arial"/>
                <w:sz w:val="18"/>
                <w:szCs w:val="18"/>
                <w:color w:val="auto"/>
              </w:rPr>
              <w:t>Charges and credits (See Note 2)</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r>
      <w:tr>
        <w:trPr>
          <w:trHeight w:val="226"/>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9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b w:val="1"/>
                <w:bCs w:val="1"/>
                <w:color w:val="auto"/>
              </w:rPr>
              <w:t>(2)</w:t>
            </w:r>
          </w:p>
        </w:tc>
        <w:tc>
          <w:tcPr>
            <w:tcW w:w="4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w:t>
            </w:r>
          </w:p>
        </w:tc>
      </w:tr>
      <w:tr>
        <w:trPr>
          <w:trHeight w:val="20"/>
        </w:trPr>
        <w:tc>
          <w:tcPr>
            <w:tcW w:w="756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9"/>
        </w:trPr>
        <w:tc>
          <w:tcPr>
            <w:tcW w:w="7560" w:type="dxa"/>
            <w:vAlign w:val="bottom"/>
          </w:tcPr>
          <w:p>
            <w:pPr>
              <w:spacing w:after="0"/>
              <w:rPr>
                <w:sz w:val="19"/>
                <w:szCs w:val="19"/>
                <w:color w:val="auto"/>
              </w:rPr>
            </w:pPr>
          </w:p>
        </w:tc>
        <w:tc>
          <w:tcPr>
            <w:tcW w:w="19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16%</w:t>
            </w:r>
          </w:p>
        </w:tc>
        <w:tc>
          <w:tcPr>
            <w:tcW w:w="46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r>
      <w:tr>
        <w:trPr>
          <w:trHeight w:val="20"/>
        </w:trPr>
        <w:tc>
          <w:tcPr>
            <w:tcW w:w="756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340" w:lineRule="exact"/>
        <w:rPr>
          <w:sz w:val="20"/>
          <w:szCs w:val="20"/>
          <w:color w:val="auto"/>
        </w:rPr>
      </w:pPr>
    </w:p>
    <w:p>
      <w:pPr>
        <w:ind w:left="360" w:hanging="354"/>
        <w:spacing w:after="0"/>
        <w:tabs>
          <w:tab w:leader="none" w:pos="3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Contingencies</w:t>
      </w:r>
    </w:p>
    <w:p>
      <w:pPr>
        <w:spacing w:after="0" w:line="118"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Schlumberger and its subsidiaries are party to various legal proceedings from time to time. A liability is accrued when a loss is both probable and can be reasonably estimated. Management believes that the probability of a material loss with respect to any currently pending legal proceedings is remote. However, litigation is inherently uncertain and it is not possible to predict the ultimate disposition of any of these proceedings.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67"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 xml:space="preserve">13.  </w:t>
      </w:r>
      <w:r>
        <w:rPr>
          <w:rFonts w:ascii="Arial" w:cs="Arial" w:eastAsia="Arial" w:hAnsi="Arial"/>
          <w:sz w:val="18"/>
          <w:szCs w:val="18"/>
          <w:b w:val="1"/>
          <w:bCs w:val="1"/>
          <w:u w:val="single" w:color="auto"/>
          <w:color w:val="auto"/>
        </w:rPr>
        <w:t>Segment Information</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w w:val="98"/>
              </w:rPr>
              <w:t>(Stated in millions)</w:t>
            </w:r>
          </w:p>
        </w:tc>
      </w:tr>
      <w:tr>
        <w:trPr>
          <w:trHeight w:val="436"/>
        </w:trPr>
        <w:tc>
          <w:tcPr>
            <w:tcW w:w="58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8"/>
                <w:szCs w:val="18"/>
                <w:b w:val="1"/>
                <w:bCs w:val="1"/>
                <w:color w:val="auto"/>
              </w:rPr>
              <w:t>First Quarter 2016</w:t>
            </w:r>
          </w:p>
        </w:tc>
        <w:tc>
          <w:tcPr>
            <w:tcW w:w="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8"/>
                <w:szCs w:val="18"/>
                <w:color w:val="auto"/>
              </w:rPr>
              <w:t>First Quarter 2015</w:t>
            </w:r>
          </w:p>
        </w:tc>
        <w:tc>
          <w:tcPr>
            <w:tcW w:w="100" w:type="dxa"/>
            <w:vAlign w:val="bottom"/>
          </w:tcPr>
          <w:p>
            <w:pPr>
              <w:spacing w:after="0"/>
              <w:rPr>
                <w:sz w:val="24"/>
                <w:szCs w:val="24"/>
                <w:color w:val="auto"/>
              </w:rPr>
            </w:pPr>
          </w:p>
        </w:tc>
      </w:tr>
      <w:tr>
        <w:trPr>
          <w:trHeight w:val="215"/>
        </w:trPr>
        <w:tc>
          <w:tcPr>
            <w:tcW w:w="5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center"/>
              <w:ind w:right="111"/>
              <w:spacing w:after="0"/>
              <w:rPr>
                <w:sz w:val="20"/>
                <w:szCs w:val="20"/>
                <w:color w:val="auto"/>
              </w:rPr>
            </w:pPr>
            <w:r>
              <w:rPr>
                <w:rFonts w:ascii="Arial" w:cs="Arial" w:eastAsia="Arial" w:hAnsi="Arial"/>
                <w:sz w:val="18"/>
                <w:szCs w:val="18"/>
                <w:b w:val="1"/>
                <w:bCs w:val="1"/>
                <w:color w:val="auto"/>
                <w:w w:val="88"/>
              </w:rPr>
              <w:t>Income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Income</w:t>
            </w:r>
          </w:p>
        </w:tc>
      </w:tr>
      <w:tr>
        <w:trPr>
          <w:trHeight w:val="226"/>
        </w:trPr>
        <w:tc>
          <w:tcPr>
            <w:tcW w:w="5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before</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before</w:t>
            </w:r>
          </w:p>
        </w:tc>
      </w:tr>
      <w:tr>
        <w:trPr>
          <w:trHeight w:val="230"/>
        </w:trPr>
        <w:tc>
          <w:tcPr>
            <w:tcW w:w="5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3"/>
              </w:rPr>
              <w:t>Revenue</w:t>
            </w:r>
          </w:p>
        </w:tc>
        <w:tc>
          <w:tcPr>
            <w:tcW w:w="200" w:type="dxa"/>
            <w:vAlign w:val="bottom"/>
          </w:tcPr>
          <w:p>
            <w:pPr>
              <w:spacing w:after="0"/>
              <w:rPr>
                <w:sz w:val="20"/>
                <w:szCs w:val="20"/>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2"/>
              </w:rPr>
              <w:t>Taxes</w:t>
            </w:r>
          </w:p>
        </w:tc>
        <w:tc>
          <w:tcPr>
            <w:tcW w:w="180" w:type="dxa"/>
            <w:vAlign w:val="bottom"/>
          </w:tcPr>
          <w:p>
            <w:pPr>
              <w:spacing w:after="0"/>
              <w:rPr>
                <w:sz w:val="20"/>
                <w:szCs w:val="20"/>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w w:val="94"/>
              </w:rPr>
              <w:t>Revenue</w:t>
            </w:r>
          </w:p>
        </w:tc>
        <w:tc>
          <w:tcPr>
            <w:tcW w:w="200" w:type="dxa"/>
            <w:vAlign w:val="bottom"/>
          </w:tcPr>
          <w:p>
            <w:pPr>
              <w:spacing w:after="0"/>
              <w:rPr>
                <w:sz w:val="20"/>
                <w:szCs w:val="20"/>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color w:val="auto"/>
                <w:w w:val="81"/>
              </w:rPr>
              <w:t>Taxes</w:t>
            </w:r>
          </w:p>
        </w:tc>
      </w:tr>
      <w:tr>
        <w:trPr>
          <w:trHeight w:val="220"/>
        </w:trPr>
        <w:tc>
          <w:tcPr>
            <w:tcW w:w="5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18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1,747</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331</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2,655</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5880" w:type="dxa"/>
            <w:vAlign w:val="bottom"/>
          </w:tcPr>
          <w:p>
            <w:pPr>
              <w:spacing w:after="0"/>
              <w:rPr>
                <w:sz w:val="20"/>
                <w:szCs w:val="20"/>
                <w:color w:val="auto"/>
              </w:rPr>
            </w:pPr>
            <w:r>
              <w:rPr>
                <w:rFonts w:ascii="Arial" w:cs="Arial" w:eastAsia="Arial" w:hAnsi="Arial"/>
                <w:sz w:val="18"/>
                <w:szCs w:val="18"/>
                <w:color w:val="auto"/>
              </w:rPr>
              <w:t>Drilling</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2,493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371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3,922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2,348</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w:t>
            </w:r>
          </w:p>
        </w:tc>
        <w:tc>
          <w:tcPr>
            <w:tcW w:w="100" w:type="dxa"/>
            <w:vAlign w:val="bottom"/>
            <w:shd w:val="clear" w:color="auto" w:fill="CFF0FC"/>
          </w:tcPr>
          <w:p>
            <w:pPr>
              <w:spacing w:after="0"/>
              <w:rPr>
                <w:sz w:val="19"/>
                <w:szCs w:val="19"/>
                <w:color w:val="auto"/>
              </w:rPr>
            </w:pPr>
          </w:p>
        </w:tc>
      </w:tr>
      <w:tr>
        <w:trPr>
          <w:trHeight w:val="226"/>
        </w:trPr>
        <w:tc>
          <w:tcPr>
            <w:tcW w:w="5880" w:type="dxa"/>
            <w:vAlign w:val="bottom"/>
          </w:tcPr>
          <w:p>
            <w:pPr>
              <w:spacing w:after="0"/>
              <w:rPr>
                <w:sz w:val="20"/>
                <w:szCs w:val="20"/>
                <w:color w:val="auto"/>
              </w:rPr>
            </w:pPr>
            <w:r>
              <w:rPr>
                <w:rFonts w:ascii="Arial" w:cs="Arial" w:eastAsia="Arial" w:hAnsi="Arial"/>
                <w:sz w:val="18"/>
                <w:szCs w:val="18"/>
                <w:color w:val="auto"/>
              </w:rPr>
              <w:t>Eliminations &amp; other</w:t>
            </w: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(68)</w:t>
            </w: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(9)</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9"/>
        </w:trPr>
        <w:tc>
          <w:tcPr>
            <w:tcW w:w="58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Pretax operating income</w:t>
            </w:r>
          </w:p>
        </w:tc>
        <w:tc>
          <w:tcPr>
            <w:tcW w:w="18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901</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5880" w:type="dxa"/>
            <w:vAlign w:val="bottom"/>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(172)</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(192)</w:t>
            </w:r>
          </w:p>
        </w:tc>
      </w:tr>
      <w:tr>
        <w:trPr>
          <w:trHeight w:val="226"/>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r>
      <w:tr>
        <w:trPr>
          <w:trHeight w:val="226"/>
        </w:trPr>
        <w:tc>
          <w:tcPr>
            <w:tcW w:w="5880" w:type="dxa"/>
            <w:vAlign w:val="bottom"/>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(120)</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r>
      <w:tr>
        <w:trPr>
          <w:trHeight w:val="226"/>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Charges and credits </w:t>
            </w:r>
            <w:r>
              <w:rPr>
                <w:rFonts w:ascii="Arial" w:cs="Arial" w:eastAsia="Arial" w:hAnsi="Arial"/>
                <w:sz w:val="15"/>
                <w:szCs w:val="15"/>
                <w:color w:val="auto"/>
              </w:rPr>
              <w:t>(4)</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(439)</w:t>
            </w:r>
          </w:p>
        </w:tc>
      </w:tr>
      <w:tr>
        <w:trPr>
          <w:trHeight w:val="219"/>
        </w:trPr>
        <w:tc>
          <w:tcPr>
            <w:tcW w:w="58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6,520</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622</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10,248</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1,294</w:t>
            </w:r>
          </w:p>
        </w:tc>
        <w:tc>
          <w:tcPr>
            <w:tcW w:w="100" w:type="dxa"/>
            <w:vAlign w:val="bottom"/>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3" w:lineRule="exact"/>
        <w:rPr>
          <w:sz w:val="20"/>
          <w:szCs w:val="20"/>
          <w:color w:val="auto"/>
        </w:rPr>
      </w:pPr>
    </w:p>
    <w:p>
      <w:pPr>
        <w:ind w:left="300" w:right="20" w:hanging="287"/>
        <w:spacing w:after="0" w:line="286" w:lineRule="auto"/>
        <w:tabs>
          <w:tab w:leader="none" w:pos="241" w:val="left"/>
        </w:tabs>
        <w:numPr>
          <w:ilvl w:val="0"/>
          <w:numId w:val="15"/>
        </w:numPr>
        <w:rPr>
          <w:rFonts w:ascii="Arial" w:cs="Arial" w:eastAsia="Arial" w:hAnsi="Arial"/>
          <w:sz w:val="15"/>
          <w:szCs w:val="15"/>
          <w:color w:val="auto"/>
        </w:rPr>
      </w:pPr>
      <w:r>
        <w:rPr>
          <w:rFonts w:ascii="Arial" w:cs="Arial" w:eastAsia="Arial" w:hAnsi="Arial"/>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79" w:lineRule="exact"/>
        <w:rPr>
          <w:rFonts w:ascii="Arial" w:cs="Arial" w:eastAsia="Arial" w:hAnsi="Arial"/>
          <w:sz w:val="15"/>
          <w:szCs w:val="15"/>
          <w:color w:val="auto"/>
        </w:rPr>
      </w:pPr>
    </w:p>
    <w:p>
      <w:pPr>
        <w:ind w:left="280" w:hanging="255"/>
        <w:spacing w:after="0"/>
        <w:tabs>
          <w:tab w:leader="none" w:pos="280" w:val="left"/>
        </w:tabs>
        <w:numPr>
          <w:ilvl w:val="2"/>
          <w:numId w:val="15"/>
        </w:numPr>
        <w:rPr>
          <w:rFonts w:ascii="Arial" w:cs="Arial" w:eastAsia="Arial" w:hAnsi="Arial"/>
          <w:sz w:val="15"/>
          <w:szCs w:val="15"/>
          <w:color w:val="auto"/>
        </w:rPr>
      </w:pPr>
      <w:r>
        <w:rPr>
          <w:rFonts w:ascii="Arial" w:cs="Arial" w:eastAsia="Arial" w:hAnsi="Arial"/>
          <w:sz w:val="16"/>
          <w:szCs w:val="16"/>
          <w:color w:val="auto"/>
        </w:rPr>
        <w:t>Interest income excludes amounts which are included in the segments’ income ($6 million in 2016; $5 million in 2015).</w:t>
      </w:r>
    </w:p>
    <w:p>
      <w:pPr>
        <w:spacing w:after="0" w:line="134" w:lineRule="exact"/>
        <w:rPr>
          <w:rFonts w:ascii="Arial" w:cs="Arial" w:eastAsia="Arial" w:hAnsi="Arial"/>
          <w:sz w:val="15"/>
          <w:szCs w:val="15"/>
          <w:color w:val="auto"/>
        </w:rPr>
      </w:pPr>
    </w:p>
    <w:p>
      <w:pPr>
        <w:ind w:left="300" w:hanging="294"/>
        <w:spacing w:after="0"/>
        <w:tabs>
          <w:tab w:leader="none" w:pos="300" w:val="left"/>
        </w:tabs>
        <w:numPr>
          <w:ilvl w:val="1"/>
          <w:numId w:val="15"/>
        </w:numPr>
        <w:rPr>
          <w:rFonts w:ascii="Arial" w:cs="Arial" w:eastAsia="Arial" w:hAnsi="Arial"/>
          <w:sz w:val="15"/>
          <w:szCs w:val="15"/>
          <w:color w:val="auto"/>
        </w:rPr>
      </w:pPr>
      <w:r>
        <w:rPr>
          <w:rFonts w:ascii="Arial" w:cs="Arial" w:eastAsia="Arial" w:hAnsi="Arial"/>
          <w:sz w:val="16"/>
          <w:szCs w:val="16"/>
          <w:color w:val="auto"/>
        </w:rPr>
        <w:t>Interest expense excludes amounts which are included in the segments’ income ($13 million in 2016; $6 million in 2015).</w:t>
      </w:r>
    </w:p>
    <w:p>
      <w:pPr>
        <w:spacing w:after="0" w:line="134" w:lineRule="exact"/>
        <w:rPr>
          <w:rFonts w:ascii="Arial" w:cs="Arial" w:eastAsia="Arial" w:hAnsi="Arial"/>
          <w:sz w:val="15"/>
          <w:szCs w:val="15"/>
          <w:color w:val="auto"/>
        </w:rPr>
      </w:pPr>
    </w:p>
    <w:p>
      <w:pPr>
        <w:ind w:left="300" w:hanging="294"/>
        <w:spacing w:after="0"/>
        <w:tabs>
          <w:tab w:leader="none" w:pos="300" w:val="left"/>
        </w:tabs>
        <w:numPr>
          <w:ilvl w:val="1"/>
          <w:numId w:val="15"/>
        </w:numPr>
        <w:rPr>
          <w:rFonts w:ascii="Arial" w:cs="Arial" w:eastAsia="Arial" w:hAnsi="Arial"/>
          <w:sz w:val="15"/>
          <w:szCs w:val="15"/>
          <w:color w:val="auto"/>
        </w:rPr>
      </w:pPr>
      <w:r>
        <w:rPr>
          <w:rFonts w:ascii="Arial" w:cs="Arial" w:eastAsia="Arial" w:hAnsi="Arial"/>
          <w:sz w:val="16"/>
          <w:szCs w:val="16"/>
          <w:color w:val="auto"/>
        </w:rPr>
        <w:t xml:space="preserve">See Note 2 – </w:t>
      </w:r>
      <w:r>
        <w:rPr>
          <w:rFonts w:ascii="Arial" w:cs="Arial" w:eastAsia="Arial" w:hAnsi="Arial"/>
          <w:sz w:val="16"/>
          <w:szCs w:val="16"/>
          <w:i w:val="1"/>
          <w:iCs w:val="1"/>
          <w:color w:val="auto"/>
        </w:rPr>
        <w:t>Charges and Credits</w:t>
      </w:r>
      <w:r>
        <w:rPr>
          <w:rFonts w:ascii="Arial" w:cs="Arial" w:eastAsia="Arial" w:hAnsi="Arial"/>
          <w:sz w:val="16"/>
          <w:szCs w:val="16"/>
          <w:color w:val="auto"/>
        </w:rPr>
        <w:t>.</w:t>
      </w:r>
    </w:p>
    <w:p>
      <w:pPr>
        <w:spacing w:after="0" w:line="339" w:lineRule="exact"/>
        <w:rPr>
          <w:sz w:val="20"/>
          <w:szCs w:val="20"/>
          <w:color w:val="auto"/>
        </w:rPr>
      </w:pPr>
    </w:p>
    <w:p>
      <w:pPr>
        <w:ind w:left="360" w:hanging="354"/>
        <w:spacing w:after="0"/>
        <w:tabs>
          <w:tab w:leader="none" w:pos="3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Pension and Other Postretirement Benefit Plans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Net pension cost for the Schlumberger pension plans included the following components:</w:t>
      </w:r>
    </w:p>
    <w:p>
      <w:pPr>
        <w:spacing w:after="0" w:line="225"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i w:val="1"/>
                <w:iCs w:val="1"/>
                <w:color w:val="auto"/>
                <w:w w:val="95"/>
              </w:rPr>
              <w:t>(Stated in millions)</w:t>
            </w:r>
          </w:p>
        </w:tc>
      </w:tr>
      <w:tr>
        <w:trPr>
          <w:trHeight w:val="449"/>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First Quarter</w:t>
            </w: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20"/>
        </w:trPr>
        <w:tc>
          <w:tcPr>
            <w:tcW w:w="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4"/>
          </w:tcPr>
          <w:p>
            <w:pPr>
              <w:jc w:val="right"/>
              <w:ind w:right="168"/>
              <w:spacing w:after="0"/>
              <w:rPr>
                <w:sz w:val="20"/>
                <w:szCs w:val="20"/>
                <w:color w:val="auto"/>
              </w:rPr>
            </w:pPr>
            <w:r>
              <w:rPr>
                <w:rFonts w:ascii="Arial" w:cs="Arial" w:eastAsia="Arial" w:hAnsi="Arial"/>
                <w:sz w:val="18"/>
                <w:szCs w:val="18"/>
                <w:b w:val="1"/>
                <w:bCs w:val="1"/>
                <w:color w:val="auto"/>
              </w:rPr>
              <w:t>2016</w:t>
            </w:r>
          </w:p>
        </w:tc>
        <w:tc>
          <w:tcPr>
            <w:tcW w:w="9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2015</w:t>
            </w:r>
          </w:p>
        </w:tc>
        <w:tc>
          <w:tcPr>
            <w:tcW w:w="11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3840" w:type="dxa"/>
            <w:vAlign w:val="bottom"/>
            <w:tcBorders>
              <w:bottom w:val="single" w:sz="8" w:color="CFF0FC"/>
            </w:tcBorders>
          </w:tcPr>
          <w:p>
            <w:pPr>
              <w:spacing w:after="0"/>
              <w:rPr>
                <w:sz w:val="19"/>
                <w:szCs w:val="19"/>
                <w:color w:val="auto"/>
              </w:rPr>
            </w:pPr>
          </w:p>
        </w:tc>
        <w:tc>
          <w:tcPr>
            <w:tcW w:w="14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US</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Int'l</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US</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14"/>
              <w:spacing w:after="0"/>
              <w:rPr>
                <w:sz w:val="20"/>
                <w:szCs w:val="20"/>
                <w:color w:val="auto"/>
              </w:rPr>
            </w:pPr>
            <w:r>
              <w:rPr>
                <w:rFonts w:ascii="Arial" w:cs="Arial" w:eastAsia="Arial" w:hAnsi="Arial"/>
                <w:sz w:val="18"/>
                <w:szCs w:val="18"/>
                <w:color w:val="auto"/>
              </w:rPr>
              <w:t>Int'l</w:t>
            </w:r>
          </w:p>
        </w:tc>
        <w:tc>
          <w:tcPr>
            <w:tcW w:w="160" w:type="dxa"/>
            <w:vAlign w:val="bottom"/>
            <w:tcBorders>
              <w:bottom w:val="single" w:sz="8" w:color="CFF0FC"/>
            </w:tcBorders>
          </w:tcPr>
          <w:p>
            <w:pPr>
              <w:spacing w:after="0"/>
              <w:rPr>
                <w:sz w:val="19"/>
                <w:szCs w:val="19"/>
                <w:color w:val="auto"/>
              </w:rPr>
            </w:pPr>
          </w:p>
        </w:tc>
      </w:tr>
      <w:tr>
        <w:trPr>
          <w:trHeight w:val="232"/>
        </w:trPr>
        <w:tc>
          <w:tcPr>
            <w:tcW w:w="20" w:type="dxa"/>
            <w:vAlign w:val="bottom"/>
          </w:tcPr>
          <w:p>
            <w:pPr>
              <w:spacing w:after="0"/>
              <w:rPr>
                <w:sz w:val="20"/>
                <w:szCs w:val="20"/>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Service cost</w:t>
            </w:r>
          </w:p>
        </w:tc>
        <w:tc>
          <w:tcPr>
            <w:tcW w:w="1760" w:type="dxa"/>
            <w:vAlign w:val="bottom"/>
            <w:gridSpan w:val="2"/>
            <w:shd w:val="clear" w:color="auto" w:fill="CFF0FC"/>
          </w:tcPr>
          <w:p>
            <w:pPr>
              <w:jc w:val="right"/>
              <w:ind w:right="111"/>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18</w:t>
            </w:r>
          </w:p>
        </w:tc>
        <w:tc>
          <w:tcPr>
            <w:tcW w:w="14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37</w:t>
            </w:r>
          </w:p>
        </w:tc>
        <w:tc>
          <w:tcPr>
            <w:tcW w:w="160" w:type="dxa"/>
            <w:vAlign w:val="bottom"/>
            <w:shd w:val="clear" w:color="auto" w:fill="CFF0FC"/>
          </w:tcPr>
          <w:p>
            <w:pPr>
              <w:spacing w:after="0"/>
              <w:rPr>
                <w:sz w:val="20"/>
                <w:szCs w:val="20"/>
                <w:color w:val="auto"/>
              </w:rPr>
            </w:pPr>
          </w:p>
        </w:tc>
        <w:tc>
          <w:tcPr>
            <w:tcW w:w="54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FF0FC"/>
          </w:tcPr>
          <w:p>
            <w:pPr>
              <w:spacing w:after="0"/>
              <w:rPr>
                <w:sz w:val="20"/>
                <w:szCs w:val="20"/>
                <w:color w:val="auto"/>
              </w:rPr>
            </w:pPr>
          </w:p>
        </w:tc>
        <w:tc>
          <w:tcPr>
            <w:tcW w:w="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FF0FC"/>
          </w:tcPr>
          <w:p>
            <w:pPr>
              <w:spacing w:after="0"/>
              <w:rPr>
                <w:sz w:val="20"/>
                <w:szCs w:val="20"/>
                <w:color w:val="auto"/>
              </w:rPr>
            </w:pPr>
          </w:p>
        </w:tc>
      </w:tr>
      <w:tr>
        <w:trPr>
          <w:trHeight w:val="239"/>
        </w:trPr>
        <w:tc>
          <w:tcPr>
            <w:tcW w:w="386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1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80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Expected return on plan assets</w:t>
            </w:r>
          </w:p>
        </w:tc>
        <w:tc>
          <w:tcPr>
            <w:tcW w:w="14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(61)</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(134)</w:t>
            </w:r>
          </w:p>
        </w:tc>
        <w:tc>
          <w:tcPr>
            <w:tcW w:w="1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(56)</w:t>
            </w: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(128)</w:t>
            </w:r>
          </w:p>
        </w:tc>
      </w:tr>
      <w:tr>
        <w:trPr>
          <w:trHeight w:val="239"/>
        </w:trPr>
        <w:tc>
          <w:tcPr>
            <w:tcW w:w="3860" w:type="dxa"/>
            <w:vAlign w:val="bottom"/>
            <w:gridSpan w:val="2"/>
          </w:tcPr>
          <w:p>
            <w:pPr>
              <w:spacing w:after="0"/>
              <w:rPr>
                <w:sz w:val="20"/>
                <w:szCs w:val="20"/>
                <w:color w:val="auto"/>
              </w:rPr>
            </w:pPr>
            <w:r>
              <w:rPr>
                <w:rFonts w:ascii="Arial" w:cs="Arial" w:eastAsia="Arial" w:hAnsi="Arial"/>
                <w:sz w:val="18"/>
                <w:szCs w:val="18"/>
                <w:color w:val="auto"/>
              </w:rPr>
              <w:t>Amortization of prior service cost</w:t>
            </w:r>
          </w:p>
        </w:tc>
        <w:tc>
          <w:tcPr>
            <w:tcW w:w="1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net loss</w:t>
            </w:r>
          </w:p>
        </w:tc>
        <w:tc>
          <w:tcPr>
            <w:tcW w:w="146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23</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22</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FF0FC"/>
          </w:tcPr>
          <w:p>
            <w:pPr>
              <w:spacing w:after="0"/>
              <w:rPr>
                <w:sz w:val="20"/>
                <w:szCs w:val="20"/>
                <w:color w:val="auto"/>
              </w:rPr>
            </w:pPr>
          </w:p>
        </w:tc>
      </w:tr>
      <w:tr>
        <w:trPr>
          <w:trHeight w:val="219"/>
        </w:trPr>
        <w:tc>
          <w:tcPr>
            <w:tcW w:w="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160" w:type="dxa"/>
            <w:vAlign w:val="bottom"/>
          </w:tcPr>
          <w:p>
            <w:pPr>
              <w:spacing w:after="0"/>
              <w:rPr>
                <w:sz w:val="19"/>
                <w:szCs w:val="19"/>
                <w:color w:val="auto"/>
              </w:rPr>
            </w:pP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19"/>
                <w:szCs w:val="19"/>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net periodic benefit cost for the Schlumberger US postretirement medical plan included the following components: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08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w w:val="98"/>
              </w:rPr>
              <w:t>(Stated in millions)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3"/>
        </w:trPr>
        <w:tc>
          <w:tcPr>
            <w:tcW w:w="40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First Quarter</w:t>
            </w: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080" w:type="dxa"/>
            <w:vAlign w:val="bottom"/>
            <w:tcBorders>
              <w:bottom w:val="single" w:sz="8" w:color="CFF0FC"/>
            </w:tcBorders>
          </w:tcPr>
          <w:p>
            <w:pPr>
              <w:spacing w:after="0"/>
              <w:rPr>
                <w:sz w:val="19"/>
                <w:szCs w:val="19"/>
                <w:color w:val="auto"/>
              </w:rPr>
            </w:pPr>
          </w:p>
        </w:tc>
        <w:tc>
          <w:tcPr>
            <w:tcW w:w="374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jc w:val="right"/>
              <w:ind w:right="62"/>
              <w:spacing w:after="0"/>
              <w:rPr>
                <w:sz w:val="20"/>
                <w:szCs w:val="20"/>
                <w:color w:val="auto"/>
              </w:rPr>
            </w:pPr>
            <w:r>
              <w:rPr>
                <w:rFonts w:ascii="Arial" w:cs="Arial" w:eastAsia="Arial" w:hAnsi="Arial"/>
                <w:sz w:val="18"/>
                <w:szCs w:val="18"/>
                <w:b w:val="1"/>
                <w:bCs w:val="1"/>
                <w:color w:val="auto"/>
              </w:rPr>
              <w:t>2016</w:t>
            </w:r>
          </w:p>
        </w:tc>
        <w:tc>
          <w:tcPr>
            <w:tcW w:w="50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Service cost</w:t>
            </w:r>
          </w:p>
        </w:tc>
        <w:tc>
          <w:tcPr>
            <w:tcW w:w="37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42"/>
              <w:spacing w:after="0"/>
              <w:rPr>
                <w:sz w:val="20"/>
                <w:szCs w:val="20"/>
                <w:color w:val="auto"/>
              </w:rPr>
            </w:pPr>
            <w:r>
              <w:rPr>
                <w:rFonts w:ascii="Arial" w:cs="Arial" w:eastAsia="Arial" w:hAnsi="Arial"/>
                <w:sz w:val="14"/>
                <w:szCs w:val="14"/>
                <w:b w:val="1"/>
                <w:bCs w:val="1"/>
                <w:color w:val="auto"/>
                <w:w w:val="76"/>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1"/>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80" w:type="dxa"/>
            <w:vAlign w:val="bottom"/>
          </w:tcPr>
          <w:p>
            <w:pPr>
              <w:spacing w:after="0"/>
              <w:rPr>
                <w:sz w:val="20"/>
                <w:szCs w:val="20"/>
                <w:color w:val="auto"/>
              </w:rPr>
            </w:pPr>
            <w:r>
              <w:rPr>
                <w:rFonts w:ascii="Arial" w:cs="Arial" w:eastAsia="Arial" w:hAnsi="Arial"/>
                <w:sz w:val="18"/>
                <w:szCs w:val="18"/>
                <w:color w:val="auto"/>
              </w:rPr>
              <w:t>Interest cost</w:t>
            </w:r>
          </w:p>
        </w:tc>
        <w:tc>
          <w:tcPr>
            <w:tcW w:w="3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Expected return on plan assets</w:t>
            </w:r>
          </w:p>
        </w:tc>
        <w:tc>
          <w:tcPr>
            <w:tcW w:w="37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(14)</w:t>
            </w:r>
          </w:p>
        </w:tc>
        <w:tc>
          <w:tcPr>
            <w:tcW w:w="4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80" w:type="dxa"/>
            <w:vAlign w:val="bottom"/>
          </w:tcPr>
          <w:p>
            <w:pPr>
              <w:spacing w:after="0"/>
              <w:rPr>
                <w:sz w:val="20"/>
                <w:szCs w:val="20"/>
                <w:color w:val="auto"/>
              </w:rPr>
            </w:pPr>
            <w:r>
              <w:rPr>
                <w:rFonts w:ascii="Arial" w:cs="Arial" w:eastAsia="Arial" w:hAnsi="Arial"/>
                <w:sz w:val="18"/>
                <w:szCs w:val="18"/>
                <w:color w:val="auto"/>
              </w:rPr>
              <w:t>Amortization of prior service credit</w:t>
            </w:r>
          </w:p>
        </w:tc>
        <w:tc>
          <w:tcPr>
            <w:tcW w:w="3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w:t>
            </w:r>
          </w:p>
        </w:tc>
        <w:tc>
          <w:tcPr>
            <w:tcW w:w="44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net loss (gain)</w:t>
            </w:r>
          </w:p>
        </w:tc>
        <w:tc>
          <w:tcPr>
            <w:tcW w:w="3740" w:type="dxa"/>
            <w:vAlign w:val="bottom"/>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100" w:type="dxa"/>
            <w:vAlign w:val="bottom"/>
          </w:tcPr>
          <w:p>
            <w:pPr>
              <w:jc w:val="right"/>
              <w:ind w:right="942"/>
              <w:spacing w:after="0"/>
              <w:rPr>
                <w:sz w:val="20"/>
                <w:szCs w:val="20"/>
                <w:color w:val="auto"/>
              </w:rPr>
            </w:pPr>
            <w:r>
              <w:rPr>
                <w:rFonts w:ascii="Arial" w:cs="Arial" w:eastAsia="Arial" w:hAnsi="Arial"/>
                <w:sz w:val="14"/>
                <w:szCs w:val="14"/>
                <w:b w:val="1"/>
                <w:bCs w:val="1"/>
                <w:color w:val="auto"/>
                <w:w w:val="76"/>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w:t>
            </w:r>
          </w:p>
        </w:tc>
        <w:tc>
          <w:tcPr>
            <w:tcW w:w="440" w:type="dxa"/>
            <w:vAlign w:val="bottom"/>
          </w:tcPr>
          <w:p>
            <w:pPr>
              <w:jc w:val="right"/>
              <w:ind w:right="251"/>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3740" w:type="dxa"/>
            <w:vAlign w:val="bottom"/>
            <w:vMerge w:val="restart"/>
          </w:tcPr>
          <w:p>
            <w:pPr>
              <w:jc w:val="right"/>
              <w:ind w:right="1931"/>
              <w:spacing w:after="0"/>
              <w:rPr>
                <w:sz w:val="20"/>
                <w:szCs w:val="20"/>
                <w:color w:val="auto"/>
              </w:rPr>
            </w:pPr>
            <w:r>
              <w:rPr>
                <w:rFonts w:ascii="Arial" w:cs="Arial" w:eastAsia="Arial" w:hAnsi="Arial"/>
                <w:sz w:val="18"/>
                <w:szCs w:val="18"/>
                <w:color w:val="auto"/>
              </w:rPr>
              <w:t>15</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0"/>
        </w:trPr>
        <w:tc>
          <w:tcPr>
            <w:tcW w:w="4080" w:type="dxa"/>
            <w:vAlign w:val="bottom"/>
          </w:tcPr>
          <w:p>
            <w:pPr>
              <w:spacing w:after="0"/>
              <w:rPr>
                <w:sz w:val="24"/>
                <w:szCs w:val="24"/>
                <w:color w:val="auto"/>
              </w:rPr>
            </w:pPr>
          </w:p>
        </w:tc>
        <w:tc>
          <w:tcPr>
            <w:tcW w:w="374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4080" w:type="dxa"/>
            <w:vAlign w:val="bottom"/>
            <w:tcBorders>
              <w:bottom w:val="single" w:sz="8" w:color="9A9A9A"/>
            </w:tcBorders>
          </w:tcPr>
          <w:p>
            <w:pPr>
              <w:spacing w:after="0"/>
              <w:rPr>
                <w:sz w:val="9"/>
                <w:szCs w:val="9"/>
                <w:color w:val="auto"/>
              </w:rPr>
            </w:pPr>
          </w:p>
        </w:tc>
        <w:tc>
          <w:tcPr>
            <w:tcW w:w="37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5" w:name="page16"/>
    <w:bookmarkEnd w:id="15"/>
    <w:p>
      <w:pPr>
        <w:ind w:left="280" w:hanging="274"/>
        <w:spacing w:after="0"/>
        <w:tabs>
          <w:tab w:leader="none" w:pos="2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Accumulated Other Comprehensive Loss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Accumulated other comprehensive loss </w:t>
      </w:r>
      <w:r>
        <w:rPr>
          <w:rFonts w:ascii="Arial" w:cs="Arial" w:eastAsia="Arial" w:hAnsi="Arial"/>
          <w:sz w:val="18"/>
          <w:szCs w:val="18"/>
          <w:color w:val="auto"/>
        </w:rPr>
        <w:t>consists of the following:</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6"/>
          </w:tcPr>
          <w:p>
            <w:pPr>
              <w:jc w:val="right"/>
              <w:ind w:right="220"/>
              <w:spacing w:after="0"/>
              <w:rPr>
                <w:sz w:val="20"/>
                <w:szCs w:val="20"/>
                <w:color w:val="auto"/>
              </w:rPr>
            </w:pPr>
            <w:r>
              <w:rPr>
                <w:rFonts w:ascii="Arial" w:cs="Arial" w:eastAsia="Arial" w:hAnsi="Arial"/>
                <w:sz w:val="14"/>
                <w:szCs w:val="14"/>
                <w:i w:val="1"/>
                <w:iCs w:val="1"/>
                <w:color w:val="auto"/>
                <w:w w:val="95"/>
              </w:rPr>
              <w:t>(Stated in millions)</w:t>
            </w:r>
          </w:p>
        </w:tc>
        <w:tc>
          <w:tcPr>
            <w:tcW w:w="0" w:type="dxa"/>
            <w:vAlign w:val="bottom"/>
          </w:tcPr>
          <w:p>
            <w:pPr>
              <w:spacing w:after="0"/>
              <w:rPr>
                <w:sz w:val="1"/>
                <w:szCs w:val="1"/>
                <w:color w:val="auto"/>
              </w:rPr>
            </w:pPr>
          </w:p>
        </w:tc>
      </w:tr>
      <w:tr>
        <w:trPr>
          <w:trHeight w:val="418"/>
        </w:trPr>
        <w:tc>
          <w:tcPr>
            <w:tcW w:w="4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1"/>
              </w:rPr>
              <w:t>Unrealized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86"/>
              </w:rPr>
              <w:t>Pension and</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3"/>
              </w:rPr>
              <w:t>Currency</w:t>
            </w:r>
          </w:p>
        </w:tc>
        <w:tc>
          <w:tcPr>
            <w:tcW w:w="80" w:type="dxa"/>
            <w:vAlign w:val="bottom"/>
          </w:tcPr>
          <w:p>
            <w:pPr>
              <w:spacing w:after="0"/>
              <w:rPr>
                <w:sz w:val="18"/>
                <w:szCs w:val="18"/>
                <w:color w:val="auto"/>
              </w:rPr>
            </w:pPr>
          </w:p>
        </w:tc>
        <w:tc>
          <w:tcPr>
            <w:tcW w:w="126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w w:val="89"/>
              </w:rPr>
              <w:t>Gain/(Loss) on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98"/>
              </w:rPr>
              <w:t>Other</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0"/>
              </w:rPr>
              <w:t>Translation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5"/>
              </w:rPr>
              <w:t>Marketable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89"/>
              </w:rPr>
              <w:t>Cash Flow</w:t>
            </w:r>
          </w:p>
        </w:tc>
        <w:tc>
          <w:tcPr>
            <w:tcW w:w="100" w:type="dxa"/>
            <w:vAlign w:val="bottom"/>
          </w:tcPr>
          <w:p>
            <w:pPr>
              <w:spacing w:after="0"/>
              <w:rPr>
                <w:sz w:val="18"/>
                <w:szCs w:val="18"/>
                <w:color w:val="auto"/>
              </w:rPr>
            </w:pPr>
          </w:p>
        </w:tc>
        <w:tc>
          <w:tcPr>
            <w:tcW w:w="1340" w:type="dxa"/>
            <w:vAlign w:val="bottom"/>
            <w:gridSpan w:val="4"/>
          </w:tcPr>
          <w:p>
            <w:pPr>
              <w:jc w:val="center"/>
              <w:ind w:right="240"/>
              <w:spacing w:after="0"/>
              <w:rPr>
                <w:sz w:val="20"/>
                <w:szCs w:val="20"/>
                <w:color w:val="auto"/>
              </w:rPr>
            </w:pPr>
            <w:r>
              <w:rPr>
                <w:rFonts w:ascii="Arial" w:cs="Arial" w:eastAsia="Arial" w:hAnsi="Arial"/>
                <w:sz w:val="16"/>
                <w:szCs w:val="16"/>
                <w:b w:val="1"/>
                <w:bCs w:val="1"/>
                <w:color w:val="auto"/>
                <w:w w:val="90"/>
              </w:rPr>
              <w:t>Postretirement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88"/>
              </w:rPr>
              <w:t>Adjustments</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6"/>
                <w:szCs w:val="16"/>
                <w:b w:val="1"/>
                <w:bCs w:val="1"/>
                <w:color w:val="auto"/>
                <w:w w:val="86"/>
              </w:rPr>
              <w:t>Securities</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6"/>
                <w:szCs w:val="16"/>
                <w:b w:val="1"/>
                <w:bCs w:val="1"/>
                <w:color w:val="auto"/>
                <w:w w:val="82"/>
              </w:rPr>
              <w:t>Hedges</w:t>
            </w:r>
          </w:p>
        </w:tc>
        <w:tc>
          <w:tcPr>
            <w:tcW w:w="1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5"/>
              <w:spacing w:after="0"/>
              <w:rPr>
                <w:sz w:val="20"/>
                <w:szCs w:val="20"/>
                <w:color w:val="auto"/>
              </w:rPr>
            </w:pPr>
            <w:r>
              <w:rPr>
                <w:rFonts w:ascii="Arial" w:cs="Arial" w:eastAsia="Arial" w:hAnsi="Arial"/>
                <w:sz w:val="16"/>
                <w:szCs w:val="16"/>
                <w:b w:val="1"/>
                <w:bCs w:val="1"/>
                <w:color w:val="auto"/>
                <w:w w:val="88"/>
              </w:rPr>
              <w:t>Benefit Plans</w:t>
            </w:r>
          </w:p>
        </w:tc>
        <w:tc>
          <w:tcPr>
            <w:tcW w:w="220" w:type="dxa"/>
            <w:vAlign w:val="bottom"/>
            <w:tcBorders>
              <w:bottom w:val="single" w:sz="8" w:color="CFF0FC"/>
            </w:tcBorders>
            <w:gridSpan w:val="2"/>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FF0FC"/>
            </w:tcBorders>
          </w:tcPr>
          <w:p>
            <w:pPr>
              <w:spacing w:after="0"/>
              <w:rPr>
                <w:sz w:val="18"/>
                <w:szCs w:val="18"/>
                <w:color w:val="auto"/>
              </w:rPr>
            </w:pP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2016</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(2,053)</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(39)</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(2,466)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(4,558)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00" w:type="dxa"/>
            <w:vAlign w:val="bottom"/>
          </w:tcPr>
          <w:p>
            <w:pPr>
              <w:spacing w:after="0"/>
              <w:rPr>
                <w:sz w:val="20"/>
                <w:szCs w:val="20"/>
                <w:color w:val="auto"/>
              </w:rPr>
            </w:pPr>
            <w:r>
              <w:rPr>
                <w:rFonts w:ascii="Arial" w:cs="Arial" w:eastAsia="Arial" w:hAnsi="Arial"/>
                <w:sz w:val="18"/>
                <w:szCs w:val="18"/>
                <w:color w:val="auto"/>
              </w:rPr>
              <w:t>Other comprehensive gain (loss) before reclassifications</w:t>
            </w:r>
          </w:p>
        </w:tc>
        <w:tc>
          <w:tcPr>
            <w:tcW w:w="1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color w:val="auto"/>
                <w:w w:val="90"/>
              </w:rPr>
              <w:t>Amounts reclassified from accumulated other comprehensive loss</w:t>
            </w: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00" w:type="dxa"/>
            <w:vAlign w:val="bottom"/>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00" w:type="dxa"/>
            <w:vAlign w:val="bottom"/>
            <w:tcBorders>
              <w:top w:val="single" w:sz="8" w:color="CFF0FC"/>
              <w:right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other comprehensive (loss) income</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right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00" w:type="dxa"/>
            <w:vAlign w:val="bottom"/>
          </w:tcPr>
          <w:p>
            <w:pPr>
              <w:spacing w:after="0"/>
              <w:rPr>
                <w:sz w:val="20"/>
                <w:szCs w:val="20"/>
                <w:color w:val="auto"/>
              </w:rPr>
            </w:pPr>
            <w:r>
              <w:rPr>
                <w:rFonts w:ascii="Arial" w:cs="Arial" w:eastAsia="Arial" w:hAnsi="Arial"/>
                <w:sz w:val="18"/>
                <w:szCs w:val="18"/>
                <w:color w:val="auto"/>
              </w:rPr>
              <w:t>Balance, March 31, 2016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(2,036)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(30)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(2,403)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(4,466)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4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5"/>
          </w:tcPr>
          <w:p>
            <w:pPr>
              <w:jc w:val="right"/>
              <w:ind w:right="100"/>
              <w:spacing w:after="0"/>
              <w:rPr>
                <w:sz w:val="20"/>
                <w:szCs w:val="20"/>
                <w:color w:val="auto"/>
              </w:rPr>
            </w:pPr>
            <w:r>
              <w:rPr>
                <w:rFonts w:ascii="Arial" w:cs="Arial" w:eastAsia="Arial" w:hAnsi="Arial"/>
                <w:sz w:val="14"/>
                <w:szCs w:val="14"/>
                <w:i w:val="1"/>
                <w:iCs w:val="1"/>
                <w:color w:val="auto"/>
                <w:w w:val="95"/>
              </w:rPr>
              <w:t>(Stated in millions)</w:t>
            </w:r>
          </w:p>
        </w:tc>
        <w:tc>
          <w:tcPr>
            <w:tcW w:w="0" w:type="dxa"/>
            <w:vAlign w:val="bottom"/>
          </w:tcPr>
          <w:p>
            <w:pPr>
              <w:spacing w:after="0"/>
              <w:rPr>
                <w:sz w:val="1"/>
                <w:szCs w:val="1"/>
                <w:color w:val="auto"/>
              </w:rPr>
            </w:pPr>
          </w:p>
        </w:tc>
      </w:tr>
      <w:tr>
        <w:trPr>
          <w:trHeight w:val="418"/>
        </w:trPr>
        <w:tc>
          <w:tcPr>
            <w:tcW w:w="4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1"/>
              </w:rPr>
              <w:t>Unrealized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6"/>
              </w:rPr>
              <w:t>Pension and</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3"/>
              </w:rPr>
              <w:t>Currency</w:t>
            </w:r>
          </w:p>
        </w:tc>
        <w:tc>
          <w:tcPr>
            <w:tcW w:w="80" w:type="dxa"/>
            <w:vAlign w:val="bottom"/>
          </w:tcPr>
          <w:p>
            <w:pPr>
              <w:spacing w:after="0"/>
              <w:rPr>
                <w:sz w:val="18"/>
                <w:szCs w:val="18"/>
                <w:color w:val="auto"/>
              </w:rPr>
            </w:pPr>
          </w:p>
        </w:tc>
        <w:tc>
          <w:tcPr>
            <w:tcW w:w="1260" w:type="dxa"/>
            <w:vAlign w:val="bottom"/>
            <w:gridSpan w:val="4"/>
          </w:tcPr>
          <w:p>
            <w:pPr>
              <w:jc w:val="center"/>
              <w:ind w:right="180"/>
              <w:spacing w:after="0"/>
              <w:rPr>
                <w:sz w:val="20"/>
                <w:szCs w:val="20"/>
                <w:color w:val="auto"/>
              </w:rPr>
            </w:pPr>
            <w:r>
              <w:rPr>
                <w:rFonts w:ascii="Arial" w:cs="Arial" w:eastAsia="Arial" w:hAnsi="Arial"/>
                <w:sz w:val="16"/>
                <w:szCs w:val="16"/>
                <w:b w:val="1"/>
                <w:bCs w:val="1"/>
                <w:color w:val="auto"/>
                <w:w w:val="89"/>
              </w:rPr>
              <w:t>Gain/(Loss) on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3"/>
              </w:rPr>
              <w:t>Other</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0"/>
              </w:rPr>
              <w:t>Translation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95"/>
              </w:rPr>
              <w:t>Marketable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89"/>
              </w:rPr>
              <w:t>Cash Flow</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0"/>
              </w:rPr>
              <w:t>Postretirement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4"/>
              <w:spacing w:after="0"/>
              <w:rPr>
                <w:sz w:val="20"/>
                <w:szCs w:val="20"/>
                <w:color w:val="auto"/>
              </w:rPr>
            </w:pPr>
            <w:r>
              <w:rPr>
                <w:rFonts w:ascii="Arial" w:cs="Arial" w:eastAsia="Arial" w:hAnsi="Arial"/>
                <w:sz w:val="16"/>
                <w:szCs w:val="16"/>
                <w:b w:val="1"/>
                <w:bCs w:val="1"/>
                <w:color w:val="auto"/>
                <w:w w:val="88"/>
              </w:rPr>
              <w:t>Adjustments</w:t>
            </w:r>
          </w:p>
        </w:tc>
        <w:tc>
          <w:tcPr>
            <w:tcW w:w="160" w:type="dxa"/>
            <w:vAlign w:val="bottom"/>
            <w:tcBorders>
              <w:bottom w:val="single" w:sz="8" w:color="CFF0FC"/>
            </w:tcBorders>
            <w:gridSpan w:val="2"/>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34"/>
              <w:spacing w:after="0"/>
              <w:rPr>
                <w:sz w:val="20"/>
                <w:szCs w:val="20"/>
                <w:color w:val="auto"/>
              </w:rPr>
            </w:pPr>
            <w:r>
              <w:rPr>
                <w:rFonts w:ascii="Arial" w:cs="Arial" w:eastAsia="Arial" w:hAnsi="Arial"/>
                <w:sz w:val="16"/>
                <w:szCs w:val="16"/>
                <w:b w:val="1"/>
                <w:bCs w:val="1"/>
                <w:color w:val="auto"/>
                <w:w w:val="86"/>
              </w:rPr>
              <w:t>Securities</w:t>
            </w:r>
          </w:p>
        </w:tc>
        <w:tc>
          <w:tcPr>
            <w:tcW w:w="160" w:type="dxa"/>
            <w:vAlign w:val="bottom"/>
            <w:tcBorders>
              <w:bottom w:val="single" w:sz="8" w:color="CFF0FC"/>
            </w:tcBorders>
            <w:gridSpan w:val="2"/>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74"/>
              <w:spacing w:after="0"/>
              <w:rPr>
                <w:sz w:val="20"/>
                <w:szCs w:val="20"/>
                <w:color w:val="auto"/>
              </w:rPr>
            </w:pPr>
            <w:r>
              <w:rPr>
                <w:rFonts w:ascii="Arial" w:cs="Arial" w:eastAsia="Arial" w:hAnsi="Arial"/>
                <w:sz w:val="16"/>
                <w:szCs w:val="16"/>
                <w:b w:val="1"/>
                <w:bCs w:val="1"/>
                <w:color w:val="auto"/>
                <w:w w:val="86"/>
              </w:rPr>
              <w:t>Hedges</w:t>
            </w:r>
          </w:p>
        </w:tc>
        <w:tc>
          <w:tcPr>
            <w:tcW w:w="140" w:type="dxa"/>
            <w:vAlign w:val="bottom"/>
            <w:tcBorders>
              <w:bottom w:val="single" w:sz="8" w:color="CFF0FC"/>
            </w:tcBorders>
            <w:gridSpan w:val="2"/>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88"/>
              </w:rPr>
              <w:t>Benefit Plans</w:t>
            </w: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6"/>
                <w:szCs w:val="16"/>
                <w:b w:val="1"/>
                <w:bCs w:val="1"/>
                <w:color w:val="auto"/>
              </w:rPr>
              <w:t>Total</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2015</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(1,531)</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(96)</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(2,589)</w:t>
            </w:r>
          </w:p>
        </w:tc>
        <w:tc>
          <w:tcPr>
            <w:tcW w:w="300" w:type="dxa"/>
            <w:vAlign w:val="bottom"/>
            <w:gridSpan w:val="2"/>
            <w:shd w:val="clear" w:color="auto" w:fill="CFF0FC"/>
          </w:tcPr>
          <w:p>
            <w:pPr>
              <w:jc w:val="right"/>
              <w:ind w:right="29"/>
              <w:spacing w:after="0"/>
              <w:rPr>
                <w:sz w:val="20"/>
                <w:szCs w:val="20"/>
                <w:color w:val="auto"/>
              </w:rPr>
            </w:pPr>
            <w:r>
              <w:rPr>
                <w:rFonts w:ascii="Arial" w:cs="Arial" w:eastAsia="Arial" w:hAnsi="Arial"/>
                <w:sz w:val="18"/>
                <w:szCs w:val="18"/>
                <w:color w:val="auto"/>
              </w:rPr>
              <w:t>$</w:t>
            </w:r>
          </w:p>
        </w:tc>
        <w:tc>
          <w:tcPr>
            <w:tcW w:w="104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(4,206)</w:t>
            </w:r>
          </w:p>
        </w:tc>
        <w:tc>
          <w:tcPr>
            <w:tcW w:w="0" w:type="dxa"/>
            <w:vAlign w:val="bottom"/>
          </w:tcPr>
          <w:p>
            <w:pPr>
              <w:spacing w:after="0"/>
              <w:rPr>
                <w:sz w:val="1"/>
                <w:szCs w:val="1"/>
                <w:color w:val="auto"/>
              </w:rPr>
            </w:pPr>
          </w:p>
        </w:tc>
      </w:tr>
      <w:tr>
        <w:trPr>
          <w:trHeight w:val="225"/>
        </w:trPr>
        <w:tc>
          <w:tcPr>
            <w:tcW w:w="4800" w:type="dxa"/>
            <w:vAlign w:val="bottom"/>
          </w:tcPr>
          <w:p>
            <w:pPr>
              <w:spacing w:after="0"/>
              <w:rPr>
                <w:sz w:val="20"/>
                <w:szCs w:val="20"/>
                <w:color w:val="auto"/>
              </w:rPr>
            </w:pPr>
            <w:r>
              <w:rPr>
                <w:rFonts w:ascii="Arial" w:cs="Arial" w:eastAsia="Arial" w:hAnsi="Arial"/>
                <w:sz w:val="18"/>
                <w:szCs w:val="18"/>
                <w:color w:val="auto"/>
              </w:rPr>
              <w:t>Other comprehensive loss before reclassifications</w:t>
            </w:r>
          </w:p>
        </w:tc>
        <w:tc>
          <w:tcPr>
            <w:tcW w:w="100" w:type="dxa"/>
            <w:vAlign w:val="bottom"/>
          </w:tcPr>
          <w:p>
            <w:pPr>
              <w:spacing w:after="0"/>
              <w:rPr>
                <w:sz w:val="19"/>
                <w:szCs w:val="19"/>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4"/>
          </w:tcPr>
          <w:p>
            <w:pPr>
              <w:jc w:val="right"/>
              <w:ind w:right="2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26"/>
        </w:trPr>
        <w:tc>
          <w:tcPr>
            <w:tcW w:w="48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color w:val="auto"/>
                <w:w w:val="90"/>
              </w:rPr>
              <w:t>Amounts reclassified from accumulated other comprehensive loss</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219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00" w:type="dxa"/>
            <w:vAlign w:val="bottom"/>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4"/>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4800" w:type="dxa"/>
            <w:vAlign w:val="bottom"/>
            <w:tcBorders>
              <w:right w:val="single" w:sz="8" w:color="CFF0FC"/>
            </w:tcBorders>
            <w:vMerge w:val="restart"/>
            <w:shd w:val="clear" w:color="auto" w:fill="CFF0FC"/>
          </w:tcPr>
          <w:p>
            <w:pPr>
              <w:spacing w:after="0"/>
              <w:rPr>
                <w:sz w:val="20"/>
                <w:szCs w:val="20"/>
                <w:color w:val="auto"/>
              </w:rPr>
            </w:pPr>
            <w:r>
              <w:rPr>
                <w:rFonts w:ascii="Arial" w:cs="Arial" w:eastAsia="Arial" w:hAnsi="Arial"/>
                <w:sz w:val="18"/>
                <w:szCs w:val="18"/>
                <w:color w:val="auto"/>
              </w:rPr>
              <w:t>Net other comprehensive (loss) income</w:t>
            </w: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gridSpan w:val="2"/>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gridSpan w:val="2"/>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gridSpan w:val="2"/>
            <w:shd w:val="clear" w:color="auto" w:fill="CFF0FC"/>
          </w:tcPr>
          <w:p>
            <w:pPr>
              <w:spacing w:after="0" w:line="20" w:lineRule="exact"/>
              <w:rPr>
                <w:sz w:val="1"/>
                <w:szCs w:val="1"/>
                <w:color w:val="auto"/>
              </w:rPr>
            </w:pPr>
          </w:p>
        </w:tc>
        <w:tc>
          <w:tcPr>
            <w:tcW w:w="10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gridSpan w:val="3"/>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800" w:type="dxa"/>
            <w:vAlign w:val="bottom"/>
            <w:tcBorders>
              <w:right w:val="single" w:sz="8" w:color="CFF0FC"/>
            </w:tcBorders>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(34)</w:t>
            </w:r>
          </w:p>
        </w:tc>
        <w:tc>
          <w:tcPr>
            <w:tcW w:w="10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18"/>
                <w:szCs w:val="18"/>
                <w:color w:val="auto"/>
              </w:rPr>
              <w:t>Balance, March 31, 2015</w:t>
            </w: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8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(1,644)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(8)</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(130)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(2,503)</w:t>
            </w:r>
          </w:p>
        </w:tc>
        <w:tc>
          <w:tcPr>
            <w:tcW w:w="300" w:type="dxa"/>
            <w:vAlign w:val="bottom"/>
            <w:gridSpan w:val="2"/>
          </w:tcPr>
          <w:p>
            <w:pPr>
              <w:jc w:val="right"/>
              <w:ind w:right="29"/>
              <w:spacing w:after="0"/>
              <w:rPr>
                <w:sz w:val="20"/>
                <w:szCs w:val="20"/>
                <w:color w:val="auto"/>
              </w:rPr>
            </w:pPr>
            <w:r>
              <w:rPr>
                <w:rFonts w:ascii="Arial" w:cs="Arial" w:eastAsia="Arial" w:hAnsi="Arial"/>
                <w:sz w:val="18"/>
                <w:szCs w:val="18"/>
                <w:color w:val="auto"/>
              </w:rPr>
              <w:t>$</w:t>
            </w:r>
          </w:p>
        </w:tc>
        <w:tc>
          <w:tcPr>
            <w:tcW w:w="1040" w:type="dxa"/>
            <w:vAlign w:val="bottom"/>
            <w:gridSpan w:val="4"/>
          </w:tcPr>
          <w:p>
            <w:pPr>
              <w:jc w:val="right"/>
              <w:ind w:right="20"/>
              <w:spacing w:after="0"/>
              <w:rPr>
                <w:sz w:val="20"/>
                <w:szCs w:val="20"/>
                <w:color w:val="auto"/>
              </w:rPr>
            </w:pPr>
            <w:r>
              <w:rPr>
                <w:rFonts w:ascii="Arial" w:cs="Arial" w:eastAsia="Arial" w:hAnsi="Arial"/>
                <w:sz w:val="18"/>
                <w:szCs w:val="18"/>
                <w:color w:val="auto"/>
              </w:rPr>
              <w:t>(4,285)</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4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48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520"/>
          </w:cols>
          <w:pgMar w:left="240" w:top="121" w:right="139" w:bottom="1440" w:gutter="0" w:footer="0" w:header="0"/>
        </w:sectPr>
      </w:pPr>
    </w:p>
    <w:bookmarkStart w:id="16" w:name="page17"/>
    <w:bookmarkEnd w:id="16"/>
    <w:p>
      <w:pPr>
        <w:ind w:left="120"/>
        <w:spacing w:after="0"/>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First Quarter 2016 Compared to Fourth Quarter 2015</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Product Groups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5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w w:val="98"/>
              </w:rPr>
              <w:t>(Stated in millions)</w:t>
            </w:r>
          </w:p>
        </w:tc>
        <w:tc>
          <w:tcPr>
            <w:tcW w:w="0" w:type="dxa"/>
            <w:vAlign w:val="bottom"/>
          </w:tcPr>
          <w:p>
            <w:pPr>
              <w:spacing w:after="0"/>
              <w:rPr>
                <w:sz w:val="1"/>
                <w:szCs w:val="1"/>
                <w:color w:val="auto"/>
              </w:rPr>
            </w:pPr>
          </w:p>
        </w:tc>
      </w:tr>
      <w:tr>
        <w:trPr>
          <w:trHeight w:val="436"/>
        </w:trPr>
        <w:tc>
          <w:tcPr>
            <w:tcW w:w="35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8"/>
                <w:szCs w:val="18"/>
                <w:b w:val="1"/>
                <w:bCs w:val="1"/>
                <w:color w:val="auto"/>
                <w:w w:val="94"/>
              </w:rPr>
              <w:t>First Quarter 2016</w:t>
            </w:r>
          </w:p>
        </w:tc>
        <w:tc>
          <w:tcPr>
            <w:tcW w:w="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jc w:val="right"/>
              <w:ind w:right="491"/>
              <w:spacing w:after="0"/>
              <w:rPr>
                <w:sz w:val="20"/>
                <w:szCs w:val="20"/>
                <w:color w:val="auto"/>
              </w:rPr>
            </w:pPr>
            <w:r>
              <w:rPr>
                <w:rFonts w:ascii="Arial" w:cs="Arial" w:eastAsia="Arial" w:hAnsi="Arial"/>
                <w:sz w:val="18"/>
                <w:szCs w:val="18"/>
                <w:color w:val="auto"/>
              </w:rPr>
              <w:t>Fourth Quarter 2015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5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center"/>
              <w:ind w:right="111"/>
              <w:spacing w:after="0"/>
              <w:rPr>
                <w:sz w:val="20"/>
                <w:szCs w:val="20"/>
                <w:color w:val="auto"/>
              </w:rPr>
            </w:pPr>
            <w:r>
              <w:rPr>
                <w:rFonts w:ascii="Arial" w:cs="Arial" w:eastAsia="Arial" w:hAnsi="Arial"/>
                <w:sz w:val="18"/>
                <w:szCs w:val="18"/>
                <w:b w:val="1"/>
                <w:bCs w:val="1"/>
                <w:color w:val="auto"/>
                <w:w w:val="88"/>
              </w:rPr>
              <w:t>Income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Income</w:t>
            </w:r>
          </w:p>
        </w:tc>
        <w:tc>
          <w:tcPr>
            <w:tcW w:w="0" w:type="dxa"/>
            <w:vAlign w:val="bottom"/>
          </w:tcPr>
          <w:p>
            <w:pPr>
              <w:spacing w:after="0"/>
              <w:rPr>
                <w:sz w:val="1"/>
                <w:szCs w:val="1"/>
                <w:color w:val="auto"/>
              </w:rPr>
            </w:pPr>
          </w:p>
        </w:tc>
      </w:tr>
      <w:tr>
        <w:trPr>
          <w:trHeight w:val="226"/>
        </w:trPr>
        <w:tc>
          <w:tcPr>
            <w:tcW w:w="35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before</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before</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CFF0FC"/>
            </w:tcBorders>
          </w:tcPr>
          <w:p>
            <w:pPr>
              <w:spacing w:after="0"/>
              <w:rPr>
                <w:sz w:val="20"/>
                <w:szCs w:val="20"/>
                <w:color w:val="auto"/>
              </w:rPr>
            </w:pPr>
          </w:p>
        </w:tc>
        <w:tc>
          <w:tcPr>
            <w:tcW w:w="1520" w:type="dxa"/>
            <w:vAlign w:val="bottom"/>
            <w:tcBorders>
              <w:bottom w:val="single" w:sz="8" w:color="CFF0FC"/>
            </w:tcBorders>
          </w:tcPr>
          <w:p>
            <w:pPr>
              <w:spacing w:after="0"/>
              <w:rPr>
                <w:sz w:val="20"/>
                <w:szCs w:val="20"/>
                <w:color w:val="auto"/>
              </w:rPr>
            </w:pPr>
          </w:p>
        </w:tc>
        <w:tc>
          <w:tcPr>
            <w:tcW w:w="86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171"/>
              <w:spacing w:after="0"/>
              <w:rPr>
                <w:sz w:val="20"/>
                <w:szCs w:val="20"/>
                <w:color w:val="auto"/>
              </w:rPr>
            </w:pPr>
            <w:r>
              <w:rPr>
                <w:rFonts w:ascii="Arial" w:cs="Arial" w:eastAsia="Arial" w:hAnsi="Arial"/>
                <w:sz w:val="18"/>
                <w:szCs w:val="18"/>
                <w:b w:val="1"/>
                <w:bCs w:val="1"/>
                <w:color w:val="auto"/>
                <w:w w:val="93"/>
              </w:rPr>
              <w:t>Revenue</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b w:val="1"/>
                <w:bCs w:val="1"/>
                <w:color w:val="auto"/>
                <w:w w:val="82"/>
              </w:rPr>
              <w:t>Taxes</w:t>
            </w:r>
          </w:p>
        </w:tc>
        <w:tc>
          <w:tcPr>
            <w:tcW w:w="2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w w:val="94"/>
              </w:rPr>
              <w:t>Revenue</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color w:val="auto"/>
                <w:w w:val="81"/>
              </w:rPr>
              <w:t>Taxes</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15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1,747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331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2,193</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49"/>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500" w:type="dxa"/>
            <w:vAlign w:val="bottom"/>
          </w:tcPr>
          <w:p>
            <w:pPr>
              <w:spacing w:after="0"/>
              <w:rPr>
                <w:sz w:val="20"/>
                <w:szCs w:val="20"/>
                <w:color w:val="auto"/>
              </w:rPr>
            </w:pPr>
            <w:r>
              <w:rPr>
                <w:rFonts w:ascii="Arial" w:cs="Arial" w:eastAsia="Arial" w:hAnsi="Arial"/>
                <w:sz w:val="18"/>
                <w:szCs w:val="18"/>
                <w:color w:val="auto"/>
              </w:rPr>
              <w:t>Drilling</w:t>
            </w:r>
          </w:p>
        </w:tc>
        <w:tc>
          <w:tcPr>
            <w:tcW w:w="1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2,493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371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2,953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15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2,348</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500" w:type="dxa"/>
            <w:vAlign w:val="bottom"/>
          </w:tcPr>
          <w:p>
            <w:pPr>
              <w:spacing w:after="0"/>
              <w:rPr>
                <w:sz w:val="20"/>
                <w:szCs w:val="20"/>
                <w:color w:val="auto"/>
              </w:rPr>
            </w:pPr>
            <w:r>
              <w:rPr>
                <w:rFonts w:ascii="Arial" w:cs="Arial" w:eastAsia="Arial" w:hAnsi="Arial"/>
                <w:sz w:val="18"/>
                <w:szCs w:val="18"/>
                <w:color w:val="auto"/>
              </w:rPr>
              <w:t>Eliminations &amp; other</w:t>
            </w:r>
          </w:p>
        </w:tc>
        <w:tc>
          <w:tcPr>
            <w:tcW w:w="1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(68)</w:t>
            </w: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(9)</w:t>
            </w:r>
          </w:p>
        </w:tc>
        <w:tc>
          <w:tcPr>
            <w:tcW w:w="1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9"/>
        </w:trPr>
        <w:tc>
          <w:tcPr>
            <w:tcW w:w="35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Pretax operating income</w:t>
            </w:r>
          </w:p>
        </w:tc>
        <w:tc>
          <w:tcPr>
            <w:tcW w:w="15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901</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500" w:type="dxa"/>
            <w:vAlign w:val="bottom"/>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1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(172)</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26"/>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15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500" w:type="dxa"/>
            <w:vAlign w:val="bottom"/>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1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(120)</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6"/>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Charges and credits</w:t>
            </w:r>
          </w:p>
        </w:tc>
        <w:tc>
          <w:tcPr>
            <w:tcW w:w="15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(2,136)</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520" w:type="dxa"/>
            <w:vAlign w:val="bottom"/>
            <w:vMerge w:val="restart"/>
          </w:tcPr>
          <w:p>
            <w:pPr>
              <w:spacing w:after="0" w:line="20" w:lineRule="exact"/>
              <w:rPr>
                <w:sz w:val="1"/>
                <w:szCs w:val="1"/>
                <w:color w:val="auto"/>
              </w:rPr>
            </w:pPr>
          </w:p>
        </w:tc>
        <w:tc>
          <w:tcPr>
            <w:tcW w:w="86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500" w:type="dxa"/>
            <w:vAlign w:val="bottom"/>
          </w:tcPr>
          <w:p>
            <w:pPr>
              <w:spacing w:after="0"/>
              <w:rPr>
                <w:sz w:val="19"/>
                <w:szCs w:val="19"/>
                <w:color w:val="auto"/>
              </w:rPr>
            </w:pPr>
          </w:p>
        </w:tc>
        <w:tc>
          <w:tcPr>
            <w:tcW w:w="152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6,520</w:t>
            </w:r>
          </w:p>
        </w:tc>
        <w:tc>
          <w:tcPr>
            <w:tcW w:w="24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622</w:t>
            </w:r>
          </w:p>
        </w:tc>
        <w:tc>
          <w:tcPr>
            <w:tcW w:w="240" w:type="dxa"/>
            <w:vAlign w:val="bottom"/>
          </w:tcPr>
          <w:p>
            <w:pPr>
              <w:spacing w:after="0"/>
              <w:rPr>
                <w:sz w:val="19"/>
                <w:szCs w:val="19"/>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7,744</w:t>
            </w:r>
          </w:p>
        </w:tc>
        <w:tc>
          <w:tcPr>
            <w:tcW w:w="140" w:type="dxa"/>
            <w:vAlign w:val="bottom"/>
          </w:tcPr>
          <w:p>
            <w:pPr>
              <w:spacing w:after="0"/>
              <w:rPr>
                <w:sz w:val="19"/>
                <w:szCs w:val="19"/>
                <w:color w:val="auto"/>
              </w:rPr>
            </w:pPr>
          </w:p>
        </w:tc>
        <w:tc>
          <w:tcPr>
            <w:tcW w:w="300" w:type="dxa"/>
            <w:vAlign w:val="bottom"/>
            <w:gridSpan w:val="2"/>
          </w:tcPr>
          <w:p>
            <w:pPr>
              <w:jc w:val="right"/>
              <w:ind w:right="49"/>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(1,102)</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3500" w:type="dxa"/>
            <w:vAlign w:val="bottom"/>
          </w:tcPr>
          <w:p>
            <w:pPr>
              <w:spacing w:after="0"/>
              <w:rPr>
                <w:sz w:val="24"/>
                <w:szCs w:val="24"/>
                <w:color w:val="auto"/>
              </w:rPr>
            </w:pPr>
          </w:p>
        </w:tc>
        <w:tc>
          <w:tcPr>
            <w:tcW w:w="3780" w:type="dxa"/>
            <w:vAlign w:val="bottom"/>
            <w:gridSpan w:val="6"/>
          </w:tcPr>
          <w:p>
            <w:pPr>
              <w:jc w:val="right"/>
              <w:ind w:right="880"/>
              <w:spacing w:after="0"/>
              <w:rPr>
                <w:sz w:val="20"/>
                <w:szCs w:val="20"/>
                <w:color w:val="auto"/>
              </w:rPr>
            </w:pPr>
            <w:r>
              <w:rPr>
                <w:rFonts w:ascii="Arial" w:cs="Arial" w:eastAsia="Arial" w:hAnsi="Arial"/>
                <w:sz w:val="18"/>
                <w:szCs w:val="18"/>
                <w:b w:val="1"/>
                <w:bCs w:val="1"/>
                <w:color w:val="auto"/>
              </w:rPr>
              <w:t>Geographic Areas</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35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w w:val="98"/>
              </w:rPr>
              <w:t>(Stated in millions)</w:t>
            </w:r>
          </w:p>
        </w:tc>
        <w:tc>
          <w:tcPr>
            <w:tcW w:w="0" w:type="dxa"/>
            <w:vAlign w:val="bottom"/>
          </w:tcPr>
          <w:p>
            <w:pPr>
              <w:spacing w:after="0"/>
              <w:rPr>
                <w:sz w:val="1"/>
                <w:szCs w:val="1"/>
                <w:color w:val="auto"/>
              </w:rPr>
            </w:pPr>
          </w:p>
        </w:tc>
      </w:tr>
      <w:tr>
        <w:trPr>
          <w:trHeight w:val="436"/>
        </w:trPr>
        <w:tc>
          <w:tcPr>
            <w:tcW w:w="35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8"/>
                <w:szCs w:val="18"/>
                <w:b w:val="1"/>
                <w:bCs w:val="1"/>
                <w:color w:val="auto"/>
                <w:w w:val="94"/>
              </w:rPr>
              <w:t>First Quarter 2016</w:t>
            </w:r>
          </w:p>
        </w:tc>
        <w:tc>
          <w:tcPr>
            <w:tcW w:w="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jc w:val="right"/>
              <w:ind w:right="491"/>
              <w:spacing w:after="0"/>
              <w:rPr>
                <w:sz w:val="20"/>
                <w:szCs w:val="20"/>
                <w:color w:val="auto"/>
              </w:rPr>
            </w:pPr>
            <w:r>
              <w:rPr>
                <w:rFonts w:ascii="Arial" w:cs="Arial" w:eastAsia="Arial" w:hAnsi="Arial"/>
                <w:sz w:val="18"/>
                <w:szCs w:val="18"/>
                <w:color w:val="auto"/>
              </w:rPr>
              <w:t>Fourth Quarter 2015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5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center"/>
              <w:ind w:right="111"/>
              <w:spacing w:after="0"/>
              <w:rPr>
                <w:sz w:val="20"/>
                <w:szCs w:val="20"/>
                <w:color w:val="auto"/>
              </w:rPr>
            </w:pPr>
            <w:r>
              <w:rPr>
                <w:rFonts w:ascii="Arial" w:cs="Arial" w:eastAsia="Arial" w:hAnsi="Arial"/>
                <w:sz w:val="18"/>
                <w:szCs w:val="18"/>
                <w:b w:val="1"/>
                <w:bCs w:val="1"/>
                <w:color w:val="auto"/>
                <w:w w:val="88"/>
              </w:rPr>
              <w:t>Income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Income</w:t>
            </w:r>
          </w:p>
        </w:tc>
        <w:tc>
          <w:tcPr>
            <w:tcW w:w="0" w:type="dxa"/>
            <w:vAlign w:val="bottom"/>
          </w:tcPr>
          <w:p>
            <w:pPr>
              <w:spacing w:after="0"/>
              <w:rPr>
                <w:sz w:val="1"/>
                <w:szCs w:val="1"/>
                <w:color w:val="auto"/>
              </w:rPr>
            </w:pPr>
          </w:p>
        </w:tc>
      </w:tr>
      <w:tr>
        <w:trPr>
          <w:trHeight w:val="226"/>
        </w:trPr>
        <w:tc>
          <w:tcPr>
            <w:tcW w:w="35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before</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before</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CFF0FC"/>
            </w:tcBorders>
          </w:tcPr>
          <w:p>
            <w:pPr>
              <w:spacing w:after="0"/>
              <w:rPr>
                <w:sz w:val="20"/>
                <w:szCs w:val="20"/>
                <w:color w:val="auto"/>
              </w:rPr>
            </w:pPr>
          </w:p>
        </w:tc>
        <w:tc>
          <w:tcPr>
            <w:tcW w:w="1520" w:type="dxa"/>
            <w:vAlign w:val="bottom"/>
            <w:tcBorders>
              <w:bottom w:val="single" w:sz="8" w:color="CFF0FC"/>
            </w:tcBorders>
          </w:tcPr>
          <w:p>
            <w:pPr>
              <w:spacing w:after="0"/>
              <w:rPr>
                <w:sz w:val="20"/>
                <w:szCs w:val="20"/>
                <w:color w:val="auto"/>
              </w:rPr>
            </w:pPr>
          </w:p>
        </w:tc>
        <w:tc>
          <w:tcPr>
            <w:tcW w:w="86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171"/>
              <w:spacing w:after="0"/>
              <w:rPr>
                <w:sz w:val="20"/>
                <w:szCs w:val="20"/>
                <w:color w:val="auto"/>
              </w:rPr>
            </w:pPr>
            <w:r>
              <w:rPr>
                <w:rFonts w:ascii="Arial" w:cs="Arial" w:eastAsia="Arial" w:hAnsi="Arial"/>
                <w:sz w:val="18"/>
                <w:szCs w:val="18"/>
                <w:b w:val="1"/>
                <w:bCs w:val="1"/>
                <w:color w:val="auto"/>
                <w:w w:val="93"/>
              </w:rPr>
              <w:t>Revenue</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b w:val="1"/>
                <w:bCs w:val="1"/>
                <w:color w:val="auto"/>
                <w:w w:val="82"/>
              </w:rPr>
              <w:t>Taxes</w:t>
            </w:r>
          </w:p>
        </w:tc>
        <w:tc>
          <w:tcPr>
            <w:tcW w:w="2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w w:val="94"/>
              </w:rPr>
              <w:t>Revenue</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color w:val="auto"/>
                <w:w w:val="81"/>
              </w:rPr>
              <w:t>Taxes</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North America</w:t>
            </w:r>
          </w:p>
        </w:tc>
        <w:tc>
          <w:tcPr>
            <w:tcW w:w="15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1,464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1,955</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49"/>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500" w:type="dxa"/>
            <w:vAlign w:val="bottom"/>
          </w:tcPr>
          <w:p>
            <w:pPr>
              <w:spacing w:after="0"/>
              <w:rPr>
                <w:sz w:val="20"/>
                <w:szCs w:val="20"/>
                <w:color w:val="auto"/>
              </w:rPr>
            </w:pPr>
            <w:r>
              <w:rPr>
                <w:rFonts w:ascii="Arial" w:cs="Arial" w:eastAsia="Arial" w:hAnsi="Arial"/>
                <w:sz w:val="18"/>
                <w:szCs w:val="18"/>
                <w:color w:val="auto"/>
              </w:rPr>
              <w:t>Latin America</w:t>
            </w:r>
          </w:p>
        </w:tc>
        <w:tc>
          <w:tcPr>
            <w:tcW w:w="1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1,280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296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1,407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Europe/CIS/Africa</w:t>
            </w:r>
          </w:p>
        </w:tc>
        <w:tc>
          <w:tcPr>
            <w:tcW w:w="15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1,698</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320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500" w:type="dxa"/>
            <w:vAlign w:val="bottom"/>
          </w:tcPr>
          <w:p>
            <w:pPr>
              <w:spacing w:after="0"/>
              <w:rPr>
                <w:sz w:val="20"/>
                <w:szCs w:val="20"/>
                <w:color w:val="auto"/>
              </w:rPr>
            </w:pPr>
            <w:r>
              <w:rPr>
                <w:rFonts w:ascii="Arial" w:cs="Arial" w:eastAsia="Arial" w:hAnsi="Arial"/>
                <w:sz w:val="18"/>
                <w:szCs w:val="18"/>
                <w:color w:val="auto"/>
              </w:rPr>
              <w:t>Middle East &amp; Asia</w:t>
            </w:r>
          </w:p>
        </w:tc>
        <w:tc>
          <w:tcPr>
            <w:tcW w:w="1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446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2,248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15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76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(151)</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9"/>
        </w:trPr>
        <w:tc>
          <w:tcPr>
            <w:tcW w:w="3500" w:type="dxa"/>
            <w:vAlign w:val="bottom"/>
          </w:tcPr>
          <w:p>
            <w:pPr>
              <w:ind w:left="240"/>
              <w:spacing w:after="0"/>
              <w:rPr>
                <w:sz w:val="20"/>
                <w:szCs w:val="20"/>
                <w:color w:val="auto"/>
              </w:rPr>
            </w:pPr>
            <w:r>
              <w:rPr>
                <w:rFonts w:ascii="Arial" w:cs="Arial" w:eastAsia="Arial" w:hAnsi="Arial"/>
                <w:sz w:val="18"/>
                <w:szCs w:val="18"/>
                <w:color w:val="auto"/>
              </w:rPr>
              <w:t>Pretax operating income</w:t>
            </w:r>
          </w:p>
        </w:tc>
        <w:tc>
          <w:tcPr>
            <w:tcW w:w="1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901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15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(172)</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26"/>
        </w:trPr>
        <w:tc>
          <w:tcPr>
            <w:tcW w:w="3500" w:type="dxa"/>
            <w:vAlign w:val="bottom"/>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1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15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(120)</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6"/>
        </w:trPr>
        <w:tc>
          <w:tcPr>
            <w:tcW w:w="3500" w:type="dxa"/>
            <w:vAlign w:val="bottom"/>
          </w:tcPr>
          <w:p>
            <w:pPr>
              <w:spacing w:after="0"/>
              <w:rPr>
                <w:sz w:val="20"/>
                <w:szCs w:val="20"/>
                <w:color w:val="auto"/>
              </w:rPr>
            </w:pPr>
            <w:r>
              <w:rPr>
                <w:rFonts w:ascii="Arial" w:cs="Arial" w:eastAsia="Arial" w:hAnsi="Arial"/>
                <w:sz w:val="18"/>
                <w:szCs w:val="18"/>
                <w:color w:val="auto"/>
              </w:rPr>
              <w:t>Charges and credits</w:t>
            </w:r>
          </w:p>
        </w:tc>
        <w:tc>
          <w:tcPr>
            <w:tcW w:w="1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(2,136)</w:t>
            </w:r>
          </w:p>
        </w:tc>
        <w:tc>
          <w:tcPr>
            <w:tcW w:w="0" w:type="dxa"/>
            <w:vAlign w:val="bottom"/>
          </w:tcPr>
          <w:p>
            <w:pPr>
              <w:spacing w:after="0"/>
              <w:rPr>
                <w:sz w:val="1"/>
                <w:szCs w:val="1"/>
                <w:color w:val="auto"/>
              </w:rPr>
            </w:pPr>
          </w:p>
        </w:tc>
      </w:tr>
      <w:tr>
        <w:trPr>
          <w:trHeight w:val="20"/>
        </w:trPr>
        <w:tc>
          <w:tcPr>
            <w:tcW w:w="3500" w:type="dxa"/>
            <w:vAlign w:val="bottom"/>
            <w:shd w:val="clear" w:color="auto" w:fill="CFF0FC"/>
          </w:tcPr>
          <w:p>
            <w:pPr>
              <w:spacing w:after="0" w:line="20" w:lineRule="exact"/>
              <w:rPr>
                <w:sz w:val="1"/>
                <w:szCs w:val="1"/>
                <w:color w:val="auto"/>
              </w:rPr>
            </w:pPr>
          </w:p>
        </w:tc>
        <w:tc>
          <w:tcPr>
            <w:tcW w:w="1520" w:type="dxa"/>
            <w:vAlign w:val="bottom"/>
            <w:vMerge w:val="restart"/>
            <w:shd w:val="clear" w:color="auto" w:fill="CFF0FC"/>
          </w:tcPr>
          <w:p>
            <w:pPr>
              <w:spacing w:after="0" w:line="20" w:lineRule="exact"/>
              <w:rPr>
                <w:sz w:val="1"/>
                <w:szCs w:val="1"/>
                <w:color w:val="auto"/>
              </w:rPr>
            </w:pPr>
          </w:p>
        </w:tc>
        <w:tc>
          <w:tcPr>
            <w:tcW w:w="86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500" w:type="dxa"/>
            <w:vAlign w:val="bottom"/>
            <w:shd w:val="clear" w:color="auto" w:fill="CFF0FC"/>
          </w:tcPr>
          <w:p>
            <w:pPr>
              <w:spacing w:after="0"/>
              <w:rPr>
                <w:sz w:val="19"/>
                <w:szCs w:val="19"/>
                <w:color w:val="auto"/>
              </w:rPr>
            </w:pPr>
          </w:p>
        </w:tc>
        <w:tc>
          <w:tcPr>
            <w:tcW w:w="1520" w:type="dxa"/>
            <w:vAlign w:val="bottom"/>
            <w:vMerge w:val="continue"/>
            <w:shd w:val="clear" w:color="auto" w:fill="CFF0FC"/>
          </w:tcPr>
          <w:p>
            <w:pPr>
              <w:spacing w:after="0"/>
              <w:rPr>
                <w:sz w:val="19"/>
                <w:szCs w:val="19"/>
                <w:color w:val="auto"/>
              </w:rPr>
            </w:pPr>
          </w:p>
        </w:tc>
        <w:tc>
          <w:tcPr>
            <w:tcW w:w="86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6,520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622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7,744</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49"/>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(1,102)</w:t>
            </w:r>
          </w:p>
        </w:tc>
        <w:tc>
          <w:tcPr>
            <w:tcW w:w="0" w:type="dxa"/>
            <w:vAlign w:val="bottom"/>
          </w:tcPr>
          <w:p>
            <w:pPr>
              <w:spacing w:after="0"/>
              <w:rPr>
                <w:sz w:val="1"/>
                <w:szCs w:val="1"/>
                <w:color w:val="auto"/>
              </w:rPr>
            </w:pPr>
          </w:p>
        </w:tc>
      </w:tr>
      <w:tr>
        <w:trPr>
          <w:trHeight w:val="20"/>
        </w:trPr>
        <w:tc>
          <w:tcPr>
            <w:tcW w:w="3500" w:type="dxa"/>
            <w:vAlign w:val="bottom"/>
            <w:tcBorders>
              <w:top w:val="single" w:sz="8" w:color="CFF0FC"/>
            </w:tcBorders>
          </w:tcPr>
          <w:p>
            <w:pPr>
              <w:spacing w:after="0" w:line="20" w:lineRule="exact"/>
              <w:rPr>
                <w:sz w:val="1"/>
                <w:szCs w:val="1"/>
                <w:color w:val="auto"/>
              </w:rPr>
            </w:pPr>
          </w:p>
        </w:tc>
        <w:tc>
          <w:tcPr>
            <w:tcW w:w="152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ind w:left="300" w:right="140" w:hanging="287"/>
        <w:spacing w:after="0" w:line="286" w:lineRule="auto"/>
        <w:tabs>
          <w:tab w:leader="none" w:pos="330" w:val="left"/>
        </w:tabs>
        <w:numPr>
          <w:ilvl w:val="0"/>
          <w:numId w:val="18"/>
        </w:numPr>
        <w:rPr>
          <w:rFonts w:ascii="Arial" w:cs="Arial" w:eastAsia="Arial" w:hAnsi="Arial"/>
          <w:sz w:val="15"/>
          <w:szCs w:val="15"/>
          <w:color w:val="auto"/>
        </w:rPr>
      </w:pPr>
      <w:r>
        <w:rPr>
          <w:rFonts w:ascii="Arial" w:cs="Arial" w:eastAsia="Arial" w:hAnsi="Arial"/>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79" w:lineRule="exact"/>
        <w:rPr>
          <w:rFonts w:ascii="Arial" w:cs="Arial" w:eastAsia="Arial" w:hAnsi="Arial"/>
          <w:sz w:val="15"/>
          <w:szCs w:val="15"/>
          <w:color w:val="auto"/>
        </w:rPr>
      </w:pPr>
    </w:p>
    <w:p>
      <w:pPr>
        <w:ind w:left="280" w:hanging="267"/>
        <w:spacing w:after="0"/>
        <w:tabs>
          <w:tab w:leader="none" w:pos="280" w:val="left"/>
        </w:tabs>
        <w:numPr>
          <w:ilvl w:val="0"/>
          <w:numId w:val="18"/>
        </w:numPr>
        <w:rPr>
          <w:rFonts w:ascii="Arial" w:cs="Arial" w:eastAsia="Arial" w:hAnsi="Arial"/>
          <w:sz w:val="15"/>
          <w:szCs w:val="15"/>
          <w:color w:val="auto"/>
        </w:rPr>
      </w:pPr>
      <w:r>
        <w:rPr>
          <w:rFonts w:ascii="Arial" w:cs="Arial" w:eastAsia="Arial" w:hAnsi="Arial"/>
          <w:sz w:val="16"/>
          <w:szCs w:val="16"/>
          <w:color w:val="auto"/>
        </w:rPr>
        <w:t>Interest income excludes amounts which are included in the segments’ income ($6 million in the first quarter 2016; $6 million in the fourth quarter in 2015).</w:t>
      </w:r>
    </w:p>
    <w:p>
      <w:pPr>
        <w:spacing w:after="0" w:line="134" w:lineRule="exact"/>
        <w:rPr>
          <w:rFonts w:ascii="Arial" w:cs="Arial" w:eastAsia="Arial" w:hAnsi="Arial"/>
          <w:sz w:val="15"/>
          <w:szCs w:val="15"/>
          <w:color w:val="auto"/>
        </w:rPr>
      </w:pPr>
    </w:p>
    <w:p>
      <w:pPr>
        <w:ind w:left="280" w:hanging="267"/>
        <w:spacing w:after="0"/>
        <w:tabs>
          <w:tab w:leader="none" w:pos="280" w:val="left"/>
        </w:tabs>
        <w:numPr>
          <w:ilvl w:val="0"/>
          <w:numId w:val="18"/>
        </w:numPr>
        <w:rPr>
          <w:rFonts w:ascii="Arial" w:cs="Arial" w:eastAsia="Arial" w:hAnsi="Arial"/>
          <w:sz w:val="15"/>
          <w:szCs w:val="15"/>
          <w:color w:val="auto"/>
        </w:rPr>
      </w:pPr>
      <w:r>
        <w:rPr>
          <w:rFonts w:ascii="Arial" w:cs="Arial" w:eastAsia="Arial" w:hAnsi="Arial"/>
          <w:sz w:val="16"/>
          <w:szCs w:val="16"/>
          <w:color w:val="auto"/>
        </w:rPr>
        <w:t>Interest expense excludes amounts which are included in the segments’ income ($13 million in the first quarter 2016; $8 million in the fourth quarter 2015).</w:t>
      </w:r>
    </w:p>
    <w:p>
      <w:pPr>
        <w:spacing w:after="0" w:line="252"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During the first quarter of 2016, the decline in global activity and the rate of activity disruption reached unprecedented levels as the industry displayed clear signs of operating in a full-scale cash crisis. Budgeted E&amp;P spend fell again and substantially affected Schlumberger’s operating results. This environment is expected to continue deteriorating during the second quarter of 2016 given the magnitude and erratic nature of the disruptions in activity.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jc w:val="both"/>
        <w:spacing w:after="0" w:line="266" w:lineRule="auto"/>
        <w:rPr>
          <w:sz w:val="20"/>
          <w:szCs w:val="20"/>
          <w:color w:val="auto"/>
        </w:rPr>
      </w:pPr>
      <w:r>
        <w:rPr>
          <w:rFonts w:ascii="Arial" w:cs="Arial" w:eastAsia="Arial" w:hAnsi="Arial"/>
          <w:sz w:val="18"/>
          <w:szCs w:val="18"/>
          <w:color w:val="auto"/>
        </w:rPr>
        <w:t>First-quarter 2016 revenue of $6.5 billion decreased 16% sequentially and was driven by a continuing drop in activity and persistent pricing pressure throughout Schlumberger’s global operations, as well as from project delays, job cancellations and activity disruptions.</w:t>
      </w:r>
    </w:p>
    <w:p>
      <w:pPr>
        <w:spacing w:after="0" w:line="179"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North America first-quarter 2016 revenue of $1.5 billion was 25% lower sequentially as the US land rig count declined 31% following customer budget cuts. By the end of the first quarter, the US land rig count had fallen to approximately 400, representing a drop of 80% from the peak of October 2014.</w:t>
      </w:r>
    </w:p>
    <w:p>
      <w:pPr>
        <w:spacing w:after="0" w:line="157"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Revenue for the International Areas of $5.0 billion decreased 13% sequentially due to a combination of customer budget cuts, activity disruptions, seasonal winter slow-downs and persistent pricing pressure.</w:t>
      </w:r>
    </w:p>
    <w:p>
      <w:pPr>
        <w:spacing w:after="0" w:line="1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First-quarter 2016 pretax operating margins decreased 281 basis point (bps) to 13.8%. North America pretax operating margin declined 777 bps sequentially to -1% as the downturn deepened causing further customer spending cuts and as widespread operational disruptions prevented prompt cost adjustments. International Area pretax operating margin of 21% decreased 70 bps sequentially due to project cancellations, job delays and activity disruptions, particularly in the Europe/CIS/Africa Area.</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 Group</w:t>
      </w:r>
    </w:p>
    <w:p>
      <w:pPr>
        <w:spacing w:after="0" w:line="118"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Reservoir Characterization Group revenue of $1.7 billion declined 20% sequentially, primarily due to seasonal winter slowdowns and project cancellations that impacted Wireline activities. Lower multiclient and SIS software sales and Testing Services revenue also contributed to the decline.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Pretax operating margin of 19% declined 480 bps sequentially primarily due to reduced high-margin Wireline services and SIS software sales.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 Group</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Drilling Group revenue of $2.5 billion decreased 16% sequentially as a result of a sharp drop in drilling activity combined with persistent pricing pressure and seasonal winter slowdowns.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Pretax operating margin of 15% declined 183 bps sequentially as a result of the lower activity and pricing pressure.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Group</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Production Group revenue of $2.3 billion decreased 11% sequentially with 74% of the decrease attributable to a further decline in North America land activity, as additional customer spending cuts led to a further decline in rig count and increased pricing pressure.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Pretax operating margin of 9% decreased 258 bps sequentially primarily from further pricing weakness in pressure pumping services.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u w:val="single" w:color="auto"/>
          <w:color w:val="auto"/>
        </w:rPr>
        <w:t>First Quarter 2016 Compared to First Quarter 2015</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Product Groups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5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w w:val="98"/>
              </w:rPr>
              <w:t>(Stated in millions)</w:t>
            </w:r>
          </w:p>
        </w:tc>
        <w:tc>
          <w:tcPr>
            <w:tcW w:w="0" w:type="dxa"/>
            <w:vAlign w:val="bottom"/>
          </w:tcPr>
          <w:p>
            <w:pPr>
              <w:spacing w:after="0"/>
              <w:rPr>
                <w:sz w:val="1"/>
                <w:szCs w:val="1"/>
                <w:color w:val="auto"/>
              </w:rPr>
            </w:pPr>
          </w:p>
        </w:tc>
      </w:tr>
      <w:tr>
        <w:trPr>
          <w:trHeight w:val="436"/>
        </w:trPr>
        <w:tc>
          <w:tcPr>
            <w:tcW w:w="35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8"/>
                <w:szCs w:val="18"/>
                <w:b w:val="1"/>
                <w:bCs w:val="1"/>
                <w:color w:val="auto"/>
                <w:w w:val="94"/>
              </w:rPr>
              <w:t>First Quarter 2016</w:t>
            </w:r>
          </w:p>
        </w:tc>
        <w:tc>
          <w:tcPr>
            <w:tcW w:w="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jc w:val="right"/>
              <w:ind w:right="571"/>
              <w:spacing w:after="0"/>
              <w:rPr>
                <w:sz w:val="20"/>
                <w:szCs w:val="20"/>
                <w:color w:val="auto"/>
              </w:rPr>
            </w:pPr>
            <w:r>
              <w:rPr>
                <w:rFonts w:ascii="Arial" w:cs="Arial" w:eastAsia="Arial" w:hAnsi="Arial"/>
                <w:sz w:val="18"/>
                <w:szCs w:val="18"/>
                <w:color w:val="auto"/>
              </w:rPr>
              <w:t>First Quarter 2015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5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center"/>
              <w:ind w:right="111"/>
              <w:spacing w:after="0"/>
              <w:rPr>
                <w:sz w:val="20"/>
                <w:szCs w:val="20"/>
                <w:color w:val="auto"/>
              </w:rPr>
            </w:pPr>
            <w:r>
              <w:rPr>
                <w:rFonts w:ascii="Arial" w:cs="Arial" w:eastAsia="Arial" w:hAnsi="Arial"/>
                <w:sz w:val="18"/>
                <w:szCs w:val="18"/>
                <w:b w:val="1"/>
                <w:bCs w:val="1"/>
                <w:color w:val="auto"/>
                <w:w w:val="88"/>
              </w:rPr>
              <w:t>Income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Income</w:t>
            </w:r>
          </w:p>
        </w:tc>
        <w:tc>
          <w:tcPr>
            <w:tcW w:w="0" w:type="dxa"/>
            <w:vAlign w:val="bottom"/>
          </w:tcPr>
          <w:p>
            <w:pPr>
              <w:spacing w:after="0"/>
              <w:rPr>
                <w:sz w:val="1"/>
                <w:szCs w:val="1"/>
                <w:color w:val="auto"/>
              </w:rPr>
            </w:pPr>
          </w:p>
        </w:tc>
      </w:tr>
      <w:tr>
        <w:trPr>
          <w:trHeight w:val="226"/>
        </w:trPr>
        <w:tc>
          <w:tcPr>
            <w:tcW w:w="35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before</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before</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CFF0FC"/>
            </w:tcBorders>
          </w:tcPr>
          <w:p>
            <w:pPr>
              <w:spacing w:after="0"/>
              <w:rPr>
                <w:sz w:val="20"/>
                <w:szCs w:val="20"/>
                <w:color w:val="auto"/>
              </w:rPr>
            </w:pPr>
          </w:p>
        </w:tc>
        <w:tc>
          <w:tcPr>
            <w:tcW w:w="1520" w:type="dxa"/>
            <w:vAlign w:val="bottom"/>
            <w:tcBorders>
              <w:bottom w:val="single" w:sz="8" w:color="CFF0FC"/>
            </w:tcBorders>
          </w:tcPr>
          <w:p>
            <w:pPr>
              <w:spacing w:after="0"/>
              <w:rPr>
                <w:sz w:val="20"/>
                <w:szCs w:val="20"/>
                <w:color w:val="auto"/>
              </w:rPr>
            </w:pPr>
          </w:p>
        </w:tc>
        <w:tc>
          <w:tcPr>
            <w:tcW w:w="86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171"/>
              <w:spacing w:after="0"/>
              <w:rPr>
                <w:sz w:val="20"/>
                <w:szCs w:val="20"/>
                <w:color w:val="auto"/>
              </w:rPr>
            </w:pPr>
            <w:r>
              <w:rPr>
                <w:rFonts w:ascii="Arial" w:cs="Arial" w:eastAsia="Arial" w:hAnsi="Arial"/>
                <w:sz w:val="18"/>
                <w:szCs w:val="18"/>
                <w:b w:val="1"/>
                <w:bCs w:val="1"/>
                <w:color w:val="auto"/>
                <w:w w:val="93"/>
              </w:rPr>
              <w:t>Revenue</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b w:val="1"/>
                <w:bCs w:val="1"/>
                <w:color w:val="auto"/>
                <w:w w:val="82"/>
              </w:rPr>
              <w:t>Taxes</w:t>
            </w:r>
          </w:p>
        </w:tc>
        <w:tc>
          <w:tcPr>
            <w:tcW w:w="2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w w:val="94"/>
              </w:rPr>
              <w:t>Revenue</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color w:val="auto"/>
                <w:w w:val="81"/>
              </w:rPr>
              <w:t>Taxes</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15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1,747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331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2,655</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49"/>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500" w:type="dxa"/>
            <w:vAlign w:val="bottom"/>
          </w:tcPr>
          <w:p>
            <w:pPr>
              <w:spacing w:after="0"/>
              <w:rPr>
                <w:sz w:val="20"/>
                <w:szCs w:val="20"/>
                <w:color w:val="auto"/>
              </w:rPr>
            </w:pPr>
            <w:r>
              <w:rPr>
                <w:rFonts w:ascii="Arial" w:cs="Arial" w:eastAsia="Arial" w:hAnsi="Arial"/>
                <w:sz w:val="18"/>
                <w:szCs w:val="18"/>
                <w:color w:val="auto"/>
              </w:rPr>
              <w:t>Drilling</w:t>
            </w:r>
          </w:p>
        </w:tc>
        <w:tc>
          <w:tcPr>
            <w:tcW w:w="1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2,493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371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3,922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15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2,348</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500" w:type="dxa"/>
            <w:vAlign w:val="bottom"/>
          </w:tcPr>
          <w:p>
            <w:pPr>
              <w:spacing w:after="0"/>
              <w:rPr>
                <w:sz w:val="20"/>
                <w:szCs w:val="20"/>
                <w:color w:val="auto"/>
              </w:rPr>
            </w:pPr>
            <w:r>
              <w:rPr>
                <w:rFonts w:ascii="Arial" w:cs="Arial" w:eastAsia="Arial" w:hAnsi="Arial"/>
                <w:sz w:val="18"/>
                <w:szCs w:val="18"/>
                <w:color w:val="auto"/>
              </w:rPr>
              <w:t>Eliminations &amp; other</w:t>
            </w:r>
          </w:p>
        </w:tc>
        <w:tc>
          <w:tcPr>
            <w:tcW w:w="1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(68)</w:t>
            </w: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(9)</w:t>
            </w:r>
          </w:p>
        </w:tc>
        <w:tc>
          <w:tcPr>
            <w:tcW w:w="1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9"/>
        </w:trPr>
        <w:tc>
          <w:tcPr>
            <w:tcW w:w="35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Pretax operating income</w:t>
            </w:r>
          </w:p>
        </w:tc>
        <w:tc>
          <w:tcPr>
            <w:tcW w:w="15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901</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500" w:type="dxa"/>
            <w:vAlign w:val="bottom"/>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1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(172)</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26"/>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15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500" w:type="dxa"/>
            <w:vAlign w:val="bottom"/>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1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(120)</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6"/>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Charges and credits</w:t>
            </w:r>
          </w:p>
        </w:tc>
        <w:tc>
          <w:tcPr>
            <w:tcW w:w="15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520" w:type="dxa"/>
            <w:vAlign w:val="bottom"/>
            <w:vMerge w:val="restart"/>
          </w:tcPr>
          <w:p>
            <w:pPr>
              <w:spacing w:after="0" w:line="20" w:lineRule="exact"/>
              <w:rPr>
                <w:sz w:val="1"/>
                <w:szCs w:val="1"/>
                <w:color w:val="auto"/>
              </w:rPr>
            </w:pPr>
          </w:p>
        </w:tc>
        <w:tc>
          <w:tcPr>
            <w:tcW w:w="86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500" w:type="dxa"/>
            <w:vAlign w:val="bottom"/>
          </w:tcPr>
          <w:p>
            <w:pPr>
              <w:spacing w:after="0"/>
              <w:rPr>
                <w:sz w:val="19"/>
                <w:szCs w:val="19"/>
                <w:color w:val="auto"/>
              </w:rPr>
            </w:pPr>
          </w:p>
        </w:tc>
        <w:tc>
          <w:tcPr>
            <w:tcW w:w="152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6,520</w:t>
            </w:r>
          </w:p>
        </w:tc>
        <w:tc>
          <w:tcPr>
            <w:tcW w:w="24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622</w:t>
            </w:r>
          </w:p>
        </w:tc>
        <w:tc>
          <w:tcPr>
            <w:tcW w:w="240" w:type="dxa"/>
            <w:vAlign w:val="bottom"/>
          </w:tcPr>
          <w:p>
            <w:pPr>
              <w:spacing w:after="0"/>
              <w:rPr>
                <w:sz w:val="19"/>
                <w:szCs w:val="19"/>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10,248</w:t>
            </w:r>
          </w:p>
        </w:tc>
        <w:tc>
          <w:tcPr>
            <w:tcW w:w="140" w:type="dxa"/>
            <w:vAlign w:val="bottom"/>
          </w:tcPr>
          <w:p>
            <w:pPr>
              <w:spacing w:after="0"/>
              <w:rPr>
                <w:sz w:val="19"/>
                <w:szCs w:val="19"/>
                <w:color w:val="auto"/>
              </w:rPr>
            </w:pPr>
          </w:p>
        </w:tc>
        <w:tc>
          <w:tcPr>
            <w:tcW w:w="300" w:type="dxa"/>
            <w:vAlign w:val="bottom"/>
            <w:gridSpan w:val="2"/>
          </w:tcPr>
          <w:p>
            <w:pPr>
              <w:jc w:val="right"/>
              <w:ind w:right="49"/>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3500" w:type="dxa"/>
            <w:vAlign w:val="bottom"/>
          </w:tcPr>
          <w:p>
            <w:pPr>
              <w:spacing w:after="0"/>
              <w:rPr>
                <w:sz w:val="24"/>
                <w:szCs w:val="24"/>
                <w:color w:val="auto"/>
              </w:rPr>
            </w:pPr>
          </w:p>
        </w:tc>
        <w:tc>
          <w:tcPr>
            <w:tcW w:w="3780" w:type="dxa"/>
            <w:vAlign w:val="bottom"/>
            <w:gridSpan w:val="6"/>
          </w:tcPr>
          <w:p>
            <w:pPr>
              <w:jc w:val="right"/>
              <w:ind w:right="880"/>
              <w:spacing w:after="0"/>
              <w:rPr>
                <w:sz w:val="20"/>
                <w:szCs w:val="20"/>
                <w:color w:val="auto"/>
              </w:rPr>
            </w:pPr>
            <w:r>
              <w:rPr>
                <w:rFonts w:ascii="Arial" w:cs="Arial" w:eastAsia="Arial" w:hAnsi="Arial"/>
                <w:sz w:val="18"/>
                <w:szCs w:val="18"/>
                <w:b w:val="1"/>
                <w:bCs w:val="1"/>
                <w:color w:val="auto"/>
              </w:rPr>
              <w:t>Geographic Areas</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35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w w:val="98"/>
              </w:rPr>
              <w:t>(Stated in millions)</w:t>
            </w:r>
          </w:p>
        </w:tc>
        <w:tc>
          <w:tcPr>
            <w:tcW w:w="0" w:type="dxa"/>
            <w:vAlign w:val="bottom"/>
          </w:tcPr>
          <w:p>
            <w:pPr>
              <w:spacing w:after="0"/>
              <w:rPr>
                <w:sz w:val="1"/>
                <w:szCs w:val="1"/>
                <w:color w:val="auto"/>
              </w:rPr>
            </w:pPr>
          </w:p>
        </w:tc>
      </w:tr>
      <w:tr>
        <w:trPr>
          <w:trHeight w:val="436"/>
        </w:trPr>
        <w:tc>
          <w:tcPr>
            <w:tcW w:w="35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8"/>
                <w:szCs w:val="18"/>
                <w:b w:val="1"/>
                <w:bCs w:val="1"/>
                <w:color w:val="auto"/>
                <w:w w:val="94"/>
              </w:rPr>
              <w:t>First Quarter 2016</w:t>
            </w:r>
          </w:p>
        </w:tc>
        <w:tc>
          <w:tcPr>
            <w:tcW w:w="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jc w:val="right"/>
              <w:ind w:right="571"/>
              <w:spacing w:after="0"/>
              <w:rPr>
                <w:sz w:val="20"/>
                <w:szCs w:val="20"/>
                <w:color w:val="auto"/>
              </w:rPr>
            </w:pPr>
            <w:r>
              <w:rPr>
                <w:rFonts w:ascii="Arial" w:cs="Arial" w:eastAsia="Arial" w:hAnsi="Arial"/>
                <w:sz w:val="18"/>
                <w:szCs w:val="18"/>
                <w:color w:val="auto"/>
              </w:rPr>
              <w:t>First Quarter 2015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5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center"/>
              <w:ind w:right="111"/>
              <w:spacing w:after="0"/>
              <w:rPr>
                <w:sz w:val="20"/>
                <w:szCs w:val="20"/>
                <w:color w:val="auto"/>
              </w:rPr>
            </w:pPr>
            <w:r>
              <w:rPr>
                <w:rFonts w:ascii="Arial" w:cs="Arial" w:eastAsia="Arial" w:hAnsi="Arial"/>
                <w:sz w:val="18"/>
                <w:szCs w:val="18"/>
                <w:b w:val="1"/>
                <w:bCs w:val="1"/>
                <w:color w:val="auto"/>
                <w:w w:val="88"/>
              </w:rPr>
              <w:t>Income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Income</w:t>
            </w:r>
          </w:p>
        </w:tc>
        <w:tc>
          <w:tcPr>
            <w:tcW w:w="0" w:type="dxa"/>
            <w:vAlign w:val="bottom"/>
          </w:tcPr>
          <w:p>
            <w:pPr>
              <w:spacing w:after="0"/>
              <w:rPr>
                <w:sz w:val="1"/>
                <w:szCs w:val="1"/>
                <w:color w:val="auto"/>
              </w:rPr>
            </w:pPr>
          </w:p>
        </w:tc>
      </w:tr>
      <w:tr>
        <w:trPr>
          <w:trHeight w:val="226"/>
        </w:trPr>
        <w:tc>
          <w:tcPr>
            <w:tcW w:w="35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before</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before</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CFF0FC"/>
            </w:tcBorders>
          </w:tcPr>
          <w:p>
            <w:pPr>
              <w:spacing w:after="0"/>
              <w:rPr>
                <w:sz w:val="20"/>
                <w:szCs w:val="20"/>
                <w:color w:val="auto"/>
              </w:rPr>
            </w:pPr>
          </w:p>
        </w:tc>
        <w:tc>
          <w:tcPr>
            <w:tcW w:w="1520" w:type="dxa"/>
            <w:vAlign w:val="bottom"/>
            <w:tcBorders>
              <w:bottom w:val="single" w:sz="8" w:color="CFF0FC"/>
            </w:tcBorders>
          </w:tcPr>
          <w:p>
            <w:pPr>
              <w:spacing w:after="0"/>
              <w:rPr>
                <w:sz w:val="20"/>
                <w:szCs w:val="20"/>
                <w:color w:val="auto"/>
              </w:rPr>
            </w:pPr>
          </w:p>
        </w:tc>
        <w:tc>
          <w:tcPr>
            <w:tcW w:w="86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171"/>
              <w:spacing w:after="0"/>
              <w:rPr>
                <w:sz w:val="20"/>
                <w:szCs w:val="20"/>
                <w:color w:val="auto"/>
              </w:rPr>
            </w:pPr>
            <w:r>
              <w:rPr>
                <w:rFonts w:ascii="Arial" w:cs="Arial" w:eastAsia="Arial" w:hAnsi="Arial"/>
                <w:sz w:val="18"/>
                <w:szCs w:val="18"/>
                <w:b w:val="1"/>
                <w:bCs w:val="1"/>
                <w:color w:val="auto"/>
                <w:w w:val="93"/>
              </w:rPr>
              <w:t>Revenue</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b w:val="1"/>
                <w:bCs w:val="1"/>
                <w:color w:val="auto"/>
                <w:w w:val="82"/>
              </w:rPr>
              <w:t>Taxes</w:t>
            </w:r>
          </w:p>
        </w:tc>
        <w:tc>
          <w:tcPr>
            <w:tcW w:w="2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w w:val="94"/>
              </w:rPr>
              <w:t>Revenue</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color w:val="auto"/>
                <w:w w:val="81"/>
              </w:rPr>
              <w:t>Taxes</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North America</w:t>
            </w:r>
          </w:p>
        </w:tc>
        <w:tc>
          <w:tcPr>
            <w:tcW w:w="15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1,464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3,222</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49"/>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500" w:type="dxa"/>
            <w:vAlign w:val="bottom"/>
          </w:tcPr>
          <w:p>
            <w:pPr>
              <w:spacing w:after="0"/>
              <w:rPr>
                <w:sz w:val="20"/>
                <w:szCs w:val="20"/>
                <w:color w:val="auto"/>
              </w:rPr>
            </w:pPr>
            <w:r>
              <w:rPr>
                <w:rFonts w:ascii="Arial" w:cs="Arial" w:eastAsia="Arial" w:hAnsi="Arial"/>
                <w:sz w:val="18"/>
                <w:szCs w:val="18"/>
                <w:color w:val="auto"/>
              </w:rPr>
              <w:t>Latin America</w:t>
            </w:r>
          </w:p>
        </w:tc>
        <w:tc>
          <w:tcPr>
            <w:tcW w:w="1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1,280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296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1,648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Europe/CIS/Africa</w:t>
            </w:r>
          </w:p>
        </w:tc>
        <w:tc>
          <w:tcPr>
            <w:tcW w:w="15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1,698</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320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500" w:type="dxa"/>
            <w:vAlign w:val="bottom"/>
          </w:tcPr>
          <w:p>
            <w:pPr>
              <w:spacing w:after="0"/>
              <w:rPr>
                <w:sz w:val="20"/>
                <w:szCs w:val="20"/>
                <w:color w:val="auto"/>
              </w:rPr>
            </w:pPr>
            <w:r>
              <w:rPr>
                <w:rFonts w:ascii="Arial" w:cs="Arial" w:eastAsia="Arial" w:hAnsi="Arial"/>
                <w:sz w:val="18"/>
                <w:szCs w:val="18"/>
                <w:color w:val="auto"/>
              </w:rPr>
              <w:t>Middle East &amp; Asia</w:t>
            </w:r>
          </w:p>
        </w:tc>
        <w:tc>
          <w:tcPr>
            <w:tcW w:w="1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446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2,703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15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76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(151)</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9"/>
        </w:trPr>
        <w:tc>
          <w:tcPr>
            <w:tcW w:w="3500" w:type="dxa"/>
            <w:vAlign w:val="bottom"/>
          </w:tcPr>
          <w:p>
            <w:pPr>
              <w:ind w:left="240"/>
              <w:spacing w:after="0"/>
              <w:rPr>
                <w:sz w:val="20"/>
                <w:szCs w:val="20"/>
                <w:color w:val="auto"/>
              </w:rPr>
            </w:pPr>
            <w:r>
              <w:rPr>
                <w:rFonts w:ascii="Arial" w:cs="Arial" w:eastAsia="Arial" w:hAnsi="Arial"/>
                <w:sz w:val="18"/>
                <w:szCs w:val="18"/>
                <w:color w:val="auto"/>
              </w:rPr>
              <w:t>Pretax operating income</w:t>
            </w:r>
          </w:p>
        </w:tc>
        <w:tc>
          <w:tcPr>
            <w:tcW w:w="1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901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15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(172)</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26"/>
        </w:trPr>
        <w:tc>
          <w:tcPr>
            <w:tcW w:w="3500" w:type="dxa"/>
            <w:vAlign w:val="bottom"/>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1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15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(120)</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6"/>
        </w:trPr>
        <w:tc>
          <w:tcPr>
            <w:tcW w:w="3500" w:type="dxa"/>
            <w:vAlign w:val="bottom"/>
          </w:tcPr>
          <w:p>
            <w:pPr>
              <w:spacing w:after="0"/>
              <w:rPr>
                <w:sz w:val="20"/>
                <w:szCs w:val="20"/>
                <w:color w:val="auto"/>
              </w:rPr>
            </w:pPr>
            <w:r>
              <w:rPr>
                <w:rFonts w:ascii="Arial" w:cs="Arial" w:eastAsia="Arial" w:hAnsi="Arial"/>
                <w:sz w:val="18"/>
                <w:szCs w:val="18"/>
                <w:color w:val="auto"/>
              </w:rPr>
              <w:t>Charges and credits</w:t>
            </w:r>
          </w:p>
        </w:tc>
        <w:tc>
          <w:tcPr>
            <w:tcW w:w="1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0"/>
        </w:trPr>
        <w:tc>
          <w:tcPr>
            <w:tcW w:w="3500" w:type="dxa"/>
            <w:vAlign w:val="bottom"/>
            <w:shd w:val="clear" w:color="auto" w:fill="CFF0FC"/>
          </w:tcPr>
          <w:p>
            <w:pPr>
              <w:spacing w:after="0" w:line="20" w:lineRule="exact"/>
              <w:rPr>
                <w:sz w:val="1"/>
                <w:szCs w:val="1"/>
                <w:color w:val="auto"/>
              </w:rPr>
            </w:pPr>
          </w:p>
        </w:tc>
        <w:tc>
          <w:tcPr>
            <w:tcW w:w="1520" w:type="dxa"/>
            <w:vAlign w:val="bottom"/>
            <w:vMerge w:val="restart"/>
            <w:shd w:val="clear" w:color="auto" w:fill="CFF0FC"/>
          </w:tcPr>
          <w:p>
            <w:pPr>
              <w:spacing w:after="0" w:line="20" w:lineRule="exact"/>
              <w:rPr>
                <w:sz w:val="1"/>
                <w:szCs w:val="1"/>
                <w:color w:val="auto"/>
              </w:rPr>
            </w:pPr>
          </w:p>
        </w:tc>
        <w:tc>
          <w:tcPr>
            <w:tcW w:w="86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500" w:type="dxa"/>
            <w:vAlign w:val="bottom"/>
            <w:shd w:val="clear" w:color="auto" w:fill="CFF0FC"/>
          </w:tcPr>
          <w:p>
            <w:pPr>
              <w:spacing w:after="0"/>
              <w:rPr>
                <w:sz w:val="19"/>
                <w:szCs w:val="19"/>
                <w:color w:val="auto"/>
              </w:rPr>
            </w:pPr>
          </w:p>
        </w:tc>
        <w:tc>
          <w:tcPr>
            <w:tcW w:w="1520" w:type="dxa"/>
            <w:vAlign w:val="bottom"/>
            <w:vMerge w:val="continue"/>
            <w:shd w:val="clear" w:color="auto" w:fill="CFF0FC"/>
          </w:tcPr>
          <w:p>
            <w:pPr>
              <w:spacing w:after="0"/>
              <w:rPr>
                <w:sz w:val="19"/>
                <w:szCs w:val="19"/>
                <w:color w:val="auto"/>
              </w:rPr>
            </w:pPr>
          </w:p>
        </w:tc>
        <w:tc>
          <w:tcPr>
            <w:tcW w:w="86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6,520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622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10,248</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49"/>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tcBorders>
              <w:top w:val="single" w:sz="8" w:color="CFF0FC"/>
            </w:tcBorders>
          </w:tcPr>
          <w:p>
            <w:pPr>
              <w:spacing w:after="0" w:line="20" w:lineRule="exact"/>
              <w:rPr>
                <w:sz w:val="1"/>
                <w:szCs w:val="1"/>
                <w:color w:val="auto"/>
              </w:rPr>
            </w:pPr>
          </w:p>
        </w:tc>
        <w:tc>
          <w:tcPr>
            <w:tcW w:w="152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ind w:left="300" w:hanging="286"/>
        <w:spacing w:after="0" w:line="286" w:lineRule="auto"/>
        <w:tabs>
          <w:tab w:leader="none" w:pos="237" w:val="left"/>
        </w:tabs>
        <w:numPr>
          <w:ilvl w:val="0"/>
          <w:numId w:val="19"/>
        </w:numPr>
        <w:rPr>
          <w:rFonts w:ascii="Arial" w:cs="Arial" w:eastAsia="Arial" w:hAnsi="Arial"/>
          <w:sz w:val="15"/>
          <w:szCs w:val="15"/>
          <w:color w:val="auto"/>
        </w:rPr>
      </w:pPr>
      <w:r>
        <w:rPr>
          <w:rFonts w:ascii="Arial" w:cs="Arial" w:eastAsia="Arial" w:hAnsi="Arial"/>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79" w:lineRule="exact"/>
        <w:rPr>
          <w:rFonts w:ascii="Arial" w:cs="Arial" w:eastAsia="Arial" w:hAnsi="Arial"/>
          <w:sz w:val="15"/>
          <w:szCs w:val="15"/>
          <w:color w:val="auto"/>
        </w:rPr>
      </w:pPr>
    </w:p>
    <w:p>
      <w:pPr>
        <w:ind w:left="280" w:hanging="223"/>
        <w:spacing w:after="0"/>
        <w:tabs>
          <w:tab w:leader="none" w:pos="280" w:val="left"/>
        </w:tabs>
        <w:numPr>
          <w:ilvl w:val="2"/>
          <w:numId w:val="19"/>
        </w:numPr>
        <w:rPr>
          <w:rFonts w:ascii="Arial" w:cs="Arial" w:eastAsia="Arial" w:hAnsi="Arial"/>
          <w:sz w:val="15"/>
          <w:szCs w:val="15"/>
          <w:color w:val="auto"/>
        </w:rPr>
      </w:pPr>
      <w:r>
        <w:rPr>
          <w:rFonts w:ascii="Arial" w:cs="Arial" w:eastAsia="Arial" w:hAnsi="Arial"/>
          <w:sz w:val="16"/>
          <w:szCs w:val="16"/>
          <w:color w:val="auto"/>
        </w:rPr>
        <w:t>Interest income excludes amounts which are included in the segments’ income ($6 million in 2016; $5 million in 2015).</w:t>
      </w:r>
    </w:p>
    <w:p>
      <w:pPr>
        <w:spacing w:after="0" w:line="134" w:lineRule="exact"/>
        <w:rPr>
          <w:rFonts w:ascii="Arial" w:cs="Arial" w:eastAsia="Arial" w:hAnsi="Arial"/>
          <w:sz w:val="15"/>
          <w:szCs w:val="15"/>
          <w:color w:val="auto"/>
        </w:rPr>
      </w:pPr>
    </w:p>
    <w:p>
      <w:pPr>
        <w:ind w:left="240" w:hanging="210"/>
        <w:spacing w:after="0"/>
        <w:tabs>
          <w:tab w:leader="none" w:pos="240" w:val="left"/>
        </w:tabs>
        <w:numPr>
          <w:ilvl w:val="1"/>
          <w:numId w:val="19"/>
        </w:numPr>
        <w:rPr>
          <w:rFonts w:ascii="Arial" w:cs="Arial" w:eastAsia="Arial" w:hAnsi="Arial"/>
          <w:sz w:val="15"/>
          <w:szCs w:val="15"/>
          <w:color w:val="auto"/>
        </w:rPr>
      </w:pPr>
      <w:r>
        <w:rPr>
          <w:rFonts w:ascii="Arial" w:cs="Arial" w:eastAsia="Arial" w:hAnsi="Arial"/>
          <w:sz w:val="16"/>
          <w:szCs w:val="16"/>
          <w:color w:val="auto"/>
        </w:rPr>
        <w:t>Interest expense excludes amounts which are included in the segments’ income ($13 million in 2016; $6 million in 2015).</w:t>
      </w:r>
    </w:p>
    <w:p>
      <w:pPr>
        <w:spacing w:after="0" w:line="252" w:lineRule="exact"/>
        <w:rPr>
          <w:sz w:val="20"/>
          <w:szCs w:val="20"/>
          <w:color w:val="auto"/>
        </w:rPr>
      </w:pPr>
    </w:p>
    <w:p>
      <w:pPr>
        <w:jc w:val="both"/>
        <w:ind w:firstLine="66"/>
        <w:spacing w:after="0" w:line="266" w:lineRule="auto"/>
        <w:rPr>
          <w:sz w:val="20"/>
          <w:szCs w:val="20"/>
          <w:color w:val="auto"/>
        </w:rPr>
      </w:pPr>
      <w:r>
        <w:rPr>
          <w:rFonts w:ascii="Arial" w:cs="Arial" w:eastAsia="Arial" w:hAnsi="Arial"/>
          <w:sz w:val="18"/>
          <w:szCs w:val="18"/>
          <w:color w:val="auto"/>
        </w:rPr>
        <w:t>First-quarter 2016 revenue of $6.5 billion was 36% lower year-on-year, while pretax operating income of $901 million was lower by 55%. Pretax operating margin decreased 563 bps to 13.8%</w:t>
      </w:r>
    </w:p>
    <w:p>
      <w:pPr>
        <w:spacing w:after="0" w:line="17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North America first-quarter 2016 revenue of $1.5 billion decreased 55% year-on-year as the US land rig count declined 62% and customer budgets were significantly reduced. Land revenue declined 62%, in line with the rig count decline. Offshore revenue decreased 30% as a result of lower activity, project delays and lower multiclient sales.</w:t>
      </w:r>
    </w:p>
    <w:p>
      <w:pPr>
        <w:spacing w:after="0" w:line="18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Revenue for the International Areas of $5.0 billion decreased 28% year-on-year due to a combination of customer budget cuts, activity disruptions and continued pricing pressure.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440" w:right="239" w:bottom="1440" w:gutter="0" w:footer="0" w:header="0"/>
        </w:sectPr>
      </w:pPr>
    </w:p>
    <w:bookmarkStart w:id="19" w:name="page20"/>
    <w:bookmarkEnd w:id="19"/>
    <w:p>
      <w:pPr>
        <w:jc w:val="both"/>
        <w:spacing w:after="0" w:line="266" w:lineRule="auto"/>
        <w:rPr>
          <w:sz w:val="20"/>
          <w:szCs w:val="20"/>
          <w:color w:val="auto"/>
        </w:rPr>
      </w:pPr>
      <w:r>
        <w:rPr>
          <w:rFonts w:ascii="Arial" w:cs="Arial" w:eastAsia="Arial" w:hAnsi="Arial"/>
          <w:sz w:val="18"/>
          <w:szCs w:val="18"/>
          <w:color w:val="auto"/>
        </w:rPr>
        <w:t>North America pretax operating margin declined 1,357 bps year-on-year to -1% while International Area pretax operating margin of 21% decreased 277 bps year-on-year. These decreases were primarily attributable to the severe activity decline and pricing pressure.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 Group</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First-quarter 2016 revenue of $1.7 billion was 34% lower than the same period of 2015 primarily due to lower customer spending on discretionary and exploration activities, which impacted Wireline and Testing Technologies as well as software and multiclient sales.</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Year-on-year, pretax operating margin decreased 635 bps to 19% primarily as a result of the unfavorable revenue mix due to the decrease in high-margin exploration activities.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 Group</w:t>
      </w:r>
    </w:p>
    <w:p>
      <w:pPr>
        <w:spacing w:after="0" w:line="1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First-quarter 2016 revenue of $2.5 billion was 36% lower than the same period of 2015, while pretax operating margin decreased 496 bps to 15%. These declines were primarily due to the sharp drop in drilling activity combined with persistent pricing pressure that mainly affected Drilling &amp; Measurements and M-I SWACO Technologies.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Group</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First-quarter 2016 revenue of $2.3 billion decreased 37% year-on-year primarily attributable to Well Services pressure pumping technologies driven by the severe activity decline and pricing pressure as the land rig count declined dramatically in North America.</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Year-on-year pretax operating margin decreased 580 bps to 9% as lower activity and pricing pressure continued in North America land.</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Interest and Other Income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Interest &amp; other income </w:t>
      </w:r>
      <w:r>
        <w:rPr>
          <w:rFonts w:ascii="Arial" w:cs="Arial" w:eastAsia="Arial" w:hAnsi="Arial"/>
          <w:sz w:val="18"/>
          <w:szCs w:val="18"/>
          <w:color w:val="auto"/>
        </w:rPr>
        <w:t>consisted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8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w w:val="98"/>
              </w:rPr>
              <w:t>(Stated in millions)</w:t>
            </w:r>
          </w:p>
        </w:tc>
      </w:tr>
      <w:tr>
        <w:trPr>
          <w:trHeight w:val="436"/>
        </w:trPr>
        <w:tc>
          <w:tcPr>
            <w:tcW w:w="782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First Quarter</w:t>
            </w: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782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jc w:val="right"/>
              <w:ind w:right="62"/>
              <w:spacing w:after="0"/>
              <w:rPr>
                <w:sz w:val="20"/>
                <w:szCs w:val="20"/>
                <w:color w:val="auto"/>
              </w:rPr>
            </w:pPr>
            <w:r>
              <w:rPr>
                <w:rFonts w:ascii="Arial" w:cs="Arial" w:eastAsia="Arial" w:hAnsi="Arial"/>
                <w:sz w:val="18"/>
                <w:szCs w:val="18"/>
                <w:b w:val="1"/>
                <w:bCs w:val="1"/>
                <w:color w:val="auto"/>
              </w:rPr>
              <w:t>2016</w:t>
            </w:r>
          </w:p>
        </w:tc>
        <w:tc>
          <w:tcPr>
            <w:tcW w:w="50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55"/>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FF0FC"/>
            </w:tcBorders>
          </w:tcPr>
          <w:p>
            <w:pPr>
              <w:spacing w:after="0"/>
              <w:rPr>
                <w:sz w:val="19"/>
                <w:szCs w:val="19"/>
                <w:color w:val="auto"/>
              </w:rPr>
            </w:pPr>
          </w:p>
        </w:tc>
      </w:tr>
      <w:tr>
        <w:trPr>
          <w:trHeight w:val="219"/>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Equity in net earnings of affiliated companies</w:t>
            </w:r>
          </w:p>
        </w:tc>
        <w:tc>
          <w:tcPr>
            <w:tcW w:w="1100" w:type="dxa"/>
            <w:vAlign w:val="bottom"/>
            <w:shd w:val="clear" w:color="auto" w:fill="CFF0FC"/>
          </w:tcPr>
          <w:p>
            <w:pPr>
              <w:jc w:val="right"/>
              <w:ind w:right="942"/>
              <w:spacing w:after="0"/>
              <w:rPr>
                <w:sz w:val="20"/>
                <w:szCs w:val="20"/>
                <w:color w:val="auto"/>
              </w:rPr>
            </w:pPr>
            <w:r>
              <w:rPr>
                <w:rFonts w:ascii="Arial" w:cs="Arial" w:eastAsia="Arial" w:hAnsi="Arial"/>
                <w:sz w:val="14"/>
                <w:szCs w:val="14"/>
                <w:b w:val="1"/>
                <w:bCs w:val="1"/>
                <w:color w:val="auto"/>
                <w:w w:val="76"/>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25</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1"/>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FF0FC"/>
          </w:tcPr>
          <w:p>
            <w:pPr>
              <w:spacing w:after="0"/>
              <w:rPr>
                <w:sz w:val="19"/>
                <w:szCs w:val="19"/>
                <w:color w:val="auto"/>
              </w:rPr>
            </w:pPr>
          </w:p>
        </w:tc>
      </w:tr>
      <w:tr>
        <w:trPr>
          <w:trHeight w:val="226"/>
        </w:trPr>
        <w:tc>
          <w:tcPr>
            <w:tcW w:w="7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income</w:t>
            </w:r>
          </w:p>
        </w:tc>
        <w:tc>
          <w:tcPr>
            <w:tcW w:w="1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c>
          <w:tcPr>
            <w:tcW w:w="2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FF0FC"/>
            </w:tcBorders>
          </w:tcPr>
          <w:p>
            <w:pPr>
              <w:spacing w:after="0"/>
              <w:rPr>
                <w:sz w:val="19"/>
                <w:szCs w:val="19"/>
                <w:color w:val="auto"/>
              </w:rPr>
            </w:pPr>
          </w:p>
        </w:tc>
      </w:tr>
      <w:tr>
        <w:trPr>
          <w:trHeight w:val="219"/>
        </w:trPr>
        <w:tc>
          <w:tcPr>
            <w:tcW w:w="782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42"/>
              <w:spacing w:after="0"/>
              <w:rPr>
                <w:sz w:val="20"/>
                <w:szCs w:val="20"/>
                <w:color w:val="auto"/>
              </w:rPr>
            </w:pPr>
            <w:r>
              <w:rPr>
                <w:rFonts w:ascii="Arial" w:cs="Arial" w:eastAsia="Arial" w:hAnsi="Arial"/>
                <w:sz w:val="14"/>
                <w:szCs w:val="14"/>
                <w:b w:val="1"/>
                <w:bCs w:val="1"/>
                <w:color w:val="auto"/>
                <w:w w:val="76"/>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45</w:t>
            </w:r>
          </w:p>
        </w:tc>
        <w:tc>
          <w:tcPr>
            <w:tcW w:w="2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1"/>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8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1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Research &amp; engineering </w:t>
      </w:r>
      <w:r>
        <w:rPr>
          <w:rFonts w:ascii="Arial" w:cs="Arial" w:eastAsia="Arial" w:hAnsi="Arial"/>
          <w:sz w:val="18"/>
          <w:szCs w:val="18"/>
          <w:color w:val="auto"/>
        </w:rPr>
        <w:t>and</w:t>
      </w:r>
      <w:r>
        <w:rPr>
          <w:rFonts w:ascii="Arial" w:cs="Arial" w:eastAsia="Arial" w:hAnsi="Arial"/>
          <w:sz w:val="18"/>
          <w:szCs w:val="18"/>
          <w:i w:val="1"/>
          <w:iCs w:val="1"/>
          <w:color w:val="auto"/>
        </w:rPr>
        <w:t xml:space="preserve"> General &amp; administrative </w:t>
      </w:r>
      <w:r>
        <w:rPr>
          <w:rFonts w:ascii="Arial" w:cs="Arial" w:eastAsia="Arial" w:hAnsi="Arial"/>
          <w:sz w:val="18"/>
          <w:szCs w:val="18"/>
          <w:color w:val="auto"/>
        </w:rPr>
        <w:t>expenses, as a percentage of</w:t>
      </w:r>
      <w:r>
        <w:rPr>
          <w:rFonts w:ascii="Arial" w:cs="Arial" w:eastAsia="Arial" w:hAnsi="Arial"/>
          <w:sz w:val="18"/>
          <w:szCs w:val="18"/>
          <w:i w:val="1"/>
          <w:iCs w:val="1"/>
          <w:color w:val="auto"/>
        </w:rPr>
        <w:t xml:space="preserve"> Revenue</w:t>
      </w:r>
      <w:r>
        <w:rPr>
          <w:rFonts w:ascii="Arial" w:cs="Arial" w:eastAsia="Arial" w:hAnsi="Arial"/>
          <w:sz w:val="18"/>
          <w:szCs w:val="18"/>
          <w:color w:val="auto"/>
        </w:rPr>
        <w:t>, for the first quarter ended March 31, 2016 and 2015 were as</w:t>
      </w:r>
      <w:r>
        <w:rPr>
          <w:rFonts w:ascii="Arial" w:cs="Arial" w:eastAsia="Arial" w:hAnsi="Arial"/>
          <w:sz w:val="18"/>
          <w:szCs w:val="18"/>
          <w:i w:val="1"/>
          <w:iCs w:val="1"/>
          <w:color w:val="auto"/>
        </w:rPr>
        <w:t xml:space="preserve"> </w:t>
      </w:r>
      <w:r>
        <w:rPr>
          <w:rFonts w:ascii="Arial" w:cs="Arial" w:eastAsia="Arial" w:hAnsi="Arial"/>
          <w:sz w:val="18"/>
          <w:szCs w:val="18"/>
          <w:color w:val="auto"/>
        </w:rPr>
        <w:t>follows:</w:t>
      </w:r>
    </w:p>
    <w:p>
      <w:pPr>
        <w:spacing w:after="0" w:line="186" w:lineRule="exact"/>
        <w:rPr>
          <w:sz w:val="20"/>
          <w:szCs w:val="20"/>
          <w:color w:val="auto"/>
        </w:rPr>
      </w:pPr>
    </w:p>
    <w:p>
      <w:pPr>
        <w:ind w:left="8940"/>
        <w:spacing w:after="0"/>
        <w:rPr>
          <w:sz w:val="20"/>
          <w:szCs w:val="20"/>
          <w:color w:val="auto"/>
        </w:rPr>
      </w:pPr>
      <w:r>
        <w:rPr>
          <w:rFonts w:ascii="Arial" w:cs="Arial" w:eastAsia="Arial" w:hAnsi="Arial"/>
          <w:sz w:val="18"/>
          <w:szCs w:val="18"/>
          <w:b w:val="1"/>
          <w:bCs w:val="1"/>
          <w:color w:val="auto"/>
        </w:rPr>
        <w:t>First Quarter</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680" w:type="dxa"/>
            <w:vAlign w:val="bottom"/>
            <w:tcBorders>
              <w:bottom w:val="single" w:sz="8" w:color="CFF0FC"/>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rPr>
              <w:t>2016</w:t>
            </w:r>
          </w:p>
        </w:tc>
        <w:tc>
          <w:tcPr>
            <w:tcW w:w="42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CFF0FC"/>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8"/>
                <w:szCs w:val="18"/>
                <w:color w:val="auto"/>
              </w:rPr>
              <w:t>2015</w:t>
            </w:r>
          </w:p>
        </w:tc>
        <w:tc>
          <w:tcPr>
            <w:tcW w:w="180" w:type="dxa"/>
            <w:vAlign w:val="bottom"/>
            <w:tcBorders>
              <w:bottom w:val="single" w:sz="8" w:color="CFF0FC"/>
            </w:tcBorders>
          </w:tcPr>
          <w:p>
            <w:pPr>
              <w:spacing w:after="0"/>
              <w:rPr>
                <w:sz w:val="19"/>
                <w:szCs w:val="19"/>
                <w:color w:val="auto"/>
              </w:rPr>
            </w:pPr>
          </w:p>
        </w:tc>
      </w:tr>
      <w:tr>
        <w:trPr>
          <w:trHeight w:val="219"/>
        </w:trPr>
        <w:tc>
          <w:tcPr>
            <w:tcW w:w="8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Research &amp; engineering</w:t>
            </w: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3.7%</w:t>
            </w:r>
          </w:p>
        </w:tc>
        <w:tc>
          <w:tcPr>
            <w:tcW w:w="1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w:t>
            </w:r>
          </w:p>
        </w:tc>
      </w:tr>
      <w:tr>
        <w:trPr>
          <w:trHeight w:val="230"/>
        </w:trPr>
        <w:tc>
          <w:tcPr>
            <w:tcW w:w="8840" w:type="dxa"/>
            <w:vAlign w:val="bottom"/>
            <w:gridSpan w:val="2"/>
          </w:tcPr>
          <w:p>
            <w:pPr>
              <w:spacing w:after="0"/>
              <w:rPr>
                <w:sz w:val="20"/>
                <w:szCs w:val="20"/>
                <w:color w:val="auto"/>
              </w:rPr>
            </w:pPr>
            <w:r>
              <w:rPr>
                <w:rFonts w:ascii="Arial" w:cs="Arial" w:eastAsia="Arial" w:hAnsi="Arial"/>
                <w:sz w:val="18"/>
                <w:szCs w:val="18"/>
                <w:color w:val="auto"/>
              </w:rPr>
              <w:t>General &amp; administrative</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r>
    </w:tbl>
    <w:p>
      <w:pPr>
        <w:spacing w:after="0" w:line="23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Although </w:t>
      </w:r>
      <w:r>
        <w:rPr>
          <w:rFonts w:ascii="Arial" w:cs="Arial" w:eastAsia="Arial" w:hAnsi="Arial"/>
          <w:sz w:val="18"/>
          <w:szCs w:val="18"/>
          <w:i w:val="1"/>
          <w:iCs w:val="1"/>
          <w:color w:val="auto"/>
        </w:rPr>
        <w:t>Research &amp; engineering</w:t>
      </w:r>
      <w:r>
        <w:rPr>
          <w:rFonts w:ascii="Arial" w:cs="Arial" w:eastAsia="Arial" w:hAnsi="Arial"/>
          <w:sz w:val="18"/>
          <w:szCs w:val="18"/>
          <w:color w:val="auto"/>
        </w:rPr>
        <w:t xml:space="preserve"> and </w:t>
      </w:r>
      <w:r>
        <w:rPr>
          <w:rFonts w:ascii="Arial" w:cs="Arial" w:eastAsia="Arial" w:hAnsi="Arial"/>
          <w:sz w:val="18"/>
          <w:szCs w:val="18"/>
          <w:i w:val="1"/>
          <w:iCs w:val="1"/>
          <w:color w:val="auto"/>
        </w:rPr>
        <w:t>General &amp; administrative</w:t>
      </w:r>
      <w:r>
        <w:rPr>
          <w:rFonts w:ascii="Arial" w:cs="Arial" w:eastAsia="Arial" w:hAnsi="Arial"/>
          <w:sz w:val="18"/>
          <w:szCs w:val="18"/>
          <w:color w:val="auto"/>
        </w:rPr>
        <w:t xml:space="preserve"> costs have increased as a percentage of </w:t>
      </w:r>
      <w:r>
        <w:rPr>
          <w:rFonts w:ascii="Arial" w:cs="Arial" w:eastAsia="Arial" w:hAnsi="Arial"/>
          <w:sz w:val="18"/>
          <w:szCs w:val="18"/>
          <w:i w:val="1"/>
          <w:iCs w:val="1"/>
          <w:color w:val="auto"/>
        </w:rPr>
        <w:t>Revenue</w:t>
      </w:r>
      <w:r>
        <w:rPr>
          <w:rFonts w:ascii="Arial" w:cs="Arial" w:eastAsia="Arial" w:hAnsi="Arial"/>
          <w:sz w:val="18"/>
          <w:szCs w:val="18"/>
          <w:color w:val="auto"/>
        </w:rPr>
        <w:t>, they have decreased in absolute dollar terms as a result of cost control measures that Schlumberger has implemented.</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Interest expense of $133 million for the first quarter of 2016 increased by $51 million compared to the same period of the prior year. This increase was primarily due to the issuance of $6.0 billion of Senior Notes during the fourth quarter of 2015.</w:t>
      </w:r>
    </w:p>
    <w:p>
      <w:pPr>
        <w:spacing w:after="0" w:line="17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The effective tax rate for the first quarter of 2016 was 15.9% compared to 23.6% for the same period of the prior year. The effective tax rate for the first quarter of 2015 was significantly impacted by the charges and credits described in Note 2 to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Excluding the impact of the charges and credits, the effective tax rate for the first quarter of 2015 was 20.9%. The decrease in the effective tax rate was primarily attributable to the geographic mix of earnings, as Schlumberger generated a smaller portion of its pretax earnings in North America during the first quarter of 2016 as compared to the same period last year.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u w:val="single" w:color="auto"/>
          <w:color w:val="auto"/>
        </w:rPr>
        <w:t>Charges and Credits</w:t>
      </w:r>
    </w:p>
    <w:p>
      <w:pPr>
        <w:spacing w:after="0" w:line="112" w:lineRule="exact"/>
        <w:rPr>
          <w:sz w:val="20"/>
          <w:szCs w:val="20"/>
          <w:color w:val="auto"/>
        </w:rPr>
      </w:pPr>
    </w:p>
    <w:p>
      <w:pPr>
        <w:ind w:right="20"/>
        <w:spacing w:after="0" w:line="295" w:lineRule="auto"/>
        <w:rPr>
          <w:sz w:val="20"/>
          <w:szCs w:val="20"/>
          <w:color w:val="auto"/>
        </w:rPr>
      </w:pPr>
      <w:r>
        <w:rPr>
          <w:rFonts w:ascii="Arial" w:cs="Arial" w:eastAsia="Arial" w:hAnsi="Arial"/>
          <w:sz w:val="17"/>
          <w:szCs w:val="17"/>
          <w:color w:val="auto"/>
        </w:rPr>
        <w:t xml:space="preserve">Schlumberger recorded charges during the first quarter of 2015, all of which were classified as </w:t>
      </w:r>
      <w:r>
        <w:rPr>
          <w:rFonts w:ascii="Arial" w:cs="Arial" w:eastAsia="Arial" w:hAnsi="Arial"/>
          <w:sz w:val="17"/>
          <w:szCs w:val="17"/>
          <w:i w:val="1"/>
          <w:iCs w:val="1"/>
          <w:color w:val="auto"/>
        </w:rPr>
        <w:t>Restructuring &amp; other</w:t>
      </w:r>
      <w:r>
        <w:rPr>
          <w:rFonts w:ascii="Arial" w:cs="Arial" w:eastAsia="Arial" w:hAnsi="Arial"/>
          <w:sz w:val="17"/>
          <w:szCs w:val="17"/>
          <w:color w:val="auto"/>
        </w:rPr>
        <w:t xml:space="preserve"> in the </w:t>
      </w:r>
      <w:r>
        <w:rPr>
          <w:rFonts w:ascii="Arial" w:cs="Arial" w:eastAsia="Arial" w:hAnsi="Arial"/>
          <w:sz w:val="17"/>
          <w:szCs w:val="17"/>
          <w:i w:val="1"/>
          <w:iCs w:val="1"/>
          <w:color w:val="auto"/>
        </w:rPr>
        <w:t>Consolidated Statement of</w:t>
      </w:r>
      <w:r>
        <w:rPr>
          <w:rFonts w:ascii="Arial" w:cs="Arial" w:eastAsia="Arial" w:hAnsi="Arial"/>
          <w:sz w:val="17"/>
          <w:szCs w:val="17"/>
          <w:color w:val="auto"/>
        </w:rPr>
        <w:t xml:space="preserve"> </w:t>
      </w:r>
      <w:r>
        <w:rPr>
          <w:rFonts w:ascii="Arial" w:cs="Arial" w:eastAsia="Arial" w:hAnsi="Arial"/>
          <w:sz w:val="17"/>
          <w:szCs w:val="17"/>
          <w:i w:val="1"/>
          <w:iCs w:val="1"/>
          <w:color w:val="auto"/>
        </w:rPr>
        <w:t>Income</w:t>
      </w:r>
      <w:r>
        <w:rPr>
          <w:rFonts w:ascii="Arial" w:cs="Arial" w:eastAsia="Arial" w:hAnsi="Arial"/>
          <w:sz w:val="17"/>
          <w:szCs w:val="17"/>
          <w:color w:val="auto"/>
        </w:rPr>
        <w:t>. These charges, which are summarized below, are more fully described in Note 2 to the</w:t>
      </w:r>
      <w:r>
        <w:rPr>
          <w:rFonts w:ascii="Arial" w:cs="Arial" w:eastAsia="Arial" w:hAnsi="Arial"/>
          <w:sz w:val="17"/>
          <w:szCs w:val="17"/>
          <w:i w:val="1"/>
          <w:iCs w:val="1"/>
          <w:color w:val="auto"/>
        </w:rPr>
        <w:t xml:space="preserve"> Consolidated Financial Statements</w:t>
      </w:r>
      <w:r>
        <w:rPr>
          <w:rFonts w:ascii="Arial" w:cs="Arial" w:eastAsia="Arial" w:hAnsi="Arial"/>
          <w:sz w:val="17"/>
          <w:szCs w:val="17"/>
          <w:color w:val="auto"/>
        </w:rPr>
        <w:t>.</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i w:val="1"/>
                <w:iCs w:val="1"/>
                <w:color w:val="auto"/>
              </w:rPr>
              <w:t>(Stated in millions)</w:t>
            </w:r>
          </w:p>
        </w:tc>
      </w:tr>
      <w:tr>
        <w:trPr>
          <w:trHeight w:val="436"/>
        </w:trPr>
        <w:tc>
          <w:tcPr>
            <w:tcW w:w="6720" w:type="dxa"/>
            <w:vAlign w:val="bottom"/>
            <w:tcBorders>
              <w:bottom w:val="single" w:sz="8" w:color="CFF0FC"/>
            </w:tcBorders>
          </w:tcPr>
          <w:p>
            <w:pPr>
              <w:spacing w:after="0"/>
              <w:rPr>
                <w:sz w:val="24"/>
                <w:szCs w:val="24"/>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Pretax</w:t>
            </w: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CFF0FC"/>
            </w:tcBorders>
          </w:tcPr>
          <w:p>
            <w:pPr>
              <w:spacing w:after="0"/>
              <w:rPr>
                <w:sz w:val="24"/>
                <w:szCs w:val="24"/>
                <w:color w:val="auto"/>
              </w:rPr>
            </w:pPr>
          </w:p>
        </w:tc>
        <w:tc>
          <w:tcPr>
            <w:tcW w:w="9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Tax</w:t>
            </w: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75"/>
              <w:spacing w:after="0"/>
              <w:rPr>
                <w:sz w:val="20"/>
                <w:szCs w:val="20"/>
                <w:color w:val="auto"/>
              </w:rPr>
            </w:pPr>
            <w:r>
              <w:rPr>
                <w:rFonts w:ascii="Arial" w:cs="Arial" w:eastAsia="Arial" w:hAnsi="Arial"/>
                <w:sz w:val="18"/>
                <w:szCs w:val="18"/>
                <w:color w:val="auto"/>
              </w:rPr>
              <w:t>Net</w:t>
            </w:r>
          </w:p>
        </w:tc>
        <w:tc>
          <w:tcPr>
            <w:tcW w:w="100" w:type="dxa"/>
            <w:vAlign w:val="bottom"/>
            <w:tcBorders>
              <w:bottom w:val="single" w:sz="8" w:color="CFF0FC"/>
            </w:tcBorders>
          </w:tcPr>
          <w:p>
            <w:pPr>
              <w:spacing w:after="0"/>
              <w:rPr>
                <w:sz w:val="24"/>
                <w:szCs w:val="24"/>
                <w:color w:val="auto"/>
              </w:rPr>
            </w:pPr>
          </w:p>
        </w:tc>
      </w:tr>
      <w:tr>
        <w:trPr>
          <w:trHeight w:val="220"/>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Workforce reduction</w:t>
            </w:r>
          </w:p>
        </w:tc>
        <w:tc>
          <w:tcPr>
            <w:tcW w:w="980" w:type="dxa"/>
            <w:vAlign w:val="bottom"/>
            <w:shd w:val="clear" w:color="auto" w:fill="CFF0FC"/>
          </w:tcPr>
          <w:p>
            <w:pPr>
              <w:jc w:val="right"/>
              <w:ind w:right="822"/>
              <w:spacing w:after="0"/>
              <w:rPr>
                <w:sz w:val="20"/>
                <w:szCs w:val="20"/>
                <w:color w:val="auto"/>
              </w:rPr>
            </w:pPr>
            <w:r>
              <w:rPr>
                <w:rFonts w:ascii="Arial" w:cs="Arial" w:eastAsia="Arial" w:hAnsi="Arial"/>
                <w:sz w:val="14"/>
                <w:szCs w:val="14"/>
                <w:color w:val="auto"/>
                <w:w w:val="76"/>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w:t>
            </w:r>
          </w:p>
        </w:tc>
        <w:tc>
          <w:tcPr>
            <w:tcW w:w="1240" w:type="dxa"/>
            <w:vAlign w:val="bottom"/>
            <w:gridSpan w:val="2"/>
            <w:shd w:val="clear" w:color="auto" w:fill="CFF0FC"/>
          </w:tcPr>
          <w:p>
            <w:pPr>
              <w:jc w:val="right"/>
              <w:ind w:right="811"/>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FF0FC"/>
          </w:tcPr>
          <w:p>
            <w:pPr>
              <w:spacing w:after="0"/>
              <w:rPr>
                <w:sz w:val="19"/>
                <w:szCs w:val="19"/>
                <w:color w:val="auto"/>
              </w:rPr>
            </w:pPr>
          </w:p>
        </w:tc>
      </w:tr>
      <w:tr>
        <w:trPr>
          <w:trHeight w:val="225"/>
        </w:trPr>
        <w:tc>
          <w:tcPr>
            <w:tcW w:w="6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Currency devaluation loss in Venezuela</w:t>
            </w:r>
          </w:p>
        </w:tc>
        <w:tc>
          <w:tcPr>
            <w:tcW w:w="9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6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FF0FC"/>
            </w:tcBorders>
          </w:tcPr>
          <w:p>
            <w:pPr>
              <w:spacing w:after="0"/>
              <w:rPr>
                <w:sz w:val="19"/>
                <w:szCs w:val="19"/>
                <w:color w:val="auto"/>
              </w:rPr>
            </w:pPr>
          </w:p>
        </w:tc>
      </w:tr>
      <w:tr>
        <w:trPr>
          <w:trHeight w:val="219"/>
        </w:trPr>
        <w:tc>
          <w:tcPr>
            <w:tcW w:w="67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822"/>
              <w:spacing w:after="0"/>
              <w:rPr>
                <w:sz w:val="20"/>
                <w:szCs w:val="20"/>
                <w:color w:val="auto"/>
              </w:rPr>
            </w:pPr>
            <w:r>
              <w:rPr>
                <w:rFonts w:ascii="Arial" w:cs="Arial" w:eastAsia="Arial" w:hAnsi="Arial"/>
                <w:sz w:val="14"/>
                <w:szCs w:val="14"/>
                <w:color w:val="auto"/>
                <w:w w:val="76"/>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w:t>
            </w:r>
          </w:p>
        </w:tc>
        <w:tc>
          <w:tcPr>
            <w:tcW w:w="1240" w:type="dxa"/>
            <w:vAlign w:val="bottom"/>
            <w:gridSpan w:val="2"/>
            <w:shd w:val="clear" w:color="auto" w:fill="CFF0FC"/>
          </w:tcPr>
          <w:p>
            <w:pPr>
              <w:jc w:val="right"/>
              <w:ind w:right="811"/>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FF0FC"/>
          </w:tcPr>
          <w:p>
            <w:pPr>
              <w:spacing w:after="0"/>
              <w:rPr>
                <w:sz w:val="19"/>
                <w:szCs w:val="19"/>
                <w:color w:val="auto"/>
              </w:rPr>
            </w:pPr>
          </w:p>
        </w:tc>
      </w:tr>
      <w:tr>
        <w:trPr>
          <w:trHeight w:val="20"/>
        </w:trPr>
        <w:tc>
          <w:tcPr>
            <w:tcW w:w="67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Schlumberger did not record any charges or credits during the first quarter of 2016.</w:t>
      </w:r>
    </w:p>
    <w:p>
      <w:pPr>
        <w:spacing w:after="0" w:line="21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Going forward, Schlumberger will continue to tailor its cost and resource levels to activity in order to protect its financial strength. This will likely result in charges in future periods.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Net Debt</w:t>
      </w:r>
    </w:p>
    <w:p>
      <w:pPr>
        <w:spacing w:after="0" w:line="112"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Net Debt represents gross debt less cash, short-term investments and fixed income investments, held to maturity. Management believes that Net Debt provides useful information regarding the level of Schlumberger indebtedness by reflecting cash and investments that could be used to repay debt.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Details of changes in Net Debt follow:</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36"/>
        </w:trPr>
        <w:tc>
          <w:tcPr>
            <w:tcW w:w="7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4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w w:val="99"/>
              </w:rPr>
              <w:t>Three Months ended Mar. 31,</w:t>
            </w:r>
          </w:p>
        </w:tc>
        <w:tc>
          <w:tcPr>
            <w:tcW w:w="0" w:type="dxa"/>
            <w:vAlign w:val="bottom"/>
          </w:tcPr>
          <w:p>
            <w:pPr>
              <w:spacing w:after="0"/>
              <w:rPr>
                <w:sz w:val="1"/>
                <w:szCs w:val="1"/>
                <w:color w:val="auto"/>
              </w:rPr>
            </w:pPr>
          </w:p>
        </w:tc>
      </w:tr>
      <w:tr>
        <w:trPr>
          <w:trHeight w:val="220"/>
        </w:trPr>
        <w:tc>
          <w:tcPr>
            <w:tcW w:w="78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8"/>
                <w:szCs w:val="18"/>
                <w:b w:val="1"/>
                <w:bCs w:val="1"/>
                <w:color w:val="auto"/>
              </w:rPr>
              <w:t>2016</w:t>
            </w:r>
          </w:p>
        </w:tc>
        <w:tc>
          <w:tcPr>
            <w:tcW w:w="280" w:type="dxa"/>
            <w:vAlign w:val="bottom"/>
            <w:tcBorders>
              <w:top w:val="single" w:sz="8" w:color="auto"/>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b w:val="1"/>
                <w:bCs w:val="1"/>
                <w:color w:val="auto"/>
                <w:w w:val="76"/>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523</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Arial" w:cs="Arial" w:eastAsia="Arial" w:hAnsi="Arial"/>
                <w:sz w:val="18"/>
                <w:szCs w:val="18"/>
                <w:color w:val="auto"/>
              </w:rPr>
              <w:t>Restructuring and other charges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5"/>
                <w:szCs w:val="15"/>
                <w:color w:val="auto"/>
              </w:rPr>
              <w:t>(1)</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967</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Arial" w:cs="Arial" w:eastAsia="Arial" w:hAnsi="Arial"/>
                <w:sz w:val="18"/>
                <w:szCs w:val="18"/>
                <w:color w:val="auto"/>
              </w:rPr>
              <w:t>Earnings of equity method investments, less dividends received</w:t>
            </w:r>
          </w:p>
        </w:tc>
        <w:tc>
          <w:tcPr>
            <w:tcW w:w="36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(25)</w:t>
            </w:r>
          </w:p>
        </w:tc>
        <w:tc>
          <w:tcPr>
            <w:tcW w:w="30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Pension and other postretirement benefits expense</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60</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61</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Pension and other postretirement benefits funding</w:t>
            </w: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(45)</w:t>
            </w:r>
          </w:p>
        </w:tc>
        <w:tc>
          <w:tcPr>
            <w:tcW w:w="3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Arial" w:cs="Arial" w:eastAsia="Arial" w:hAnsi="Arial"/>
                <w:sz w:val="18"/>
                <w:szCs w:val="18"/>
                <w:color w:val="auto"/>
              </w:rPr>
              <w:t>Increase in working capital</w:t>
            </w:r>
          </w:p>
        </w:tc>
        <w:tc>
          <w:tcPr>
            <w:tcW w:w="36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(463)</w:t>
            </w:r>
          </w:p>
        </w:tc>
        <w:tc>
          <w:tcPr>
            <w:tcW w:w="30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132</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flow from operations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1,210</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Capital expenditures</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(549)</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Arial" w:cs="Arial" w:eastAsia="Arial" w:hAnsi="Arial"/>
                <w:sz w:val="18"/>
                <w:szCs w:val="18"/>
                <w:color w:val="auto"/>
              </w:rPr>
              <w:t>SPM investments</w:t>
            </w:r>
          </w:p>
        </w:tc>
        <w:tc>
          <w:tcPr>
            <w:tcW w:w="36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(597)</w:t>
            </w:r>
          </w:p>
        </w:tc>
        <w:tc>
          <w:tcPr>
            <w:tcW w:w="30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Multiclient seismic data capitalized</w:t>
            </w: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(167)</w:t>
            </w:r>
          </w:p>
        </w:tc>
        <w:tc>
          <w:tcPr>
            <w:tcW w:w="3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9"/>
        </w:trPr>
        <w:tc>
          <w:tcPr>
            <w:tcW w:w="78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 xml:space="preserve">Free cash flow </w:t>
            </w:r>
            <w:r>
              <w:rPr>
                <w:rFonts w:ascii="Arial" w:cs="Arial" w:eastAsia="Arial" w:hAnsi="Arial"/>
                <w:sz w:val="15"/>
                <w:szCs w:val="15"/>
                <w:b w:val="1"/>
                <w:bCs w:val="1"/>
                <w:color w:val="auto"/>
              </w:rPr>
              <w:t>(2)</w:t>
            </w: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w:t>
            </w:r>
          </w:p>
        </w:tc>
        <w:tc>
          <w:tcPr>
            <w:tcW w:w="2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Dividends paid</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(629)</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Arial" w:cs="Arial" w:eastAsia="Arial" w:hAnsi="Arial"/>
                <w:sz w:val="18"/>
                <w:szCs w:val="18"/>
                <w:color w:val="auto"/>
              </w:rPr>
              <w:t>Proceeds from employee stock plans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163</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Stock repurchase program</w:t>
            </w: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(475)</w:t>
            </w:r>
          </w:p>
        </w:tc>
        <w:tc>
          <w:tcPr>
            <w:tcW w:w="3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(1,044)</w:t>
            </w:r>
          </w:p>
        </w:tc>
        <w:tc>
          <w:tcPr>
            <w:tcW w:w="28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78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Business acquisitions and investments, net of cash acquired plus debt assumed</w:t>
            </w: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820" w:type="dxa"/>
            <w:vAlign w:val="bottom"/>
            <w:vMerge w:val="continue"/>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(81)</w:t>
            </w:r>
          </w:p>
        </w:tc>
        <w:tc>
          <w:tcPr>
            <w:tcW w:w="280" w:type="dxa"/>
            <w:vAlign w:val="bottom"/>
            <w:vMerge w:val="continue"/>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6"/>
        </w:trPr>
        <w:tc>
          <w:tcPr>
            <w:tcW w:w="7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Increase in Net Debt</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(1,107)</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Arial" w:cs="Arial" w:eastAsia="Arial" w:hAnsi="Arial"/>
                <w:sz w:val="18"/>
                <w:szCs w:val="18"/>
                <w:color w:val="auto"/>
              </w:rPr>
              <w:t>Net Debt, Beginning of period</w:t>
            </w:r>
          </w:p>
        </w:tc>
        <w:tc>
          <w:tcPr>
            <w:tcW w:w="36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(5,547)</w:t>
            </w:r>
          </w:p>
        </w:tc>
        <w:tc>
          <w:tcPr>
            <w:tcW w:w="30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(5,387)</w:t>
            </w:r>
          </w:p>
        </w:tc>
        <w:tc>
          <w:tcPr>
            <w:tcW w:w="0" w:type="dxa"/>
            <w:vAlign w:val="bottom"/>
          </w:tcPr>
          <w:p>
            <w:pPr>
              <w:spacing w:after="0"/>
              <w:rPr>
                <w:sz w:val="1"/>
                <w:szCs w:val="1"/>
                <w:color w:val="auto"/>
              </w:rPr>
            </w:pPr>
          </w:p>
        </w:tc>
      </w:tr>
      <w:tr>
        <w:trPr>
          <w:trHeight w:val="20"/>
        </w:trPr>
        <w:tc>
          <w:tcPr>
            <w:tcW w:w="78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Debt, End of period</w:t>
            </w: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820" w:type="dxa"/>
            <w:vAlign w:val="bottom"/>
            <w:vMerge w:val="continue"/>
            <w:shd w:val="clear" w:color="auto" w:fill="CFF0FC"/>
          </w:tcPr>
          <w:p>
            <w:pPr>
              <w:spacing w:after="0"/>
              <w:rPr>
                <w:sz w:val="19"/>
                <w:szCs w:val="19"/>
                <w:color w:val="auto"/>
              </w:rPr>
            </w:pP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b w:val="1"/>
                <w:bCs w:val="1"/>
                <w:color w:val="auto"/>
                <w:w w:val="76"/>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(6,654)</w:t>
            </w:r>
          </w:p>
        </w:tc>
        <w:tc>
          <w:tcPr>
            <w:tcW w:w="280" w:type="dxa"/>
            <w:vAlign w:val="bottom"/>
            <w:vMerge w:val="continue"/>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(5,487)</w:t>
            </w:r>
          </w:p>
        </w:tc>
        <w:tc>
          <w:tcPr>
            <w:tcW w:w="0" w:type="dxa"/>
            <w:vAlign w:val="bottom"/>
          </w:tcPr>
          <w:p>
            <w:pPr>
              <w:spacing w:after="0"/>
              <w:rPr>
                <w:sz w:val="1"/>
                <w:szCs w:val="1"/>
                <w:color w:val="auto"/>
              </w:rPr>
            </w:pPr>
          </w:p>
        </w:tc>
      </w:tr>
      <w:tr>
        <w:trPr>
          <w:trHeight w:val="20"/>
        </w:trPr>
        <w:tc>
          <w:tcPr>
            <w:tcW w:w="78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left="520" w:hanging="514"/>
        <w:spacing w:after="0"/>
        <w:tabs>
          <w:tab w:leader="none" w:pos="520" w:val="left"/>
        </w:tabs>
        <w:numPr>
          <w:ilvl w:val="0"/>
          <w:numId w:val="20"/>
        </w:numPr>
        <w:rPr>
          <w:rFonts w:ascii="Arial" w:cs="Arial" w:eastAsia="Arial" w:hAnsi="Arial"/>
          <w:sz w:val="13"/>
          <w:szCs w:val="13"/>
          <w:color w:val="auto"/>
        </w:rPr>
      </w:pPr>
      <w:r>
        <w:rPr>
          <w:rFonts w:ascii="Arial" w:cs="Arial" w:eastAsia="Arial" w:hAnsi="Arial"/>
          <w:sz w:val="15"/>
          <w:szCs w:val="15"/>
          <w:color w:val="auto"/>
        </w:rPr>
        <w:t>Includes depreciation of property, plant and equipment and amortization of intangible assets, multiclient seismic data costs and SPM investments.</w:t>
      </w:r>
    </w:p>
    <w:p>
      <w:pPr>
        <w:spacing w:after="0" w:line="266" w:lineRule="exact"/>
        <w:rPr>
          <w:rFonts w:ascii="Arial" w:cs="Arial" w:eastAsia="Arial" w:hAnsi="Arial"/>
          <w:sz w:val="13"/>
          <w:szCs w:val="13"/>
          <w:color w:val="auto"/>
        </w:rPr>
      </w:pPr>
    </w:p>
    <w:p>
      <w:pPr>
        <w:ind w:left="5620"/>
        <w:spacing w:after="0"/>
        <w:rPr>
          <w:rFonts w:ascii="Arial" w:cs="Arial" w:eastAsia="Arial" w:hAnsi="Arial"/>
          <w:sz w:val="13"/>
          <w:szCs w:val="13"/>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21" w:name="page22"/>
    <w:bookmarkEnd w:id="21"/>
    <w:p>
      <w:pPr>
        <w:jc w:val="both"/>
        <w:ind w:left="520" w:hanging="514"/>
        <w:spacing w:after="0" w:line="215" w:lineRule="auto"/>
        <w:tabs>
          <w:tab w:leader="none" w:pos="520" w:val="left"/>
        </w:tabs>
        <w:numPr>
          <w:ilvl w:val="0"/>
          <w:numId w:val="21"/>
        </w:numPr>
        <w:rPr>
          <w:rFonts w:ascii="Arial" w:cs="Arial" w:eastAsia="Arial" w:hAnsi="Arial"/>
          <w:sz w:val="29"/>
          <w:szCs w:val="29"/>
          <w:color w:val="auto"/>
          <w:vertAlign w:val="superscript"/>
        </w:rPr>
      </w:pPr>
      <w:r>
        <w:rPr>
          <w:rFonts w:ascii="Arial" w:cs="Arial" w:eastAsia="Arial" w:hAnsi="Arial"/>
          <w:sz w:val="17"/>
          <w:szCs w:val="17"/>
          <w:color w:val="auto"/>
        </w:rPr>
        <w:t>“Free cash flow” represents cash flow from operations less capital expenditures, SPM investments and multiclient seismic data capitalized. Management believes that this is an important measure because it represents funds available to reduce debt and pursue opportunities that enhance shareholder value, such as acquisitions and returning cash to shareholders through stock repurchases and dividends.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w w:val="98"/>
              </w:rPr>
              <w:t>(Stated in millions)</w:t>
            </w:r>
          </w:p>
        </w:tc>
        <w:tc>
          <w:tcPr>
            <w:tcW w:w="0" w:type="dxa"/>
            <w:vAlign w:val="bottom"/>
          </w:tcPr>
          <w:p>
            <w:pPr>
              <w:spacing w:after="0"/>
              <w:rPr>
                <w:sz w:val="1"/>
                <w:szCs w:val="1"/>
                <w:color w:val="auto"/>
              </w:rPr>
            </w:pPr>
          </w:p>
        </w:tc>
      </w:tr>
      <w:tr>
        <w:trPr>
          <w:trHeight w:val="431"/>
        </w:trPr>
        <w:tc>
          <w:tcPr>
            <w:tcW w:w="6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Mar. 31,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Mar. 31,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Dec. 31,</w:t>
            </w:r>
          </w:p>
        </w:tc>
        <w:tc>
          <w:tcPr>
            <w:tcW w:w="0" w:type="dxa"/>
            <w:vAlign w:val="bottom"/>
          </w:tcPr>
          <w:p>
            <w:pPr>
              <w:spacing w:after="0"/>
              <w:rPr>
                <w:sz w:val="1"/>
                <w:szCs w:val="1"/>
                <w:color w:val="auto"/>
              </w:rPr>
            </w:pPr>
          </w:p>
        </w:tc>
      </w:tr>
      <w:tr>
        <w:trPr>
          <w:trHeight w:val="230"/>
        </w:trPr>
        <w:tc>
          <w:tcPr>
            <w:tcW w:w="67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Components of Net Debt</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2016</w:t>
            </w:r>
          </w:p>
        </w:tc>
        <w:tc>
          <w:tcPr>
            <w:tcW w:w="16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2015</w:t>
            </w:r>
          </w:p>
        </w:tc>
        <w:tc>
          <w:tcPr>
            <w:tcW w:w="16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33"/>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2,080</w:t>
            </w:r>
          </w:p>
        </w:tc>
        <w:tc>
          <w:tcPr>
            <w:tcW w:w="1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2,121</w:t>
            </w:r>
          </w:p>
        </w:tc>
        <w:tc>
          <w:tcPr>
            <w:tcW w:w="1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20" w:type="dxa"/>
            <w:vAlign w:val="bottom"/>
          </w:tcPr>
          <w:p>
            <w:pPr>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12,352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4,682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10,241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Fixed income investments, held to maturity</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401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20" w:type="dxa"/>
            <w:vAlign w:val="bottom"/>
          </w:tcPr>
          <w:p>
            <w:pPr>
              <w:spacing w:after="0"/>
              <w:rPr>
                <w:sz w:val="20"/>
                <w:szCs w:val="20"/>
                <w:color w:val="auto"/>
              </w:rPr>
            </w:pPr>
            <w:r>
              <w:rPr>
                <w:rFonts w:ascii="Arial" w:cs="Arial" w:eastAsia="Arial" w:hAnsi="Arial"/>
                <w:sz w:val="18"/>
                <w:szCs w:val="18"/>
                <w:color w:val="auto"/>
              </w:rPr>
              <w:t>Long-term debt – current portion</w:t>
            </w:r>
          </w:p>
        </w:tc>
        <w:tc>
          <w:tcPr>
            <w:tcW w:w="22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(3,267)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(3,180)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(3,011)</w:t>
            </w:r>
          </w:p>
        </w:tc>
        <w:tc>
          <w:tcPr>
            <w:tcW w:w="0" w:type="dxa"/>
            <w:vAlign w:val="bottom"/>
          </w:tcPr>
          <w:p>
            <w:pPr>
              <w:spacing w:after="0"/>
              <w:rPr>
                <w:sz w:val="1"/>
                <w:szCs w:val="1"/>
                <w:color w:val="auto"/>
              </w:rPr>
            </w:pPr>
          </w:p>
        </w:tc>
      </w:tr>
      <w:tr>
        <w:trPr>
          <w:trHeight w:val="226"/>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Short-term borrowings</w:t>
            </w: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(987)</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(648)</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(1,546)</w:t>
            </w:r>
          </w:p>
        </w:tc>
        <w:tc>
          <w:tcPr>
            <w:tcW w:w="0" w:type="dxa"/>
            <w:vAlign w:val="bottom"/>
          </w:tcPr>
          <w:p>
            <w:pPr>
              <w:spacing w:after="0"/>
              <w:rPr>
                <w:sz w:val="1"/>
                <w:szCs w:val="1"/>
                <w:color w:val="auto"/>
              </w:rPr>
            </w:pPr>
          </w:p>
        </w:tc>
      </w:tr>
      <w:tr>
        <w:trPr>
          <w:trHeight w:val="226"/>
        </w:trPr>
        <w:tc>
          <w:tcPr>
            <w:tcW w:w="6720" w:type="dxa"/>
            <w:vAlign w:val="bottom"/>
          </w:tcPr>
          <w:p>
            <w:pPr>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(17,233)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(8,898)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(14,442)</w:t>
            </w:r>
          </w:p>
        </w:tc>
        <w:tc>
          <w:tcPr>
            <w:tcW w:w="0" w:type="dxa"/>
            <w:vAlign w:val="bottom"/>
          </w:tcPr>
          <w:p>
            <w:pPr>
              <w:spacing w:after="0"/>
              <w:rPr>
                <w:sz w:val="1"/>
                <w:szCs w:val="1"/>
                <w:color w:val="auto"/>
              </w:rPr>
            </w:pPr>
          </w:p>
        </w:tc>
      </w:tr>
      <w:tr>
        <w:trPr>
          <w:trHeight w:val="20"/>
        </w:trPr>
        <w:tc>
          <w:tcPr>
            <w:tcW w:w="67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7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(6,654)</w:t>
            </w:r>
          </w:p>
        </w:tc>
        <w:tc>
          <w:tcPr>
            <w:tcW w:w="160" w:type="dxa"/>
            <w:vAlign w:val="bottom"/>
            <w:vMerge w:val="continue"/>
            <w:shd w:val="clear" w:color="auto" w:fill="CFF0FC"/>
          </w:tcPr>
          <w:p>
            <w:pPr>
              <w:spacing w:after="0"/>
              <w:rPr>
                <w:sz w:val="19"/>
                <w:szCs w:val="19"/>
                <w:color w:val="auto"/>
              </w:rPr>
            </w:pP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(5,487)</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(5,547)</w:t>
            </w:r>
          </w:p>
        </w:tc>
        <w:tc>
          <w:tcPr>
            <w:tcW w:w="0" w:type="dxa"/>
            <w:vAlign w:val="bottom"/>
          </w:tcPr>
          <w:p>
            <w:pPr>
              <w:spacing w:after="0"/>
              <w:rPr>
                <w:sz w:val="1"/>
                <w:szCs w:val="1"/>
                <w:color w:val="auto"/>
              </w:rPr>
            </w:pPr>
          </w:p>
        </w:tc>
      </w:tr>
      <w:tr>
        <w:trPr>
          <w:trHeight w:val="20"/>
        </w:trPr>
        <w:tc>
          <w:tcPr>
            <w:tcW w:w="67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Key liquidity events during the first three months of 2016 and 2015 included:</w:t>
      </w:r>
    </w:p>
    <w:p>
      <w:pPr>
        <w:spacing w:after="0" w:line="112" w:lineRule="exact"/>
        <w:rPr>
          <w:sz w:val="20"/>
          <w:szCs w:val="20"/>
          <w:color w:val="auto"/>
        </w:rPr>
      </w:pPr>
    </w:p>
    <w:p>
      <w:pPr>
        <w:ind w:left="1020" w:hanging="376"/>
        <w:spacing w:after="0" w:line="295" w:lineRule="auto"/>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On July 18, 2013, the Schlumberger Board of Directors approved a $10 billion share repurchase program to be completed at the latest by June 30, 2018. Schlumberger had repurchased $9.1 billion of shares under this new share repurchase program as of March 31, 2016.</w:t>
      </w:r>
    </w:p>
    <w:p>
      <w:pPr>
        <w:spacing w:after="0" w:line="51"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The following table summarizes the activity under this share repurchase program:</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180"/>
        </w:trPr>
        <w:tc>
          <w:tcPr>
            <w:tcW w:w="5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20" w:type="dxa"/>
            <w:vAlign w:val="bottom"/>
            <w:gridSpan w:val="7"/>
          </w:tcPr>
          <w:p>
            <w:pPr>
              <w:jc w:val="right"/>
              <w:ind w:right="100"/>
              <w:spacing w:after="0"/>
              <w:rPr>
                <w:sz w:val="20"/>
                <w:szCs w:val="20"/>
                <w:color w:val="auto"/>
              </w:rPr>
            </w:pPr>
            <w:r>
              <w:rPr>
                <w:rFonts w:ascii="Arial" w:cs="Arial" w:eastAsia="Arial" w:hAnsi="Arial"/>
                <w:sz w:val="14"/>
                <w:szCs w:val="14"/>
                <w:i w:val="1"/>
                <w:iCs w:val="1"/>
                <w:color w:val="auto"/>
              </w:rPr>
              <w:t>(Stated in millions, except per share amounts)</w:t>
            </w:r>
          </w:p>
        </w:tc>
      </w:tr>
      <w:tr>
        <w:trPr>
          <w:trHeight w:val="418"/>
        </w:trPr>
        <w:tc>
          <w:tcPr>
            <w:tcW w:w="5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6"/>
                <w:szCs w:val="16"/>
                <w:color w:val="auto"/>
                <w:w w:val="89"/>
              </w:rPr>
              <w:t>Total cost</w:t>
            </w:r>
          </w:p>
        </w:tc>
        <w:tc>
          <w:tcPr>
            <w:tcW w:w="1280" w:type="dxa"/>
            <w:vAlign w:val="bottom"/>
            <w:gridSpan w:val="2"/>
          </w:tcPr>
          <w:p>
            <w:pPr>
              <w:jc w:val="center"/>
              <w:ind w:right="200"/>
              <w:spacing w:after="0"/>
              <w:rPr>
                <w:sz w:val="20"/>
                <w:szCs w:val="20"/>
                <w:color w:val="auto"/>
              </w:rPr>
            </w:pPr>
            <w:r>
              <w:rPr>
                <w:rFonts w:ascii="Arial" w:cs="Arial" w:eastAsia="Arial" w:hAnsi="Arial"/>
                <w:sz w:val="16"/>
                <w:szCs w:val="16"/>
                <w:color w:val="auto"/>
                <w:w w:val="89"/>
              </w:rPr>
              <w:t>Total number</w:t>
            </w:r>
          </w:p>
        </w:tc>
        <w:tc>
          <w:tcPr>
            <w:tcW w:w="100" w:type="dxa"/>
            <w:vAlign w:val="bottom"/>
          </w:tcPr>
          <w:p>
            <w:pPr>
              <w:spacing w:after="0"/>
              <w:rPr>
                <w:sz w:val="24"/>
                <w:szCs w:val="2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6"/>
                <w:szCs w:val="16"/>
                <w:color w:val="auto"/>
                <w:w w:val="89"/>
              </w:rPr>
              <w:t>Average price</w:t>
            </w:r>
          </w:p>
        </w:tc>
      </w:tr>
      <w:tr>
        <w:trPr>
          <w:trHeight w:val="213"/>
        </w:trPr>
        <w:tc>
          <w:tcPr>
            <w:tcW w:w="5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6"/>
                <w:szCs w:val="16"/>
                <w:color w:val="auto"/>
                <w:w w:val="88"/>
              </w:rPr>
              <w:t>of shares</w:t>
            </w:r>
          </w:p>
        </w:tc>
        <w:tc>
          <w:tcPr>
            <w:tcW w:w="1280" w:type="dxa"/>
            <w:vAlign w:val="bottom"/>
            <w:gridSpan w:val="2"/>
          </w:tcPr>
          <w:p>
            <w:pPr>
              <w:jc w:val="center"/>
              <w:ind w:right="200"/>
              <w:spacing w:after="0"/>
              <w:rPr>
                <w:sz w:val="20"/>
                <w:szCs w:val="20"/>
                <w:color w:val="auto"/>
              </w:rPr>
            </w:pPr>
            <w:r>
              <w:rPr>
                <w:rFonts w:ascii="Arial" w:cs="Arial" w:eastAsia="Arial" w:hAnsi="Arial"/>
                <w:sz w:val="16"/>
                <w:szCs w:val="16"/>
                <w:color w:val="auto"/>
                <w:w w:val="85"/>
              </w:rPr>
              <w:t>of shares</w:t>
            </w:r>
          </w:p>
        </w:tc>
        <w:tc>
          <w:tcPr>
            <w:tcW w:w="10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6"/>
                <w:szCs w:val="16"/>
                <w:color w:val="auto"/>
                <w:w w:val="89"/>
              </w:rPr>
              <w:t>paid per</w:t>
            </w:r>
          </w:p>
        </w:tc>
      </w:tr>
      <w:tr>
        <w:trPr>
          <w:trHeight w:val="215"/>
        </w:trPr>
        <w:tc>
          <w:tcPr>
            <w:tcW w:w="5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6"/>
                <w:szCs w:val="16"/>
                <w:color w:val="auto"/>
                <w:w w:val="88"/>
              </w:rPr>
              <w:t>purchased</w:t>
            </w:r>
          </w:p>
        </w:tc>
        <w:tc>
          <w:tcPr>
            <w:tcW w:w="1280" w:type="dxa"/>
            <w:vAlign w:val="bottom"/>
            <w:gridSpan w:val="2"/>
          </w:tcPr>
          <w:p>
            <w:pPr>
              <w:jc w:val="center"/>
              <w:ind w:right="200"/>
              <w:spacing w:after="0"/>
              <w:rPr>
                <w:sz w:val="20"/>
                <w:szCs w:val="20"/>
                <w:color w:val="auto"/>
              </w:rPr>
            </w:pPr>
            <w:r>
              <w:rPr>
                <w:rFonts w:ascii="Arial" w:cs="Arial" w:eastAsia="Arial" w:hAnsi="Arial"/>
                <w:sz w:val="16"/>
                <w:szCs w:val="16"/>
                <w:color w:val="auto"/>
                <w:w w:val="85"/>
              </w:rPr>
              <w:t>purchased</w:t>
            </w: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6"/>
                <w:szCs w:val="16"/>
                <w:color w:val="auto"/>
                <w:w w:val="84"/>
              </w:rPr>
              <w:t>share</w:t>
            </w:r>
          </w:p>
        </w:tc>
      </w:tr>
      <w:tr>
        <w:trPr>
          <w:trHeight w:val="222"/>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Three months ended March 31, 2016</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475</w:t>
            </w:r>
          </w:p>
        </w:tc>
        <w:tc>
          <w:tcPr>
            <w:tcW w:w="2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7.1</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67.34</w:t>
            </w:r>
          </w:p>
        </w:tc>
        <w:tc>
          <w:tcPr>
            <w:tcW w:w="80" w:type="dxa"/>
            <w:vAlign w:val="bottom"/>
            <w:tcBorders>
              <w:top w:val="single" w:sz="8" w:color="CFF0FC"/>
            </w:tcBorders>
            <w:shd w:val="clear" w:color="auto" w:fill="CFF0FC"/>
          </w:tcPr>
          <w:p>
            <w:pPr>
              <w:spacing w:after="0"/>
              <w:rPr>
                <w:sz w:val="19"/>
                <w:szCs w:val="19"/>
                <w:color w:val="auto"/>
              </w:rPr>
            </w:pPr>
          </w:p>
        </w:tc>
      </w:tr>
      <w:tr>
        <w:trPr>
          <w:trHeight w:val="225"/>
        </w:trPr>
        <w:tc>
          <w:tcPr>
            <w:tcW w:w="5360" w:type="dxa"/>
            <w:vAlign w:val="bottom"/>
          </w:tcPr>
          <w:p>
            <w:pPr>
              <w:spacing w:after="0"/>
              <w:rPr>
                <w:sz w:val="20"/>
                <w:szCs w:val="20"/>
                <w:color w:val="auto"/>
              </w:rPr>
            </w:pPr>
            <w:r>
              <w:rPr>
                <w:rFonts w:ascii="Arial" w:cs="Arial" w:eastAsia="Arial" w:hAnsi="Arial"/>
                <w:sz w:val="18"/>
                <w:szCs w:val="18"/>
                <w:color w:val="auto"/>
              </w:rPr>
              <w:t>Three months ended March 31, 2015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719</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82.98</w:t>
            </w:r>
          </w:p>
        </w:tc>
        <w:tc>
          <w:tcPr>
            <w:tcW w:w="80" w:type="dxa"/>
            <w:vAlign w:val="bottom"/>
          </w:tcPr>
          <w:p>
            <w:pPr>
              <w:spacing w:after="0"/>
              <w:rPr>
                <w:sz w:val="19"/>
                <w:szCs w:val="19"/>
                <w:color w:val="auto"/>
              </w:rPr>
            </w:pPr>
          </w:p>
        </w:tc>
      </w:tr>
    </w:tbl>
    <w:p>
      <w:pPr>
        <w:spacing w:after="0" w:line="200" w:lineRule="exact"/>
        <w:rPr>
          <w:sz w:val="20"/>
          <w:szCs w:val="20"/>
          <w:color w:val="auto"/>
        </w:rPr>
      </w:pPr>
    </w:p>
    <w:p>
      <w:pPr>
        <w:spacing w:after="0" w:line="214" w:lineRule="exact"/>
        <w:rPr>
          <w:sz w:val="20"/>
          <w:szCs w:val="20"/>
          <w:color w:val="auto"/>
        </w:rPr>
      </w:pPr>
    </w:p>
    <w:p>
      <w:pPr>
        <w:ind w:left="1060" w:right="280"/>
        <w:spacing w:after="0" w:line="329" w:lineRule="auto"/>
        <w:rPr>
          <w:sz w:val="20"/>
          <w:szCs w:val="20"/>
          <w:color w:val="auto"/>
        </w:rPr>
      </w:pPr>
      <w:r>
        <w:rPr>
          <w:rFonts w:ascii="Arial" w:cs="Arial" w:eastAsia="Arial" w:hAnsi="Arial"/>
          <w:sz w:val="16"/>
          <w:szCs w:val="16"/>
          <w:color w:val="auto"/>
        </w:rPr>
        <w:t>On January 21, 2016, the Board of directors approved a new $10 billion share repurchase program for Schlumberger common stock. The new program will take effect once the remaining $0.9 billion authorized to be repurchased under the July 18, 2013 program is exhausted.</w:t>
      </w:r>
    </w:p>
    <w:p>
      <w:pPr>
        <w:spacing w:after="0" w:line="173" w:lineRule="exact"/>
        <w:rPr>
          <w:sz w:val="20"/>
          <w:szCs w:val="20"/>
          <w:color w:val="auto"/>
        </w:rPr>
      </w:pPr>
    </w:p>
    <w:p>
      <w:pPr>
        <w:jc w:val="both"/>
        <w:ind w:left="1020" w:hanging="363"/>
        <w:spacing w:after="0" w:line="256"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Capital expenditures were $0.5 billion during the first three months of 2016 compared to $0.6 billion during the first three months of 2015. Capital expenditures for full-year 2016 are expected to be approximately $2.0 billion (including approximately $160 million from the effect of the recently completed Cameron acquisition), as compared to expenditures of $2.4 billion in 2015.</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Schlumberger has experienced delays in payment from its customers in Venezuela. In April 2016, Schlumberger announced that it will reduce its activity in Venezuela to align operations with cash collections as a result of insufficient payments received in recent quarters and a lack of progress in establishing new mechanisms that address past and future accounts receivable. Schlumberger remains fully committed to supporting the Venezuelan exploration and production industry. The reduction in activity levels will be made in close coordination with all customers in Venezuela to continue servicing those customers with available cash flow, while allowing for a safe and orderly wind down of operations for others. Venezuela represented less than 5% of Schlumberger’s consolidated revenue during the first quarter of 2016 and for the full-year 2015.</w:t>
      </w:r>
    </w:p>
    <w:p>
      <w:pPr>
        <w:spacing w:after="0" w:line="17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Schlumberger operates in more than 85 countries. At March 31, 2016, only five of those countries individually accounted for greater than 5% of Schlumberger’s accounts receivable balances, of which only Venezuela accounted for greater than 10%. Schlumberger’s net receivable balance in Venezuela as of March 31, 2016 was approximately $1.2 billion.</w:t>
      </w:r>
    </w:p>
    <w:p>
      <w:pPr>
        <w:spacing w:after="0" w:line="18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April 1, 2016, Schlumberger acquired all of the outstanding shares of Cameron International Corporation (Cameron), a leading provider of flow equipment products, systems and services to the oil and gas industry worldwide. Under the terms of the merger agreement, Cameron became a wholly-owned subsidiary of Schlumberger. Each share of Cameron common stock issued and outstanding immediately prior to the effective time of the merger was converted into the right to receive 0.716 share of Schlumberger stock and $14.44 in cash. As a result, Schlumberger issued approximately 138 million shares of its common stock and paid cash of</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2" w:name="page23"/>
    <w:bookmarkEnd w:id="22"/>
    <w:p>
      <w:pPr>
        <w:jc w:val="both"/>
        <w:spacing w:after="0" w:line="256" w:lineRule="auto"/>
        <w:rPr>
          <w:sz w:val="20"/>
          <w:szCs w:val="20"/>
          <w:color w:val="auto"/>
        </w:rPr>
      </w:pPr>
      <w:r>
        <w:rPr>
          <w:rFonts w:ascii="Arial" w:cs="Arial" w:eastAsia="Arial" w:hAnsi="Arial"/>
          <w:sz w:val="18"/>
          <w:szCs w:val="18"/>
          <w:color w:val="auto"/>
        </w:rPr>
        <w:t>approximately $2.8 billion in connection with this transaction. Based on the closing price of Schlumberger’s common stock on April 1, 2016, the total fair value of the consideration transferred to effect the acquisition of Cameron was approximately $12.9 billion. Cameron’s revenue for the year ended December 31, 2015 and the three months ended March 31, 2016 was $8.8 billion and $1.6 billion, respectively.</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March 31, 2016, Schlumberger had $14.4 billion of cash and short-term investments on hand. Schlumberger had separate committed debt facility agreements aggregating $6.8 billion with commercial banks, of which $2.1 billion was available and unused as of March 31, 2016. The $6.8 billion of committed debt facility agreements included $6.5 billion of committed facilities that support commercial paper programs. Schlumberger believes that these amounts are sufficient to meet future business requirements for at least the next 12 months.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commercial paper programs at March 31, 2016 were $4.8 billion.</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18"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This Form 10-Q and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its segments (and for specified products or geographic areas within each segment); oil and natural gas demand and production growth; oil and natural gas prices; improvements in operating procedures and technology; capital expenditures by Schlumberger and the oil and gas industry; the business strategies of Schlumberger’s customers; the integration of Cameron into our business; the anticipated benefits of the Cameron transaction; the success of Schlumberger’s joint ventures and alliances; future global economic conditions; and future results of operations. These statements are subject to risks and uncertainties, including, but not limited to, global economic conditions; changes in exploration and production spending by Schlumberger’s customers and changes in the level of oil and natural gas exploration and development; general economic, political and business conditions in key regions of the world; foreign currency risk; pricing erosion; weather and seasonal factors; operational modifications, delays or cancellations; production declines;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the inability to successfully integrate Cameron and to realize expected synergies; the inability to retain key employees; and other risks and uncertainties detailed in this first-quarter 2016 Form 10-Q and our most recent Form 10-K and other filings that we make with the Securities and Exchange Commission. If one or more of these or other risks or uncertainties materialize (or the consequences of any such development changes), or should our underlying assumptions prove incorrect, actual outcomes may vary materially from those reflected in our forward-looking statements. Schlumberger disclaims any intention or obligation to update publicly or revise such statements, whether as a result of new information, future events or otherwise.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11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For quantitative and qualitative disclosures about market risk affecting Schlumberger, see Item 7A, “Quantitative and Qualitative Disclosures about Market Risk,” of the Schlumberger Annual Report on Form 10-K for the fiscal year ended December 31, 2015. Schlumberger’s exposure to market risk has not changed materially since December 31, 2015.</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118"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Schlumberger has carried out an evaluation under the supervision and with the participation of Schlumberger’s management, including the Chief Executive Officer (“CEO”) and the Chief Financial Officer (“CFO”), of the effectiveness of Schlumberger’s “disclosure controls and procedures” (as such term is defined in Rules 13a-15(e) and 15d-15(e) under the Securities Exchange Act of 1934 (the “Exchange Act”)) as of the end of the period covered by this report. Based on this evaluation, the CEO and the CFO have concluded that, as of the end of the period covered by this report, Schlumberger’s disclosure controls and procedures were effective to provide reasonable assurance that information required to be disclosed in the reports that Schlumberger files or submits under the Exchange Act is recorded, processed, summarized and reported within the time periods specified in the Securities and Exchange Commission’s rules and forms. Schlumberger’s disclosure controls and procedures include controls and procedures designed to ensure that information required to be disclosed in reports filed or submitted under the Exchange Act is accumulated and communicated to its management, including the CEO and the CFO, as appropriate, to allow timely decisions regarding required disclosure. There was no change in Schlumberger’s internal control over financial reporting during the quarter to which this report relates that has materially affected, or is reasonably likely to materially affect, Schlumberger’s internal control over financial reporting.</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 II. OTHER INFORMATION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with respect to this Item 1 is set forth under Note 12—</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118" w:lineRule="exact"/>
        <w:rPr>
          <w:sz w:val="20"/>
          <w:szCs w:val="20"/>
          <w:color w:val="auto"/>
        </w:rPr>
      </w:pPr>
    </w:p>
    <w:p>
      <w:pPr>
        <w:jc w:val="both"/>
        <w:ind w:right="100"/>
        <w:spacing w:after="0" w:line="266" w:lineRule="auto"/>
        <w:rPr>
          <w:sz w:val="20"/>
          <w:szCs w:val="20"/>
          <w:color w:val="auto"/>
        </w:rPr>
      </w:pPr>
      <w:r>
        <w:rPr>
          <w:rFonts w:ascii="Arial" w:cs="Arial" w:eastAsia="Arial" w:hAnsi="Arial"/>
          <w:sz w:val="18"/>
          <w:szCs w:val="18"/>
          <w:color w:val="auto"/>
        </w:rPr>
        <w:t>As of the date of this filing, there have been no material changes from the risk factors previously disclosed in Part 1, Item 1A, of Schlumberger’s Annual Report on Form 10-K for the fiscal year ended December 31, 2015.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Unregistered Sales of Equity Securities</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Issuer Repurchases of Equity Securities</w:t>
      </w:r>
    </w:p>
    <w:p>
      <w:pPr>
        <w:spacing w:after="0" w:line="112" w:lineRule="exact"/>
        <w:rPr>
          <w:sz w:val="20"/>
          <w:szCs w:val="20"/>
          <w:color w:val="auto"/>
        </w:rPr>
      </w:pPr>
    </w:p>
    <w:p>
      <w:pPr>
        <w:jc w:val="both"/>
        <w:ind w:right="100"/>
        <w:spacing w:after="0" w:line="266" w:lineRule="auto"/>
        <w:rPr>
          <w:sz w:val="20"/>
          <w:szCs w:val="20"/>
          <w:color w:val="auto"/>
        </w:rPr>
      </w:pPr>
      <w:r>
        <w:rPr>
          <w:rFonts w:ascii="Arial" w:cs="Arial" w:eastAsia="Arial" w:hAnsi="Arial"/>
          <w:sz w:val="18"/>
          <w:szCs w:val="18"/>
          <w:color w:val="auto"/>
        </w:rPr>
        <w:t>On July 18, 2013, the Schlumberger Board of Directors (the “Board”) approved a $10 billion share repurchase program for shares of Schlumberger common stock, to be completed at the latest by June 30, 2018.</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Schlumberger’s common stock repurchase program activity for the three months ended March 31, 2016 was as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9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940" w:type="dxa"/>
            <w:vAlign w:val="bottom"/>
            <w:gridSpan w:val="6"/>
          </w:tcPr>
          <w:p>
            <w:pPr>
              <w:ind w:left="120"/>
              <w:spacing w:after="0"/>
              <w:rPr>
                <w:sz w:val="20"/>
                <w:szCs w:val="20"/>
                <w:color w:val="auto"/>
              </w:rPr>
            </w:pPr>
            <w:r>
              <w:rPr>
                <w:rFonts w:ascii="Arial" w:cs="Arial" w:eastAsia="Arial" w:hAnsi="Arial"/>
                <w:sz w:val="14"/>
                <w:szCs w:val="14"/>
                <w:i w:val="1"/>
                <w:iCs w:val="1"/>
                <w:color w:val="auto"/>
                <w:w w:val="92"/>
              </w:rPr>
              <w:t>(Stated in thousands, except per share amounts)</w:t>
            </w:r>
          </w:p>
        </w:tc>
      </w:tr>
      <w:tr>
        <w:trPr>
          <w:trHeight w:val="413"/>
        </w:trPr>
        <w:tc>
          <w:tcPr>
            <w:tcW w:w="5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92"/>
              </w:rPr>
              <w:t>Total number of</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9"/>
        </w:trPr>
        <w:tc>
          <w:tcPr>
            <w:tcW w:w="59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84"/>
              </w:rPr>
              <w:t>shares purchased</w:t>
            </w:r>
          </w:p>
        </w:tc>
        <w:tc>
          <w:tcPr>
            <w:tcW w:w="240" w:type="dxa"/>
            <w:vAlign w:val="bottom"/>
          </w:tcPr>
          <w:p>
            <w:pPr>
              <w:spacing w:after="0"/>
              <w:rPr>
                <w:sz w:val="17"/>
                <w:szCs w:val="17"/>
                <w:color w:val="auto"/>
              </w:rPr>
            </w:pPr>
          </w:p>
        </w:tc>
        <w:tc>
          <w:tcPr>
            <w:tcW w:w="1280" w:type="dxa"/>
            <w:vAlign w:val="bottom"/>
            <w:gridSpan w:val="3"/>
          </w:tcPr>
          <w:p>
            <w:pPr>
              <w:ind w:left="60"/>
              <w:spacing w:after="0"/>
              <w:rPr>
                <w:sz w:val="20"/>
                <w:szCs w:val="20"/>
                <w:color w:val="auto"/>
              </w:rPr>
            </w:pPr>
            <w:r>
              <w:rPr>
                <w:rFonts w:ascii="Arial" w:cs="Arial" w:eastAsia="Arial" w:hAnsi="Arial"/>
                <w:sz w:val="16"/>
                <w:szCs w:val="16"/>
                <w:color w:val="auto"/>
              </w:rPr>
              <w:t>Maximum value</w:t>
            </w:r>
          </w:p>
        </w:tc>
      </w:tr>
      <w:tr>
        <w:trPr>
          <w:trHeight w:val="199"/>
        </w:trPr>
        <w:tc>
          <w:tcPr>
            <w:tcW w:w="59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93"/>
              </w:rPr>
              <w:t>as part of publicly</w:t>
            </w:r>
          </w:p>
        </w:tc>
        <w:tc>
          <w:tcPr>
            <w:tcW w:w="240" w:type="dxa"/>
            <w:vAlign w:val="bottom"/>
          </w:tcPr>
          <w:p>
            <w:pPr>
              <w:spacing w:after="0"/>
              <w:rPr>
                <w:sz w:val="17"/>
                <w:szCs w:val="17"/>
                <w:color w:val="auto"/>
              </w:rPr>
            </w:pPr>
          </w:p>
        </w:tc>
        <w:tc>
          <w:tcPr>
            <w:tcW w:w="1280" w:type="dxa"/>
            <w:vAlign w:val="bottom"/>
            <w:gridSpan w:val="3"/>
          </w:tcPr>
          <w:p>
            <w:pPr>
              <w:spacing w:after="0"/>
              <w:rPr>
                <w:sz w:val="20"/>
                <w:szCs w:val="20"/>
                <w:color w:val="auto"/>
              </w:rPr>
            </w:pPr>
            <w:r>
              <w:rPr>
                <w:rFonts w:ascii="Arial" w:cs="Arial" w:eastAsia="Arial" w:hAnsi="Arial"/>
                <w:sz w:val="16"/>
                <w:szCs w:val="16"/>
                <w:color w:val="auto"/>
                <w:w w:val="95"/>
              </w:rPr>
              <w:t>of shares that may</w:t>
            </w:r>
          </w:p>
        </w:tc>
      </w:tr>
      <w:tr>
        <w:trPr>
          <w:trHeight w:val="199"/>
        </w:trPr>
        <w:tc>
          <w:tcPr>
            <w:tcW w:w="59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w w:val="96"/>
              </w:rPr>
              <w:t>Total number of</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74"/>
              <w:spacing w:after="0"/>
              <w:rPr>
                <w:sz w:val="20"/>
                <w:szCs w:val="20"/>
                <w:color w:val="auto"/>
              </w:rPr>
            </w:pPr>
            <w:r>
              <w:rPr>
                <w:rFonts w:ascii="Arial" w:cs="Arial" w:eastAsia="Arial" w:hAnsi="Arial"/>
                <w:sz w:val="16"/>
                <w:szCs w:val="16"/>
                <w:color w:val="auto"/>
                <w:w w:val="91"/>
              </w:rPr>
              <w:t>Average price</w:t>
            </w:r>
          </w:p>
        </w:tc>
        <w:tc>
          <w:tcPr>
            <w:tcW w:w="24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85"/>
              </w:rPr>
              <w:t>announced</w:t>
            </w:r>
          </w:p>
        </w:tc>
        <w:tc>
          <w:tcPr>
            <w:tcW w:w="240" w:type="dxa"/>
            <w:vAlign w:val="bottom"/>
          </w:tcPr>
          <w:p>
            <w:pPr>
              <w:spacing w:after="0"/>
              <w:rPr>
                <w:sz w:val="17"/>
                <w:szCs w:val="17"/>
                <w:color w:val="auto"/>
              </w:rPr>
            </w:pPr>
          </w:p>
        </w:tc>
        <w:tc>
          <w:tcPr>
            <w:tcW w:w="1280" w:type="dxa"/>
            <w:vAlign w:val="bottom"/>
            <w:gridSpan w:val="3"/>
          </w:tcPr>
          <w:p>
            <w:pPr>
              <w:ind w:left="60"/>
              <w:spacing w:after="0"/>
              <w:rPr>
                <w:sz w:val="20"/>
                <w:szCs w:val="20"/>
                <w:color w:val="auto"/>
              </w:rPr>
            </w:pPr>
            <w:r>
              <w:rPr>
                <w:rFonts w:ascii="Arial" w:cs="Arial" w:eastAsia="Arial" w:hAnsi="Arial"/>
                <w:sz w:val="16"/>
                <w:szCs w:val="16"/>
                <w:color w:val="auto"/>
                <w:w w:val="97"/>
              </w:rPr>
              <w:t>yet be purchased</w:t>
            </w:r>
          </w:p>
        </w:tc>
      </w:tr>
      <w:tr>
        <w:trPr>
          <w:trHeight w:val="207"/>
        </w:trPr>
        <w:tc>
          <w:tcPr>
            <w:tcW w:w="5980" w:type="dxa"/>
            <w:vAlign w:val="bottom"/>
            <w:tcBorders>
              <w:bottom w:val="single" w:sz="8" w:color="CFF0FC"/>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6"/>
              </w:rPr>
              <w:t>shares purchased</w:t>
            </w:r>
          </w:p>
        </w:tc>
        <w:tc>
          <w:tcPr>
            <w:tcW w:w="24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74"/>
              <w:spacing w:after="0"/>
              <w:rPr>
                <w:sz w:val="20"/>
                <w:szCs w:val="20"/>
                <w:color w:val="auto"/>
              </w:rPr>
            </w:pPr>
            <w:r>
              <w:rPr>
                <w:rFonts w:ascii="Arial" w:cs="Arial" w:eastAsia="Arial" w:hAnsi="Arial"/>
                <w:sz w:val="16"/>
                <w:szCs w:val="16"/>
                <w:color w:val="auto"/>
                <w:w w:val="87"/>
              </w:rPr>
              <w:t>paid per share</w:t>
            </w:r>
          </w:p>
        </w:tc>
        <w:tc>
          <w:tcPr>
            <w:tcW w:w="240" w:type="dxa"/>
            <w:vAlign w:val="bottom"/>
            <w:tcBorders>
              <w:bottom w:val="single" w:sz="8" w:color="CFF0FC"/>
            </w:tcBorders>
          </w:tcPr>
          <w:p>
            <w:pPr>
              <w:spacing w:after="0"/>
              <w:rPr>
                <w:sz w:val="17"/>
                <w:szCs w:val="17"/>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0"/>
              </w:rPr>
              <w:t>program</w:t>
            </w:r>
          </w:p>
        </w:tc>
        <w:tc>
          <w:tcPr>
            <w:tcW w:w="240" w:type="dxa"/>
            <w:vAlign w:val="bottom"/>
            <w:tcBorders>
              <w:bottom w:val="single" w:sz="8" w:color="CFF0FC"/>
            </w:tcBorders>
          </w:tcPr>
          <w:p>
            <w:pPr>
              <w:spacing w:after="0"/>
              <w:rPr>
                <w:sz w:val="17"/>
                <w:szCs w:val="17"/>
                <w:color w:val="auto"/>
              </w:rPr>
            </w:pPr>
          </w:p>
        </w:tc>
        <w:tc>
          <w:tcPr>
            <w:tcW w:w="12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w w:val="89"/>
              </w:rPr>
              <w:t>under the program</w:t>
            </w:r>
          </w:p>
        </w:tc>
        <w:tc>
          <w:tcPr>
            <w:tcW w:w="80" w:type="dxa"/>
            <w:vAlign w:val="bottom"/>
            <w:tcBorders>
              <w:bottom w:val="single" w:sz="8" w:color="CFF0FC"/>
            </w:tcBorders>
          </w:tcPr>
          <w:p>
            <w:pPr>
              <w:spacing w:after="0"/>
              <w:rPr>
                <w:sz w:val="17"/>
                <w:szCs w:val="17"/>
                <w:color w:val="auto"/>
              </w:rPr>
            </w:pPr>
          </w:p>
        </w:tc>
      </w:tr>
      <w:tr>
        <w:trPr>
          <w:trHeight w:val="222"/>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January 1 through January 31, 2016</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4,333.8</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65.66</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4,333.8</w:t>
            </w:r>
          </w:p>
        </w:tc>
        <w:tc>
          <w:tcPr>
            <w:tcW w:w="5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1,138,481</w:t>
            </w:r>
          </w:p>
        </w:tc>
        <w:tc>
          <w:tcPr>
            <w:tcW w:w="80" w:type="dxa"/>
            <w:vAlign w:val="bottom"/>
            <w:shd w:val="clear" w:color="auto" w:fill="CFF0FC"/>
          </w:tcPr>
          <w:p>
            <w:pPr>
              <w:spacing w:after="0"/>
              <w:rPr>
                <w:sz w:val="19"/>
                <w:szCs w:val="19"/>
                <w:color w:val="auto"/>
              </w:rPr>
            </w:pPr>
          </w:p>
        </w:tc>
      </w:tr>
      <w:tr>
        <w:trPr>
          <w:trHeight w:val="225"/>
        </w:trPr>
        <w:tc>
          <w:tcPr>
            <w:tcW w:w="5980" w:type="dxa"/>
            <w:vAlign w:val="bottom"/>
          </w:tcPr>
          <w:p>
            <w:pPr>
              <w:spacing w:after="0"/>
              <w:rPr>
                <w:sz w:val="20"/>
                <w:szCs w:val="20"/>
                <w:color w:val="auto"/>
              </w:rPr>
            </w:pPr>
            <w:r>
              <w:rPr>
                <w:rFonts w:ascii="Arial" w:cs="Arial" w:eastAsia="Arial" w:hAnsi="Arial"/>
                <w:sz w:val="18"/>
                <w:szCs w:val="18"/>
                <w:color w:val="auto"/>
              </w:rPr>
              <w:t>February 1 through February 29, 2016</w:t>
            </w:r>
          </w:p>
        </w:tc>
        <w:tc>
          <w:tcPr>
            <w:tcW w:w="1180" w:type="dxa"/>
            <w:vAlign w:val="bottom"/>
          </w:tcPr>
          <w:p>
            <w:pPr>
              <w:jc w:val="right"/>
              <w:spacing w:after="0"/>
              <w:rPr>
                <w:sz w:val="20"/>
                <w:szCs w:val="20"/>
                <w:color w:val="auto"/>
              </w:rPr>
            </w:pPr>
            <w:r>
              <w:rPr>
                <w:rFonts w:ascii="Arial" w:cs="Arial" w:eastAsia="Arial" w:hAnsi="Arial"/>
                <w:sz w:val="18"/>
                <w:szCs w:val="18"/>
                <w:color w:val="auto"/>
              </w:rPr>
              <w:t>2,261.3</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69.66</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2,261.3</w:t>
            </w:r>
          </w:p>
        </w:tc>
        <w:tc>
          <w:tcPr>
            <w:tcW w:w="5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980,959</w:t>
            </w:r>
          </w:p>
        </w:tc>
        <w:tc>
          <w:tcPr>
            <w:tcW w:w="80" w:type="dxa"/>
            <w:vAlign w:val="bottom"/>
          </w:tcPr>
          <w:p>
            <w:pPr>
              <w:spacing w:after="0"/>
              <w:rPr>
                <w:sz w:val="19"/>
                <w:szCs w:val="19"/>
                <w:color w:val="auto"/>
              </w:rPr>
            </w:pPr>
          </w:p>
        </w:tc>
      </w:tr>
      <w:tr>
        <w:trPr>
          <w:trHeight w:val="226"/>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March 1 through March 31, 2016</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458.8</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71.78</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458.8</w:t>
            </w:r>
          </w:p>
        </w:tc>
        <w:tc>
          <w:tcPr>
            <w:tcW w:w="5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948,028</w:t>
            </w:r>
          </w:p>
        </w:tc>
        <w:tc>
          <w:tcPr>
            <w:tcW w:w="80" w:type="dxa"/>
            <w:vAlign w:val="bottom"/>
            <w:shd w:val="clear" w:color="auto" w:fill="CFF0FC"/>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9"/>
        </w:trPr>
        <w:tc>
          <w:tcPr>
            <w:tcW w:w="59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7,053.9</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67.34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7,053.9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7" w:lineRule="exact"/>
        <w:rPr>
          <w:sz w:val="20"/>
          <w:szCs w:val="20"/>
          <w:color w:val="auto"/>
        </w:rPr>
      </w:pPr>
    </w:p>
    <w:p>
      <w:pPr>
        <w:jc w:val="both"/>
        <w:ind w:right="100"/>
        <w:spacing w:after="0" w:line="278" w:lineRule="auto"/>
        <w:rPr>
          <w:sz w:val="20"/>
          <w:szCs w:val="20"/>
          <w:color w:val="auto"/>
        </w:rPr>
      </w:pPr>
      <w:r>
        <w:rPr>
          <w:rFonts w:ascii="Arial" w:cs="Arial" w:eastAsia="Arial" w:hAnsi="Arial"/>
          <w:sz w:val="17"/>
          <w:szCs w:val="17"/>
          <w:color w:val="auto"/>
        </w:rPr>
        <w:t>In connection with the exercise of stock options under Schlumberger’s incentive compensation plans, Schlumberger routinely receives shares of its common stock from optionholders in consideration of the exercise price of the stock options. Schlumberger does not view these transactions as requiring disclosure under this Item as the number of shares of Schlumberger common stock received from optionholders is not material.</w:t>
      </w:r>
    </w:p>
    <w:p>
      <w:pPr>
        <w:spacing w:after="0" w:line="171" w:lineRule="exact"/>
        <w:rPr>
          <w:sz w:val="20"/>
          <w:szCs w:val="20"/>
          <w:color w:val="auto"/>
        </w:rPr>
      </w:pPr>
    </w:p>
    <w:p>
      <w:pPr>
        <w:jc w:val="both"/>
        <w:ind w:right="100"/>
        <w:spacing w:after="0" w:line="266" w:lineRule="auto"/>
        <w:rPr>
          <w:sz w:val="20"/>
          <w:szCs w:val="20"/>
          <w:color w:val="auto"/>
        </w:rPr>
      </w:pPr>
      <w:r>
        <w:rPr>
          <w:rFonts w:ascii="Arial" w:cs="Arial" w:eastAsia="Arial" w:hAnsi="Arial"/>
          <w:sz w:val="18"/>
          <w:szCs w:val="18"/>
          <w:color w:val="auto"/>
        </w:rPr>
        <w:t>On January 21, 2016, the Board approved a new $10 billion share repurchase program for Schlumberger common stock. This new program will take effect once the remaining $0.9 billion authorized to be repurchased under the July 18, 2013 program is exhausted.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None</w:t>
      </w:r>
      <w:r>
        <w:rPr>
          <w:rFonts w:ascii="Arial" w:cs="Arial" w:eastAsia="Arial" w:hAnsi="Arial"/>
          <w:sz w:val="18"/>
          <w:szCs w:val="18"/>
          <w:b w:val="1"/>
          <w:bCs w:val="1"/>
          <w:color w:val="auto"/>
        </w:rPr>
        <w:t>.</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118" w:lineRule="exact"/>
        <w:rPr>
          <w:sz w:val="20"/>
          <w:szCs w:val="20"/>
          <w:color w:val="auto"/>
        </w:rPr>
      </w:pPr>
    </w:p>
    <w:p>
      <w:pPr>
        <w:jc w:val="both"/>
        <w:ind w:right="100"/>
        <w:spacing w:after="0" w:line="303" w:lineRule="auto"/>
        <w:rPr>
          <w:sz w:val="20"/>
          <w:szCs w:val="20"/>
          <w:color w:val="auto"/>
        </w:rPr>
      </w:pPr>
      <w:r>
        <w:rPr>
          <w:rFonts w:ascii="Arial" w:cs="Arial" w:eastAsia="Arial" w:hAnsi="Arial"/>
          <w:sz w:val="16"/>
          <w:szCs w:val="16"/>
          <w:color w:val="auto"/>
        </w:rPr>
        <w:t>The barite and bentonite mining operations of M-I LLC, an indirect wholly-owned subsidiary, are subject to regulation by the federal Mine Safety and Health Administration under the Federal Mine Safety and Health Act of 1977. Information concerning mine safety violations or other regulatory matters required by section 1503(a) of the Dodd-Frank Wall Street Reform and Consumer Protection Act and Item 104 of Regulation S-K is included in Exhibit 95 to this report.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520"/>
          </w:cols>
          <w:pgMar w:left="240" w:top="480" w:right="1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118" w:lineRule="exact"/>
        <w:rPr>
          <w:sz w:val="20"/>
          <w:szCs w:val="20"/>
          <w:color w:val="auto"/>
        </w:rPr>
      </w:pPr>
    </w:p>
    <w:p>
      <w:pPr>
        <w:ind w:left="920"/>
        <w:spacing w:after="0" w:line="266" w:lineRule="auto"/>
        <w:rPr>
          <w:sz w:val="20"/>
          <w:szCs w:val="20"/>
          <w:color w:val="auto"/>
        </w:rPr>
      </w:pPr>
      <w:r>
        <w:rPr>
          <w:rFonts w:ascii="Arial" w:cs="Arial" w:eastAsia="Arial" w:hAnsi="Arial"/>
          <w:sz w:val="18"/>
          <w:szCs w:val="18"/>
          <w:color w:val="auto"/>
        </w:rPr>
        <w:t>Exhibit 3.1—Articles of Incorporation of Schlumberger Limited (Schlumberger N.V.) (incorporated by reference to Exhibit 3.1 to Schlumberger Current Report on Form 8-K filed on April 6, 2016)</w:t>
      </w:r>
    </w:p>
    <w:p>
      <w:pPr>
        <w:spacing w:after="0" w:line="73" w:lineRule="exact"/>
        <w:rPr>
          <w:sz w:val="20"/>
          <w:szCs w:val="20"/>
          <w:color w:val="auto"/>
        </w:rPr>
      </w:pPr>
    </w:p>
    <w:p>
      <w:pPr>
        <w:ind w:left="920" w:right="120"/>
        <w:spacing w:after="0" w:line="266" w:lineRule="auto"/>
        <w:rPr>
          <w:sz w:val="20"/>
          <w:szCs w:val="20"/>
          <w:color w:val="auto"/>
        </w:rPr>
      </w:pPr>
      <w:r>
        <w:rPr>
          <w:rFonts w:ascii="Arial" w:cs="Arial" w:eastAsia="Arial" w:hAnsi="Arial"/>
          <w:sz w:val="18"/>
          <w:szCs w:val="18"/>
          <w:color w:val="auto"/>
        </w:rPr>
        <w:t>Exhibit 3.2—Amended and Restated By-laws of Schlumberger Limited (Schlumberger N.V.) (incorporated by reference to Exhibit 3.1 Schlumberger’s Current Report on Form 8-K filed on May 14, 2015)</w:t>
      </w:r>
    </w:p>
    <w:p>
      <w:pPr>
        <w:spacing w:after="0" w:line="73" w:lineRule="exact"/>
        <w:rPr>
          <w:sz w:val="20"/>
          <w:szCs w:val="20"/>
          <w:color w:val="auto"/>
        </w:rPr>
      </w:pPr>
    </w:p>
    <w:p>
      <w:pPr>
        <w:ind w:left="1040" w:hanging="124"/>
        <w:spacing w:after="0"/>
        <w:tabs>
          <w:tab w:leader="none" w:pos="10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Exhibit 10.1—Form of 2016 Three Year Performance Share Unit Award Agreement under Schlumberger 2010 Omnibus Stock Incentive Plan</w:t>
      </w:r>
    </w:p>
    <w:p>
      <w:pPr>
        <w:spacing w:after="0" w:line="134" w:lineRule="exact"/>
        <w:rPr>
          <w:rFonts w:ascii="Arial" w:cs="Arial" w:eastAsia="Arial" w:hAnsi="Arial"/>
          <w:sz w:val="16"/>
          <w:szCs w:val="16"/>
          <w:color w:val="auto"/>
        </w:rPr>
      </w:pPr>
    </w:p>
    <w:p>
      <w:pPr>
        <w:ind w:left="920" w:hanging="4"/>
        <w:spacing w:after="0" w:line="266" w:lineRule="auto"/>
        <w:tabs>
          <w:tab w:leader="none" w:pos="1061"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Exhibit 31.1—Certification of Chief Executive Officer pursuant to Rule 13a-14(a) of the Securities Exchange Act of 1934, as amended, as adopte pursuant to Section 302 of the Sarbanes-Oxley Act of 2002</w:t>
      </w:r>
    </w:p>
    <w:p>
      <w:pPr>
        <w:spacing w:after="0" w:line="72" w:lineRule="exact"/>
        <w:rPr>
          <w:rFonts w:ascii="Arial" w:cs="Arial" w:eastAsia="Arial" w:hAnsi="Arial"/>
          <w:sz w:val="18"/>
          <w:szCs w:val="18"/>
          <w:color w:val="auto"/>
        </w:rPr>
      </w:pPr>
    </w:p>
    <w:p>
      <w:pPr>
        <w:ind w:left="920" w:hanging="4"/>
        <w:spacing w:after="0" w:line="266" w:lineRule="auto"/>
        <w:tabs>
          <w:tab w:leader="none" w:pos="1064"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Exhibit 31.2—Certification of Chief Financial Officer pursuant to Rule 13a-14(a) of the Securities Exchange Act of 1934, as amended, as adopte pursuant to Section 302 of the Sarbanes-Oxley Act of 2002</w:t>
      </w:r>
    </w:p>
    <w:p>
      <w:pPr>
        <w:spacing w:after="0" w:line="73" w:lineRule="exact"/>
        <w:rPr>
          <w:sz w:val="20"/>
          <w:szCs w:val="20"/>
          <w:color w:val="auto"/>
        </w:rPr>
      </w:pPr>
    </w:p>
    <w:p>
      <w:pPr>
        <w:ind w:left="920" w:right="20" w:hanging="4"/>
        <w:spacing w:after="0" w:line="266" w:lineRule="auto"/>
        <w:tabs>
          <w:tab w:leader="none" w:pos="1156"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Exhibit 32.1—Certification of Chief Executive Officer pursuant to 18 U.S.C. Section 1350, as adopted pursuant to Section 906 of the Sarbane Oxley Act of 2002</w:t>
      </w:r>
    </w:p>
    <w:p>
      <w:pPr>
        <w:spacing w:after="0" w:line="72" w:lineRule="exact"/>
        <w:rPr>
          <w:rFonts w:ascii="Arial" w:cs="Arial" w:eastAsia="Arial" w:hAnsi="Arial"/>
          <w:sz w:val="18"/>
          <w:szCs w:val="18"/>
          <w:color w:val="auto"/>
        </w:rPr>
      </w:pPr>
    </w:p>
    <w:p>
      <w:pPr>
        <w:ind w:left="920" w:hanging="4"/>
        <w:spacing w:after="0" w:line="266" w:lineRule="auto"/>
        <w:tabs>
          <w:tab w:leader="none" w:pos="1158"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Exhibit 32.2—Certification of Chief Financial Officer pursuant to 18 U.S.C. Section 1350, as adopted pursuant to Section 906 of the Sarbane Oxley Act of 2002</w:t>
      </w:r>
    </w:p>
    <w:p>
      <w:pPr>
        <w:spacing w:after="0" w:line="73" w:lineRule="exact"/>
        <w:rPr>
          <w:sz w:val="20"/>
          <w:szCs w:val="20"/>
          <w:color w:val="auto"/>
        </w:rPr>
      </w:pPr>
    </w:p>
    <w:p>
      <w:pPr>
        <w:ind w:left="1040" w:hanging="124"/>
        <w:spacing w:after="0"/>
        <w:tabs>
          <w:tab w:leader="none" w:pos="10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Exhibit 95—Mine Safety Disclosures</w:t>
      </w:r>
    </w:p>
    <w:p>
      <w:pPr>
        <w:spacing w:after="0" w:line="111" w:lineRule="exact"/>
        <w:rPr>
          <w:rFonts w:ascii="Arial" w:cs="Arial" w:eastAsia="Arial" w:hAnsi="Arial"/>
          <w:sz w:val="18"/>
          <w:szCs w:val="18"/>
          <w:color w:val="auto"/>
        </w:rPr>
      </w:pPr>
    </w:p>
    <w:p>
      <w:pPr>
        <w:jc w:val="both"/>
        <w:ind w:left="920" w:hanging="4"/>
        <w:spacing w:after="0" w:line="253" w:lineRule="auto"/>
        <w:tabs>
          <w:tab w:leader="none" w:pos="1089" w:val="left"/>
        </w:tabs>
        <w:numPr>
          <w:ilvl w:val="1"/>
          <w:numId w:val="26"/>
        </w:numPr>
        <w:rPr>
          <w:rFonts w:ascii="Arial" w:cs="Arial" w:eastAsia="Arial" w:hAnsi="Arial"/>
          <w:sz w:val="18"/>
          <w:szCs w:val="18"/>
          <w:color w:val="auto"/>
        </w:rPr>
      </w:pPr>
      <w:r>
        <w:rPr>
          <w:rFonts w:ascii="Arial" w:cs="Arial" w:eastAsia="Arial" w:hAnsi="Arial"/>
          <w:sz w:val="18"/>
          <w:szCs w:val="18"/>
          <w:color w:val="auto"/>
        </w:rPr>
        <w:t>Exhibit 101—The following materials from Schlumberger Limited’s Quarterly Report on Form 10-Q for the quarter ended March 31, 201 formatted in XBRL (Extensible Business Reporting Language): (i) Consolidated Statement of Income; (ii) Consolidated Statement of Comprehensiv Income; (iii) Consolidated Balance Sheet; (iv) Consolidated Statement of Cash Flows; (v) Consolidated Statement of Equity and (vi) Notes Consolidated Financial Statements.</w:t>
      </w:r>
    </w:p>
    <w:p>
      <w:pPr>
        <w:spacing w:after="0" w:line="84"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 Filed with this Form 10-Q.</w:t>
      </w:r>
    </w:p>
    <w:p>
      <w:pPr>
        <w:spacing w:after="0" w:line="16" w:lineRule="exact"/>
        <w:rPr>
          <w:rFonts w:ascii="Arial" w:cs="Arial" w:eastAsia="Arial" w:hAnsi="Arial"/>
          <w:sz w:val="18"/>
          <w:szCs w:val="18"/>
          <w:color w:val="auto"/>
        </w:rPr>
      </w:pPr>
    </w:p>
    <w:p>
      <w:pPr>
        <w:ind w:left="1100" w:hanging="223"/>
        <w:spacing w:after="0"/>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Furnished with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520"/>
          </w:cols>
          <w:pgMar w:left="240" w:top="121" w:right="139" w:bottom="1440" w:gutter="0" w:footer="0" w:header="0"/>
        </w:sectPr>
      </w:pPr>
    </w:p>
    <w:bookmarkStart w:id="25" w:name="page26"/>
    <w:bookmarkEnd w:id="25"/>
    <w:p>
      <w:pPr>
        <w:jc w:val="center"/>
        <w:ind w:right="-399"/>
        <w:spacing w:after="0"/>
        <w:rPr>
          <w:sz w:val="20"/>
          <w:szCs w:val="20"/>
          <w:color w:val="auto"/>
        </w:rPr>
      </w:pPr>
      <w:r>
        <w:rPr>
          <w:rFonts w:ascii="Arial" w:cs="Arial" w:eastAsia="Arial" w:hAnsi="Arial"/>
          <w:sz w:val="18"/>
          <w:szCs w:val="18"/>
          <w:color w:val="auto"/>
        </w:rPr>
        <w:t>SIGNATURE</w:t>
      </w:r>
    </w:p>
    <w:p>
      <w:pPr>
        <w:spacing w:after="0" w:line="218"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and in his capacity as Chief Accounting Officer.</w:t>
      </w:r>
    </w:p>
    <w:p>
      <w:pPr>
        <w:spacing w:after="0" w:line="20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Schlumberger Limited</w:t>
      </w:r>
    </w:p>
    <w:p>
      <w:pPr>
        <w:spacing w:after="0" w:line="1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(Registrant)</w:t>
      </w:r>
    </w:p>
    <w:p>
      <w:pPr>
        <w:spacing w:after="0" w:line="207" w:lineRule="exact"/>
        <w:rPr>
          <w:sz w:val="20"/>
          <w:szCs w:val="20"/>
          <w:color w:val="auto"/>
        </w:rPr>
      </w:pPr>
    </w:p>
    <w:p>
      <w:pPr>
        <w:spacing w:after="0"/>
        <w:tabs>
          <w:tab w:leader="none" w:pos="780" w:val="left"/>
          <w:tab w:leader="none" w:pos="67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27, 2016</w:t>
      </w:r>
      <w:r>
        <w:rPr>
          <w:sz w:val="20"/>
          <w:szCs w:val="20"/>
          <w:color w:val="auto"/>
        </w:rPr>
        <w:tab/>
      </w:r>
      <w:r>
        <w:rPr>
          <w:rFonts w:ascii="Arial" w:cs="Arial" w:eastAsia="Arial" w:hAnsi="Arial"/>
          <w:sz w:val="16"/>
          <w:szCs w:val="16"/>
          <w:color w:val="auto"/>
        </w:rPr>
        <w:t>/s/ Howard Guild</w:t>
      </w:r>
    </w:p>
    <w:p>
      <w:pPr>
        <w:spacing w:after="0" w:line="10" w:lineRule="exact"/>
        <w:rPr>
          <w:sz w:val="20"/>
          <w:szCs w:val="20"/>
          <w:color w:val="auto"/>
        </w:rPr>
      </w:pPr>
    </w:p>
    <w:p>
      <w:pPr>
        <w:ind w:left="6780"/>
        <w:spacing w:after="0"/>
        <w:rPr>
          <w:sz w:val="20"/>
          <w:szCs w:val="20"/>
          <w:color w:val="auto"/>
        </w:rPr>
      </w:pPr>
      <w:r>
        <w:rPr>
          <w:rFonts w:ascii="Arial" w:cs="Arial" w:eastAsia="Arial" w:hAnsi="Arial"/>
          <w:sz w:val="14"/>
          <w:szCs w:val="14"/>
          <w:b w:val="1"/>
          <w:bCs w:val="1"/>
          <w:color w:val="auto"/>
        </w:rPr>
        <w:t>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4307840</wp:posOffset>
            </wp:positionH>
            <wp:positionV relativeFrom="paragraph">
              <wp:posOffset>-96520</wp:posOffset>
            </wp:positionV>
            <wp:extent cx="29114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911475" cy="8255"/>
                    </a:xfrm>
                    <a:prstGeom prst="rect">
                      <a:avLst/>
                    </a:prstGeom>
                    <a:noFill/>
                  </pic:spPr>
                </pic:pic>
              </a:graphicData>
            </a:graphic>
          </wp:anchor>
        </w:drawing>
      </w:r>
    </w:p>
    <w:p>
      <w:pPr>
        <w:ind w:left="6780"/>
        <w:spacing w:after="0"/>
        <w:rPr>
          <w:sz w:val="20"/>
          <w:szCs w:val="20"/>
          <w:color w:val="auto"/>
        </w:rPr>
      </w:pPr>
      <w:r>
        <w:rPr>
          <w:rFonts w:ascii="Arial" w:cs="Arial" w:eastAsia="Arial" w:hAnsi="Arial"/>
          <w:sz w:val="14"/>
          <w:szCs w:val="14"/>
          <w:b w:val="1"/>
          <w:bCs w:val="1"/>
          <w:color w:val="auto"/>
        </w:rPr>
        <w:t>Chief Accounting Officer and Duly Authorized Signatory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240" w:top="127" w:right="6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6163945</wp:posOffset>
            </wp:positionH>
            <wp:positionV relativeFrom="paragraph">
              <wp:posOffset>82550</wp:posOffset>
            </wp:positionV>
            <wp:extent cx="1088390" cy="2279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88390" cy="227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2013 OMNIBUS STOCK INCENTIVE PLAN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2016 THREE YEAR PERFORMANCE SHARE UNIT AWARD AGREEMENT</w:t>
      </w:r>
    </w:p>
    <w:p>
      <w:pPr>
        <w:spacing w:after="0" w:line="207" w:lineRule="exact"/>
        <w:rPr>
          <w:sz w:val="20"/>
          <w:szCs w:val="20"/>
          <w:color w:val="auto"/>
        </w:rPr>
      </w:pPr>
    </w:p>
    <w:p>
      <w:pPr>
        <w:jc w:val="both"/>
        <w:ind w:firstLine="518"/>
        <w:spacing w:after="0" w:line="256" w:lineRule="auto"/>
        <w:rPr>
          <w:sz w:val="20"/>
          <w:szCs w:val="20"/>
          <w:color w:val="auto"/>
        </w:rPr>
      </w:pPr>
      <w:r>
        <w:rPr>
          <w:rFonts w:ascii="Arial" w:cs="Arial" w:eastAsia="Arial" w:hAnsi="Arial"/>
          <w:sz w:val="18"/>
          <w:szCs w:val="18"/>
          <w:color w:val="auto"/>
        </w:rPr>
        <w:t>This Performance Share Unit Award Agreement (as may be amended, the “Agreement”) is granted effective as of the Grant Date by Schlumberger Limited (the “Company”), for the benefit of __________________ (“Employee”), pursuant to the Schlumberger 2013 Omnibus Stock Incentive Plan, as may be amended (the “Plan”).</w:t>
      </w:r>
    </w:p>
    <w:p>
      <w:pPr>
        <w:spacing w:after="0" w:line="188" w:lineRule="exact"/>
        <w:rPr>
          <w:sz w:val="20"/>
          <w:szCs w:val="20"/>
          <w:color w:val="auto"/>
        </w:rPr>
      </w:pPr>
    </w:p>
    <w:p>
      <w:pPr>
        <w:jc w:val="both"/>
        <w:ind w:firstLine="524"/>
        <w:spacing w:after="0" w:line="268" w:lineRule="auto"/>
        <w:tabs>
          <w:tab w:leader="none" w:pos="722"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Award</w:t>
      </w:r>
      <w:r>
        <w:rPr>
          <w:rFonts w:ascii="Arial" w:cs="Arial" w:eastAsia="Arial" w:hAnsi="Arial"/>
          <w:sz w:val="17"/>
          <w:szCs w:val="17"/>
          <w:color w:val="auto"/>
        </w:rPr>
        <w:t>. In consideration of Employee’s continued employment as hereinafter set forth, the Company hereby grants to Employee an award of “Performance Share Units,” provided that (except as otherwise provided in this Agreement) the final number of Performance Share Units will be determined in accordance with the performance criteria set forth on Attachment I. The target Performance Share Units subject to this award is set forth in an award notice previously delivered to Employee (the “Award Notice”). The Performance Share Units are notional units of measurement denominated in shares of common stock of the Company, $.01 par value per share (“Common Stock”). Each Performance Share Unit represents a right to receive one share of Common Stock or equivalent value, subject to the conditions and restrictions on transferability set forth herein and in the Plan.</w:t>
      </w:r>
    </w:p>
    <w:p>
      <w:pPr>
        <w:spacing w:after="0" w:line="178" w:lineRule="exact"/>
        <w:rPr>
          <w:rFonts w:ascii="Arial" w:cs="Arial" w:eastAsia="Arial" w:hAnsi="Arial"/>
          <w:sz w:val="17"/>
          <w:szCs w:val="17"/>
          <w:color w:val="auto"/>
        </w:rPr>
      </w:pPr>
    </w:p>
    <w:p>
      <w:pPr>
        <w:ind w:firstLine="524"/>
        <w:spacing w:after="0" w:line="329" w:lineRule="auto"/>
        <w:tabs>
          <w:tab w:leader="none" w:pos="695"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Vesting of Performance Share Units</w:t>
      </w:r>
      <w:r>
        <w:rPr>
          <w:rFonts w:ascii="Arial" w:cs="Arial" w:eastAsia="Arial" w:hAnsi="Arial"/>
          <w:sz w:val="16"/>
          <w:szCs w:val="16"/>
          <w:color w:val="auto"/>
        </w:rPr>
        <w:t>. The period of time between the grant date specified in the Award Notice (the “Grant Date”) and the vesting of Performance Share Units (and the termination of restrictions thereon) is the “Performance Period.” The Performance Share Units will vest as follows:</w:t>
      </w:r>
    </w:p>
    <w:p>
      <w:pPr>
        <w:spacing w:after="0" w:line="27" w:lineRule="exact"/>
        <w:rPr>
          <w:sz w:val="20"/>
          <w:szCs w:val="20"/>
          <w:color w:val="auto"/>
        </w:rPr>
      </w:pPr>
    </w:p>
    <w:p>
      <w:pPr>
        <w:jc w:val="both"/>
        <w:ind w:firstLine="524"/>
        <w:spacing w:after="0" w:line="266" w:lineRule="auto"/>
        <w:tabs>
          <w:tab w:leader="none" w:pos="763" w:val="left"/>
        </w:tabs>
        <w:numPr>
          <w:ilvl w:val="0"/>
          <w:numId w:val="29"/>
        </w:numPr>
        <w:rPr>
          <w:rFonts w:ascii="Arial" w:cs="Arial" w:eastAsia="Arial" w:hAnsi="Arial"/>
          <w:sz w:val="17"/>
          <w:szCs w:val="17"/>
          <w:color w:val="auto"/>
        </w:rPr>
      </w:pPr>
      <w:r>
        <w:rPr>
          <w:rFonts w:ascii="Arial" w:cs="Arial" w:eastAsia="Arial" w:hAnsi="Arial"/>
          <w:sz w:val="17"/>
          <w:szCs w:val="17"/>
          <w:color w:val="auto"/>
        </w:rPr>
        <w:t>On the first Friday following the first meeting of the Company’s Board of Directors (the “Board”) in January 2019 (the “Vesting Date”), a number of Performance Share Units will vest based on the extent to which the Company has satisfied the performance condition set forth on Attachment I to this Agreement, provided that Employee is continuously employed by the Company through the Vesting Date and has not experienced a Termination of Employment as of such date. Except as provided in Sections 2(b) and 2(c) below, if there is any Termination of Employment (as defined in Section 11 below) during the period from and between the Grant Date until and including the Vesting Date, Employee will immediately and automatically forfeit all Performance Share Units. Any questions as to whether and when there has been a Termination of Employment, and the cause of such termination, will be resolved by the Committee (as defined in Section 11 below), and its determination will be final.</w:t>
      </w:r>
    </w:p>
    <w:p>
      <w:pPr>
        <w:spacing w:after="0" w:line="78" w:lineRule="exact"/>
        <w:rPr>
          <w:rFonts w:ascii="Arial" w:cs="Arial" w:eastAsia="Arial" w:hAnsi="Arial"/>
          <w:sz w:val="17"/>
          <w:szCs w:val="17"/>
          <w:color w:val="auto"/>
        </w:rPr>
      </w:pPr>
    </w:p>
    <w:p>
      <w:pPr>
        <w:jc w:val="both"/>
        <w:ind w:firstLine="524"/>
        <w:spacing w:after="0" w:line="256" w:lineRule="auto"/>
        <w:tabs>
          <w:tab w:leader="none" w:pos="783"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Employee’s Termination of Employment (as defined in Section 11 below) occurs due to Retirement (as defined in Section 11 below) or Special Retirement (as defined in Section 11 below), the Performance Share Units will vest in accordance with Section 2(a) above as if Employee had remained continuously employed by the Company through the Vesting Date.</w:t>
      </w:r>
    </w:p>
    <w:p>
      <w:pPr>
        <w:spacing w:after="0" w:line="81" w:lineRule="exact"/>
        <w:rPr>
          <w:rFonts w:ascii="Arial" w:cs="Arial" w:eastAsia="Arial" w:hAnsi="Arial"/>
          <w:sz w:val="18"/>
          <w:szCs w:val="18"/>
          <w:color w:val="auto"/>
        </w:rPr>
      </w:pPr>
    </w:p>
    <w:p>
      <w:pPr>
        <w:ind w:right="20" w:firstLine="524"/>
        <w:spacing w:after="0" w:line="266" w:lineRule="auto"/>
        <w:tabs>
          <w:tab w:leader="none" w:pos="766"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Employee’s Termination of Employment (as defined in Section 11 below) occurs due to Disability (as defined in Section 11 below) or death, then immediately on the occurrence of such Termination of Employment, the target number of Performance Share Units shall vest.</w:t>
      </w:r>
    </w:p>
    <w:p>
      <w:pPr>
        <w:spacing w:after="0" w:line="72" w:lineRule="exact"/>
        <w:rPr>
          <w:rFonts w:ascii="Arial" w:cs="Arial" w:eastAsia="Arial" w:hAnsi="Arial"/>
          <w:sz w:val="18"/>
          <w:szCs w:val="18"/>
          <w:color w:val="auto"/>
        </w:rPr>
      </w:pPr>
    </w:p>
    <w:p>
      <w:pPr>
        <w:jc w:val="both"/>
        <w:ind w:firstLine="524"/>
        <w:spacing w:after="0" w:line="290" w:lineRule="auto"/>
        <w:tabs>
          <w:tab w:leader="none" w:pos="792" w:val="left"/>
        </w:tabs>
        <w:numPr>
          <w:ilvl w:val="0"/>
          <w:numId w:val="29"/>
        </w:numPr>
        <w:rPr>
          <w:rFonts w:ascii="Arial" w:cs="Arial" w:eastAsia="Arial" w:hAnsi="Arial"/>
          <w:sz w:val="16"/>
          <w:szCs w:val="16"/>
          <w:color w:val="auto"/>
        </w:rPr>
      </w:pPr>
      <w:r>
        <w:rPr>
          <w:rFonts w:ascii="Arial" w:cs="Arial" w:eastAsia="Arial" w:hAnsi="Arial"/>
          <w:sz w:val="16"/>
          <w:szCs w:val="16"/>
          <w:color w:val="auto"/>
        </w:rPr>
        <w:t>If Employee ceases to be employed in a position eligible to receive Performance Share Units pursuant to this Agreement (as determined by the Committee) in its sole and absolute discretion) (an “Eligible Position”) the Performance Share Units will vest in accordance with Section 2(a) above, provided that Employee (x) remains continuously employed by the Company through the Vesting Date or (y) experiences a Qualifying Termination after Employee ceases to be employed in an Eligible Position. For the avoidance of doubt, if Employee experiences a Termination of Employment (as defined in Section 11 below) due to Disability (as defined in Section 11 below) or death after Employee ceases to be employed in an Eligible Position, the provisions of Section 2(c), will control.</w:t>
      </w:r>
    </w:p>
    <w:p>
      <w:pPr>
        <w:spacing w:after="0" w:line="164" w:lineRule="exact"/>
        <w:rPr>
          <w:sz w:val="20"/>
          <w:szCs w:val="20"/>
          <w:color w:val="auto"/>
        </w:rPr>
      </w:pPr>
    </w:p>
    <w:p>
      <w:pPr>
        <w:jc w:val="both"/>
        <w:ind w:firstLine="524"/>
        <w:spacing w:after="0" w:line="253" w:lineRule="auto"/>
        <w:tabs>
          <w:tab w:leader="none" w:pos="722"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Settlement of Performance Share Units</w:t>
      </w:r>
      <w:r>
        <w:rPr>
          <w:rFonts w:ascii="Arial" w:cs="Arial" w:eastAsia="Arial" w:hAnsi="Arial"/>
          <w:sz w:val="18"/>
          <w:szCs w:val="18"/>
          <w:color w:val="auto"/>
        </w:rPr>
        <w:t>. Payment of vested Performance Share Units shall be made in shares of Common Stock as soon as administratively practicable, but in no event later than 2-1/2 months following the Vesting Date (the date of any such payment, the “Settlement Date”); provided, however, that the Committee may, in its sole and absolute discretion, settle the vested Performance Share Units in cash based on the Fair Market Value of the shares of Common Stock on the Settlement Date.</w:t>
      </w:r>
    </w:p>
    <w:p>
      <w:pPr>
        <w:spacing w:after="0" w:line="190" w:lineRule="exact"/>
        <w:rPr>
          <w:rFonts w:ascii="Arial" w:cs="Arial" w:eastAsia="Arial" w:hAnsi="Arial"/>
          <w:sz w:val="18"/>
          <w:szCs w:val="18"/>
          <w:color w:val="auto"/>
        </w:rPr>
      </w:pPr>
    </w:p>
    <w:p>
      <w:pPr>
        <w:ind w:left="700" w:hanging="17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Forfeitures of Performance Share Units</w:t>
      </w:r>
      <w:r>
        <w:rPr>
          <w:rFonts w:ascii="Arial" w:cs="Arial" w:eastAsia="Arial" w:hAnsi="Arial"/>
          <w:sz w:val="18"/>
          <w:szCs w:val="18"/>
          <w:color w:val="auto"/>
        </w:rPr>
        <w:t>.</w:t>
      </w:r>
    </w:p>
    <w:p>
      <w:pPr>
        <w:spacing w:after="0" w:line="112" w:lineRule="exact"/>
        <w:rPr>
          <w:sz w:val="20"/>
          <w:szCs w:val="20"/>
          <w:color w:val="auto"/>
        </w:rPr>
      </w:pPr>
    </w:p>
    <w:p>
      <w:pPr>
        <w:jc w:val="both"/>
        <w:ind w:firstLine="524"/>
        <w:spacing w:after="0" w:line="253" w:lineRule="auto"/>
        <w:tabs>
          <w:tab w:leader="none" w:pos="782"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 any time during the Performance Period, upon a Termination of Employment for any reason that does not result in a continuation of vesting pursuant to Section 2, Employee will immediately and automatically forfeit all unvested Performance Share Units, without the payment of any consideration. Upon forfeiture, neither Employee nor any successors, heirs, assigns or legal representatives of Employee will thereafter have any further rights or interest in the Performance Share Units.</w:t>
      </w:r>
    </w:p>
    <w:p>
      <w:pPr>
        <w:spacing w:after="0" w:line="1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7" w:name="page28"/>
    <w:bookmarkEnd w:id="27"/>
    <w:p>
      <w:pPr>
        <w:jc w:val="both"/>
        <w:ind w:firstLine="524"/>
        <w:spacing w:after="0" w:line="253" w:lineRule="auto"/>
        <w:tabs>
          <w:tab w:leader="none" w:pos="782"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Notwithstanding any provision in this Agreement to the contrary, if at any time during the Performance Period, Employee engages in Detrimental Activity, Employee will immediately and automatically forfeit all Performance Share Units without the payment of any consideration. Upon forfeiture, neither Employee nor any successors, heirs, assigns or legal representatives of Employee will thereafter have any further rights or interest in the unvested Performance Share Units.</w:t>
      </w:r>
    </w:p>
    <w:p>
      <w:pPr>
        <w:spacing w:after="0" w:line="190" w:lineRule="exact"/>
        <w:rPr>
          <w:sz w:val="20"/>
          <w:szCs w:val="20"/>
          <w:color w:val="auto"/>
        </w:rPr>
      </w:pPr>
    </w:p>
    <w:p>
      <w:pPr>
        <w:ind w:left="700" w:hanging="176"/>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r>
        <w:rPr>
          <w:rFonts w:ascii="Arial" w:cs="Arial" w:eastAsia="Arial" w:hAnsi="Arial"/>
          <w:sz w:val="18"/>
          <w:szCs w:val="18"/>
          <w:color w:val="auto"/>
        </w:rPr>
        <w:t>.</w:t>
      </w:r>
    </w:p>
    <w:p>
      <w:pPr>
        <w:spacing w:after="0" w:line="112" w:lineRule="exact"/>
        <w:rPr>
          <w:sz w:val="20"/>
          <w:szCs w:val="20"/>
          <w:color w:val="auto"/>
        </w:rPr>
      </w:pPr>
    </w:p>
    <w:p>
      <w:pPr>
        <w:jc w:val="both"/>
        <w:ind w:firstLine="524"/>
        <w:spacing w:after="0" w:line="251" w:lineRule="auto"/>
        <w:tabs>
          <w:tab w:leader="none" w:pos="799"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Performance Share Units granted hereunder to Employee may not be sold, assigned, transferred, pledged or otherwise encumbered, whether voluntarily or involuntarily, by operation of law or otherwise (any of the foregoing, a “Transfer”), other than (i) to the Company as a result of the forfeiture of Performance Share Units, or (ii) by will or the laws of descent and distribution. Payment of Performance Share Units after Employee’s death will be made to Employee’s estate or, in the sole and absolute discretion of the Committee, to the person or persons entitled to receive such payment under applicable laws of descent and distribution.</w:t>
      </w:r>
    </w:p>
    <w:p>
      <w:pPr>
        <w:spacing w:after="0" w:line="87" w:lineRule="exact"/>
        <w:rPr>
          <w:rFonts w:ascii="Arial" w:cs="Arial" w:eastAsia="Arial" w:hAnsi="Arial"/>
          <w:sz w:val="18"/>
          <w:szCs w:val="18"/>
          <w:color w:val="auto"/>
        </w:rPr>
      </w:pPr>
    </w:p>
    <w:p>
      <w:pPr>
        <w:jc w:val="both"/>
        <w:ind w:firstLine="524"/>
        <w:spacing w:after="0" w:line="269" w:lineRule="auto"/>
        <w:tabs>
          <w:tab w:leader="none" w:pos="782" w:val="left"/>
        </w:tabs>
        <w:numPr>
          <w:ilvl w:val="0"/>
          <w:numId w:val="34"/>
        </w:numPr>
        <w:rPr>
          <w:rFonts w:ascii="Arial" w:cs="Arial" w:eastAsia="Arial" w:hAnsi="Arial"/>
          <w:sz w:val="17"/>
          <w:szCs w:val="17"/>
          <w:color w:val="auto"/>
        </w:rPr>
      </w:pPr>
      <w:r>
        <w:rPr>
          <w:rFonts w:ascii="Arial" w:cs="Arial" w:eastAsia="Arial" w:hAnsi="Arial"/>
          <w:sz w:val="17"/>
          <w:szCs w:val="17"/>
          <w:color w:val="auto"/>
        </w:rPr>
        <w:t>Consistent with the foregoing, no right or benefit under this Agreement will be subject to Transfer, and any such attempt to Transfer, will have no effect and be void. No right or benefit hereunder will in any manner be liable for or subject to any debts, contracts, liabilities or torts of the person entitled to such benefits. If Employee attempts to Transfer any right or benefit hereunder or if any creditor attempts to subject the same to a writ of garnishment, attachment, execution, sequestration, or any other form of process or involuntary lien or seizure, then such attempt will have no effect and be void and immediately upon any such attempt the Performance Share Units will terminate and become of no further effect.</w:t>
      </w:r>
    </w:p>
    <w:p>
      <w:pPr>
        <w:spacing w:after="0" w:line="180" w:lineRule="exact"/>
        <w:rPr>
          <w:sz w:val="20"/>
          <w:szCs w:val="20"/>
          <w:color w:val="auto"/>
        </w:rPr>
      </w:pPr>
    </w:p>
    <w:p>
      <w:pPr>
        <w:ind w:firstLine="524"/>
        <w:spacing w:after="0" w:line="295" w:lineRule="auto"/>
        <w:tabs>
          <w:tab w:leader="none" w:pos="708"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Rights as a Stockholder</w:t>
      </w:r>
      <w:r>
        <w:rPr>
          <w:rFonts w:ascii="Arial" w:cs="Arial" w:eastAsia="Arial" w:hAnsi="Arial"/>
          <w:sz w:val="17"/>
          <w:szCs w:val="17"/>
          <w:color w:val="auto"/>
        </w:rPr>
        <w:t>. Employee will have no rights as a stockholder of the Company with regard to the Performance Share Units. Rights as a stockholder of the Company will arise only if the Performance Share Units are settled in shares of Common Stock pursuant to Section 3 above.</w:t>
      </w:r>
    </w:p>
    <w:p>
      <w:pPr>
        <w:spacing w:after="0" w:line="157" w:lineRule="exact"/>
        <w:rPr>
          <w:rFonts w:ascii="Arial" w:cs="Arial" w:eastAsia="Arial" w:hAnsi="Arial"/>
          <w:sz w:val="17"/>
          <w:szCs w:val="17"/>
          <w:color w:val="auto"/>
        </w:rPr>
      </w:pPr>
    </w:p>
    <w:p>
      <w:pPr>
        <w:jc w:val="both"/>
        <w:ind w:firstLine="524"/>
        <w:spacing w:after="0" w:line="286" w:lineRule="auto"/>
        <w:tabs>
          <w:tab w:leader="none" w:pos="722"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Taxes</w:t>
      </w:r>
      <w:r>
        <w:rPr>
          <w:rFonts w:ascii="Arial" w:cs="Arial" w:eastAsia="Arial" w:hAnsi="Arial"/>
          <w:sz w:val="16"/>
          <w:szCs w:val="16"/>
          <w:color w:val="auto"/>
        </w:rPr>
        <w:t>. To the extent that the receipt of Performance Share Units hereunder or the payment upon lapse of any restrictions results in income to Employee for federal or state income tax purposes or in any other cases where the Company holds the view that it is obligated to withhold taxes, Employee shall deliver to the Company immediately prior to the time of such receipt or lapse, as the case may be, such amount of money or shares of Common Stock owned by Employee, at Employee’s election, as the Company may require to meet its obligation under applicable tax laws or regulations, and, if Employee fails to do so, the Company is authorized to withhold for a number of Performance Share Units or cash or other form of remuneration then or thereafter payable to Employee equal to any tax required to be withheld due to reason of such resulting compensation income. The Performance Share Units are intended to be “short-term deferrals” exempt from Section 409A of the Internal Revenue Code and shall be construed and interpreted accordingly.</w:t>
      </w:r>
    </w:p>
    <w:p>
      <w:pPr>
        <w:spacing w:after="0" w:line="166" w:lineRule="exact"/>
        <w:rPr>
          <w:rFonts w:ascii="Arial" w:cs="Arial" w:eastAsia="Arial" w:hAnsi="Arial"/>
          <w:sz w:val="16"/>
          <w:szCs w:val="16"/>
          <w:color w:val="auto"/>
        </w:rPr>
      </w:pPr>
    </w:p>
    <w:p>
      <w:pPr>
        <w:jc w:val="both"/>
        <w:ind w:firstLine="524"/>
        <w:spacing w:after="0" w:line="256" w:lineRule="auto"/>
        <w:tabs>
          <w:tab w:leader="none" w:pos="695"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Changes in Capital Structure</w:t>
      </w:r>
      <w:r>
        <w:rPr>
          <w:rFonts w:ascii="Arial" w:cs="Arial" w:eastAsia="Arial" w:hAnsi="Arial"/>
          <w:sz w:val="18"/>
          <w:szCs w:val="18"/>
          <w:color w:val="auto"/>
        </w:rPr>
        <w:t>. As more fully described in the Plan, if the outstanding shares of Common Stock at any time are changed or exchanged by declaration of a stock dividend, stock split, combination of shares, or recapitalization, the number and kind of Performance Share Units will be appropriately and equitably adjusted so as to maintain their equivalence to the proportionate number of shares.</w:t>
      </w:r>
    </w:p>
    <w:p>
      <w:pPr>
        <w:spacing w:after="0" w:line="188" w:lineRule="exact"/>
        <w:rPr>
          <w:rFonts w:ascii="Arial" w:cs="Arial" w:eastAsia="Arial" w:hAnsi="Arial"/>
          <w:sz w:val="18"/>
          <w:szCs w:val="18"/>
          <w:color w:val="auto"/>
        </w:rPr>
      </w:pPr>
    </w:p>
    <w:p>
      <w:pPr>
        <w:jc w:val="both"/>
        <w:ind w:firstLine="524"/>
        <w:spacing w:after="0" w:line="269" w:lineRule="auto"/>
        <w:tabs>
          <w:tab w:leader="none" w:pos="695"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Compliance With Securities Laws</w:t>
      </w:r>
      <w:r>
        <w:rPr>
          <w:rFonts w:ascii="Arial" w:cs="Arial" w:eastAsia="Arial" w:hAnsi="Arial"/>
          <w:sz w:val="17"/>
          <w:szCs w:val="17"/>
          <w:color w:val="auto"/>
        </w:rPr>
        <w:t>. The Company will not be required to deliver any shares of Common Stock pursuant to this Agreement if, in the opinion of counsel for the Company, such issuance would violate the Securities Act of 1933, as amended, or any other applicable federal or state securities laws or regulations or the laws of any other country. Prior to the issuance of any shares of Common Stock pursuant to this Agreement, the Company may require that Employee (or Employee’s legal representative upon Employee’s death or Disability) enter into such written representations, warranties and agreements as the Company may reasonably request in order to comply with applicable securities laws or with this Agreement.</w:t>
      </w:r>
    </w:p>
    <w:p>
      <w:pPr>
        <w:spacing w:after="0" w:line="180" w:lineRule="exact"/>
        <w:rPr>
          <w:rFonts w:ascii="Arial" w:cs="Arial" w:eastAsia="Arial" w:hAnsi="Arial"/>
          <w:sz w:val="17"/>
          <w:szCs w:val="17"/>
          <w:color w:val="auto"/>
        </w:rPr>
      </w:pPr>
    </w:p>
    <w:p>
      <w:pPr>
        <w:ind w:left="800" w:hanging="276"/>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Limitation of Rights</w:t>
      </w:r>
      <w:r>
        <w:rPr>
          <w:rFonts w:ascii="Arial" w:cs="Arial" w:eastAsia="Arial" w:hAnsi="Arial"/>
          <w:sz w:val="18"/>
          <w:szCs w:val="18"/>
          <w:color w:val="auto"/>
        </w:rPr>
        <w:t>. Nothing in this Agreement or the Plan may be construed to:</w:t>
      </w:r>
    </w:p>
    <w:p>
      <w:pPr>
        <w:spacing w:after="0" w:line="112" w:lineRule="exact"/>
        <w:rPr>
          <w:sz w:val="20"/>
          <w:szCs w:val="20"/>
          <w:color w:val="auto"/>
        </w:rPr>
      </w:pPr>
    </w:p>
    <w:p>
      <w:pPr>
        <w:ind w:firstLine="524"/>
        <w:spacing w:after="0" w:line="266" w:lineRule="auto"/>
        <w:tabs>
          <w:tab w:leader="none" w:pos="767" w:val="left"/>
        </w:tabs>
        <w:numPr>
          <w:ilvl w:val="0"/>
          <w:numId w:val="36"/>
        </w:numPr>
        <w:rPr>
          <w:rFonts w:ascii="Arial" w:cs="Arial" w:eastAsia="Arial" w:hAnsi="Arial"/>
          <w:sz w:val="18"/>
          <w:szCs w:val="18"/>
          <w:color w:val="auto"/>
        </w:rPr>
      </w:pPr>
      <w:r>
        <w:rPr>
          <w:rFonts w:ascii="Arial" w:cs="Arial" w:eastAsia="Arial" w:hAnsi="Arial"/>
          <w:sz w:val="18"/>
          <w:szCs w:val="18"/>
          <w:color w:val="auto"/>
        </w:rPr>
        <w:t>give Employee or any other person or entity any right to be awarded any further Performance Share Units (or other form of stock incentive awards) other than in the sole discretion of the Committee;</w:t>
      </w:r>
    </w:p>
    <w:p>
      <w:pPr>
        <w:spacing w:after="0" w:line="72" w:lineRule="exact"/>
        <w:rPr>
          <w:rFonts w:ascii="Arial" w:cs="Arial" w:eastAsia="Arial" w:hAnsi="Arial"/>
          <w:sz w:val="18"/>
          <w:szCs w:val="18"/>
          <w:color w:val="auto"/>
        </w:rPr>
      </w:pPr>
    </w:p>
    <w:p>
      <w:pPr>
        <w:ind w:firstLine="524"/>
        <w:spacing w:after="0" w:line="266" w:lineRule="auto"/>
        <w:tabs>
          <w:tab w:leader="none" w:pos="776" w:val="left"/>
        </w:tabs>
        <w:numPr>
          <w:ilvl w:val="0"/>
          <w:numId w:val="36"/>
        </w:numPr>
        <w:rPr>
          <w:rFonts w:ascii="Arial" w:cs="Arial" w:eastAsia="Arial" w:hAnsi="Arial"/>
          <w:sz w:val="18"/>
          <w:szCs w:val="18"/>
          <w:color w:val="auto"/>
        </w:rPr>
      </w:pPr>
      <w:r>
        <w:rPr>
          <w:rFonts w:ascii="Arial" w:cs="Arial" w:eastAsia="Arial" w:hAnsi="Arial"/>
          <w:sz w:val="18"/>
          <w:szCs w:val="18"/>
          <w:color w:val="auto"/>
        </w:rPr>
        <w:t>give Employee or any other person or entity any interest in any fund or in any specified asset or assets of the Company (other than the Performance Share Units); or</w:t>
      </w:r>
    </w:p>
    <w:p>
      <w:pPr>
        <w:spacing w:after="0" w:line="72" w:lineRule="exact"/>
        <w:rPr>
          <w:rFonts w:ascii="Arial" w:cs="Arial" w:eastAsia="Arial" w:hAnsi="Arial"/>
          <w:sz w:val="18"/>
          <w:szCs w:val="18"/>
          <w:color w:val="auto"/>
        </w:rPr>
      </w:pPr>
    </w:p>
    <w:p>
      <w:pPr>
        <w:ind w:left="760" w:hanging="236"/>
        <w:spacing w:after="0"/>
        <w:tabs>
          <w:tab w:leader="none" w:pos="7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confer upon Employee or any other person or entity the right to continue in the employment or service of the Company or any Subsidiary.</w:t>
      </w:r>
    </w:p>
    <w:p>
      <w:pPr>
        <w:spacing w:after="0" w:line="230" w:lineRule="exact"/>
        <w:rPr>
          <w:sz w:val="20"/>
          <w:szCs w:val="20"/>
          <w:color w:val="auto"/>
        </w:rPr>
      </w:pPr>
    </w:p>
    <w:p>
      <w:pPr>
        <w:ind w:left="780" w:hanging="256"/>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12" w:lineRule="exact"/>
        <w:rPr>
          <w:sz w:val="20"/>
          <w:szCs w:val="20"/>
          <w:color w:val="auto"/>
        </w:rPr>
      </w:pPr>
    </w:p>
    <w:p>
      <w:pPr>
        <w:ind w:left="760" w:hanging="236"/>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“Agreement” is defined in the introduction.</w:t>
      </w:r>
    </w:p>
    <w:p>
      <w:pPr>
        <w:spacing w:after="0" w:line="111" w:lineRule="exact"/>
        <w:rPr>
          <w:rFonts w:ascii="Arial" w:cs="Arial" w:eastAsia="Arial" w:hAnsi="Arial"/>
          <w:sz w:val="18"/>
          <w:szCs w:val="18"/>
          <w:color w:val="auto"/>
        </w:rPr>
      </w:pPr>
    </w:p>
    <w:p>
      <w:pPr>
        <w:ind w:left="780" w:hanging="256"/>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“Award Notice” is defined in Section 1.</w:t>
      </w:r>
    </w:p>
    <w:p>
      <w:pPr>
        <w:spacing w:after="0" w:line="111" w:lineRule="exact"/>
        <w:rPr>
          <w:rFonts w:ascii="Arial" w:cs="Arial" w:eastAsia="Arial" w:hAnsi="Arial"/>
          <w:sz w:val="18"/>
          <w:szCs w:val="18"/>
          <w:color w:val="auto"/>
        </w:rPr>
      </w:pPr>
    </w:p>
    <w:p>
      <w:pPr>
        <w:ind w:left="760" w:hanging="236"/>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“Board” is defined in Section 2(a).</w:t>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28" w:name="page29"/>
    <w:bookmarkEnd w:id="28"/>
    <w:p>
      <w:pPr>
        <w:ind w:left="780" w:hanging="256"/>
        <w:spacing w:after="0"/>
        <w:tabs>
          <w:tab w:leader="none" w:pos="7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“Clawback Policy” is defined in Section 15.</w:t>
      </w:r>
    </w:p>
    <w:p>
      <w:pPr>
        <w:spacing w:after="0" w:line="111" w:lineRule="exact"/>
        <w:rPr>
          <w:rFonts w:ascii="Arial" w:cs="Arial" w:eastAsia="Arial" w:hAnsi="Arial"/>
          <w:sz w:val="18"/>
          <w:szCs w:val="18"/>
          <w:color w:val="auto"/>
        </w:rPr>
      </w:pPr>
    </w:p>
    <w:p>
      <w:pPr>
        <w:ind w:left="760" w:hanging="236"/>
        <w:spacing w:after="0"/>
        <w:tabs>
          <w:tab w:leader="none" w:pos="7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“Common Stock” is defined in Section 1.</w:t>
      </w:r>
    </w:p>
    <w:p>
      <w:pPr>
        <w:spacing w:after="0" w:line="111" w:lineRule="exact"/>
        <w:rPr>
          <w:rFonts w:ascii="Arial" w:cs="Arial" w:eastAsia="Arial" w:hAnsi="Arial"/>
          <w:sz w:val="18"/>
          <w:szCs w:val="18"/>
          <w:color w:val="auto"/>
        </w:rPr>
      </w:pPr>
    </w:p>
    <w:p>
      <w:pPr>
        <w:ind w:left="740" w:hanging="216"/>
        <w:spacing w:after="0"/>
        <w:tabs>
          <w:tab w:leader="none" w:pos="7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“Company” means Schlumberger Limited.</w:t>
      </w:r>
    </w:p>
    <w:p>
      <w:pPr>
        <w:spacing w:after="0" w:line="111" w:lineRule="exact"/>
        <w:rPr>
          <w:rFonts w:ascii="Arial" w:cs="Arial" w:eastAsia="Arial" w:hAnsi="Arial"/>
          <w:sz w:val="18"/>
          <w:szCs w:val="18"/>
          <w:color w:val="auto"/>
        </w:rPr>
      </w:pPr>
    </w:p>
    <w:p>
      <w:pPr>
        <w:jc w:val="both"/>
        <w:ind w:firstLine="524"/>
        <w:spacing w:after="0" w:line="282" w:lineRule="auto"/>
        <w:tabs>
          <w:tab w:leader="none" w:pos="774" w:val="left"/>
        </w:tabs>
        <w:numPr>
          <w:ilvl w:val="1"/>
          <w:numId w:val="39"/>
        </w:numPr>
        <w:rPr>
          <w:rFonts w:ascii="Arial" w:cs="Arial" w:eastAsia="Arial" w:hAnsi="Arial"/>
          <w:sz w:val="16"/>
          <w:szCs w:val="16"/>
          <w:color w:val="auto"/>
        </w:rPr>
      </w:pPr>
      <w:r>
        <w:rPr>
          <w:rFonts w:ascii="Arial" w:cs="Arial" w:eastAsia="Arial" w:hAnsi="Arial"/>
          <w:sz w:val="16"/>
          <w:szCs w:val="16"/>
          <w:color w:val="auto"/>
        </w:rPr>
        <w:t>“Detrimental Activity” means activity that is determined by the Committee in its sole and absolute discretion to be detrimental to the interests of the Company or any of its Subsidiaries, including but not limited to situations where Employee: (i) divulges trade secrets, proprietary data or other confidential information relating to the Company or to the business of the Company and any Subsidiaries; (ii) enters into employment with or otherwise provides services to</w:t>
      </w:r>
    </w:p>
    <w:p>
      <w:pPr>
        <w:jc w:val="both"/>
        <w:ind w:firstLine="6"/>
        <w:spacing w:after="0" w:line="282" w:lineRule="auto"/>
        <w:tabs>
          <w:tab w:leader="none" w:pos="294" w:val="left"/>
        </w:tabs>
        <w:numPr>
          <w:ilvl w:val="0"/>
          <w:numId w:val="40"/>
        </w:numPr>
        <w:rPr>
          <w:rFonts w:ascii="Arial" w:cs="Arial" w:eastAsia="Arial" w:hAnsi="Arial"/>
          <w:sz w:val="16"/>
          <w:szCs w:val="16"/>
          <w:color w:val="auto"/>
        </w:rPr>
      </w:pPr>
      <w:r>
        <w:rPr>
          <w:rFonts w:ascii="Arial" w:cs="Arial" w:eastAsia="Arial" w:hAnsi="Arial"/>
          <w:sz w:val="16"/>
          <w:szCs w:val="16"/>
          <w:color w:val="auto"/>
        </w:rPr>
        <w:t>any company listed, as of the date of Employee’s Termination of Employment, on the Philadelphia Oil Service Sector Index (or any successor index) or (B) any affiliate of any such listed company, in either case under circumstances suggesting that Employee will be using unique or special knowledge gained as a Company employee or Subsidiary employee with the effect of competing with the Company or its Subsidiaries; (iii) enters into employment with or otherwise provides services to any Direct Competitor; (iv) engages or employs, or solicits or contacts with a view to the engagement or employment of, any person who is an employee of the Company or its Subsidiaries; (v) canvasses, solicits, approaches or entices away or causes to be canvassed, solicited, approached or enticed away from the Company or its Subsidiaries any person who or which is a customer of any of such entities during the Performance Period; (vi) is determined to have engaged (whether or not prior to termination) in either gross misconduct or criminal activity harmful to the Company or a Subsidiary; or (vii) takes any action that otherwise harms the business interests, reputation, or goodwill of the Company or its Subsidiaries. The Committee may delegate, to an officer of the Company or to a subcommittee of the Committee, its authority to determine whether Employee has engaged in “Detrimental Activity.”</w:t>
      </w:r>
    </w:p>
    <w:p>
      <w:pPr>
        <w:spacing w:after="0" w:line="63" w:lineRule="exact"/>
        <w:rPr>
          <w:rFonts w:ascii="Arial" w:cs="Arial" w:eastAsia="Arial" w:hAnsi="Arial"/>
          <w:sz w:val="16"/>
          <w:szCs w:val="16"/>
          <w:color w:val="auto"/>
        </w:rPr>
      </w:pPr>
    </w:p>
    <w:p>
      <w:pPr>
        <w:jc w:val="both"/>
        <w:ind w:firstLine="524"/>
        <w:spacing w:after="0" w:line="253" w:lineRule="auto"/>
        <w:tabs>
          <w:tab w:leader="none" w:pos="813"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“Direct Competitor” means, as of the date of this Agreement any of the following: (i) Halliburton Company, Baker Hughes, Incorporated, Weatherford International plc, and any other oilfield equipment and services company; and (ii) any entity engaged in seismic data acquisition, processing and reservoir geosciences services to the oil and natural gas industry, including in all cases in (i) and (ii) above, any and all of their parents, subsidiaries, affiliates, joint ventures, divisions, successors, or assigns.</w:t>
      </w:r>
    </w:p>
    <w:p>
      <w:pPr>
        <w:spacing w:after="0" w:line="84" w:lineRule="exact"/>
        <w:rPr>
          <w:rFonts w:ascii="Arial" w:cs="Arial" w:eastAsia="Arial" w:hAnsi="Arial"/>
          <w:sz w:val="18"/>
          <w:szCs w:val="18"/>
          <w:color w:val="auto"/>
        </w:rPr>
      </w:pPr>
    </w:p>
    <w:p>
      <w:pPr>
        <w:ind w:firstLine="524"/>
        <w:spacing w:after="0" w:line="329" w:lineRule="auto"/>
        <w:tabs>
          <w:tab w:leader="none" w:pos="738" w:val="left"/>
        </w:tabs>
        <w:numPr>
          <w:ilvl w:val="1"/>
          <w:numId w:val="40"/>
        </w:numPr>
        <w:rPr>
          <w:rFonts w:ascii="Arial" w:cs="Arial" w:eastAsia="Arial" w:hAnsi="Arial"/>
          <w:sz w:val="16"/>
          <w:szCs w:val="16"/>
          <w:color w:val="auto"/>
        </w:rPr>
      </w:pPr>
      <w:r>
        <w:rPr>
          <w:rFonts w:ascii="Arial" w:cs="Arial" w:eastAsia="Arial" w:hAnsi="Arial"/>
          <w:sz w:val="16"/>
          <w:szCs w:val="16"/>
          <w:color w:val="auto"/>
        </w:rPr>
        <w:t>“Disability” means such disability (whether physical or mental impairment) which totally and permanently incapacitates Employee from any gainful employment in any field which Employee is suited by education, training, or experience, as determined by the Committee in its sole and absolute discretion.</w:t>
      </w:r>
    </w:p>
    <w:p>
      <w:pPr>
        <w:spacing w:after="0" w:line="27" w:lineRule="exact"/>
        <w:rPr>
          <w:rFonts w:ascii="Arial" w:cs="Arial" w:eastAsia="Arial" w:hAnsi="Arial"/>
          <w:sz w:val="16"/>
          <w:szCs w:val="16"/>
          <w:color w:val="auto"/>
        </w:rPr>
      </w:pPr>
    </w:p>
    <w:p>
      <w:pPr>
        <w:ind w:left="740" w:hanging="216"/>
        <w:spacing w:after="0"/>
        <w:tabs>
          <w:tab w:leader="none" w:pos="7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“Eligible Position” is defined in Section 2(d)</w:t>
      </w:r>
    </w:p>
    <w:p>
      <w:pPr>
        <w:spacing w:after="0" w:line="111" w:lineRule="exact"/>
        <w:rPr>
          <w:rFonts w:ascii="Arial" w:cs="Arial" w:eastAsia="Arial" w:hAnsi="Arial"/>
          <w:sz w:val="18"/>
          <w:szCs w:val="18"/>
          <w:color w:val="auto"/>
        </w:rPr>
      </w:pPr>
    </w:p>
    <w:p>
      <w:pPr>
        <w:ind w:left="780" w:hanging="256"/>
        <w:spacing w:after="0"/>
        <w:tabs>
          <w:tab w:leader="none" w:pos="7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“Employee” is defined in the introduction.</w:t>
      </w:r>
    </w:p>
    <w:p>
      <w:pPr>
        <w:spacing w:after="0" w:line="111" w:lineRule="exact"/>
        <w:rPr>
          <w:rFonts w:ascii="Arial" w:cs="Arial" w:eastAsia="Arial" w:hAnsi="Arial"/>
          <w:sz w:val="18"/>
          <w:szCs w:val="18"/>
          <w:color w:val="auto"/>
        </w:rPr>
      </w:pPr>
    </w:p>
    <w:p>
      <w:pPr>
        <w:jc w:val="both"/>
        <w:ind w:firstLine="524"/>
        <w:spacing w:after="0" w:line="272" w:lineRule="auto"/>
        <w:tabs>
          <w:tab w:leader="none" w:pos="736" w:val="left"/>
        </w:tabs>
        <w:numPr>
          <w:ilvl w:val="1"/>
          <w:numId w:val="40"/>
        </w:numPr>
        <w:rPr>
          <w:rFonts w:ascii="Arial" w:cs="Arial" w:eastAsia="Arial" w:hAnsi="Arial"/>
          <w:sz w:val="17"/>
          <w:szCs w:val="17"/>
          <w:color w:val="auto"/>
        </w:rPr>
      </w:pPr>
      <w:r>
        <w:rPr>
          <w:rFonts w:ascii="Arial" w:cs="Arial" w:eastAsia="Arial" w:hAnsi="Arial"/>
          <w:sz w:val="17"/>
          <w:szCs w:val="17"/>
          <w:color w:val="auto"/>
        </w:rPr>
        <w:t>“Fair Market Value” means, with respect to a share of Common Stock on a particular date, the mean between the highest and lowest composite sales price per share of the Common Stock, as reported on the consolidated transaction reporting system for the New York Stock Exchange for that date, or, if there is no such reported prices for that date, the reported mean price on the last preceding date on which a composite sale or sales were effected on one or more of the exchanges on which the shares of Common Stock were traded shall be the Fair Market Value.</w:t>
      </w:r>
    </w:p>
    <w:p>
      <w:pPr>
        <w:spacing w:after="0" w:line="70" w:lineRule="exact"/>
        <w:rPr>
          <w:rFonts w:ascii="Arial" w:cs="Arial" w:eastAsia="Arial" w:hAnsi="Arial"/>
          <w:sz w:val="17"/>
          <w:szCs w:val="17"/>
          <w:color w:val="auto"/>
        </w:rPr>
      </w:pPr>
    </w:p>
    <w:p>
      <w:pPr>
        <w:ind w:left="820" w:hanging="296"/>
        <w:spacing w:after="0"/>
        <w:tabs>
          <w:tab w:leader="none" w:pos="8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“Grant Date” is defined in Section 2.</w:t>
      </w:r>
    </w:p>
    <w:p>
      <w:pPr>
        <w:spacing w:after="0" w:line="111" w:lineRule="exact"/>
        <w:rPr>
          <w:rFonts w:ascii="Arial" w:cs="Arial" w:eastAsia="Arial" w:hAnsi="Arial"/>
          <w:sz w:val="18"/>
          <w:szCs w:val="18"/>
          <w:color w:val="auto"/>
        </w:rPr>
      </w:pPr>
    </w:p>
    <w:p>
      <w:pPr>
        <w:ind w:left="780" w:hanging="256"/>
        <w:spacing w:after="0"/>
        <w:tabs>
          <w:tab w:leader="none" w:pos="7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“Performance Period” is defined in Section 2</w:t>
      </w:r>
    </w:p>
    <w:p>
      <w:pPr>
        <w:spacing w:after="0" w:line="111" w:lineRule="exact"/>
        <w:rPr>
          <w:rFonts w:ascii="Arial" w:cs="Arial" w:eastAsia="Arial" w:hAnsi="Arial"/>
          <w:sz w:val="18"/>
          <w:szCs w:val="18"/>
          <w:color w:val="auto"/>
        </w:rPr>
      </w:pPr>
    </w:p>
    <w:p>
      <w:pPr>
        <w:ind w:left="780" w:hanging="256"/>
        <w:spacing w:after="0"/>
        <w:tabs>
          <w:tab w:leader="none" w:pos="7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“Performance Share Units” is defined in Section 1.</w:t>
      </w:r>
    </w:p>
    <w:p>
      <w:pPr>
        <w:spacing w:after="0" w:line="111" w:lineRule="exact"/>
        <w:rPr>
          <w:rFonts w:ascii="Arial" w:cs="Arial" w:eastAsia="Arial" w:hAnsi="Arial"/>
          <w:sz w:val="18"/>
          <w:szCs w:val="18"/>
          <w:color w:val="auto"/>
        </w:rPr>
      </w:pPr>
    </w:p>
    <w:p>
      <w:pPr>
        <w:ind w:left="780" w:hanging="256"/>
        <w:spacing w:after="0"/>
        <w:tabs>
          <w:tab w:leader="none" w:pos="7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“Plan” is defined in the introduction.</w:t>
      </w:r>
    </w:p>
    <w:p>
      <w:pPr>
        <w:spacing w:after="0" w:line="111" w:lineRule="exact"/>
        <w:rPr>
          <w:rFonts w:ascii="Arial" w:cs="Arial" w:eastAsia="Arial" w:hAnsi="Arial"/>
          <w:sz w:val="18"/>
          <w:szCs w:val="18"/>
          <w:color w:val="auto"/>
        </w:rPr>
      </w:pPr>
    </w:p>
    <w:p>
      <w:pPr>
        <w:ind w:left="780" w:hanging="256"/>
        <w:spacing w:after="0"/>
        <w:tabs>
          <w:tab w:leader="none" w:pos="7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“Qualifying Termination” means a Termination of Employment due to Employee’s death, Disability, Retirement or Special Retirement.</w:t>
      </w:r>
    </w:p>
    <w:p>
      <w:pPr>
        <w:spacing w:after="0" w:line="111" w:lineRule="exact"/>
        <w:rPr>
          <w:rFonts w:ascii="Arial" w:cs="Arial" w:eastAsia="Arial" w:hAnsi="Arial"/>
          <w:sz w:val="18"/>
          <w:szCs w:val="18"/>
          <w:color w:val="auto"/>
        </w:rPr>
      </w:pPr>
    </w:p>
    <w:p>
      <w:pPr>
        <w:jc w:val="both"/>
        <w:ind w:firstLine="524"/>
        <w:spacing w:after="0" w:line="250" w:lineRule="auto"/>
        <w:tabs>
          <w:tab w:leader="none" w:pos="759" w:val="left"/>
        </w:tabs>
        <w:numPr>
          <w:ilvl w:val="1"/>
          <w:numId w:val="40"/>
        </w:numPr>
        <w:rPr>
          <w:rFonts w:ascii="Arial" w:cs="Arial" w:eastAsia="Arial" w:hAnsi="Arial"/>
          <w:sz w:val="18"/>
          <w:szCs w:val="18"/>
          <w:color w:val="auto"/>
        </w:rPr>
      </w:pPr>
      <w:r>
        <w:rPr>
          <w:rFonts w:ascii="Arial" w:cs="Arial" w:eastAsia="Arial" w:hAnsi="Arial"/>
          <w:sz w:val="18"/>
          <w:szCs w:val="18"/>
          <w:color w:val="auto"/>
        </w:rPr>
        <w:t>“Retirement” means either: (i) Employee’s voluntary election to retire from employment with the Company and its Subsidiaries at any time after Employee has reached both the age of 60 and 25 years of service, or (ii) Employee’s voluntary election to retire from employment with the Company and its Subsidiaries at any time after Employee has reached both the age of 55 and 20 years of service, subject, however, to the approval of either (A) the Committee, if Employee is an executive officer of the Company at the time of Employee’s election to retire, or (B) the Retirement Committee, if Employee is not an executive officer of the Company at the time of Employee’s election to retire, which approval under clauses (A) or (B) may be granted or withheld in the sole discretion of the Committee or the Retirement Committee, as applicable.</w:t>
      </w:r>
    </w:p>
    <w:p>
      <w:pPr>
        <w:spacing w:after="0" w:line="88" w:lineRule="exact"/>
        <w:rPr>
          <w:rFonts w:ascii="Arial" w:cs="Arial" w:eastAsia="Arial" w:hAnsi="Arial"/>
          <w:sz w:val="18"/>
          <w:szCs w:val="18"/>
          <w:color w:val="auto"/>
        </w:rPr>
      </w:pPr>
    </w:p>
    <w:p>
      <w:pPr>
        <w:ind w:firstLine="524"/>
        <w:spacing w:after="0" w:line="266" w:lineRule="auto"/>
        <w:tabs>
          <w:tab w:leader="none" w:pos="749" w:val="left"/>
        </w:tabs>
        <w:numPr>
          <w:ilvl w:val="1"/>
          <w:numId w:val="40"/>
        </w:numPr>
        <w:rPr>
          <w:rFonts w:ascii="Arial" w:cs="Arial" w:eastAsia="Arial" w:hAnsi="Arial"/>
          <w:sz w:val="18"/>
          <w:szCs w:val="18"/>
          <w:color w:val="auto"/>
        </w:rPr>
      </w:pPr>
      <w:r>
        <w:rPr>
          <w:rFonts w:ascii="Arial" w:cs="Arial" w:eastAsia="Arial" w:hAnsi="Arial"/>
          <w:sz w:val="18"/>
          <w:szCs w:val="18"/>
          <w:color w:val="auto"/>
        </w:rPr>
        <w:t>“Retirement Committee” means a committee consisting of the Company’s Vice President of Human Resources, the Director of HR Operations and the Compensation &amp; Benefits Manager.</w:t>
      </w:r>
    </w:p>
    <w:p>
      <w:pPr>
        <w:spacing w:after="0" w:line="72" w:lineRule="exact"/>
        <w:rPr>
          <w:rFonts w:ascii="Arial" w:cs="Arial" w:eastAsia="Arial" w:hAnsi="Arial"/>
          <w:sz w:val="18"/>
          <w:szCs w:val="18"/>
          <w:color w:val="auto"/>
        </w:rPr>
      </w:pPr>
    </w:p>
    <w:p>
      <w:pPr>
        <w:ind w:left="740" w:hanging="216"/>
        <w:spacing w:after="0"/>
        <w:tabs>
          <w:tab w:leader="none" w:pos="7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“Settlement Date” is defined in Section 3.</w:t>
      </w:r>
    </w:p>
    <w:p>
      <w:pPr>
        <w:spacing w:after="0" w:line="111" w:lineRule="exact"/>
        <w:rPr>
          <w:rFonts w:ascii="Arial" w:cs="Arial" w:eastAsia="Arial" w:hAnsi="Arial"/>
          <w:sz w:val="18"/>
          <w:szCs w:val="18"/>
          <w:color w:val="auto"/>
        </w:rPr>
      </w:pPr>
    </w:p>
    <w:p>
      <w:pPr>
        <w:ind w:firstLine="524"/>
        <w:spacing w:after="0" w:line="266" w:lineRule="auto"/>
        <w:tabs>
          <w:tab w:leader="none" w:pos="775" w:val="left"/>
        </w:tabs>
        <w:numPr>
          <w:ilvl w:val="1"/>
          <w:numId w:val="40"/>
        </w:numPr>
        <w:rPr>
          <w:rFonts w:ascii="Arial" w:cs="Arial" w:eastAsia="Arial" w:hAnsi="Arial"/>
          <w:sz w:val="18"/>
          <w:szCs w:val="18"/>
          <w:color w:val="auto"/>
        </w:rPr>
      </w:pPr>
      <w:r>
        <w:rPr>
          <w:rFonts w:ascii="Arial" w:cs="Arial" w:eastAsia="Arial" w:hAnsi="Arial"/>
          <w:sz w:val="18"/>
          <w:szCs w:val="18"/>
          <w:color w:val="auto"/>
        </w:rPr>
        <w:t>“Special Retirement” means the Termination of Employment of Employee with the Company and all Subsidiaries at or after (i) age 55 or (ii) age 50 and completion of at least 10 years of service with the Company and all Subsidiaries.</w:t>
      </w:r>
    </w:p>
    <w:p>
      <w:pPr>
        <w:spacing w:after="0" w:line="1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29" w:name="page30"/>
    <w:bookmarkEnd w:id="29"/>
    <w:p>
      <w:pPr>
        <w:jc w:val="both"/>
        <w:ind w:firstLine="524"/>
        <w:spacing w:after="0" w:line="303" w:lineRule="auto"/>
        <w:tabs>
          <w:tab w:leader="none" w:pos="769" w:val="left"/>
        </w:tabs>
        <w:numPr>
          <w:ilvl w:val="0"/>
          <w:numId w:val="41"/>
        </w:numPr>
        <w:rPr>
          <w:rFonts w:ascii="Arial" w:cs="Arial" w:eastAsia="Arial" w:hAnsi="Arial"/>
          <w:sz w:val="16"/>
          <w:szCs w:val="16"/>
          <w:color w:val="auto"/>
        </w:rPr>
      </w:pPr>
      <w:r>
        <w:rPr>
          <w:rFonts w:ascii="Arial" w:cs="Arial" w:eastAsia="Arial" w:hAnsi="Arial"/>
          <w:sz w:val="16"/>
          <w:szCs w:val="16"/>
          <w:color w:val="auto"/>
        </w:rPr>
        <w:t>“Subsidiary” means (i) in the case of a corporation, a “subsidiary corporation” of the Company as defined in Section 424(f) of the Internal Revenue Code and (ii) in the case of a partnership or other business entity not organized as a corporation, any such business entity of which the Company directly or indirectly owns 50% or more of the voting, capital or profits interests (whether in the form of partnership interests, membership interests or otherwise).</w:t>
      </w:r>
    </w:p>
    <w:p>
      <w:pPr>
        <w:spacing w:after="0" w:line="47" w:lineRule="exact"/>
        <w:rPr>
          <w:rFonts w:ascii="Arial" w:cs="Arial" w:eastAsia="Arial" w:hAnsi="Arial"/>
          <w:sz w:val="16"/>
          <w:szCs w:val="16"/>
          <w:color w:val="auto"/>
        </w:rPr>
      </w:pPr>
    </w:p>
    <w:p>
      <w:pPr>
        <w:jc w:val="both"/>
        <w:ind w:firstLine="524"/>
        <w:spacing w:after="0" w:line="256" w:lineRule="auto"/>
        <w:tabs>
          <w:tab w:leader="none" w:pos="823" w:val="left"/>
        </w:tabs>
        <w:numPr>
          <w:ilvl w:val="0"/>
          <w:numId w:val="41"/>
        </w:numPr>
        <w:rPr>
          <w:rFonts w:ascii="Arial" w:cs="Arial" w:eastAsia="Arial" w:hAnsi="Arial"/>
          <w:sz w:val="18"/>
          <w:szCs w:val="18"/>
          <w:color w:val="auto"/>
        </w:rPr>
      </w:pPr>
      <w:r>
        <w:rPr>
          <w:rFonts w:ascii="Arial" w:cs="Arial" w:eastAsia="Arial" w:hAnsi="Arial"/>
          <w:sz w:val="18"/>
          <w:szCs w:val="18"/>
          <w:color w:val="auto"/>
        </w:rPr>
        <w:t>“Termination of Employment” means the termination of Employee’s employment with the Company and its Subsidiaries; provided, however, that temporary absences from employment because of illness, vacation or leave of absence and transfers among the Company and its Subsidiaries are not considered a Termination of Employment.</w:t>
      </w:r>
    </w:p>
    <w:p>
      <w:pPr>
        <w:spacing w:after="0" w:line="81" w:lineRule="exact"/>
        <w:rPr>
          <w:rFonts w:ascii="Arial" w:cs="Arial" w:eastAsia="Arial" w:hAnsi="Arial"/>
          <w:sz w:val="18"/>
          <w:szCs w:val="18"/>
          <w:color w:val="auto"/>
        </w:rPr>
      </w:pPr>
    </w:p>
    <w:p>
      <w:pPr>
        <w:ind w:left="780" w:hanging="256"/>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“Transfer” is defined in Section 5(a).</w:t>
      </w:r>
    </w:p>
    <w:p>
      <w:pPr>
        <w:spacing w:after="0" w:line="111" w:lineRule="exact"/>
        <w:rPr>
          <w:rFonts w:ascii="Arial" w:cs="Arial" w:eastAsia="Arial" w:hAnsi="Arial"/>
          <w:sz w:val="18"/>
          <w:szCs w:val="18"/>
          <w:color w:val="auto"/>
        </w:rPr>
      </w:pPr>
    </w:p>
    <w:p>
      <w:pPr>
        <w:ind w:left="780" w:hanging="256"/>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“Vesting Date” is defined in Section 2(a).</w:t>
      </w:r>
    </w:p>
    <w:p>
      <w:pPr>
        <w:spacing w:after="0" w:line="218" w:lineRule="exact"/>
        <w:rPr>
          <w:sz w:val="20"/>
          <w:szCs w:val="20"/>
          <w:color w:val="auto"/>
        </w:rPr>
      </w:pPr>
    </w:p>
    <w:p>
      <w:pPr>
        <w:ind w:left="800" w:hanging="276"/>
        <w:spacing w:after="0"/>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2" w:lineRule="exact"/>
        <w:rPr>
          <w:sz w:val="20"/>
          <w:szCs w:val="20"/>
          <w:color w:val="auto"/>
        </w:rPr>
      </w:pPr>
    </w:p>
    <w:p>
      <w:pPr>
        <w:jc w:val="both"/>
        <w:ind w:firstLine="524"/>
        <w:spacing w:after="0" w:line="278" w:lineRule="auto"/>
        <w:tabs>
          <w:tab w:leader="none" w:pos="7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Employee hereby acknowledges that he or she has received, reviewed and accepted the terms and conditions applicable in this Agreement. Employee hereby accepts such terms and conditions, subject to the provisions of the Plan and administrative interpretations thereof. Employee further agrees that such terms and conditions will control this Agreement, notwithstanding any provisions in any employment agreement or in any prior awards.</w:t>
      </w:r>
    </w:p>
    <w:p>
      <w:pPr>
        <w:spacing w:after="0" w:line="64" w:lineRule="exact"/>
        <w:rPr>
          <w:rFonts w:ascii="Arial" w:cs="Arial" w:eastAsia="Arial" w:hAnsi="Arial"/>
          <w:sz w:val="17"/>
          <w:szCs w:val="17"/>
          <w:color w:val="auto"/>
        </w:rPr>
      </w:pPr>
    </w:p>
    <w:p>
      <w:pPr>
        <w:ind w:firstLine="524"/>
        <w:spacing w:after="0" w:line="266" w:lineRule="auto"/>
        <w:tabs>
          <w:tab w:leader="none" w:pos="776" w:val="left"/>
        </w:tabs>
        <w:numPr>
          <w:ilvl w:val="0"/>
          <w:numId w:val="43"/>
        </w:numPr>
        <w:rPr>
          <w:rFonts w:ascii="Arial" w:cs="Arial" w:eastAsia="Arial" w:hAnsi="Arial"/>
          <w:sz w:val="18"/>
          <w:szCs w:val="18"/>
          <w:color w:val="auto"/>
        </w:rPr>
      </w:pPr>
      <w:r>
        <w:rPr>
          <w:rFonts w:ascii="Arial" w:cs="Arial" w:eastAsia="Arial" w:hAnsi="Arial"/>
          <w:sz w:val="18"/>
          <w:szCs w:val="18"/>
          <w:color w:val="auto"/>
        </w:rPr>
        <w:t>Employee hereby acknowledges that he or she is to consult with and rely upon only Employee’s own tax, legal, and financial advisors regarding the consequences and risks of this Agreement and any award of Performance Share Units.</w:t>
      </w:r>
    </w:p>
    <w:p>
      <w:pPr>
        <w:spacing w:after="0" w:line="72" w:lineRule="exact"/>
        <w:rPr>
          <w:rFonts w:ascii="Arial" w:cs="Arial" w:eastAsia="Arial" w:hAnsi="Arial"/>
          <w:sz w:val="18"/>
          <w:szCs w:val="18"/>
          <w:color w:val="auto"/>
        </w:rPr>
      </w:pPr>
    </w:p>
    <w:p>
      <w:pPr>
        <w:jc w:val="both"/>
        <w:ind w:firstLine="524"/>
        <w:spacing w:after="0" w:line="256" w:lineRule="auto"/>
        <w:tabs>
          <w:tab w:leader="none" w:pos="77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This Agreement shall bind and inure to the benefit of and be enforceable by Employee, the Company and their respective permitted successors or assigns (including personal representatives, heirs and legatees). Employee may not assign any rights or obligations under this Agreement except to the extent, and in the manner, expressly permitted herein.</w:t>
      </w:r>
    </w:p>
    <w:p>
      <w:pPr>
        <w:spacing w:after="0" w:line="81" w:lineRule="exact"/>
        <w:rPr>
          <w:rFonts w:ascii="Arial" w:cs="Arial" w:eastAsia="Arial" w:hAnsi="Arial"/>
          <w:sz w:val="18"/>
          <w:szCs w:val="18"/>
          <w:color w:val="auto"/>
        </w:rPr>
      </w:pPr>
    </w:p>
    <w:p>
      <w:pPr>
        <w:ind w:firstLine="524"/>
        <w:spacing w:after="0" w:line="266" w:lineRule="auto"/>
        <w:tabs>
          <w:tab w:leader="none" w:pos="788"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invalidity or unenforceability of any provision of this Agreement shall not affect the validity or enforceability of any other provision of this Agreement.</w:t>
      </w:r>
    </w:p>
    <w:p>
      <w:pPr>
        <w:spacing w:after="0" w:line="72" w:lineRule="exact"/>
        <w:rPr>
          <w:rFonts w:ascii="Arial" w:cs="Arial" w:eastAsia="Arial" w:hAnsi="Arial"/>
          <w:sz w:val="18"/>
          <w:szCs w:val="18"/>
          <w:color w:val="auto"/>
        </w:rPr>
      </w:pPr>
    </w:p>
    <w:p>
      <w:pPr>
        <w:ind w:firstLine="524"/>
        <w:spacing w:after="0" w:line="295" w:lineRule="auto"/>
        <w:tabs>
          <w:tab w:leader="none" w:pos="769"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This Agreement may not be amended or modified except by a written agreement executed by the Company and Employee or their respective heirs, successors, assigns and legal representatives. The captions of this Agreement are not part of the provisions hereof and are of no force or effect.</w:t>
      </w:r>
    </w:p>
    <w:p>
      <w:pPr>
        <w:spacing w:after="0" w:line="51" w:lineRule="exact"/>
        <w:rPr>
          <w:rFonts w:ascii="Arial" w:cs="Arial" w:eastAsia="Arial" w:hAnsi="Arial"/>
          <w:sz w:val="17"/>
          <w:szCs w:val="17"/>
          <w:color w:val="auto"/>
        </w:rPr>
      </w:pPr>
    </w:p>
    <w:p>
      <w:pPr>
        <w:ind w:firstLine="524"/>
        <w:spacing w:after="0" w:line="329" w:lineRule="auto"/>
        <w:tabs>
          <w:tab w:leader="none" w:pos="7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failure of Employee or the Company to insist upon strict compliance with any provision of this Agreement or the failure to assert any right Employee or the Company may have under this Agreement shall not be deemed to be a waiver of such provision or right or any other provision or right herein.</w:t>
      </w:r>
    </w:p>
    <w:p>
      <w:pPr>
        <w:spacing w:after="0" w:line="27" w:lineRule="exact"/>
        <w:rPr>
          <w:rFonts w:ascii="Arial" w:cs="Arial" w:eastAsia="Arial" w:hAnsi="Arial"/>
          <w:sz w:val="16"/>
          <w:szCs w:val="16"/>
          <w:color w:val="auto"/>
        </w:rPr>
      </w:pPr>
    </w:p>
    <w:p>
      <w:pPr>
        <w:ind w:firstLine="524"/>
        <w:spacing w:after="0" w:line="266" w:lineRule="auto"/>
        <w:tabs>
          <w:tab w:leader="none" w:pos="771" w:val="left"/>
        </w:tabs>
        <w:numPr>
          <w:ilvl w:val="0"/>
          <w:numId w:val="43"/>
        </w:numPr>
        <w:rPr>
          <w:rFonts w:ascii="Arial" w:cs="Arial" w:eastAsia="Arial" w:hAnsi="Arial"/>
          <w:sz w:val="18"/>
          <w:szCs w:val="18"/>
          <w:color w:val="auto"/>
        </w:rPr>
      </w:pPr>
      <w:r>
        <w:rPr>
          <w:rFonts w:ascii="Arial" w:cs="Arial" w:eastAsia="Arial" w:hAnsi="Arial"/>
          <w:sz w:val="18"/>
          <w:szCs w:val="18"/>
          <w:color w:val="auto"/>
        </w:rPr>
        <w:t>Employee and the Company agree to execute such further instruments and to take such further action as may reasonably be necessary to carry out the intent of this Agreement.</w:t>
      </w:r>
    </w:p>
    <w:p>
      <w:pPr>
        <w:spacing w:after="0" w:line="72" w:lineRule="exact"/>
        <w:rPr>
          <w:rFonts w:ascii="Arial" w:cs="Arial" w:eastAsia="Arial" w:hAnsi="Arial"/>
          <w:sz w:val="18"/>
          <w:szCs w:val="18"/>
          <w:color w:val="auto"/>
        </w:rPr>
      </w:pPr>
    </w:p>
    <w:p>
      <w:pPr>
        <w:jc w:val="both"/>
        <w:ind w:firstLine="524"/>
        <w:spacing w:after="0" w:line="268" w:lineRule="auto"/>
        <w:tabs>
          <w:tab w:leader="none" w:pos="773"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This Agreement and the Plan (a) constitute the entire agreement among the Employee and the Company with respect to the Performance Share Units and this Agreement supersedes all prior agreements and understandings, both written and oral, with respect to the subject matter hereof; and (b) are not intended to confer upon any other Person any rights or remedies hereunder. Each party to this Agreement agrees that (i) no other party to this Agreement (including its agents and representatives) has made any representation, warranty, covenant or agreement to or with such party relating to the Performance Share Units other than those expressly set forth herein or in the Plan, and (ii) such party has not relied upon any representation, warranty, covenant or agreement relating to the Performance Share Units, other than those referred to in clause (i) above.</w:t>
      </w:r>
    </w:p>
    <w:p>
      <w:pPr>
        <w:spacing w:after="0" w:line="72" w:lineRule="exact"/>
        <w:rPr>
          <w:rFonts w:ascii="Arial" w:cs="Arial" w:eastAsia="Arial" w:hAnsi="Arial"/>
          <w:sz w:val="17"/>
          <w:szCs w:val="17"/>
          <w:color w:val="auto"/>
        </w:rPr>
      </w:pPr>
    </w:p>
    <w:p>
      <w:pPr>
        <w:jc w:val="both"/>
        <w:ind w:firstLine="524"/>
        <w:spacing w:after="0" w:line="303" w:lineRule="auto"/>
        <w:tabs>
          <w:tab w:leader="none" w:pos="747"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This Agreement will be governed by and construed in accordance with the laws of the State of Texas (except that no effect shall be given to any conflicts of law principles thereof that would require the application of the laws of another jurisdiction). Venue for any dispute arising under this Agreement will lie exclusively in the state and/or federal courts of Harris County, Texas and the Southern District of Texas, Houston Division, respectively.</w:t>
      </w:r>
    </w:p>
    <w:p>
      <w:pPr>
        <w:spacing w:after="0" w:line="47" w:lineRule="exact"/>
        <w:rPr>
          <w:rFonts w:ascii="Arial" w:cs="Arial" w:eastAsia="Arial" w:hAnsi="Arial"/>
          <w:sz w:val="16"/>
          <w:szCs w:val="16"/>
          <w:color w:val="auto"/>
        </w:rPr>
      </w:pPr>
    </w:p>
    <w:p>
      <w:pPr>
        <w:jc w:val="both"/>
        <w:ind w:firstLine="524"/>
        <w:spacing w:after="0" w:line="251" w:lineRule="auto"/>
        <w:tabs>
          <w:tab w:leader="none" w:pos="729"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Clawback Policy</w:t>
      </w:r>
      <w:r>
        <w:rPr>
          <w:rFonts w:ascii="Arial" w:cs="Arial" w:eastAsia="Arial" w:hAnsi="Arial"/>
          <w:sz w:val="18"/>
          <w:szCs w:val="18"/>
          <w:color w:val="auto"/>
        </w:rPr>
        <w:t>. The Company’s policy on recoupment of performance-based bonuses, as amended from time to time (its “Clawback Policy”), will apply to the Performance Share Units, any shares of Common Stock delivered hereunder, and any profits realized on the sale of such shares to the extent that Employee is covered by the Clawback Policy. Employee acknowledges that if Employee is covered by such policy, the policy may result in the recoupment of Performance Share Units awarded, any shares of Common Stock delivered hereunder and profits realized on the sale of such shares either before, on or after the date on which Employee becomes subject to such policy.</w:t>
      </w:r>
    </w:p>
    <w:p>
      <w:pPr>
        <w:spacing w:after="0" w:line="1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30" w:name="page31"/>
    <w:bookmarkEnd w:id="30"/>
    <w:p>
      <w:pPr>
        <w:jc w:val="both"/>
        <w:ind w:firstLine="524"/>
        <w:spacing w:after="0" w:line="253" w:lineRule="auto"/>
        <w:tabs>
          <w:tab w:leader="none" w:pos="784"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Acceptance of Award</w:t>
      </w:r>
      <w:r>
        <w:rPr>
          <w:rFonts w:ascii="Arial" w:cs="Arial" w:eastAsia="Arial" w:hAnsi="Arial"/>
          <w:sz w:val="18"/>
          <w:szCs w:val="18"/>
          <w:color w:val="auto"/>
        </w:rPr>
        <w:t>. Employee is deemed to accept the award of Performance Share Units under this Agreement and to agree that such award is subject to the terms and conditions set forth in this Agreement and the Plan unless Employee provides the Company written notification not later than 10 days after Employee’s receipt of this Agreement of Employee’s rejection of this award of Performance Share Units (in which case such awards will be forfeited and Employee shall have no further right or interest therein as of such date).</w:t>
      </w:r>
    </w:p>
    <w:p>
      <w:pPr>
        <w:spacing w:after="0" w:line="2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4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4662170</wp:posOffset>
            </wp:positionH>
            <wp:positionV relativeFrom="paragraph">
              <wp:posOffset>11430</wp:posOffset>
            </wp:positionV>
            <wp:extent cx="25908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90800" cy="8255"/>
                    </a:xfrm>
                    <a:prstGeom prst="rect">
                      <a:avLst/>
                    </a:prstGeom>
                    <a:noFill/>
                  </pic:spPr>
                </pic:pic>
              </a:graphicData>
            </a:graphic>
          </wp:anchor>
        </w:drawing>
      </w:r>
    </w:p>
    <w:p>
      <w:pPr>
        <w:ind w:left="8600"/>
        <w:spacing w:after="0"/>
        <w:rPr>
          <w:sz w:val="20"/>
          <w:szCs w:val="20"/>
          <w:color w:val="auto"/>
        </w:rPr>
      </w:pPr>
      <w:r>
        <w:rPr>
          <w:rFonts w:ascii="Arial" w:cs="Arial" w:eastAsia="Arial" w:hAnsi="Arial"/>
          <w:sz w:val="18"/>
          <w:szCs w:val="18"/>
          <w:color w:val="auto"/>
        </w:rPr>
        <w:t>Paal Kibsgaard</w:t>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52" w:right="239" w:bottom="1440" w:gutter="0" w:footer="0" w:header="0"/>
        </w:sectPr>
      </w:pPr>
    </w:p>
    <w:bookmarkStart w:id="31" w:name="page32"/>
    <w:bookmarkEnd w:id="31"/>
    <w:p>
      <w:pPr>
        <w:jc w:val="center"/>
        <w:ind w:right="1180"/>
        <w:spacing w:after="0"/>
        <w:rPr>
          <w:sz w:val="20"/>
          <w:szCs w:val="20"/>
          <w:color w:val="auto"/>
        </w:rPr>
      </w:pPr>
      <w:r>
        <w:rPr>
          <w:rFonts w:ascii="Arial" w:cs="Arial" w:eastAsia="Arial" w:hAnsi="Arial"/>
          <w:sz w:val="18"/>
          <w:szCs w:val="18"/>
          <w:b w:val="1"/>
          <w:bCs w:val="1"/>
          <w:color w:val="auto"/>
        </w:rPr>
        <w:t>ATTACHMENT I</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Performance Conditions</w:t>
      </w:r>
    </w:p>
    <w:p>
      <w:pPr>
        <w:spacing w:after="0" w:line="95"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[Insert ROCE Performance Achievement Levels, Payout Factor and adjustment rules, if any]</w:t>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6 of 6</w:t>
      </w:r>
    </w:p>
    <w:p>
      <w:pPr>
        <w:sectPr>
          <w:pgSz w:w="11900" w:h="16838" w:orient="portrait"/>
          <w:cols w:equalWidth="0" w:num="1">
            <w:col w:w="10220"/>
          </w:cols>
          <w:pgMar w:left="1440" w:top="334"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EXECUTIVE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Paal Kibsgaard, certify that:</w:t>
      </w:r>
    </w:p>
    <w:p>
      <w:pPr>
        <w:spacing w:after="0" w:line="112" w:lineRule="exact"/>
        <w:rPr>
          <w:sz w:val="20"/>
          <w:szCs w:val="20"/>
          <w:color w:val="auto"/>
        </w:rPr>
      </w:pPr>
    </w:p>
    <w:p>
      <w:pPr>
        <w:ind w:left="560" w:hanging="174"/>
        <w:spacing w:after="0"/>
        <w:tabs>
          <w:tab w:leader="none" w:pos="5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111" w:lineRule="exact"/>
        <w:rPr>
          <w:rFonts w:ascii="Arial" w:cs="Arial" w:eastAsia="Arial" w:hAnsi="Arial"/>
          <w:sz w:val="18"/>
          <w:szCs w:val="18"/>
          <w:color w:val="auto"/>
        </w:rPr>
      </w:pPr>
    </w:p>
    <w:p>
      <w:pPr>
        <w:ind w:firstLine="386"/>
        <w:spacing w:after="0" w:line="329" w:lineRule="auto"/>
        <w:tabs>
          <w:tab w:leader="none" w:pos="577"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 w:lineRule="exact"/>
        <w:rPr>
          <w:rFonts w:ascii="Arial" w:cs="Arial" w:eastAsia="Arial" w:hAnsi="Arial"/>
          <w:sz w:val="16"/>
          <w:szCs w:val="16"/>
          <w:color w:val="auto"/>
        </w:rPr>
      </w:pPr>
    </w:p>
    <w:p>
      <w:pPr>
        <w:ind w:firstLine="386"/>
        <w:spacing w:after="0" w:line="266" w:lineRule="auto"/>
        <w:tabs>
          <w:tab w:leader="none" w:pos="581"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2" w:lineRule="exact"/>
        <w:rPr>
          <w:rFonts w:ascii="Arial" w:cs="Arial" w:eastAsia="Arial" w:hAnsi="Arial"/>
          <w:sz w:val="18"/>
          <w:szCs w:val="18"/>
          <w:color w:val="auto"/>
        </w:rPr>
      </w:pPr>
    </w:p>
    <w:p>
      <w:pPr>
        <w:jc w:val="both"/>
        <w:ind w:firstLine="386"/>
        <w:spacing w:after="0" w:line="256" w:lineRule="auto"/>
        <w:tabs>
          <w:tab w:leader="none" w:pos="557"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Arial" w:cs="Arial" w:eastAsia="Arial" w:hAnsi="Arial"/>
          <w:sz w:val="18"/>
          <w:szCs w:val="18"/>
          <w:color w:val="auto"/>
        </w:rPr>
      </w:pPr>
    </w:p>
    <w:p>
      <w:pPr>
        <w:jc w:val="both"/>
        <w:ind w:left="1100" w:hanging="496"/>
        <w:spacing w:after="0" w:line="256" w:lineRule="auto"/>
        <w:tabs>
          <w:tab w:leader="none" w:pos="11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Arial" w:cs="Arial" w:eastAsia="Arial" w:hAnsi="Arial"/>
          <w:sz w:val="18"/>
          <w:szCs w:val="18"/>
          <w:color w:val="auto"/>
        </w:rPr>
      </w:pPr>
    </w:p>
    <w:p>
      <w:pPr>
        <w:jc w:val="both"/>
        <w:ind w:left="1100" w:hanging="496"/>
        <w:spacing w:after="0" w:line="256" w:lineRule="auto"/>
        <w:tabs>
          <w:tab w:leader="none" w:pos="11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Arial" w:cs="Arial" w:eastAsia="Arial" w:hAnsi="Arial"/>
          <w:sz w:val="18"/>
          <w:szCs w:val="18"/>
          <w:color w:val="auto"/>
        </w:rPr>
      </w:pPr>
    </w:p>
    <w:p>
      <w:pPr>
        <w:ind w:left="1100" w:hanging="496"/>
        <w:spacing w:after="0" w:line="295" w:lineRule="auto"/>
        <w:tabs>
          <w:tab w:leader="none" w:pos="1100" w:val="left"/>
        </w:tabs>
        <w:numPr>
          <w:ilvl w:val="1"/>
          <w:numId w:val="4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jc w:val="both"/>
        <w:ind w:left="1100" w:hanging="496"/>
        <w:spacing w:after="0" w:line="256" w:lineRule="auto"/>
        <w:tabs>
          <w:tab w:leader="none" w:pos="11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Arial" w:cs="Arial" w:eastAsia="Arial" w:hAnsi="Arial"/>
          <w:sz w:val="18"/>
          <w:szCs w:val="18"/>
          <w:color w:val="auto"/>
        </w:rPr>
      </w:pPr>
    </w:p>
    <w:p>
      <w:pPr>
        <w:ind w:firstLine="386"/>
        <w:spacing w:after="0" w:line="295" w:lineRule="auto"/>
        <w:tabs>
          <w:tab w:leader="none" w:pos="576"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1100" w:hanging="496"/>
        <w:spacing w:after="0" w:line="266" w:lineRule="auto"/>
        <w:tabs>
          <w:tab w:leader="none" w:pos="11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2" w:lineRule="exact"/>
        <w:rPr>
          <w:rFonts w:ascii="Arial" w:cs="Arial" w:eastAsia="Arial" w:hAnsi="Arial"/>
          <w:sz w:val="18"/>
          <w:szCs w:val="18"/>
          <w:color w:val="auto"/>
        </w:rPr>
      </w:pPr>
    </w:p>
    <w:p>
      <w:pPr>
        <w:ind w:left="1100" w:hanging="496"/>
        <w:spacing w:after="0" w:line="266" w:lineRule="auto"/>
        <w:tabs>
          <w:tab w:leader="none" w:pos="11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160" w:type="dxa"/>
            <w:vAlign w:val="bottom"/>
          </w:tcPr>
          <w:p>
            <w:pPr>
              <w:spacing w:after="0"/>
              <w:rPr>
                <w:sz w:val="20"/>
                <w:szCs w:val="20"/>
                <w:color w:val="auto"/>
              </w:rPr>
            </w:pPr>
            <w:r>
              <w:rPr>
                <w:rFonts w:ascii="Arial" w:cs="Arial" w:eastAsia="Arial" w:hAnsi="Arial"/>
                <w:sz w:val="18"/>
                <w:szCs w:val="18"/>
                <w:color w:val="auto"/>
              </w:rPr>
              <w:t>Date: April 27, 2016</w:t>
            </w:r>
          </w:p>
        </w:tc>
        <w:tc>
          <w:tcPr>
            <w:tcW w:w="7260" w:type="dxa"/>
            <w:vAlign w:val="bottom"/>
            <w:gridSpan w:val="2"/>
          </w:tcPr>
          <w:p>
            <w:pPr>
              <w:ind w:left="2700"/>
              <w:spacing w:after="0"/>
              <w:rPr>
                <w:sz w:val="20"/>
                <w:szCs w:val="20"/>
                <w:color w:val="auto"/>
              </w:rPr>
            </w:pPr>
            <w:r>
              <w:rPr>
                <w:rFonts w:ascii="Arial" w:cs="Arial" w:eastAsia="Arial" w:hAnsi="Arial"/>
                <w:sz w:val="18"/>
                <w:szCs w:val="18"/>
                <w:color w:val="auto"/>
              </w:rPr>
              <w:t>/s/ Paal Kibsgaard</w:t>
            </w:r>
          </w:p>
        </w:tc>
      </w:tr>
      <w:tr>
        <w:trPr>
          <w:trHeight w:val="194"/>
        </w:trPr>
        <w:tc>
          <w:tcPr>
            <w:tcW w:w="41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456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Paal Kibsgaard</w:t>
            </w:r>
          </w:p>
        </w:tc>
      </w:tr>
      <w:tr>
        <w:trPr>
          <w:trHeight w:val="224"/>
        </w:trPr>
        <w:tc>
          <w:tcPr>
            <w:tcW w:w="41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456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12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FINANCIAL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Simon Ayat, certify that:</w:t>
      </w:r>
    </w:p>
    <w:p>
      <w:pPr>
        <w:spacing w:after="0" w:line="112" w:lineRule="exact"/>
        <w:rPr>
          <w:sz w:val="20"/>
          <w:szCs w:val="20"/>
          <w:color w:val="auto"/>
        </w:rPr>
      </w:pPr>
    </w:p>
    <w:p>
      <w:pPr>
        <w:ind w:left="560" w:hanging="174"/>
        <w:spacing w:after="0"/>
        <w:tabs>
          <w:tab w:leader="none" w:pos="5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111" w:lineRule="exact"/>
        <w:rPr>
          <w:rFonts w:ascii="Arial" w:cs="Arial" w:eastAsia="Arial" w:hAnsi="Arial"/>
          <w:sz w:val="18"/>
          <w:szCs w:val="18"/>
          <w:color w:val="auto"/>
        </w:rPr>
      </w:pPr>
    </w:p>
    <w:p>
      <w:pPr>
        <w:ind w:firstLine="386"/>
        <w:spacing w:after="0" w:line="329" w:lineRule="auto"/>
        <w:tabs>
          <w:tab w:leader="none" w:pos="577"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 w:lineRule="exact"/>
        <w:rPr>
          <w:rFonts w:ascii="Arial" w:cs="Arial" w:eastAsia="Arial" w:hAnsi="Arial"/>
          <w:sz w:val="16"/>
          <w:szCs w:val="16"/>
          <w:color w:val="auto"/>
        </w:rPr>
      </w:pPr>
    </w:p>
    <w:p>
      <w:pPr>
        <w:ind w:firstLine="386"/>
        <w:spacing w:after="0" w:line="266" w:lineRule="auto"/>
        <w:tabs>
          <w:tab w:leader="none" w:pos="581"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2" w:lineRule="exact"/>
        <w:rPr>
          <w:rFonts w:ascii="Arial" w:cs="Arial" w:eastAsia="Arial" w:hAnsi="Arial"/>
          <w:sz w:val="18"/>
          <w:szCs w:val="18"/>
          <w:color w:val="auto"/>
        </w:rPr>
      </w:pPr>
    </w:p>
    <w:p>
      <w:pPr>
        <w:jc w:val="both"/>
        <w:ind w:firstLine="386"/>
        <w:spacing w:after="0" w:line="256" w:lineRule="auto"/>
        <w:tabs>
          <w:tab w:leader="none" w:pos="557"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Arial" w:cs="Arial" w:eastAsia="Arial" w:hAnsi="Arial"/>
          <w:sz w:val="18"/>
          <w:szCs w:val="18"/>
          <w:color w:val="auto"/>
        </w:rPr>
      </w:pPr>
    </w:p>
    <w:p>
      <w:pPr>
        <w:jc w:val="both"/>
        <w:ind w:left="1100" w:hanging="496"/>
        <w:spacing w:after="0" w:line="256" w:lineRule="auto"/>
        <w:tabs>
          <w:tab w:leader="none" w:pos="11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Arial" w:cs="Arial" w:eastAsia="Arial" w:hAnsi="Arial"/>
          <w:sz w:val="18"/>
          <w:szCs w:val="18"/>
          <w:color w:val="auto"/>
        </w:rPr>
      </w:pPr>
    </w:p>
    <w:p>
      <w:pPr>
        <w:jc w:val="both"/>
        <w:ind w:left="1100" w:hanging="496"/>
        <w:spacing w:after="0" w:line="256" w:lineRule="auto"/>
        <w:tabs>
          <w:tab w:leader="none" w:pos="11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Arial" w:cs="Arial" w:eastAsia="Arial" w:hAnsi="Arial"/>
          <w:sz w:val="18"/>
          <w:szCs w:val="18"/>
          <w:color w:val="auto"/>
        </w:rPr>
      </w:pPr>
    </w:p>
    <w:p>
      <w:pPr>
        <w:ind w:left="1100" w:hanging="496"/>
        <w:spacing w:after="0" w:line="295" w:lineRule="auto"/>
        <w:tabs>
          <w:tab w:leader="none" w:pos="1100" w:val="left"/>
        </w:tabs>
        <w:numPr>
          <w:ilvl w:val="1"/>
          <w:numId w:val="4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jc w:val="both"/>
        <w:ind w:left="1100" w:hanging="496"/>
        <w:spacing w:after="0" w:line="256" w:lineRule="auto"/>
        <w:tabs>
          <w:tab w:leader="none" w:pos="11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Arial" w:cs="Arial" w:eastAsia="Arial" w:hAnsi="Arial"/>
          <w:sz w:val="18"/>
          <w:szCs w:val="18"/>
          <w:color w:val="auto"/>
        </w:rPr>
      </w:pPr>
    </w:p>
    <w:p>
      <w:pPr>
        <w:ind w:firstLine="386"/>
        <w:spacing w:after="0" w:line="295" w:lineRule="auto"/>
        <w:tabs>
          <w:tab w:leader="none" w:pos="576"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1100" w:hanging="496"/>
        <w:spacing w:after="0" w:line="266" w:lineRule="auto"/>
        <w:tabs>
          <w:tab w:leader="none" w:pos="11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2" w:lineRule="exact"/>
        <w:rPr>
          <w:rFonts w:ascii="Arial" w:cs="Arial" w:eastAsia="Arial" w:hAnsi="Arial"/>
          <w:sz w:val="18"/>
          <w:szCs w:val="18"/>
          <w:color w:val="auto"/>
        </w:rPr>
      </w:pPr>
    </w:p>
    <w:p>
      <w:pPr>
        <w:ind w:left="1100" w:hanging="496"/>
        <w:spacing w:after="0" w:line="266" w:lineRule="auto"/>
        <w:tabs>
          <w:tab w:leader="none" w:pos="11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6" w:lineRule="exact"/>
        <w:rPr>
          <w:sz w:val="20"/>
          <w:szCs w:val="20"/>
          <w:color w:val="auto"/>
        </w:rPr>
      </w:pPr>
    </w:p>
    <w:p>
      <w:pPr>
        <w:spacing w:after="0"/>
        <w:tabs>
          <w:tab w:leader="none" w:pos="6300" w:val="left"/>
        </w:tabs>
        <w:rPr>
          <w:sz w:val="20"/>
          <w:szCs w:val="20"/>
          <w:color w:val="auto"/>
        </w:rPr>
      </w:pPr>
      <w:r>
        <w:rPr>
          <w:rFonts w:ascii="Arial" w:cs="Arial" w:eastAsia="Arial" w:hAnsi="Arial"/>
          <w:sz w:val="18"/>
          <w:szCs w:val="18"/>
          <w:color w:val="auto"/>
        </w:rPr>
        <w:t>Date: April 27, 2016</w:t>
      </w:r>
      <w:r>
        <w:rPr>
          <w:sz w:val="20"/>
          <w:szCs w:val="20"/>
          <w:color w:val="auto"/>
        </w:rPr>
        <w:tab/>
      </w:r>
      <w:r>
        <w:rPr>
          <w:rFonts w:ascii="Arial" w:cs="Arial" w:eastAsia="Arial" w:hAnsi="Arial"/>
          <w:sz w:val="16"/>
          <w:szCs w:val="16"/>
          <w:color w:val="auto"/>
        </w:rPr>
        <w:t>/s/ Simon Ayat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3987165</wp:posOffset>
            </wp:positionH>
            <wp:positionV relativeFrom="paragraph">
              <wp:posOffset>19685</wp:posOffset>
            </wp:positionV>
            <wp:extent cx="290258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902585" cy="8255"/>
                    </a:xfrm>
                    <a:prstGeom prst="rect">
                      <a:avLst/>
                    </a:prstGeom>
                    <a:noFill/>
                  </pic:spPr>
                </pic:pic>
              </a:graphicData>
            </a:graphic>
          </wp:anchor>
        </w:drawing>
      </w:r>
    </w:p>
    <w:p>
      <w:pPr>
        <w:spacing w:after="0" w:line="2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Simon Ayat</w:t>
      </w:r>
    </w:p>
    <w:p>
      <w:pPr>
        <w:spacing w:after="0" w:line="1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12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Quarterly Report on Form 10-Q of Schlumberger N.V. (Schlumberger Limited) (the “Company”) for the quarterly period ended March 31, 2016 as filed with the Securities and Exchange Commission on the date hereof (the “Report”), I, Paal Kibsgaard, Chief Executive Officer of the Company, certify, pursuant to 18 U.S.C. § 1350, as adopted pursuant to § 906 of the Sarbanes-Oxley Act of 2002, that:</w:t>
      </w:r>
    </w:p>
    <w:p>
      <w:pPr>
        <w:spacing w:after="0" w:line="82" w:lineRule="exact"/>
        <w:rPr>
          <w:sz w:val="20"/>
          <w:szCs w:val="20"/>
          <w:color w:val="auto"/>
        </w:rPr>
      </w:pPr>
    </w:p>
    <w:p>
      <w:pPr>
        <w:ind w:left="1020" w:hanging="509"/>
        <w:spacing w:after="0" w:line="266"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72" w:lineRule="exact"/>
        <w:rPr>
          <w:rFonts w:ascii="Arial" w:cs="Arial" w:eastAsia="Arial" w:hAnsi="Arial"/>
          <w:sz w:val="18"/>
          <w:szCs w:val="18"/>
          <w:color w:val="auto"/>
        </w:rPr>
      </w:pPr>
    </w:p>
    <w:p>
      <w:pPr>
        <w:ind w:left="1020" w:hanging="509"/>
        <w:spacing w:after="0"/>
        <w:tabs>
          <w:tab w:leader="none" w:pos="10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400" w:type="dxa"/>
            <w:vAlign w:val="bottom"/>
          </w:tcPr>
          <w:p>
            <w:pPr>
              <w:spacing w:after="0"/>
              <w:rPr>
                <w:sz w:val="20"/>
                <w:szCs w:val="20"/>
                <w:color w:val="auto"/>
              </w:rPr>
            </w:pPr>
            <w:r>
              <w:rPr>
                <w:rFonts w:ascii="Arial" w:cs="Arial" w:eastAsia="Arial" w:hAnsi="Arial"/>
                <w:sz w:val="18"/>
                <w:szCs w:val="18"/>
                <w:color w:val="auto"/>
              </w:rPr>
              <w:t>Date: April 27, 2016</w:t>
            </w:r>
          </w:p>
        </w:tc>
        <w:tc>
          <w:tcPr>
            <w:tcW w:w="4960" w:type="dxa"/>
            <w:vAlign w:val="bottom"/>
            <w:gridSpan w:val="2"/>
          </w:tcPr>
          <w:p>
            <w:pPr>
              <w:ind w:left="1940"/>
              <w:spacing w:after="0"/>
              <w:rPr>
                <w:sz w:val="20"/>
                <w:szCs w:val="20"/>
                <w:color w:val="auto"/>
              </w:rPr>
            </w:pPr>
            <w:r>
              <w:rPr>
                <w:rFonts w:ascii="Arial" w:cs="Arial" w:eastAsia="Arial" w:hAnsi="Arial"/>
                <w:sz w:val="18"/>
                <w:szCs w:val="18"/>
                <w:color w:val="auto"/>
              </w:rPr>
              <w:t>/s/ Paal Kibsgaard</w:t>
            </w:r>
          </w:p>
        </w:tc>
      </w:tr>
      <w:tr>
        <w:trPr>
          <w:trHeight w:val="194"/>
        </w:trPr>
        <w:tc>
          <w:tcPr>
            <w:tcW w:w="34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02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Paal Kibsgaard</w:t>
            </w:r>
          </w:p>
        </w:tc>
      </w:tr>
      <w:tr>
        <w:trPr>
          <w:trHeight w:val="224"/>
        </w:trPr>
        <w:tc>
          <w:tcPr>
            <w:tcW w:w="34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2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bl>
    <w:p>
      <w:pPr>
        <w:spacing w:after="0" w:line="201"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79"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420"/>
          </w:cols>
          <w:pgMar w:left="240" w:top="121"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7"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In connection with the Quarterly Report on Form 10-Q of Schlumberger N.V. (Schlumberger Limited) (the “Company”) for the quarterly period ended March 31, 2016 as filed with the Securities and Exchange Commission on the date hereof (the “Report”), I, Simon Ayat, Executive Vice President and Chief Financial Officer of the Company, certify, pursuant to 18 U.S.C. § 1350, as adopted pursuant to § 906 of the Sarbanes-Oxley Act of 2002, that:</w:t>
      </w:r>
    </w:p>
    <w:p>
      <w:pPr>
        <w:spacing w:after="0" w:line="65" w:lineRule="exact"/>
        <w:rPr>
          <w:sz w:val="20"/>
          <w:szCs w:val="20"/>
          <w:color w:val="auto"/>
        </w:rPr>
      </w:pPr>
    </w:p>
    <w:p>
      <w:pPr>
        <w:ind w:left="1020" w:hanging="509"/>
        <w:spacing w:after="0" w:line="266"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72" w:lineRule="exact"/>
        <w:rPr>
          <w:rFonts w:ascii="Arial" w:cs="Arial" w:eastAsia="Arial" w:hAnsi="Arial"/>
          <w:sz w:val="18"/>
          <w:szCs w:val="18"/>
          <w:color w:val="auto"/>
        </w:rPr>
      </w:pPr>
    </w:p>
    <w:p>
      <w:pPr>
        <w:ind w:left="1020" w:hanging="509"/>
        <w:spacing w:after="0"/>
        <w:tabs>
          <w:tab w:leader="none" w:pos="10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420" w:type="dxa"/>
            <w:vAlign w:val="bottom"/>
          </w:tcPr>
          <w:p>
            <w:pPr>
              <w:spacing w:after="0"/>
              <w:rPr>
                <w:sz w:val="20"/>
                <w:szCs w:val="20"/>
                <w:color w:val="auto"/>
              </w:rPr>
            </w:pPr>
            <w:r>
              <w:rPr>
                <w:rFonts w:ascii="Arial" w:cs="Arial" w:eastAsia="Arial" w:hAnsi="Arial"/>
                <w:sz w:val="18"/>
                <w:szCs w:val="18"/>
                <w:color w:val="auto"/>
              </w:rPr>
              <w:t>Date: April 27, 2016</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Simon Ayat</w:t>
            </w:r>
          </w:p>
        </w:tc>
      </w:tr>
      <w:tr>
        <w:trPr>
          <w:trHeight w:val="194"/>
        </w:trPr>
        <w:tc>
          <w:tcPr>
            <w:tcW w:w="5420" w:type="dxa"/>
            <w:vAlign w:val="bottom"/>
          </w:tcPr>
          <w:p>
            <w:pPr>
              <w:spacing w:after="0"/>
              <w:rPr>
                <w:sz w:val="16"/>
                <w:szCs w:val="16"/>
                <w:color w:val="auto"/>
              </w:rPr>
            </w:pP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Simon Ayat</w:t>
            </w:r>
          </w:p>
        </w:tc>
      </w:tr>
      <w:tr>
        <w:trPr>
          <w:trHeight w:val="224"/>
        </w:trPr>
        <w:tc>
          <w:tcPr>
            <w:tcW w:w="54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201"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79"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420"/>
          </w:cols>
          <w:pgMar w:left="240" w:top="121"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u w:val="single" w:color="auto"/>
          <w:color w:val="auto"/>
        </w:rPr>
        <w:t>Exhibit 95</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w:t>
      </w:r>
    </w:p>
    <w:p>
      <w:pPr>
        <w:spacing w:after="0" w:line="200" w:lineRule="exact"/>
        <w:rPr>
          <w:sz w:val="20"/>
          <w:szCs w:val="20"/>
          <w:color w:val="auto"/>
        </w:rPr>
      </w:pPr>
    </w:p>
    <w:p>
      <w:pPr>
        <w:spacing w:after="0" w:line="370" w:lineRule="exact"/>
        <w:rPr>
          <w:sz w:val="20"/>
          <w:szCs w:val="20"/>
          <w:color w:val="auto"/>
        </w:rPr>
      </w:pPr>
    </w:p>
    <w:p>
      <w:pPr>
        <w:ind w:right="20" w:firstLine="518"/>
        <w:spacing w:after="0" w:line="256" w:lineRule="auto"/>
        <w:rPr>
          <w:sz w:val="20"/>
          <w:szCs w:val="20"/>
          <w:color w:val="auto"/>
        </w:rPr>
      </w:pPr>
      <w:r>
        <w:rPr>
          <w:rFonts w:ascii="Arial" w:cs="Arial" w:eastAsia="Arial" w:hAnsi="Arial"/>
          <w:sz w:val="18"/>
          <w:szCs w:val="18"/>
          <w:color w:val="auto"/>
        </w:rPr>
        <w:t>The following disclosure is provided pursuant to Section 1503(a) of the Dodd-Frank Wall Street Reform and Consumer Protection Act, which requires certain disclosures by companies required to file periodic reports under the Securities Exchange Act of 1934, as amended, that operate mines regulated under the Federal Mine Safety and Health Act of 1977.</w:t>
      </w:r>
    </w:p>
    <w:p>
      <w:pPr>
        <w:spacing w:after="0" w:line="188" w:lineRule="exact"/>
        <w:rPr>
          <w:sz w:val="20"/>
          <w:szCs w:val="20"/>
          <w:color w:val="auto"/>
        </w:rPr>
      </w:pPr>
    </w:p>
    <w:p>
      <w:pPr>
        <w:ind w:right="20" w:firstLine="518"/>
        <w:spacing w:after="0" w:line="278" w:lineRule="auto"/>
        <w:rPr>
          <w:sz w:val="20"/>
          <w:szCs w:val="20"/>
          <w:color w:val="auto"/>
        </w:rPr>
      </w:pPr>
      <w:r>
        <w:rPr>
          <w:rFonts w:ascii="Arial" w:cs="Arial" w:eastAsia="Arial" w:hAnsi="Arial"/>
          <w:sz w:val="17"/>
          <w:szCs w:val="17"/>
          <w:color w:val="auto"/>
        </w:rPr>
        <w:t>The table that follows reflects citations, orders, violations and proposed assessments issued by the Mine Safety and Health Administration (the “MSHA”) to M-I LLC, an indirect wholly-owned subsidiary of Schlumberger. The disclosure is with respect to the three months ended March 31, 2016. Due to timing and other factors, the data may not agree with the mine data retrieval system maintained by the MSHA at www.MSHA.gov.</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Three Months Ended March 31, 2016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whole dollars</w:t>
      </w:r>
      <w:r>
        <w:rPr>
          <w:rFonts w:ascii="Arial" w:cs="Arial" w:eastAsia="Arial" w:hAnsi="Arial"/>
          <w:sz w:val="18"/>
          <w:szCs w:val="18"/>
          <w:color w:val="auto"/>
        </w:rPr>
        <w:t>)</w:t>
      </w:r>
    </w:p>
    <w:tbl>
      <w:tblPr>
        <w:tblLayout w:type="fixed"/>
        <w:tblInd w:w="580" w:type="dxa"/>
        <w:tblCellMar>
          <w:top w:w="0" w:type="dxa"/>
          <w:left w:w="0" w:type="dxa"/>
          <w:bottom w:w="0" w:type="dxa"/>
          <w:right w:w="0" w:type="dxa"/>
        </w:tblCellMar>
      </w:tblPr>
      <w:tr>
        <w:trPr>
          <w:trHeight w:val="126"/>
        </w:trPr>
        <w:tc>
          <w:tcPr>
            <w:tcW w:w="1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jc w:val="center"/>
              <w:spacing w:after="0" w:line="126" w:lineRule="exact"/>
              <w:rPr>
                <w:sz w:val="20"/>
                <w:szCs w:val="20"/>
                <w:color w:val="auto"/>
              </w:rPr>
            </w:pPr>
            <w:r>
              <w:rPr>
                <w:rFonts w:ascii="Arial" w:cs="Arial" w:eastAsia="Arial" w:hAnsi="Arial"/>
                <w:sz w:val="12"/>
                <w:szCs w:val="12"/>
                <w:color w:val="auto"/>
                <w:w w:val="91"/>
              </w:rPr>
              <w:t>Received</w:t>
            </w:r>
          </w:p>
        </w:tc>
        <w:tc>
          <w:tcPr>
            <w:tcW w:w="700" w:type="dxa"/>
            <w:vAlign w:val="bottom"/>
          </w:tcPr>
          <w:p>
            <w:pPr>
              <w:jc w:val="center"/>
              <w:spacing w:after="0" w:line="126" w:lineRule="exact"/>
              <w:rPr>
                <w:sz w:val="20"/>
                <w:szCs w:val="20"/>
                <w:color w:val="auto"/>
              </w:rPr>
            </w:pPr>
            <w:r>
              <w:rPr>
                <w:rFonts w:ascii="Arial" w:cs="Arial" w:eastAsia="Arial" w:hAnsi="Arial"/>
                <w:sz w:val="12"/>
                <w:szCs w:val="12"/>
                <w:color w:val="auto"/>
                <w:w w:val="91"/>
              </w:rPr>
              <w:t>Received</w:t>
            </w:r>
          </w:p>
        </w:tc>
        <w:tc>
          <w:tcPr>
            <w:tcW w:w="6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jc w:val="center"/>
              <w:spacing w:after="0" w:line="133" w:lineRule="exact"/>
              <w:rPr>
                <w:sz w:val="20"/>
                <w:szCs w:val="20"/>
                <w:color w:val="auto"/>
              </w:rPr>
            </w:pPr>
            <w:r>
              <w:rPr>
                <w:rFonts w:ascii="Arial" w:cs="Arial" w:eastAsia="Arial" w:hAnsi="Arial"/>
                <w:sz w:val="12"/>
                <w:szCs w:val="12"/>
                <w:color w:val="auto"/>
                <w:w w:val="97"/>
              </w:rPr>
              <w:t>Notice of</w:t>
            </w:r>
          </w:p>
        </w:tc>
        <w:tc>
          <w:tcPr>
            <w:tcW w:w="700" w:type="dxa"/>
            <w:vAlign w:val="bottom"/>
          </w:tcPr>
          <w:p>
            <w:pPr>
              <w:jc w:val="center"/>
              <w:spacing w:after="0" w:line="133" w:lineRule="exact"/>
              <w:rPr>
                <w:sz w:val="20"/>
                <w:szCs w:val="20"/>
                <w:color w:val="auto"/>
              </w:rPr>
            </w:pPr>
            <w:r>
              <w:rPr>
                <w:rFonts w:ascii="Arial" w:cs="Arial" w:eastAsia="Arial" w:hAnsi="Arial"/>
                <w:sz w:val="12"/>
                <w:szCs w:val="12"/>
                <w:color w:val="auto"/>
              </w:rPr>
              <w:t>Notice of</w:t>
            </w: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jc w:val="center"/>
              <w:spacing w:after="0" w:line="133" w:lineRule="exact"/>
              <w:rPr>
                <w:sz w:val="20"/>
                <w:szCs w:val="20"/>
                <w:color w:val="auto"/>
              </w:rPr>
            </w:pPr>
            <w:r>
              <w:rPr>
                <w:rFonts w:ascii="Arial" w:cs="Arial" w:eastAsia="Arial" w:hAnsi="Arial"/>
                <w:sz w:val="12"/>
                <w:szCs w:val="12"/>
                <w:color w:val="auto"/>
                <w:w w:val="92"/>
              </w:rPr>
              <w:t>Pattern of</w:t>
            </w:r>
          </w:p>
        </w:tc>
        <w:tc>
          <w:tcPr>
            <w:tcW w:w="700" w:type="dxa"/>
            <w:vAlign w:val="bottom"/>
          </w:tcPr>
          <w:p>
            <w:pPr>
              <w:jc w:val="center"/>
              <w:spacing w:after="0" w:line="133" w:lineRule="exact"/>
              <w:rPr>
                <w:sz w:val="20"/>
                <w:szCs w:val="20"/>
                <w:color w:val="auto"/>
              </w:rPr>
            </w:pPr>
            <w:r>
              <w:rPr>
                <w:rFonts w:ascii="Arial" w:cs="Arial" w:eastAsia="Arial" w:hAnsi="Arial"/>
                <w:sz w:val="12"/>
                <w:szCs w:val="12"/>
                <w:color w:val="auto"/>
                <w:w w:val="93"/>
              </w:rPr>
              <w:t>Potential to</w:t>
            </w: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jc w:val="center"/>
              <w:spacing w:after="0" w:line="133" w:lineRule="exact"/>
              <w:rPr>
                <w:sz w:val="20"/>
                <w:szCs w:val="20"/>
                <w:color w:val="auto"/>
              </w:rPr>
            </w:pPr>
            <w:r>
              <w:rPr>
                <w:rFonts w:ascii="Arial" w:cs="Arial" w:eastAsia="Arial" w:hAnsi="Arial"/>
                <w:sz w:val="12"/>
                <w:szCs w:val="12"/>
                <w:color w:val="auto"/>
                <w:w w:val="96"/>
              </w:rPr>
              <w:t>Violations</w:t>
            </w:r>
          </w:p>
        </w:tc>
        <w:tc>
          <w:tcPr>
            <w:tcW w:w="700" w:type="dxa"/>
            <w:vAlign w:val="bottom"/>
          </w:tcPr>
          <w:p>
            <w:pPr>
              <w:jc w:val="center"/>
              <w:spacing w:after="0" w:line="133" w:lineRule="exact"/>
              <w:rPr>
                <w:sz w:val="20"/>
                <w:szCs w:val="20"/>
                <w:color w:val="auto"/>
              </w:rPr>
            </w:pPr>
            <w:r>
              <w:rPr>
                <w:rFonts w:ascii="Arial" w:cs="Arial" w:eastAsia="Arial" w:hAnsi="Arial"/>
                <w:sz w:val="12"/>
                <w:szCs w:val="12"/>
                <w:color w:val="auto"/>
                <w:w w:val="91"/>
              </w:rPr>
              <w:t>Have Pattern</w:t>
            </w:r>
          </w:p>
        </w:tc>
        <w:tc>
          <w:tcPr>
            <w:tcW w:w="640" w:type="dxa"/>
            <w:vAlign w:val="bottom"/>
          </w:tcPr>
          <w:p>
            <w:pPr>
              <w:jc w:val="center"/>
              <w:spacing w:after="0" w:line="133" w:lineRule="exact"/>
              <w:rPr>
                <w:sz w:val="20"/>
                <w:szCs w:val="20"/>
                <w:color w:val="auto"/>
              </w:rPr>
            </w:pPr>
            <w:r>
              <w:rPr>
                <w:rFonts w:ascii="Arial" w:cs="Arial" w:eastAsia="Arial" w:hAnsi="Arial"/>
                <w:sz w:val="12"/>
                <w:szCs w:val="12"/>
                <w:color w:val="auto"/>
                <w:w w:val="95"/>
              </w:rPr>
              <w:t>Legal</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jc w:val="center"/>
              <w:spacing w:after="0" w:line="133" w:lineRule="exact"/>
              <w:rPr>
                <w:sz w:val="20"/>
                <w:szCs w:val="20"/>
                <w:color w:val="auto"/>
              </w:rPr>
            </w:pPr>
            <w:r>
              <w:rPr>
                <w:rFonts w:ascii="Arial" w:cs="Arial" w:eastAsia="Arial" w:hAnsi="Arial"/>
                <w:sz w:val="12"/>
                <w:szCs w:val="12"/>
                <w:color w:val="auto"/>
                <w:w w:val="94"/>
              </w:rPr>
              <w:t>Section</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jc w:val="center"/>
              <w:spacing w:after="0" w:line="133" w:lineRule="exact"/>
              <w:rPr>
                <w:sz w:val="20"/>
                <w:szCs w:val="20"/>
                <w:color w:val="auto"/>
              </w:rPr>
            </w:pPr>
            <w:r>
              <w:rPr>
                <w:rFonts w:ascii="Arial" w:cs="Arial" w:eastAsia="Arial" w:hAnsi="Arial"/>
                <w:sz w:val="12"/>
                <w:szCs w:val="12"/>
                <w:color w:val="auto"/>
                <w:w w:val="91"/>
              </w:rPr>
              <w:t>Under</w:t>
            </w:r>
          </w:p>
        </w:tc>
        <w:tc>
          <w:tcPr>
            <w:tcW w:w="700" w:type="dxa"/>
            <w:vAlign w:val="bottom"/>
          </w:tcPr>
          <w:p>
            <w:pPr>
              <w:jc w:val="center"/>
              <w:spacing w:after="0" w:line="133" w:lineRule="exact"/>
              <w:rPr>
                <w:sz w:val="20"/>
                <w:szCs w:val="20"/>
                <w:color w:val="auto"/>
              </w:rPr>
            </w:pPr>
            <w:r>
              <w:rPr>
                <w:rFonts w:ascii="Arial" w:cs="Arial" w:eastAsia="Arial" w:hAnsi="Arial"/>
                <w:sz w:val="12"/>
                <w:szCs w:val="12"/>
                <w:color w:val="auto"/>
                <w:w w:val="97"/>
              </w:rPr>
              <w:t>Under</w:t>
            </w:r>
          </w:p>
        </w:tc>
        <w:tc>
          <w:tcPr>
            <w:tcW w:w="640" w:type="dxa"/>
            <w:vAlign w:val="bottom"/>
          </w:tcPr>
          <w:p>
            <w:pPr>
              <w:jc w:val="center"/>
              <w:spacing w:after="0" w:line="133" w:lineRule="exact"/>
              <w:rPr>
                <w:sz w:val="20"/>
                <w:szCs w:val="20"/>
                <w:color w:val="auto"/>
              </w:rPr>
            </w:pPr>
            <w:r>
              <w:rPr>
                <w:rFonts w:ascii="Arial" w:cs="Arial" w:eastAsia="Arial" w:hAnsi="Arial"/>
                <w:sz w:val="12"/>
                <w:szCs w:val="12"/>
                <w:color w:val="auto"/>
                <w:w w:val="96"/>
              </w:rPr>
              <w:t>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740" w:type="dxa"/>
            <w:vAlign w:val="bottom"/>
          </w:tcPr>
          <w:p>
            <w:pPr>
              <w:spacing w:after="0"/>
              <w:rPr>
                <w:sz w:val="11"/>
                <w:szCs w:val="11"/>
                <w:color w:val="auto"/>
              </w:rPr>
            </w:pPr>
          </w:p>
        </w:tc>
        <w:tc>
          <w:tcPr>
            <w:tcW w:w="720" w:type="dxa"/>
            <w:vAlign w:val="bottom"/>
          </w:tcPr>
          <w:p>
            <w:pPr>
              <w:jc w:val="center"/>
              <w:ind w:left="18"/>
              <w:spacing w:after="0" w:line="133" w:lineRule="exact"/>
              <w:rPr>
                <w:sz w:val="20"/>
                <w:szCs w:val="20"/>
                <w:color w:val="auto"/>
              </w:rPr>
            </w:pPr>
            <w:r>
              <w:rPr>
                <w:rFonts w:ascii="Arial" w:cs="Arial" w:eastAsia="Arial" w:hAnsi="Arial"/>
                <w:sz w:val="12"/>
                <w:szCs w:val="12"/>
                <w:color w:val="auto"/>
                <w:w w:val="94"/>
              </w:rPr>
              <w:t>Section 104</w:t>
            </w:r>
          </w:p>
        </w:tc>
        <w:tc>
          <w:tcPr>
            <w:tcW w:w="740" w:type="dxa"/>
            <w:vAlign w:val="bottom"/>
          </w:tcPr>
          <w:p>
            <w:pPr>
              <w:spacing w:after="0"/>
              <w:rPr>
                <w:sz w:val="11"/>
                <w:szCs w:val="11"/>
                <w:color w:val="auto"/>
              </w:rPr>
            </w:pPr>
          </w:p>
        </w:tc>
        <w:tc>
          <w:tcPr>
            <w:tcW w:w="720" w:type="dxa"/>
            <w:vAlign w:val="bottom"/>
          </w:tcPr>
          <w:p>
            <w:pPr>
              <w:jc w:val="center"/>
              <w:spacing w:after="0" w:line="133" w:lineRule="exact"/>
              <w:rPr>
                <w:sz w:val="20"/>
                <w:szCs w:val="20"/>
                <w:color w:val="auto"/>
              </w:rPr>
            </w:pPr>
            <w:r>
              <w:rPr>
                <w:rFonts w:ascii="Arial" w:cs="Arial" w:eastAsia="Arial" w:hAnsi="Arial"/>
                <w:sz w:val="12"/>
                <w:szCs w:val="12"/>
                <w:color w:val="auto"/>
                <w:w w:val="97"/>
              </w:rPr>
              <w:t>104(d)</w:t>
            </w:r>
          </w:p>
        </w:tc>
        <w:tc>
          <w:tcPr>
            <w:tcW w:w="700" w:type="dxa"/>
            <w:vAlign w:val="bottom"/>
          </w:tcPr>
          <w:p>
            <w:pPr>
              <w:jc w:val="center"/>
              <w:spacing w:after="0" w:line="133" w:lineRule="exact"/>
              <w:rPr>
                <w:sz w:val="20"/>
                <w:szCs w:val="20"/>
                <w:color w:val="auto"/>
              </w:rPr>
            </w:pPr>
            <w:r>
              <w:rPr>
                <w:rFonts w:ascii="Arial" w:cs="Arial" w:eastAsia="Arial" w:hAnsi="Arial"/>
                <w:sz w:val="12"/>
                <w:szCs w:val="12"/>
                <w:color w:val="auto"/>
                <w:w w:val="89"/>
              </w:rPr>
              <w:t>Section</w:t>
            </w:r>
          </w:p>
        </w:tc>
        <w:tc>
          <w:tcPr>
            <w:tcW w:w="600" w:type="dxa"/>
            <w:vAlign w:val="bottom"/>
          </w:tcPr>
          <w:p>
            <w:pPr>
              <w:jc w:val="center"/>
              <w:spacing w:after="0" w:line="133" w:lineRule="exact"/>
              <w:rPr>
                <w:sz w:val="20"/>
                <w:szCs w:val="20"/>
                <w:color w:val="auto"/>
              </w:rPr>
            </w:pPr>
            <w:r>
              <w:rPr>
                <w:rFonts w:ascii="Arial" w:cs="Arial" w:eastAsia="Arial" w:hAnsi="Arial"/>
                <w:sz w:val="12"/>
                <w:szCs w:val="12"/>
                <w:color w:val="auto"/>
                <w:w w:val="94"/>
              </w:rPr>
              <w:t>Section</w:t>
            </w:r>
          </w:p>
        </w:tc>
        <w:tc>
          <w:tcPr>
            <w:tcW w:w="980" w:type="dxa"/>
            <w:vAlign w:val="bottom"/>
          </w:tcPr>
          <w:p>
            <w:pPr>
              <w:spacing w:after="0"/>
              <w:rPr>
                <w:sz w:val="11"/>
                <w:szCs w:val="11"/>
                <w:color w:val="auto"/>
              </w:rPr>
            </w:pPr>
          </w:p>
        </w:tc>
        <w:tc>
          <w:tcPr>
            <w:tcW w:w="580" w:type="dxa"/>
            <w:vAlign w:val="bottom"/>
          </w:tcPr>
          <w:p>
            <w:pPr>
              <w:jc w:val="center"/>
              <w:spacing w:after="0" w:line="133" w:lineRule="exact"/>
              <w:rPr>
                <w:sz w:val="20"/>
                <w:szCs w:val="20"/>
                <w:color w:val="auto"/>
              </w:rPr>
            </w:pPr>
            <w:r>
              <w:rPr>
                <w:rFonts w:ascii="Arial" w:cs="Arial" w:eastAsia="Arial" w:hAnsi="Arial"/>
                <w:sz w:val="12"/>
                <w:szCs w:val="12"/>
                <w:color w:val="auto"/>
              </w:rPr>
              <w:t>Mining</w:t>
            </w:r>
          </w:p>
        </w:tc>
        <w:tc>
          <w:tcPr>
            <w:tcW w:w="620" w:type="dxa"/>
            <w:vAlign w:val="bottom"/>
          </w:tcPr>
          <w:p>
            <w:pPr>
              <w:jc w:val="center"/>
              <w:spacing w:after="0" w:line="133" w:lineRule="exact"/>
              <w:rPr>
                <w:sz w:val="20"/>
                <w:szCs w:val="20"/>
                <w:color w:val="auto"/>
              </w:rPr>
            </w:pPr>
            <w:r>
              <w:rPr>
                <w:rFonts w:ascii="Arial" w:cs="Arial" w:eastAsia="Arial" w:hAnsi="Arial"/>
                <w:sz w:val="12"/>
                <w:szCs w:val="12"/>
                <w:color w:val="auto"/>
                <w:w w:val="94"/>
              </w:rPr>
              <w:t>Section</w:t>
            </w:r>
          </w:p>
        </w:tc>
        <w:tc>
          <w:tcPr>
            <w:tcW w:w="700" w:type="dxa"/>
            <w:vAlign w:val="bottom"/>
          </w:tcPr>
          <w:p>
            <w:pPr>
              <w:jc w:val="center"/>
              <w:spacing w:after="0" w:line="133" w:lineRule="exact"/>
              <w:rPr>
                <w:sz w:val="20"/>
                <w:szCs w:val="20"/>
                <w:color w:val="auto"/>
              </w:rPr>
            </w:pPr>
            <w:r>
              <w:rPr>
                <w:rFonts w:ascii="Arial" w:cs="Arial" w:eastAsia="Arial" w:hAnsi="Arial"/>
                <w:sz w:val="12"/>
                <w:szCs w:val="12"/>
                <w:color w:val="auto"/>
                <w:w w:val="89"/>
              </w:rPr>
              <w:t>Section</w:t>
            </w:r>
          </w:p>
        </w:tc>
        <w:tc>
          <w:tcPr>
            <w:tcW w:w="640" w:type="dxa"/>
            <w:vAlign w:val="bottom"/>
          </w:tcPr>
          <w:p>
            <w:pPr>
              <w:jc w:val="center"/>
              <w:spacing w:after="0" w:line="133" w:lineRule="exact"/>
              <w:rPr>
                <w:sz w:val="20"/>
                <w:szCs w:val="20"/>
                <w:color w:val="auto"/>
              </w:rPr>
            </w:pPr>
            <w:r>
              <w:rPr>
                <w:rFonts w:ascii="Arial" w:cs="Arial" w:eastAsia="Arial" w:hAnsi="Arial"/>
                <w:sz w:val="12"/>
                <w:szCs w:val="12"/>
                <w:color w:val="auto"/>
                <w:w w:val="89"/>
              </w:rPr>
              <w:t>Pending as</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color w:val="auto"/>
              </w:rPr>
              <w:t>Legal Actions Legal Actions</w:t>
            </w:r>
          </w:p>
        </w:tc>
        <w:tc>
          <w:tcPr>
            <w:tcW w:w="0" w:type="dxa"/>
            <w:vAlign w:val="bottom"/>
          </w:tcPr>
          <w:p>
            <w:pPr>
              <w:spacing w:after="0"/>
              <w:rPr>
                <w:sz w:val="1"/>
                <w:szCs w:val="1"/>
                <w:color w:val="auto"/>
              </w:rPr>
            </w:pPr>
          </w:p>
        </w:tc>
      </w:tr>
      <w:tr>
        <w:trPr>
          <w:trHeight w:val="133"/>
        </w:trPr>
        <w:tc>
          <w:tcPr>
            <w:tcW w:w="1740" w:type="dxa"/>
            <w:vAlign w:val="bottom"/>
          </w:tcPr>
          <w:p>
            <w:pPr>
              <w:spacing w:after="0" w:line="133" w:lineRule="exact"/>
              <w:rPr>
                <w:sz w:val="20"/>
                <w:szCs w:val="20"/>
                <w:color w:val="auto"/>
              </w:rPr>
            </w:pPr>
            <w:r>
              <w:rPr>
                <w:rFonts w:ascii="Arial" w:cs="Arial" w:eastAsia="Arial" w:hAnsi="Arial"/>
                <w:sz w:val="12"/>
                <w:szCs w:val="12"/>
                <w:color w:val="auto"/>
              </w:rPr>
              <w:t>Mine or Operating Name/MSHA</w:t>
            </w:r>
          </w:p>
        </w:tc>
        <w:tc>
          <w:tcPr>
            <w:tcW w:w="720" w:type="dxa"/>
            <w:vAlign w:val="bottom"/>
          </w:tcPr>
          <w:p>
            <w:pPr>
              <w:jc w:val="center"/>
              <w:ind w:left="18"/>
              <w:spacing w:after="0" w:line="133" w:lineRule="exact"/>
              <w:rPr>
                <w:sz w:val="20"/>
                <w:szCs w:val="20"/>
                <w:color w:val="auto"/>
              </w:rPr>
            </w:pPr>
            <w:r>
              <w:rPr>
                <w:rFonts w:ascii="Arial" w:cs="Arial" w:eastAsia="Arial" w:hAnsi="Arial"/>
                <w:sz w:val="12"/>
                <w:szCs w:val="12"/>
                <w:color w:val="auto"/>
                <w:w w:val="99"/>
              </w:rPr>
              <w:t>S&amp;S</w:t>
            </w:r>
          </w:p>
        </w:tc>
        <w:tc>
          <w:tcPr>
            <w:tcW w:w="740" w:type="dxa"/>
            <w:vAlign w:val="bottom"/>
          </w:tcPr>
          <w:p>
            <w:pPr>
              <w:jc w:val="center"/>
              <w:spacing w:after="0" w:line="133" w:lineRule="exact"/>
              <w:rPr>
                <w:sz w:val="20"/>
                <w:szCs w:val="20"/>
                <w:color w:val="auto"/>
              </w:rPr>
            </w:pPr>
            <w:r>
              <w:rPr>
                <w:rFonts w:ascii="Arial" w:cs="Arial" w:eastAsia="Arial" w:hAnsi="Arial"/>
                <w:sz w:val="12"/>
                <w:szCs w:val="12"/>
                <w:color w:val="auto"/>
                <w:w w:val="94"/>
              </w:rPr>
              <w:t>Section</w:t>
            </w:r>
          </w:p>
        </w:tc>
        <w:tc>
          <w:tcPr>
            <w:tcW w:w="720" w:type="dxa"/>
            <w:vAlign w:val="bottom"/>
          </w:tcPr>
          <w:p>
            <w:pPr>
              <w:jc w:val="center"/>
              <w:spacing w:after="0" w:line="133" w:lineRule="exact"/>
              <w:rPr>
                <w:sz w:val="20"/>
                <w:szCs w:val="20"/>
                <w:color w:val="auto"/>
              </w:rPr>
            </w:pPr>
            <w:r>
              <w:rPr>
                <w:rFonts w:ascii="Arial" w:cs="Arial" w:eastAsia="Arial" w:hAnsi="Arial"/>
                <w:sz w:val="12"/>
                <w:szCs w:val="12"/>
                <w:color w:val="auto"/>
                <w:w w:val="94"/>
              </w:rPr>
              <w:t>Citations and</w:t>
            </w:r>
          </w:p>
        </w:tc>
        <w:tc>
          <w:tcPr>
            <w:tcW w:w="700" w:type="dxa"/>
            <w:vAlign w:val="bottom"/>
          </w:tcPr>
          <w:p>
            <w:pPr>
              <w:jc w:val="center"/>
              <w:spacing w:after="0" w:line="133" w:lineRule="exact"/>
              <w:rPr>
                <w:sz w:val="20"/>
                <w:szCs w:val="20"/>
                <w:color w:val="auto"/>
              </w:rPr>
            </w:pPr>
            <w:r>
              <w:rPr>
                <w:rFonts w:ascii="Arial" w:cs="Arial" w:eastAsia="Arial" w:hAnsi="Arial"/>
                <w:sz w:val="12"/>
                <w:szCs w:val="12"/>
                <w:color w:val="auto"/>
                <w:w w:val="97"/>
              </w:rPr>
              <w:t>110(b)(2)</w:t>
            </w:r>
          </w:p>
        </w:tc>
        <w:tc>
          <w:tcPr>
            <w:tcW w:w="600" w:type="dxa"/>
            <w:vAlign w:val="bottom"/>
          </w:tcPr>
          <w:p>
            <w:pPr>
              <w:jc w:val="center"/>
              <w:spacing w:after="0" w:line="133" w:lineRule="exact"/>
              <w:rPr>
                <w:sz w:val="20"/>
                <w:szCs w:val="20"/>
                <w:color w:val="auto"/>
              </w:rPr>
            </w:pPr>
            <w:r>
              <w:rPr>
                <w:rFonts w:ascii="Arial" w:cs="Arial" w:eastAsia="Arial" w:hAnsi="Arial"/>
                <w:sz w:val="12"/>
                <w:szCs w:val="12"/>
                <w:color w:val="auto"/>
                <w:w w:val="92"/>
              </w:rPr>
              <w:t>107(a)</w:t>
            </w:r>
          </w:p>
        </w:tc>
        <w:tc>
          <w:tcPr>
            <w:tcW w:w="980" w:type="dxa"/>
            <w:vAlign w:val="bottom"/>
          </w:tcPr>
          <w:p>
            <w:pPr>
              <w:jc w:val="center"/>
              <w:spacing w:after="0" w:line="133" w:lineRule="exact"/>
              <w:rPr>
                <w:sz w:val="20"/>
                <w:szCs w:val="20"/>
                <w:color w:val="auto"/>
              </w:rPr>
            </w:pPr>
            <w:r>
              <w:rPr>
                <w:rFonts w:ascii="Arial" w:cs="Arial" w:eastAsia="Arial" w:hAnsi="Arial"/>
                <w:sz w:val="12"/>
                <w:szCs w:val="12"/>
                <w:color w:val="auto"/>
                <w:w w:val="93"/>
              </w:rPr>
              <w:t>Proposed MSHA</w:t>
            </w:r>
          </w:p>
        </w:tc>
        <w:tc>
          <w:tcPr>
            <w:tcW w:w="580" w:type="dxa"/>
            <w:vAlign w:val="bottom"/>
          </w:tcPr>
          <w:p>
            <w:pPr>
              <w:jc w:val="center"/>
              <w:spacing w:after="0" w:line="133" w:lineRule="exact"/>
              <w:rPr>
                <w:sz w:val="20"/>
                <w:szCs w:val="20"/>
                <w:color w:val="auto"/>
              </w:rPr>
            </w:pPr>
            <w:r>
              <w:rPr>
                <w:rFonts w:ascii="Arial" w:cs="Arial" w:eastAsia="Arial" w:hAnsi="Arial"/>
                <w:sz w:val="12"/>
                <w:szCs w:val="12"/>
                <w:color w:val="auto"/>
                <w:w w:val="91"/>
              </w:rPr>
              <w:t>Related</w:t>
            </w:r>
          </w:p>
        </w:tc>
        <w:tc>
          <w:tcPr>
            <w:tcW w:w="620" w:type="dxa"/>
            <w:vAlign w:val="bottom"/>
          </w:tcPr>
          <w:p>
            <w:pPr>
              <w:jc w:val="center"/>
              <w:spacing w:after="0" w:line="133" w:lineRule="exact"/>
              <w:rPr>
                <w:sz w:val="20"/>
                <w:szCs w:val="20"/>
                <w:color w:val="auto"/>
              </w:rPr>
            </w:pPr>
            <w:r>
              <w:rPr>
                <w:rFonts w:ascii="Arial" w:cs="Arial" w:eastAsia="Arial" w:hAnsi="Arial"/>
                <w:sz w:val="12"/>
                <w:szCs w:val="12"/>
                <w:color w:val="auto"/>
                <w:w w:val="92"/>
              </w:rPr>
              <w:t>104(e)</w:t>
            </w:r>
          </w:p>
        </w:tc>
        <w:tc>
          <w:tcPr>
            <w:tcW w:w="700" w:type="dxa"/>
            <w:vAlign w:val="bottom"/>
          </w:tcPr>
          <w:p>
            <w:pPr>
              <w:jc w:val="center"/>
              <w:spacing w:after="0" w:line="133" w:lineRule="exact"/>
              <w:rPr>
                <w:sz w:val="20"/>
                <w:szCs w:val="20"/>
                <w:color w:val="auto"/>
              </w:rPr>
            </w:pPr>
            <w:r>
              <w:rPr>
                <w:rFonts w:ascii="Arial" w:cs="Arial" w:eastAsia="Arial" w:hAnsi="Arial"/>
                <w:sz w:val="12"/>
                <w:szCs w:val="12"/>
                <w:color w:val="auto"/>
                <w:w w:val="92"/>
              </w:rPr>
              <w:t>104(e)</w:t>
            </w:r>
          </w:p>
        </w:tc>
        <w:tc>
          <w:tcPr>
            <w:tcW w:w="640" w:type="dxa"/>
            <w:vAlign w:val="bottom"/>
          </w:tcPr>
          <w:p>
            <w:pPr>
              <w:jc w:val="center"/>
              <w:spacing w:after="0" w:line="133" w:lineRule="exact"/>
              <w:rPr>
                <w:sz w:val="20"/>
                <w:szCs w:val="20"/>
                <w:color w:val="auto"/>
              </w:rPr>
            </w:pPr>
            <w:r>
              <w:rPr>
                <w:rFonts w:ascii="Arial" w:cs="Arial" w:eastAsia="Arial" w:hAnsi="Arial"/>
                <w:sz w:val="12"/>
                <w:szCs w:val="12"/>
                <w:color w:val="auto"/>
                <w:w w:val="95"/>
              </w:rPr>
              <w:t>of Last Day</w:t>
            </w:r>
          </w:p>
        </w:tc>
        <w:tc>
          <w:tcPr>
            <w:tcW w:w="760" w:type="dxa"/>
            <w:vAlign w:val="bottom"/>
          </w:tcPr>
          <w:p>
            <w:pPr>
              <w:jc w:val="center"/>
              <w:spacing w:after="0" w:line="133" w:lineRule="exact"/>
              <w:rPr>
                <w:sz w:val="20"/>
                <w:szCs w:val="20"/>
                <w:color w:val="auto"/>
              </w:rPr>
            </w:pPr>
            <w:r>
              <w:rPr>
                <w:rFonts w:ascii="Arial" w:cs="Arial" w:eastAsia="Arial" w:hAnsi="Arial"/>
                <w:sz w:val="12"/>
                <w:szCs w:val="12"/>
                <w:color w:val="auto"/>
                <w:w w:val="99"/>
              </w:rPr>
              <w:t>Initiated</w:t>
            </w:r>
          </w:p>
        </w:tc>
        <w:tc>
          <w:tcPr>
            <w:tcW w:w="780" w:type="dxa"/>
            <w:vAlign w:val="bottom"/>
          </w:tcPr>
          <w:p>
            <w:pPr>
              <w:jc w:val="center"/>
              <w:spacing w:after="0" w:line="133" w:lineRule="exact"/>
              <w:rPr>
                <w:sz w:val="20"/>
                <w:szCs w:val="20"/>
                <w:color w:val="auto"/>
              </w:rPr>
            </w:pPr>
            <w:r>
              <w:rPr>
                <w:rFonts w:ascii="Arial" w:cs="Arial" w:eastAsia="Arial" w:hAnsi="Arial"/>
                <w:sz w:val="12"/>
                <w:szCs w:val="12"/>
                <w:color w:val="auto"/>
                <w:w w:val="91"/>
              </w:rPr>
              <w:t>Resolved</w:t>
            </w:r>
          </w:p>
        </w:tc>
        <w:tc>
          <w:tcPr>
            <w:tcW w:w="0" w:type="dxa"/>
            <w:vAlign w:val="bottom"/>
          </w:tcPr>
          <w:p>
            <w:pPr>
              <w:spacing w:after="0"/>
              <w:rPr>
                <w:sz w:val="1"/>
                <w:szCs w:val="1"/>
                <w:color w:val="auto"/>
              </w:rPr>
            </w:pPr>
          </w:p>
        </w:tc>
      </w:tr>
      <w:tr>
        <w:trPr>
          <w:trHeight w:val="147"/>
        </w:trPr>
        <w:tc>
          <w:tcPr>
            <w:tcW w:w="17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Identification Number</w:t>
            </w:r>
          </w:p>
        </w:tc>
        <w:tc>
          <w:tcPr>
            <w:tcW w:w="720" w:type="dxa"/>
            <w:vAlign w:val="bottom"/>
            <w:tcBorders>
              <w:bottom w:val="single" w:sz="8" w:color="auto"/>
            </w:tcBorders>
          </w:tcPr>
          <w:p>
            <w:pPr>
              <w:jc w:val="center"/>
              <w:ind w:left="18"/>
              <w:spacing w:after="0"/>
              <w:rPr>
                <w:sz w:val="20"/>
                <w:szCs w:val="20"/>
                <w:color w:val="auto"/>
              </w:rPr>
            </w:pPr>
            <w:r>
              <w:rPr>
                <w:rFonts w:ascii="Arial" w:cs="Arial" w:eastAsia="Arial" w:hAnsi="Arial"/>
                <w:sz w:val="12"/>
                <w:szCs w:val="12"/>
                <w:color w:val="auto"/>
                <w:w w:val="94"/>
              </w:rPr>
              <w:t>Citations</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3"/>
              </w:rPr>
              <w:t>104(b) Orders</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2"/>
              </w:rPr>
              <w:t>Orders</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9"/>
              </w:rPr>
              <w:t>Violations</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2"/>
              </w:rPr>
              <w:t>Orders</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0"/>
              </w:rPr>
              <w:t>Assessments</w:t>
            </w:r>
            <w:r>
              <w:rPr>
                <w:rFonts w:ascii="Arial" w:cs="Arial" w:eastAsia="Arial" w:hAnsi="Arial"/>
                <w:sz w:val="10"/>
                <w:szCs w:val="10"/>
                <w:color w:val="auto"/>
                <w:w w:val="90"/>
              </w:rPr>
              <w:t>(1)</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5"/>
              </w:rPr>
              <w:t>Fatalities</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2"/>
              </w:rPr>
              <w:t>(yes/no)</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2"/>
              </w:rPr>
              <w:t>(yes/no)</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5"/>
              </w:rPr>
              <w:t>of Period</w:t>
            </w:r>
          </w:p>
        </w:tc>
        <w:tc>
          <w:tcPr>
            <w:tcW w:w="154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color w:val="auto"/>
                <w:w w:val="98"/>
              </w:rPr>
              <w:t>During Period During Period</w:t>
            </w:r>
          </w:p>
        </w:tc>
        <w:tc>
          <w:tcPr>
            <w:tcW w:w="0" w:type="dxa"/>
            <w:vAlign w:val="bottom"/>
          </w:tcPr>
          <w:p>
            <w:pPr>
              <w:spacing w:after="0"/>
              <w:rPr>
                <w:sz w:val="1"/>
                <w:szCs w:val="1"/>
                <w:color w:val="auto"/>
              </w:rPr>
            </w:pPr>
          </w:p>
        </w:tc>
      </w:tr>
      <w:tr>
        <w:trPr>
          <w:trHeight w:val="268"/>
        </w:trPr>
        <w:tc>
          <w:tcPr>
            <w:tcW w:w="1740" w:type="dxa"/>
            <w:vAlign w:val="bottom"/>
          </w:tcPr>
          <w:p>
            <w:pPr>
              <w:spacing w:after="0"/>
              <w:rPr>
                <w:sz w:val="20"/>
                <w:szCs w:val="20"/>
                <w:color w:val="auto"/>
              </w:rPr>
            </w:pPr>
            <w:r>
              <w:rPr>
                <w:rFonts w:ascii="Arial" w:cs="Arial" w:eastAsia="Arial" w:hAnsi="Arial"/>
                <w:sz w:val="12"/>
                <w:szCs w:val="12"/>
                <w:color w:val="auto"/>
              </w:rPr>
              <w:t>Amelia Barite Plant/1600825</w:t>
            </w:r>
          </w:p>
        </w:tc>
        <w:tc>
          <w:tcPr>
            <w:tcW w:w="720" w:type="dxa"/>
            <w:vAlign w:val="bottom"/>
          </w:tcPr>
          <w:p>
            <w:pPr>
              <w:jc w:val="center"/>
              <w:ind w:left="38"/>
              <w:spacing w:after="0"/>
              <w:rPr>
                <w:sz w:val="20"/>
                <w:szCs w:val="20"/>
                <w:color w:val="auto"/>
              </w:rPr>
            </w:pPr>
            <w:r>
              <w:rPr>
                <w:rFonts w:ascii="Arial" w:cs="Arial" w:eastAsia="Arial" w:hAnsi="Arial"/>
                <w:sz w:val="12"/>
                <w:szCs w:val="12"/>
                <w:color w:val="auto"/>
                <w:w w:val="89"/>
              </w:rPr>
              <w:t>0</w:t>
            </w:r>
          </w:p>
        </w:tc>
        <w:tc>
          <w:tcPr>
            <w:tcW w:w="74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72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700" w:type="dxa"/>
            <w:vAlign w:val="bottom"/>
          </w:tcPr>
          <w:p>
            <w:pPr>
              <w:jc w:val="center"/>
              <w:ind w:right="18"/>
              <w:spacing w:after="0"/>
              <w:rPr>
                <w:sz w:val="20"/>
                <w:szCs w:val="20"/>
                <w:color w:val="auto"/>
              </w:rPr>
            </w:pPr>
            <w:r>
              <w:rPr>
                <w:rFonts w:ascii="Arial" w:cs="Arial" w:eastAsia="Arial" w:hAnsi="Arial"/>
                <w:sz w:val="12"/>
                <w:szCs w:val="12"/>
                <w:color w:val="auto"/>
                <w:w w:val="89"/>
              </w:rPr>
              <w:t>0</w:t>
            </w:r>
          </w:p>
        </w:tc>
        <w:tc>
          <w:tcPr>
            <w:tcW w:w="60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980" w:type="dxa"/>
            <w:vAlign w:val="bottom"/>
          </w:tcPr>
          <w:p>
            <w:pPr>
              <w:jc w:val="center"/>
              <w:spacing w:after="0"/>
              <w:rPr>
                <w:sz w:val="20"/>
                <w:szCs w:val="20"/>
                <w:color w:val="auto"/>
              </w:rPr>
            </w:pPr>
            <w:r>
              <w:rPr>
                <w:rFonts w:ascii="Arial" w:cs="Arial" w:eastAsia="Arial" w:hAnsi="Arial"/>
                <w:sz w:val="12"/>
                <w:szCs w:val="12"/>
                <w:color w:val="auto"/>
              </w:rPr>
              <w:t>$100*</w:t>
            </w:r>
          </w:p>
        </w:tc>
        <w:tc>
          <w:tcPr>
            <w:tcW w:w="58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620" w:type="dxa"/>
            <w:vAlign w:val="bottom"/>
          </w:tcPr>
          <w:p>
            <w:pPr>
              <w:jc w:val="center"/>
              <w:spacing w:after="0"/>
              <w:rPr>
                <w:sz w:val="20"/>
                <w:szCs w:val="20"/>
                <w:color w:val="auto"/>
              </w:rPr>
            </w:pPr>
            <w:r>
              <w:rPr>
                <w:rFonts w:ascii="Arial" w:cs="Arial" w:eastAsia="Arial" w:hAnsi="Arial"/>
                <w:sz w:val="12"/>
                <w:szCs w:val="12"/>
                <w:color w:val="auto"/>
              </w:rPr>
              <w:t>N</w:t>
            </w:r>
          </w:p>
        </w:tc>
        <w:tc>
          <w:tcPr>
            <w:tcW w:w="700" w:type="dxa"/>
            <w:vAlign w:val="bottom"/>
          </w:tcPr>
          <w:p>
            <w:pPr>
              <w:jc w:val="center"/>
              <w:spacing w:after="0"/>
              <w:rPr>
                <w:sz w:val="20"/>
                <w:szCs w:val="20"/>
                <w:color w:val="auto"/>
              </w:rPr>
            </w:pPr>
            <w:r>
              <w:rPr>
                <w:rFonts w:ascii="Arial" w:cs="Arial" w:eastAsia="Arial" w:hAnsi="Arial"/>
                <w:sz w:val="12"/>
                <w:szCs w:val="12"/>
                <w:color w:val="auto"/>
                <w:w w:val="91"/>
              </w:rPr>
              <w:t>N</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76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78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r>
        <w:trPr>
          <w:trHeight w:val="242"/>
        </w:trPr>
        <w:tc>
          <w:tcPr>
            <w:tcW w:w="1740" w:type="dxa"/>
            <w:vAlign w:val="bottom"/>
          </w:tcPr>
          <w:p>
            <w:pPr>
              <w:spacing w:after="0"/>
              <w:rPr>
                <w:sz w:val="20"/>
                <w:szCs w:val="20"/>
                <w:color w:val="auto"/>
              </w:rPr>
            </w:pPr>
            <w:r>
              <w:rPr>
                <w:rFonts w:ascii="Arial" w:cs="Arial" w:eastAsia="Arial" w:hAnsi="Arial"/>
                <w:sz w:val="12"/>
                <w:szCs w:val="12"/>
                <w:color w:val="auto"/>
              </w:rPr>
              <w:t>Battle Mountain Grinding</w:t>
            </w:r>
          </w:p>
        </w:tc>
        <w:tc>
          <w:tcPr>
            <w:tcW w:w="720" w:type="dxa"/>
            <w:vAlign w:val="bottom"/>
            <w:vMerge w:val="restart"/>
          </w:tcPr>
          <w:p>
            <w:pPr>
              <w:jc w:val="center"/>
              <w:ind w:left="38"/>
              <w:spacing w:after="0"/>
              <w:rPr>
                <w:sz w:val="20"/>
                <w:szCs w:val="20"/>
                <w:color w:val="auto"/>
              </w:rPr>
            </w:pPr>
            <w:r>
              <w:rPr>
                <w:rFonts w:ascii="Arial" w:cs="Arial" w:eastAsia="Arial" w:hAnsi="Arial"/>
                <w:sz w:val="12"/>
                <w:szCs w:val="12"/>
                <w:color w:val="auto"/>
                <w:w w:val="89"/>
              </w:rPr>
              <w:t>1</w:t>
            </w:r>
          </w:p>
        </w:tc>
        <w:tc>
          <w:tcPr>
            <w:tcW w:w="74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700" w:type="dxa"/>
            <w:vAlign w:val="bottom"/>
            <w:vMerge w:val="restart"/>
          </w:tcPr>
          <w:p>
            <w:pPr>
              <w:jc w:val="center"/>
              <w:ind w:right="18"/>
              <w:spacing w:after="0"/>
              <w:rPr>
                <w:sz w:val="20"/>
                <w:szCs w:val="20"/>
                <w:color w:val="auto"/>
              </w:rPr>
            </w:pPr>
            <w:r>
              <w:rPr>
                <w:rFonts w:ascii="Arial" w:cs="Arial" w:eastAsia="Arial" w:hAnsi="Arial"/>
                <w:sz w:val="12"/>
                <w:szCs w:val="12"/>
                <w:color w:val="auto"/>
                <w:w w:val="89"/>
              </w:rPr>
              <w:t>0</w:t>
            </w:r>
          </w:p>
        </w:tc>
        <w:tc>
          <w:tcPr>
            <w:tcW w:w="60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980" w:type="dxa"/>
            <w:vAlign w:val="bottom"/>
            <w:vMerge w:val="restart"/>
          </w:tcPr>
          <w:p>
            <w:pPr>
              <w:jc w:val="center"/>
              <w:spacing w:after="0"/>
              <w:rPr>
                <w:sz w:val="20"/>
                <w:szCs w:val="20"/>
                <w:color w:val="auto"/>
              </w:rPr>
            </w:pPr>
            <w:r>
              <w:rPr>
                <w:rFonts w:ascii="Arial" w:cs="Arial" w:eastAsia="Arial" w:hAnsi="Arial"/>
                <w:sz w:val="12"/>
                <w:szCs w:val="12"/>
                <w:color w:val="auto"/>
                <w:w w:val="89"/>
              </w:rPr>
              <w:t>$550</w:t>
            </w:r>
          </w:p>
        </w:tc>
        <w:tc>
          <w:tcPr>
            <w:tcW w:w="58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620" w:type="dxa"/>
            <w:vAlign w:val="bottom"/>
            <w:vMerge w:val="restart"/>
          </w:tcPr>
          <w:p>
            <w:pPr>
              <w:jc w:val="center"/>
              <w:spacing w:after="0"/>
              <w:rPr>
                <w:sz w:val="20"/>
                <w:szCs w:val="20"/>
                <w:color w:val="auto"/>
              </w:rPr>
            </w:pPr>
            <w:r>
              <w:rPr>
                <w:rFonts w:ascii="Arial" w:cs="Arial" w:eastAsia="Arial" w:hAnsi="Arial"/>
                <w:sz w:val="12"/>
                <w:szCs w:val="12"/>
                <w:color w:val="auto"/>
              </w:rPr>
              <w:t>N</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w w:val="91"/>
              </w:rPr>
              <w:t>N</w:t>
            </w:r>
          </w:p>
        </w:tc>
        <w:tc>
          <w:tcPr>
            <w:tcW w:w="64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76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r>
        <w:trPr>
          <w:trHeight w:val="90"/>
        </w:trPr>
        <w:tc>
          <w:tcPr>
            <w:tcW w:w="1740" w:type="dxa"/>
            <w:vAlign w:val="bottom"/>
            <w:vMerge w:val="restart"/>
          </w:tcPr>
          <w:p>
            <w:pPr>
              <w:spacing w:after="0"/>
              <w:rPr>
                <w:sz w:val="20"/>
                <w:szCs w:val="20"/>
                <w:color w:val="auto"/>
              </w:rPr>
            </w:pPr>
            <w:r>
              <w:rPr>
                <w:rFonts w:ascii="Arial" w:cs="Arial" w:eastAsia="Arial" w:hAnsi="Arial"/>
                <w:sz w:val="12"/>
                <w:szCs w:val="12"/>
                <w:color w:val="auto"/>
              </w:rPr>
              <w:t>Plant/2600828</w:t>
            </w:r>
          </w:p>
        </w:tc>
        <w:tc>
          <w:tcPr>
            <w:tcW w:w="7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174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tcPr>
          <w:p>
            <w:pPr>
              <w:spacing w:after="0"/>
              <w:rPr>
                <w:sz w:val="5"/>
                <w:szCs w:val="5"/>
                <w:color w:val="auto"/>
              </w:rPr>
            </w:pPr>
          </w:p>
        </w:tc>
        <w:tc>
          <w:tcPr>
            <w:tcW w:w="9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1740" w:type="dxa"/>
            <w:vAlign w:val="bottom"/>
          </w:tcPr>
          <w:p>
            <w:pPr>
              <w:spacing w:after="0"/>
              <w:rPr>
                <w:sz w:val="20"/>
                <w:szCs w:val="20"/>
                <w:color w:val="auto"/>
              </w:rPr>
            </w:pPr>
            <w:r>
              <w:rPr>
                <w:rFonts w:ascii="Arial" w:cs="Arial" w:eastAsia="Arial" w:hAnsi="Arial"/>
                <w:sz w:val="12"/>
                <w:szCs w:val="12"/>
                <w:color w:val="auto"/>
              </w:rPr>
              <w:t>Galveston GBT Barite Grinding</w:t>
            </w:r>
          </w:p>
        </w:tc>
        <w:tc>
          <w:tcPr>
            <w:tcW w:w="720" w:type="dxa"/>
            <w:vAlign w:val="bottom"/>
            <w:vMerge w:val="restart"/>
          </w:tcPr>
          <w:p>
            <w:pPr>
              <w:jc w:val="center"/>
              <w:ind w:left="38"/>
              <w:spacing w:after="0"/>
              <w:rPr>
                <w:sz w:val="20"/>
                <w:szCs w:val="20"/>
                <w:color w:val="auto"/>
              </w:rPr>
            </w:pPr>
            <w:r>
              <w:rPr>
                <w:rFonts w:ascii="Arial" w:cs="Arial" w:eastAsia="Arial" w:hAnsi="Arial"/>
                <w:sz w:val="12"/>
                <w:szCs w:val="12"/>
                <w:color w:val="auto"/>
                <w:w w:val="89"/>
              </w:rPr>
              <w:t>0</w:t>
            </w:r>
          </w:p>
        </w:tc>
        <w:tc>
          <w:tcPr>
            <w:tcW w:w="74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700" w:type="dxa"/>
            <w:vAlign w:val="bottom"/>
            <w:vMerge w:val="restart"/>
          </w:tcPr>
          <w:p>
            <w:pPr>
              <w:jc w:val="center"/>
              <w:ind w:right="18"/>
              <w:spacing w:after="0"/>
              <w:rPr>
                <w:sz w:val="20"/>
                <w:szCs w:val="20"/>
                <w:color w:val="auto"/>
              </w:rPr>
            </w:pPr>
            <w:r>
              <w:rPr>
                <w:rFonts w:ascii="Arial" w:cs="Arial" w:eastAsia="Arial" w:hAnsi="Arial"/>
                <w:sz w:val="12"/>
                <w:szCs w:val="12"/>
                <w:color w:val="auto"/>
                <w:w w:val="89"/>
              </w:rPr>
              <w:t>0</w:t>
            </w:r>
          </w:p>
        </w:tc>
        <w:tc>
          <w:tcPr>
            <w:tcW w:w="60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98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58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620" w:type="dxa"/>
            <w:vAlign w:val="bottom"/>
            <w:vMerge w:val="restart"/>
          </w:tcPr>
          <w:p>
            <w:pPr>
              <w:jc w:val="center"/>
              <w:spacing w:after="0"/>
              <w:rPr>
                <w:sz w:val="20"/>
                <w:szCs w:val="20"/>
                <w:color w:val="auto"/>
              </w:rPr>
            </w:pPr>
            <w:r>
              <w:rPr>
                <w:rFonts w:ascii="Arial" w:cs="Arial" w:eastAsia="Arial" w:hAnsi="Arial"/>
                <w:sz w:val="12"/>
                <w:szCs w:val="12"/>
                <w:color w:val="auto"/>
              </w:rPr>
              <w:t>N</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w w:val="91"/>
              </w:rPr>
              <w:t>N</w:t>
            </w:r>
          </w:p>
        </w:tc>
        <w:tc>
          <w:tcPr>
            <w:tcW w:w="64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76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r>
        <w:trPr>
          <w:trHeight w:val="90"/>
        </w:trPr>
        <w:tc>
          <w:tcPr>
            <w:tcW w:w="1740" w:type="dxa"/>
            <w:vAlign w:val="bottom"/>
            <w:vMerge w:val="restart"/>
          </w:tcPr>
          <w:p>
            <w:pPr>
              <w:spacing w:after="0"/>
              <w:rPr>
                <w:sz w:val="20"/>
                <w:szCs w:val="20"/>
                <w:color w:val="auto"/>
              </w:rPr>
            </w:pPr>
            <w:r>
              <w:rPr>
                <w:rFonts w:ascii="Arial" w:cs="Arial" w:eastAsia="Arial" w:hAnsi="Arial"/>
                <w:sz w:val="12"/>
                <w:szCs w:val="12"/>
                <w:color w:val="auto"/>
              </w:rPr>
              <w:t>Plant/4104675</w:t>
            </w:r>
          </w:p>
        </w:tc>
        <w:tc>
          <w:tcPr>
            <w:tcW w:w="7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174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tcPr>
          <w:p>
            <w:pPr>
              <w:spacing w:after="0"/>
              <w:rPr>
                <w:sz w:val="5"/>
                <w:szCs w:val="5"/>
                <w:color w:val="auto"/>
              </w:rPr>
            </w:pPr>
          </w:p>
        </w:tc>
        <w:tc>
          <w:tcPr>
            <w:tcW w:w="9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1740" w:type="dxa"/>
            <w:vAlign w:val="bottom"/>
          </w:tcPr>
          <w:p>
            <w:pPr>
              <w:spacing w:after="0"/>
              <w:rPr>
                <w:sz w:val="20"/>
                <w:szCs w:val="20"/>
                <w:color w:val="auto"/>
              </w:rPr>
            </w:pPr>
            <w:r>
              <w:rPr>
                <w:rFonts w:ascii="Arial" w:cs="Arial" w:eastAsia="Arial" w:hAnsi="Arial"/>
                <w:sz w:val="12"/>
                <w:szCs w:val="12"/>
                <w:color w:val="auto"/>
              </w:rPr>
              <w:t>Greybull Milling</w:t>
            </w:r>
          </w:p>
        </w:tc>
        <w:tc>
          <w:tcPr>
            <w:tcW w:w="720" w:type="dxa"/>
            <w:vAlign w:val="bottom"/>
            <w:vMerge w:val="restart"/>
          </w:tcPr>
          <w:p>
            <w:pPr>
              <w:jc w:val="center"/>
              <w:ind w:left="38"/>
              <w:spacing w:after="0"/>
              <w:rPr>
                <w:sz w:val="20"/>
                <w:szCs w:val="20"/>
                <w:color w:val="auto"/>
              </w:rPr>
            </w:pPr>
            <w:r>
              <w:rPr>
                <w:rFonts w:ascii="Arial" w:cs="Arial" w:eastAsia="Arial" w:hAnsi="Arial"/>
                <w:sz w:val="12"/>
                <w:szCs w:val="12"/>
                <w:color w:val="auto"/>
                <w:w w:val="89"/>
              </w:rPr>
              <w:t>1</w:t>
            </w:r>
          </w:p>
        </w:tc>
        <w:tc>
          <w:tcPr>
            <w:tcW w:w="74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700" w:type="dxa"/>
            <w:vAlign w:val="bottom"/>
            <w:vMerge w:val="restart"/>
          </w:tcPr>
          <w:p>
            <w:pPr>
              <w:jc w:val="center"/>
              <w:ind w:right="18"/>
              <w:spacing w:after="0"/>
              <w:rPr>
                <w:sz w:val="20"/>
                <w:szCs w:val="20"/>
                <w:color w:val="auto"/>
              </w:rPr>
            </w:pPr>
            <w:r>
              <w:rPr>
                <w:rFonts w:ascii="Arial" w:cs="Arial" w:eastAsia="Arial" w:hAnsi="Arial"/>
                <w:sz w:val="12"/>
                <w:szCs w:val="12"/>
                <w:color w:val="auto"/>
                <w:w w:val="89"/>
              </w:rPr>
              <w:t>0</w:t>
            </w:r>
          </w:p>
        </w:tc>
        <w:tc>
          <w:tcPr>
            <w:tcW w:w="60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980" w:type="dxa"/>
            <w:vAlign w:val="bottom"/>
            <w:vMerge w:val="restart"/>
          </w:tcPr>
          <w:p>
            <w:pPr>
              <w:jc w:val="center"/>
              <w:spacing w:after="0"/>
              <w:rPr>
                <w:sz w:val="20"/>
                <w:szCs w:val="20"/>
                <w:color w:val="auto"/>
              </w:rPr>
            </w:pPr>
            <w:r>
              <w:rPr>
                <w:rFonts w:ascii="Arial" w:cs="Arial" w:eastAsia="Arial" w:hAnsi="Arial"/>
                <w:sz w:val="12"/>
                <w:szCs w:val="12"/>
                <w:color w:val="auto"/>
              </w:rPr>
              <w:t>$0*</w:t>
            </w:r>
          </w:p>
        </w:tc>
        <w:tc>
          <w:tcPr>
            <w:tcW w:w="58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620" w:type="dxa"/>
            <w:vAlign w:val="bottom"/>
            <w:vMerge w:val="restart"/>
          </w:tcPr>
          <w:p>
            <w:pPr>
              <w:jc w:val="center"/>
              <w:spacing w:after="0"/>
              <w:rPr>
                <w:sz w:val="20"/>
                <w:szCs w:val="20"/>
                <w:color w:val="auto"/>
              </w:rPr>
            </w:pPr>
            <w:r>
              <w:rPr>
                <w:rFonts w:ascii="Arial" w:cs="Arial" w:eastAsia="Arial" w:hAnsi="Arial"/>
                <w:sz w:val="12"/>
                <w:szCs w:val="12"/>
                <w:color w:val="auto"/>
              </w:rPr>
              <w:t>N</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w w:val="91"/>
              </w:rPr>
              <w:t>N</w:t>
            </w:r>
          </w:p>
        </w:tc>
        <w:tc>
          <w:tcPr>
            <w:tcW w:w="64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76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r>
        <w:trPr>
          <w:trHeight w:val="90"/>
        </w:trPr>
        <w:tc>
          <w:tcPr>
            <w:tcW w:w="1740" w:type="dxa"/>
            <w:vAlign w:val="bottom"/>
            <w:vMerge w:val="restart"/>
          </w:tcPr>
          <w:p>
            <w:pPr>
              <w:spacing w:after="0"/>
              <w:rPr>
                <w:sz w:val="20"/>
                <w:szCs w:val="20"/>
                <w:color w:val="auto"/>
              </w:rPr>
            </w:pPr>
            <w:r>
              <w:rPr>
                <w:rFonts w:ascii="Arial" w:cs="Arial" w:eastAsia="Arial" w:hAnsi="Arial"/>
                <w:sz w:val="12"/>
                <w:szCs w:val="12"/>
                <w:color w:val="auto"/>
              </w:rPr>
              <w:t>Operation/4800602</w:t>
            </w:r>
          </w:p>
        </w:tc>
        <w:tc>
          <w:tcPr>
            <w:tcW w:w="7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174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tcPr>
          <w:p>
            <w:pPr>
              <w:spacing w:after="0"/>
              <w:rPr>
                <w:sz w:val="5"/>
                <w:szCs w:val="5"/>
                <w:color w:val="auto"/>
              </w:rPr>
            </w:pPr>
          </w:p>
        </w:tc>
        <w:tc>
          <w:tcPr>
            <w:tcW w:w="9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1740" w:type="dxa"/>
            <w:vAlign w:val="bottom"/>
          </w:tcPr>
          <w:p>
            <w:pPr>
              <w:spacing w:after="0"/>
              <w:rPr>
                <w:sz w:val="20"/>
                <w:szCs w:val="20"/>
                <w:color w:val="auto"/>
              </w:rPr>
            </w:pPr>
            <w:r>
              <w:rPr>
                <w:rFonts w:ascii="Arial" w:cs="Arial" w:eastAsia="Arial" w:hAnsi="Arial"/>
                <w:sz w:val="12"/>
                <w:szCs w:val="12"/>
                <w:color w:val="auto"/>
              </w:rPr>
              <w:t>Greybull Mining</w:t>
            </w:r>
          </w:p>
        </w:tc>
        <w:tc>
          <w:tcPr>
            <w:tcW w:w="720" w:type="dxa"/>
            <w:vAlign w:val="bottom"/>
            <w:vMerge w:val="restart"/>
          </w:tcPr>
          <w:p>
            <w:pPr>
              <w:jc w:val="center"/>
              <w:ind w:left="38"/>
              <w:spacing w:after="0"/>
              <w:rPr>
                <w:sz w:val="20"/>
                <w:szCs w:val="20"/>
                <w:color w:val="auto"/>
              </w:rPr>
            </w:pPr>
            <w:r>
              <w:rPr>
                <w:rFonts w:ascii="Arial" w:cs="Arial" w:eastAsia="Arial" w:hAnsi="Arial"/>
                <w:sz w:val="12"/>
                <w:szCs w:val="12"/>
                <w:color w:val="auto"/>
                <w:w w:val="89"/>
              </w:rPr>
              <w:t>1</w:t>
            </w:r>
          </w:p>
        </w:tc>
        <w:tc>
          <w:tcPr>
            <w:tcW w:w="74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700" w:type="dxa"/>
            <w:vAlign w:val="bottom"/>
            <w:vMerge w:val="restart"/>
          </w:tcPr>
          <w:p>
            <w:pPr>
              <w:jc w:val="center"/>
              <w:ind w:right="18"/>
              <w:spacing w:after="0"/>
              <w:rPr>
                <w:sz w:val="20"/>
                <w:szCs w:val="20"/>
                <w:color w:val="auto"/>
              </w:rPr>
            </w:pPr>
            <w:r>
              <w:rPr>
                <w:rFonts w:ascii="Arial" w:cs="Arial" w:eastAsia="Arial" w:hAnsi="Arial"/>
                <w:sz w:val="12"/>
                <w:szCs w:val="12"/>
                <w:color w:val="auto"/>
                <w:w w:val="89"/>
              </w:rPr>
              <w:t>0</w:t>
            </w:r>
          </w:p>
        </w:tc>
        <w:tc>
          <w:tcPr>
            <w:tcW w:w="60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980" w:type="dxa"/>
            <w:vAlign w:val="bottom"/>
            <w:vMerge w:val="restart"/>
          </w:tcPr>
          <w:p>
            <w:pPr>
              <w:jc w:val="center"/>
              <w:spacing w:after="0"/>
              <w:rPr>
                <w:sz w:val="20"/>
                <w:szCs w:val="20"/>
                <w:color w:val="auto"/>
              </w:rPr>
            </w:pPr>
            <w:r>
              <w:rPr>
                <w:rFonts w:ascii="Arial" w:cs="Arial" w:eastAsia="Arial" w:hAnsi="Arial"/>
                <w:sz w:val="12"/>
                <w:szCs w:val="12"/>
                <w:color w:val="auto"/>
              </w:rPr>
              <w:t>$0*</w:t>
            </w:r>
          </w:p>
        </w:tc>
        <w:tc>
          <w:tcPr>
            <w:tcW w:w="58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620" w:type="dxa"/>
            <w:vAlign w:val="bottom"/>
            <w:vMerge w:val="restart"/>
          </w:tcPr>
          <w:p>
            <w:pPr>
              <w:jc w:val="center"/>
              <w:spacing w:after="0"/>
              <w:rPr>
                <w:sz w:val="20"/>
                <w:szCs w:val="20"/>
                <w:color w:val="auto"/>
              </w:rPr>
            </w:pPr>
            <w:r>
              <w:rPr>
                <w:rFonts w:ascii="Arial" w:cs="Arial" w:eastAsia="Arial" w:hAnsi="Arial"/>
                <w:sz w:val="12"/>
                <w:szCs w:val="12"/>
                <w:color w:val="auto"/>
              </w:rPr>
              <w:t>N</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w w:val="91"/>
              </w:rPr>
              <w:t>N</w:t>
            </w:r>
          </w:p>
        </w:tc>
        <w:tc>
          <w:tcPr>
            <w:tcW w:w="64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76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r>
        <w:trPr>
          <w:trHeight w:val="90"/>
        </w:trPr>
        <w:tc>
          <w:tcPr>
            <w:tcW w:w="1740" w:type="dxa"/>
            <w:vAlign w:val="bottom"/>
            <w:vMerge w:val="restart"/>
          </w:tcPr>
          <w:p>
            <w:pPr>
              <w:spacing w:after="0"/>
              <w:rPr>
                <w:sz w:val="20"/>
                <w:szCs w:val="20"/>
                <w:color w:val="auto"/>
              </w:rPr>
            </w:pPr>
            <w:r>
              <w:rPr>
                <w:rFonts w:ascii="Arial" w:cs="Arial" w:eastAsia="Arial" w:hAnsi="Arial"/>
                <w:sz w:val="12"/>
                <w:szCs w:val="12"/>
                <w:color w:val="auto"/>
              </w:rPr>
              <w:t>Operation/4800603</w:t>
            </w:r>
          </w:p>
        </w:tc>
        <w:tc>
          <w:tcPr>
            <w:tcW w:w="7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174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tcPr>
          <w:p>
            <w:pPr>
              <w:spacing w:after="0"/>
              <w:rPr>
                <w:sz w:val="5"/>
                <w:szCs w:val="5"/>
                <w:color w:val="auto"/>
              </w:rPr>
            </w:pPr>
          </w:p>
        </w:tc>
        <w:tc>
          <w:tcPr>
            <w:tcW w:w="9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1740" w:type="dxa"/>
            <w:vAlign w:val="bottom"/>
          </w:tcPr>
          <w:p>
            <w:pPr>
              <w:spacing w:after="0"/>
              <w:rPr>
                <w:sz w:val="20"/>
                <w:szCs w:val="20"/>
                <w:color w:val="auto"/>
              </w:rPr>
            </w:pPr>
            <w:r>
              <w:rPr>
                <w:rFonts w:ascii="Arial" w:cs="Arial" w:eastAsia="Arial" w:hAnsi="Arial"/>
                <w:sz w:val="12"/>
                <w:szCs w:val="12"/>
                <w:color w:val="auto"/>
              </w:rPr>
              <w:t>Greystone Mine/2600411</w:t>
            </w:r>
          </w:p>
        </w:tc>
        <w:tc>
          <w:tcPr>
            <w:tcW w:w="720" w:type="dxa"/>
            <w:vAlign w:val="bottom"/>
          </w:tcPr>
          <w:p>
            <w:pPr>
              <w:jc w:val="center"/>
              <w:ind w:left="38"/>
              <w:spacing w:after="0"/>
              <w:rPr>
                <w:sz w:val="20"/>
                <w:szCs w:val="20"/>
                <w:color w:val="auto"/>
              </w:rPr>
            </w:pPr>
            <w:r>
              <w:rPr>
                <w:rFonts w:ascii="Arial" w:cs="Arial" w:eastAsia="Arial" w:hAnsi="Arial"/>
                <w:sz w:val="12"/>
                <w:szCs w:val="12"/>
                <w:color w:val="auto"/>
                <w:w w:val="89"/>
              </w:rPr>
              <w:t>0</w:t>
            </w:r>
          </w:p>
        </w:tc>
        <w:tc>
          <w:tcPr>
            <w:tcW w:w="74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72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700" w:type="dxa"/>
            <w:vAlign w:val="bottom"/>
          </w:tcPr>
          <w:p>
            <w:pPr>
              <w:jc w:val="center"/>
              <w:ind w:right="18"/>
              <w:spacing w:after="0"/>
              <w:rPr>
                <w:sz w:val="20"/>
                <w:szCs w:val="20"/>
                <w:color w:val="auto"/>
              </w:rPr>
            </w:pPr>
            <w:r>
              <w:rPr>
                <w:rFonts w:ascii="Arial" w:cs="Arial" w:eastAsia="Arial" w:hAnsi="Arial"/>
                <w:sz w:val="12"/>
                <w:szCs w:val="12"/>
                <w:color w:val="auto"/>
                <w:w w:val="89"/>
              </w:rPr>
              <w:t>0</w:t>
            </w:r>
          </w:p>
        </w:tc>
        <w:tc>
          <w:tcPr>
            <w:tcW w:w="60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980" w:type="dxa"/>
            <w:vAlign w:val="bottom"/>
          </w:tcPr>
          <w:p>
            <w:pPr>
              <w:jc w:val="center"/>
              <w:spacing w:after="0"/>
              <w:rPr>
                <w:sz w:val="20"/>
                <w:szCs w:val="20"/>
                <w:color w:val="auto"/>
              </w:rPr>
            </w:pPr>
            <w:r>
              <w:rPr>
                <w:rFonts w:ascii="Arial" w:cs="Arial" w:eastAsia="Arial" w:hAnsi="Arial"/>
                <w:sz w:val="12"/>
                <w:szCs w:val="12"/>
                <w:color w:val="auto"/>
                <w:w w:val="89"/>
              </w:rPr>
              <w:t>$100</w:t>
            </w:r>
          </w:p>
        </w:tc>
        <w:tc>
          <w:tcPr>
            <w:tcW w:w="58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620" w:type="dxa"/>
            <w:vAlign w:val="bottom"/>
          </w:tcPr>
          <w:p>
            <w:pPr>
              <w:jc w:val="center"/>
              <w:spacing w:after="0"/>
              <w:rPr>
                <w:sz w:val="20"/>
                <w:szCs w:val="20"/>
                <w:color w:val="auto"/>
              </w:rPr>
            </w:pPr>
            <w:r>
              <w:rPr>
                <w:rFonts w:ascii="Arial" w:cs="Arial" w:eastAsia="Arial" w:hAnsi="Arial"/>
                <w:sz w:val="12"/>
                <w:szCs w:val="12"/>
                <w:color w:val="auto"/>
              </w:rPr>
              <w:t>N</w:t>
            </w:r>
          </w:p>
        </w:tc>
        <w:tc>
          <w:tcPr>
            <w:tcW w:w="700" w:type="dxa"/>
            <w:vAlign w:val="bottom"/>
          </w:tcPr>
          <w:p>
            <w:pPr>
              <w:jc w:val="center"/>
              <w:spacing w:after="0"/>
              <w:rPr>
                <w:sz w:val="20"/>
                <w:szCs w:val="20"/>
                <w:color w:val="auto"/>
              </w:rPr>
            </w:pPr>
            <w:r>
              <w:rPr>
                <w:rFonts w:ascii="Arial" w:cs="Arial" w:eastAsia="Arial" w:hAnsi="Arial"/>
                <w:sz w:val="12"/>
                <w:szCs w:val="12"/>
                <w:color w:val="auto"/>
                <w:w w:val="91"/>
              </w:rPr>
              <w:t>N</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76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78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r>
        <w:trPr>
          <w:trHeight w:val="242"/>
        </w:trPr>
        <w:tc>
          <w:tcPr>
            <w:tcW w:w="1740" w:type="dxa"/>
            <w:vAlign w:val="bottom"/>
          </w:tcPr>
          <w:p>
            <w:pPr>
              <w:spacing w:after="0"/>
              <w:rPr>
                <w:sz w:val="20"/>
                <w:szCs w:val="20"/>
                <w:color w:val="auto"/>
              </w:rPr>
            </w:pPr>
            <w:r>
              <w:rPr>
                <w:rFonts w:ascii="Arial" w:cs="Arial" w:eastAsia="Arial" w:hAnsi="Arial"/>
                <w:sz w:val="12"/>
                <w:szCs w:val="12"/>
                <w:color w:val="auto"/>
              </w:rPr>
              <w:t>Mountain Springs Beneficiation</w:t>
            </w:r>
          </w:p>
        </w:tc>
        <w:tc>
          <w:tcPr>
            <w:tcW w:w="720" w:type="dxa"/>
            <w:vAlign w:val="bottom"/>
            <w:vMerge w:val="restart"/>
          </w:tcPr>
          <w:p>
            <w:pPr>
              <w:jc w:val="center"/>
              <w:ind w:left="38"/>
              <w:spacing w:after="0"/>
              <w:rPr>
                <w:sz w:val="20"/>
                <w:szCs w:val="20"/>
                <w:color w:val="auto"/>
              </w:rPr>
            </w:pPr>
            <w:r>
              <w:rPr>
                <w:rFonts w:ascii="Arial" w:cs="Arial" w:eastAsia="Arial" w:hAnsi="Arial"/>
                <w:sz w:val="12"/>
                <w:szCs w:val="12"/>
                <w:color w:val="auto"/>
                <w:w w:val="89"/>
              </w:rPr>
              <w:t>3</w:t>
            </w:r>
          </w:p>
        </w:tc>
        <w:tc>
          <w:tcPr>
            <w:tcW w:w="74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700" w:type="dxa"/>
            <w:vAlign w:val="bottom"/>
            <w:vMerge w:val="restart"/>
          </w:tcPr>
          <w:p>
            <w:pPr>
              <w:jc w:val="center"/>
              <w:ind w:right="18"/>
              <w:spacing w:after="0"/>
              <w:rPr>
                <w:sz w:val="20"/>
                <w:szCs w:val="20"/>
                <w:color w:val="auto"/>
              </w:rPr>
            </w:pPr>
            <w:r>
              <w:rPr>
                <w:rFonts w:ascii="Arial" w:cs="Arial" w:eastAsia="Arial" w:hAnsi="Arial"/>
                <w:sz w:val="12"/>
                <w:szCs w:val="12"/>
                <w:color w:val="auto"/>
                <w:w w:val="89"/>
              </w:rPr>
              <w:t>0</w:t>
            </w:r>
          </w:p>
        </w:tc>
        <w:tc>
          <w:tcPr>
            <w:tcW w:w="60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980" w:type="dxa"/>
            <w:vAlign w:val="bottom"/>
            <w:vMerge w:val="restart"/>
          </w:tcPr>
          <w:p>
            <w:pPr>
              <w:jc w:val="center"/>
              <w:spacing w:after="0"/>
              <w:rPr>
                <w:sz w:val="20"/>
                <w:szCs w:val="20"/>
                <w:color w:val="auto"/>
              </w:rPr>
            </w:pPr>
            <w:r>
              <w:rPr>
                <w:rFonts w:ascii="Arial" w:cs="Arial" w:eastAsia="Arial" w:hAnsi="Arial"/>
                <w:sz w:val="12"/>
                <w:szCs w:val="12"/>
                <w:color w:val="auto"/>
                <w:w w:val="92"/>
              </w:rPr>
              <w:t>$56,218</w:t>
            </w:r>
          </w:p>
        </w:tc>
        <w:tc>
          <w:tcPr>
            <w:tcW w:w="58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620" w:type="dxa"/>
            <w:vAlign w:val="bottom"/>
            <w:vMerge w:val="restart"/>
          </w:tcPr>
          <w:p>
            <w:pPr>
              <w:jc w:val="center"/>
              <w:spacing w:after="0"/>
              <w:rPr>
                <w:sz w:val="20"/>
                <w:szCs w:val="20"/>
                <w:color w:val="auto"/>
              </w:rPr>
            </w:pPr>
            <w:r>
              <w:rPr>
                <w:rFonts w:ascii="Arial" w:cs="Arial" w:eastAsia="Arial" w:hAnsi="Arial"/>
                <w:sz w:val="12"/>
                <w:szCs w:val="12"/>
                <w:color w:val="auto"/>
              </w:rPr>
              <w:t>N</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w w:val="91"/>
              </w:rPr>
              <w:t>N</w:t>
            </w:r>
          </w:p>
        </w:tc>
        <w:tc>
          <w:tcPr>
            <w:tcW w:w="64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76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r>
        <w:trPr>
          <w:trHeight w:val="90"/>
        </w:trPr>
        <w:tc>
          <w:tcPr>
            <w:tcW w:w="1740" w:type="dxa"/>
            <w:vAlign w:val="bottom"/>
            <w:vMerge w:val="restart"/>
          </w:tcPr>
          <w:p>
            <w:pPr>
              <w:spacing w:after="0"/>
              <w:rPr>
                <w:sz w:val="20"/>
                <w:szCs w:val="20"/>
                <w:color w:val="auto"/>
              </w:rPr>
            </w:pPr>
            <w:r>
              <w:rPr>
                <w:rFonts w:ascii="Arial" w:cs="Arial" w:eastAsia="Arial" w:hAnsi="Arial"/>
                <w:sz w:val="12"/>
                <w:szCs w:val="12"/>
                <w:color w:val="auto"/>
              </w:rPr>
              <w:t>Plant/2601390</w:t>
            </w:r>
          </w:p>
        </w:tc>
        <w:tc>
          <w:tcPr>
            <w:tcW w:w="7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174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tcPr>
          <w:p>
            <w:pPr>
              <w:spacing w:after="0"/>
              <w:rPr>
                <w:sz w:val="5"/>
                <w:szCs w:val="5"/>
                <w:color w:val="auto"/>
              </w:rPr>
            </w:pPr>
          </w:p>
        </w:tc>
        <w:tc>
          <w:tcPr>
            <w:tcW w:w="9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900" w:right="160" w:hanging="522"/>
        <w:spacing w:after="0" w:line="329" w:lineRule="auto"/>
        <w:tabs>
          <w:tab w:leader="none" w:pos="9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Amounts included are the total dollar value of proposed assessments received from MSHA on or before March 31, 2016, regardless of whether the assessment has been challenged or appealed. Citations and orders can be contested and appealed, and as part of that process, are sometimes reduced in severity and amount, and sometimes dismissed. The number of citations, orders, and proposed assessments vary by inspector and also vary depending on the size and type of the operation.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2016, MSHA had not yet proposed an assessment for 1 citation at Amelia Barite Plant/1600825.</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*As of March 31, 2016, MSHA had not yet proposed an assessment for 1citation (which was an S&amp;S violation) at Greybull Mining Operation/4800602.</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2016, MSHA had not yet proposed assessments for 2 citations (one of which was an S&amp;S violation) at Greybull Mining Operation/4800603.</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1)"/>
      <w:numFmt w:val="decimal"/>
      <w:start w:val="1"/>
    </w:lvl>
  </w:abstractNum>
  <w:abstractNum w:abstractNumId="1">
    <w:nsid w:val="4353D0CD"/>
    <w:multiLevelType w:val="hybridMultilevel"/>
    <w:lvl w:ilvl="0">
      <w:lvlJc w:val="left"/>
      <w:lvlText w:val="%1."/>
      <w:numFmt w:val="decimal"/>
      <w:start w:val="1"/>
    </w:lvl>
  </w:abstractNum>
  <w:abstractNum w:abstractNumId="2">
    <w:nsid w:val="B03E0C6"/>
    <w:multiLevelType w:val="hybridMultilevel"/>
    <w:lvl w:ilvl="0">
      <w:lvlJc w:val="left"/>
      <w:lvlText w:val="%1."/>
      <w:numFmt w:val="decimal"/>
      <w:start w:val="2"/>
    </w:lvl>
  </w:abstractNum>
  <w:abstractNum w:abstractNumId="3">
    <w:nsid w:val="189A769B"/>
    <w:multiLevelType w:val="hybridMultilevel"/>
    <w:lvl w:ilvl="0">
      <w:lvlJc w:val="left"/>
      <w:lvlText w:val="·"/>
      <w:numFmt w:val="bullet"/>
      <w:start w:val="1"/>
    </w:lvl>
    <w:lvl w:ilvl="1">
      <w:lvlJc w:val="left"/>
      <w:lvlText w:val="·"/>
      <w:numFmt w:val="bullet"/>
      <w:start w:val="1"/>
    </w:lvl>
  </w:abstractNum>
  <w:abstractNum w:abstractNumId="4">
    <w:nsid w:val="54E49EB4"/>
    <w:multiLevelType w:val="hybridMultilevel"/>
    <w:lvl w:ilvl="0">
      <w:lvlJc w:val="left"/>
      <w:lvlText w:val="%1."/>
      <w:numFmt w:val="decimal"/>
      <w:start w:val="3"/>
    </w:lvl>
  </w:abstractNum>
  <w:abstractNum w:abstractNumId="5">
    <w:nsid w:val="71F32454"/>
    <w:multiLevelType w:val="hybridMultilevel"/>
    <w:lvl w:ilvl="0">
      <w:lvlJc w:val="left"/>
      <w:lvlText w:val="%1."/>
      <w:numFmt w:val="decimal"/>
      <w:start w:val="4"/>
    </w:lvl>
  </w:abstractNum>
  <w:abstractNum w:abstractNumId="6">
    <w:nsid w:val="2CA88611"/>
    <w:multiLevelType w:val="hybridMultilevel"/>
    <w:lvl w:ilvl="0">
      <w:lvlJc w:val="left"/>
      <w:lvlText w:val="%1."/>
      <w:numFmt w:val="decimal"/>
      <w:start w:val="6"/>
    </w:lvl>
  </w:abstractNum>
  <w:abstractNum w:abstractNumId="7">
    <w:nsid w:val="836C40E"/>
    <w:multiLevelType w:val="hybridMultilevel"/>
    <w:lvl w:ilvl="0">
      <w:lvlJc w:val="left"/>
      <w:lvlText w:val="%1."/>
      <w:numFmt w:val="decimal"/>
      <w:start w:val="7"/>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1."/>
      <w:numFmt w:val="decimal"/>
      <w:start w:val="8"/>
    </w:lvl>
  </w:abstractNum>
  <w:abstractNum w:abstractNumId="11">
    <w:nsid w:val="1E7FF521"/>
    <w:multiLevelType w:val="hybridMultilevel"/>
    <w:lvl w:ilvl="0">
      <w:lvlJc w:val="left"/>
      <w:lvlText w:val="%1."/>
      <w:numFmt w:val="decimal"/>
      <w:start w:val="9"/>
    </w:lvl>
  </w:abstractNum>
  <w:abstractNum w:abstractNumId="12">
    <w:nsid w:val="7C3DBD3D"/>
    <w:multiLevelType w:val="hybridMultilevel"/>
    <w:lvl w:ilvl="0">
      <w:lvlJc w:val="left"/>
      <w:lvlText w:val="%1."/>
      <w:numFmt w:val="decimal"/>
      <w:start w:val="10"/>
    </w:lvl>
  </w:abstractNum>
  <w:abstractNum w:abstractNumId="13">
    <w:nsid w:val="737B8DDC"/>
    <w:multiLevelType w:val="hybridMultilevel"/>
    <w:lvl w:ilvl="0">
      <w:lvlJc w:val="left"/>
      <w:lvlText w:val="%1."/>
      <w:numFmt w:val="decimal"/>
      <w:start w:val="12"/>
    </w:lvl>
  </w:abstractNum>
  <w:abstractNum w:abstractNumId="14">
    <w:nsid w:val="6CEAF087"/>
    <w:multiLevelType w:val="hybridMultilevel"/>
    <w:lvl w:ilvl="0">
      <w:lvlJc w:val="left"/>
      <w:lvlText w:val="(%1)"/>
      <w:numFmt w:val="decimal"/>
      <w:start w:val="1"/>
    </w:lvl>
    <w:lvl w:ilvl="1">
      <w:lvlJc w:val="left"/>
      <w:lvlText w:val="(%2)"/>
      <w:numFmt w:val="decimal"/>
      <w:start w:val="2"/>
    </w:lvl>
    <w:lvl w:ilvl="2">
      <w:lvlJc w:val="left"/>
      <w:lvlText w:val="(%3)"/>
      <w:numFmt w:val="decimal"/>
      <w:start w:val="2"/>
    </w:lvl>
  </w:abstractNum>
  <w:abstractNum w:abstractNumId="15">
    <w:nsid w:val="22221A70"/>
    <w:multiLevelType w:val="hybridMultilevel"/>
    <w:lvl w:ilvl="0">
      <w:lvlJc w:val="left"/>
      <w:lvlText w:val="%1."/>
      <w:numFmt w:val="decimal"/>
      <w:start w:val="14"/>
    </w:lvl>
  </w:abstractNum>
  <w:abstractNum w:abstractNumId="16">
    <w:nsid w:val="4516DDE9"/>
    <w:multiLevelType w:val="hybridMultilevel"/>
    <w:lvl w:ilvl="0">
      <w:lvlJc w:val="left"/>
      <w:lvlText w:val="%1."/>
      <w:numFmt w:val="decimal"/>
      <w:start w:val="15"/>
    </w:lvl>
  </w:abstractNum>
  <w:abstractNum w:abstractNumId="17">
    <w:nsid w:val="3006C83E"/>
    <w:multiLevelType w:val="hybridMultilevel"/>
    <w:lvl w:ilvl="0">
      <w:lvlJc w:val="left"/>
      <w:lvlText w:val="(%1)"/>
      <w:numFmt w:val="decimal"/>
      <w:start w:val="1"/>
    </w:lvl>
  </w:abstractNum>
  <w:abstractNum w:abstractNumId="18">
    <w:nsid w:val="614FD4A1"/>
    <w:multiLevelType w:val="hybridMultilevel"/>
    <w:lvl w:ilvl="0">
      <w:lvlJc w:val="left"/>
      <w:lvlText w:val="(%1)"/>
      <w:numFmt w:val="decimal"/>
      <w:start w:val="1"/>
    </w:lvl>
    <w:lvl w:ilvl="1">
      <w:lvlJc w:val="left"/>
      <w:lvlText w:val="(%2)"/>
      <w:numFmt w:val="decimal"/>
      <w:start w:val="2"/>
    </w:lvl>
    <w:lvl w:ilvl="2">
      <w:lvlJc w:val="left"/>
      <w:lvlText w:val="(%3)"/>
      <w:numFmt w:val="decimal"/>
      <w:start w:val="2"/>
    </w:lvl>
  </w:abstractNum>
  <w:abstractNum w:abstractNumId="19">
    <w:nsid w:val="419AC241"/>
    <w:multiLevelType w:val="hybridMultilevel"/>
    <w:lvl w:ilvl="0">
      <w:lvlJc w:val="left"/>
      <w:lvlText w:val="(%1)"/>
      <w:numFmt w:val="decimal"/>
      <w:start w:val="1"/>
    </w:lvl>
  </w:abstractNum>
  <w:abstractNum w:abstractNumId="20">
    <w:nsid w:val="5577F8E1"/>
    <w:multiLevelType w:val="hybridMultilevel"/>
    <w:lvl w:ilvl="0">
      <w:lvlJc w:val="left"/>
      <w:lvlText w:val="(%1)"/>
      <w:numFmt w:val="decimal"/>
      <w:start w:val="2"/>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lvl w:ilvl="1">
      <w:lvlJc w:val="left"/>
      <w:lvlText w:val="*"/>
      <w:numFmt w:val="bullet"/>
      <w:start w:val="1"/>
    </w:lvl>
  </w:abstractNum>
  <w:abstractNum w:abstractNumId="26">
    <w:nsid w:val="5C482A97"/>
    <w:multiLevelType w:val="hybridMultilevel"/>
    <w:lvl w:ilvl="0">
      <w:lvlJc w:val="left"/>
      <w:lvlText w:val="**"/>
      <w:numFmt w:val="bullet"/>
      <w:start w:val="1"/>
    </w:lvl>
    <w:lvl w:ilvl="1">
      <w:lvlJc w:val="left"/>
      <w:lvlText w:val="*"/>
      <w:numFmt w:val="bullet"/>
      <w:start w:val="1"/>
    </w:lvl>
  </w:abstractNum>
  <w:abstractNum w:abstractNumId="27">
    <w:nsid w:val="2463B9EA"/>
    <w:multiLevelType w:val="hybridMultilevel"/>
    <w:lvl w:ilvl="0">
      <w:lvlJc w:val="left"/>
      <w:lvlText w:val="%1."/>
      <w:numFmt w:val="decimal"/>
      <w:start w:val="1"/>
    </w:lvl>
  </w:abstractNum>
  <w:abstractNum w:abstractNumId="28">
    <w:nsid w:val="5E884ADC"/>
    <w:multiLevelType w:val="hybridMultilevel"/>
    <w:lvl w:ilvl="0">
      <w:lvlJc w:val="left"/>
      <w:lvlText w:val="(%1)"/>
      <w:numFmt w:val="lowerLetter"/>
      <w:start w:val="1"/>
    </w:lvl>
  </w:abstractNum>
  <w:abstractNum w:abstractNumId="29">
    <w:nsid w:val="51EAD36B"/>
    <w:multiLevelType w:val="hybridMultilevel"/>
    <w:lvl w:ilvl="0">
      <w:lvlJc w:val="left"/>
      <w:lvlText w:val="%1."/>
      <w:numFmt w:val="decimal"/>
      <w:start w:val="3"/>
    </w:lvl>
  </w:abstractNum>
  <w:abstractNum w:abstractNumId="30">
    <w:nsid w:val="2D517796"/>
    <w:multiLevelType w:val="hybridMultilevel"/>
    <w:lvl w:ilvl="0">
      <w:lvlJc w:val="left"/>
      <w:lvlText w:val="(%1)"/>
      <w:numFmt w:val="lowerLetter"/>
      <w:start w:val="1"/>
    </w:lvl>
  </w:abstractNum>
  <w:abstractNum w:abstractNumId="31">
    <w:nsid w:val="580BD78F"/>
    <w:multiLevelType w:val="hybridMultilevel"/>
    <w:lvl w:ilvl="0">
      <w:lvlJc w:val="left"/>
      <w:lvlText w:val="(%1)"/>
      <w:numFmt w:val="lowerLetter"/>
      <w:start w:val="2"/>
    </w:lvl>
  </w:abstractNum>
  <w:abstractNum w:abstractNumId="32">
    <w:nsid w:val="153EA438"/>
    <w:multiLevelType w:val="hybridMultilevel"/>
    <w:lvl w:ilvl="0">
      <w:lvlJc w:val="left"/>
      <w:lvlText w:val="%1."/>
      <w:numFmt w:val="decimal"/>
      <w:start w:val="5"/>
    </w:lvl>
  </w:abstractNum>
  <w:abstractNum w:abstractNumId="33">
    <w:nsid w:val="3855585C"/>
    <w:multiLevelType w:val="hybridMultilevel"/>
    <w:lvl w:ilvl="0">
      <w:lvlJc w:val="left"/>
      <w:lvlText w:val="(%1)"/>
      <w:numFmt w:val="lowerLetter"/>
      <w:start w:val="1"/>
    </w:lvl>
  </w:abstractNum>
  <w:abstractNum w:abstractNumId="34">
    <w:nsid w:val="70A64E2A"/>
    <w:multiLevelType w:val="hybridMultilevel"/>
    <w:lvl w:ilvl="0">
      <w:lvlJc w:val="left"/>
      <w:lvlText w:val="%1."/>
      <w:numFmt w:val="decimal"/>
      <w:start w:val="6"/>
    </w:lvl>
  </w:abstractNum>
  <w:abstractNum w:abstractNumId="35">
    <w:nsid w:val="6A2342EC"/>
    <w:multiLevelType w:val="hybridMultilevel"/>
    <w:lvl w:ilvl="0">
      <w:lvlJc w:val="left"/>
      <w:lvlText w:val="(%1)"/>
      <w:numFmt w:val="lowerLetter"/>
      <w:start w:val="1"/>
    </w:lvl>
  </w:abstractNum>
  <w:abstractNum w:abstractNumId="36">
    <w:nsid w:val="2A487CB0"/>
    <w:multiLevelType w:val="hybridMultilevel"/>
    <w:lvl w:ilvl="0">
      <w:lvlJc w:val="left"/>
      <w:lvlText w:val="%1."/>
      <w:numFmt w:val="decimal"/>
      <w:start w:val="11"/>
    </w:lvl>
  </w:abstractNum>
  <w:abstractNum w:abstractNumId="37">
    <w:nsid w:val="1D4ED43B"/>
    <w:multiLevelType w:val="hybridMultilevel"/>
    <w:lvl w:ilvl="0">
      <w:lvlJc w:val="left"/>
      <w:lvlText w:val="(%1)"/>
      <w:numFmt w:val="lowerLetter"/>
      <w:start w:val="1"/>
    </w:lvl>
  </w:abstractNum>
  <w:abstractNum w:abstractNumId="38">
    <w:nsid w:val="725A06FB"/>
    <w:multiLevelType w:val="hybridMultilevel"/>
    <w:lvl w:ilvl="0">
      <w:lvlJc w:val="left"/>
      <w:lvlText w:val="%1"/>
      <w:numFmt w:val="upperLetter"/>
      <w:start w:val="1"/>
    </w:lvl>
    <w:lvl w:ilvl="1">
      <w:lvlJc w:val="left"/>
      <w:lvlText w:val="(%2)"/>
      <w:numFmt w:val="lowerLetter"/>
      <w:start w:val="4"/>
    </w:lvl>
  </w:abstractNum>
  <w:abstractNum w:abstractNumId="39">
    <w:nsid w:val="2CD89A32"/>
    <w:multiLevelType w:val="hybridMultilevel"/>
    <w:lvl w:ilvl="0">
      <w:lvlJc w:val="left"/>
      <w:lvlText w:val="(%1)"/>
      <w:numFmt w:val="upperLetter"/>
      <w:start w:val="1"/>
    </w:lvl>
    <w:lvl w:ilvl="1">
      <w:lvlJc w:val="left"/>
      <w:lvlText w:val="(%2)"/>
      <w:numFmt w:val="lowerLetter"/>
      <w:start w:val="8"/>
    </w:lvl>
  </w:abstractNum>
  <w:abstractNum w:abstractNumId="40">
    <w:nsid w:val="57E4CCAF"/>
    <w:multiLevelType w:val="hybridMultilevel"/>
    <w:lvl w:ilvl="0">
      <w:lvlJc w:val="left"/>
      <w:lvlText w:val="(%1)"/>
      <w:numFmt w:val="lowerLetter"/>
      <w:start w:val="22"/>
    </w:lvl>
  </w:abstractNum>
  <w:abstractNum w:abstractNumId="41">
    <w:nsid w:val="7A6D8D3C"/>
    <w:multiLevelType w:val="hybridMultilevel"/>
    <w:lvl w:ilvl="0">
      <w:lvlJc w:val="left"/>
      <w:lvlText w:val="%1."/>
      <w:numFmt w:val="decimal"/>
      <w:start w:val="12"/>
    </w:lvl>
  </w:abstractNum>
  <w:abstractNum w:abstractNumId="42">
    <w:nsid w:val="4B588F54"/>
    <w:multiLevelType w:val="hybridMultilevel"/>
    <w:lvl w:ilvl="0">
      <w:lvlJc w:val="left"/>
      <w:lvlText w:val="(%1)"/>
      <w:numFmt w:val="lowerLetter"/>
      <w:start w:val="1"/>
    </w:lvl>
  </w:abstractNum>
  <w:abstractNum w:abstractNumId="43">
    <w:nsid w:val="542289EC"/>
    <w:multiLevelType w:val="hybridMultilevel"/>
    <w:lvl w:ilvl="0">
      <w:lvlJc w:val="left"/>
      <w:lvlText w:val="%1."/>
      <w:numFmt w:val="decimal"/>
      <w:start w:val="13"/>
    </w:lvl>
  </w:abstractNum>
  <w:abstractNum w:abstractNumId="44">
    <w:nsid w:val="6DE91B18"/>
    <w:multiLevelType w:val="hybridMultilevel"/>
    <w:lvl w:ilvl="0">
      <w:lvlJc w:val="left"/>
      <w:lvlText w:val="%1."/>
      <w:numFmt w:val="decimal"/>
      <w:start w:val="1"/>
    </w:lvl>
    <w:lvl w:ilvl="1">
      <w:lvlJc w:val="left"/>
      <w:lvlText w:val="%2)"/>
      <w:numFmt w:val="lowerLetter"/>
      <w:start w:val="1"/>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2019-12-29T13:29:10Z</dcterms:created>
  <dcterms:modified xsi:type="dcterms:W3CDTF">2019-12-29T13:29:10Z</dcterms:modified>
</cp:coreProperties>
</file>