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rPr>
              <w:t>UNITED STATES</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29"/>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40" w:type="dxa"/>
            <w:vAlign w:val="bottom"/>
            <w:gridSpan w:val="10"/>
          </w:tcPr>
          <w:p>
            <w:pPr>
              <w:jc w:val="center"/>
              <w:ind w:left="95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7"/>
            <w:vMerge w:val="restart"/>
          </w:tcPr>
          <w:p>
            <w:pPr>
              <w:jc w:val="center"/>
              <w:ind w:right="74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20" w:type="dxa"/>
            <w:vAlign w:val="bottom"/>
            <w:gridSpan w:val="4"/>
          </w:tcPr>
          <w:p>
            <w:pPr>
              <w:ind w:left="4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40" w:type="dxa"/>
            <w:vAlign w:val="bottom"/>
            <w:gridSpan w:val="10"/>
            <w:vMerge w:val="restart"/>
          </w:tcPr>
          <w:p>
            <w:pPr>
              <w:jc w:val="center"/>
              <w:ind w:left="955"/>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40" w:type="dxa"/>
            <w:vAlign w:val="bottom"/>
            <w:gridSpan w:val="10"/>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40" w:type="dxa"/>
            <w:vAlign w:val="bottom"/>
            <w:gridSpan w:val="10"/>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80" w:type="dxa"/>
            <w:vAlign w:val="bottom"/>
            <w:gridSpan w:val="13"/>
            <w:vMerge w:val="restart"/>
          </w:tcPr>
          <w:p>
            <w:pPr>
              <w:jc w:val="center"/>
              <w:ind w:right="12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80" w:type="dxa"/>
            <w:vAlign w:val="bottom"/>
            <w:gridSpan w:val="13"/>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8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STREET</w:t>
            </w: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9"/>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tcBorders>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9"/>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8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9"/>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76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93"/>
              </w:rPr>
              <w:t>ACCOUNT THE SECURITIES</w:t>
            </w:r>
          </w:p>
        </w:tc>
        <w:tc>
          <w:tcPr>
            <w:tcW w:w="14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3"/>
                <w:szCs w:val="13"/>
                <w:color w:val="auto"/>
              </w:rPr>
              <w:t>IDENT.</w:t>
            </w:r>
          </w:p>
        </w:tc>
        <w:tc>
          <w:tcPr>
            <w:tcW w:w="300" w:type="dxa"/>
            <w:vAlign w:val="bottom"/>
          </w:tcPr>
          <w:p>
            <w:pPr>
              <w:spacing w:after="0"/>
              <w:rPr>
                <w:sz w:val="11"/>
                <w:szCs w:val="11"/>
                <w:color w:val="auto"/>
              </w:rPr>
            </w:pPr>
          </w:p>
        </w:tc>
        <w:tc>
          <w:tcPr>
            <w:tcW w:w="136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400" w:type="dxa"/>
            <w:vAlign w:val="bottom"/>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86"/>
              </w:rPr>
              <w:t>NO.</w:t>
            </w:r>
          </w:p>
        </w:tc>
        <w:tc>
          <w:tcPr>
            <w:tcW w:w="60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gridSpan w:val="20"/>
          </w:tcPr>
          <w:p>
            <w:pPr>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40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7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940" w:type="dxa"/>
            <w:vAlign w:val="bottom"/>
            <w:tcBorders>
              <w:right w:val="single" w:sz="8" w:color="auto"/>
            </w:tcBorders>
          </w:tcPr>
          <w:p>
            <w:pPr>
              <w:spacing w:after="0"/>
              <w:rPr>
                <w:sz w:val="9"/>
                <w:szCs w:val="9"/>
                <w:color w:val="auto"/>
              </w:rPr>
            </w:pPr>
          </w:p>
        </w:tc>
        <w:tc>
          <w:tcPr>
            <w:tcW w:w="26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jc w:val="center"/>
              <w:ind w:left="135"/>
              <w:spacing w:after="0" w:line="135" w:lineRule="exact"/>
              <w:rPr>
                <w:sz w:val="20"/>
                <w:szCs w:val="20"/>
                <w:color w:val="auto"/>
              </w:rPr>
            </w:pPr>
            <w:r>
              <w:rPr>
                <w:rFonts w:ascii="Arial" w:cs="Arial" w:eastAsia="Arial" w:hAnsi="Arial"/>
                <w:sz w:val="13"/>
                <w:szCs w:val="13"/>
                <w:b w:val="1"/>
                <w:bCs w:val="1"/>
                <w:color w:val="auto"/>
                <w:w w:val="91"/>
              </w:rPr>
              <w:t>Broker Through</w:t>
            </w:r>
          </w:p>
        </w:tc>
        <w:tc>
          <w:tcPr>
            <w:tcW w:w="2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shd w:val="clear" w:color="auto" w:fill="BFBFBF"/>
          </w:tcPr>
          <w:p>
            <w:pPr>
              <w:spacing w:after="0"/>
              <w:rPr>
                <w:sz w:val="12"/>
                <w:szCs w:val="12"/>
                <w:color w:val="auto"/>
              </w:rPr>
            </w:pPr>
          </w:p>
        </w:tc>
        <w:tc>
          <w:tcPr>
            <w:tcW w:w="600" w:type="dxa"/>
            <w:vAlign w:val="bottom"/>
            <w:tcBorders>
              <w:bottom w:val="single" w:sz="8" w:color="auto"/>
              <w:right w:val="single" w:sz="8" w:color="BFBFBF"/>
            </w:tcBorders>
            <w:shd w:val="clear" w:color="auto" w:fill="BFBFBF"/>
          </w:tcPr>
          <w:p>
            <w:pPr>
              <w:spacing w:after="0"/>
              <w:rPr>
                <w:sz w:val="12"/>
                <w:szCs w:val="12"/>
                <w:color w:val="auto"/>
              </w:rPr>
            </w:pPr>
          </w:p>
        </w:tc>
        <w:tc>
          <w:tcPr>
            <w:tcW w:w="300" w:type="dxa"/>
            <w:vAlign w:val="bottom"/>
            <w:tcBorders>
              <w:bottom w:val="single" w:sz="8" w:color="auto"/>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Borders>
              <w:right w:val="single" w:sz="8" w:color="auto"/>
            </w:tcBorders>
          </w:tcPr>
          <w:p>
            <w:pPr>
              <w:jc w:val="center"/>
              <w:ind w:right="9"/>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tcPr>
          <w:p>
            <w:pPr>
              <w:jc w:val="center"/>
              <w:ind w:left="375"/>
              <w:spacing w:after="0" w:line="108" w:lineRule="exact"/>
              <w:rPr>
                <w:sz w:val="20"/>
                <w:szCs w:val="20"/>
                <w:color w:val="auto"/>
              </w:rPr>
            </w:pPr>
            <w:r>
              <w:rPr>
                <w:rFonts w:ascii="Arial" w:cs="Arial" w:eastAsia="Arial" w:hAnsi="Arial"/>
                <w:sz w:val="12"/>
                <w:szCs w:val="12"/>
                <w:b w:val="1"/>
                <w:bCs w:val="1"/>
                <w:color w:val="auto"/>
                <w:w w:val="96"/>
              </w:rPr>
              <w:t>Title of</w:t>
            </w:r>
          </w:p>
        </w:tc>
        <w:tc>
          <w:tcPr>
            <w:tcW w:w="38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70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w w:val="94"/>
              </w:rPr>
              <w:t>Whom the Securities are to be</w:t>
            </w:r>
          </w:p>
        </w:tc>
        <w:tc>
          <w:tcPr>
            <w:tcW w:w="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gridSpan w:val="3"/>
            <w:shd w:val="clear" w:color="auto" w:fill="BFBFBF"/>
          </w:tcPr>
          <w:p>
            <w:pPr>
              <w:jc w:val="center"/>
              <w:spacing w:after="0" w:line="108" w:lineRule="exact"/>
              <w:rPr>
                <w:sz w:val="20"/>
                <w:szCs w:val="20"/>
                <w:color w:val="auto"/>
              </w:rPr>
            </w:pPr>
            <w:r>
              <w:rPr>
                <w:rFonts w:ascii="Arial" w:cs="Arial" w:eastAsia="Arial" w:hAnsi="Arial"/>
                <w:sz w:val="12"/>
                <w:szCs w:val="12"/>
                <w:b w:val="1"/>
                <w:bCs w:val="1"/>
                <w:color w:val="auto"/>
                <w:w w:val="98"/>
              </w:rPr>
              <w:t>Broker-Dealer</w:t>
            </w:r>
          </w:p>
        </w:tc>
        <w:tc>
          <w:tcPr>
            <w:tcW w:w="380" w:type="dxa"/>
            <w:vAlign w:val="bottom"/>
          </w:tcPr>
          <w:p>
            <w:pPr>
              <w:spacing w:after="0"/>
              <w:rPr>
                <w:sz w:val="9"/>
                <w:szCs w:val="9"/>
                <w:color w:val="auto"/>
              </w:rPr>
            </w:pPr>
          </w:p>
        </w:tc>
        <w:tc>
          <w:tcPr>
            <w:tcW w:w="940" w:type="dxa"/>
            <w:vAlign w:val="bottom"/>
            <w:tcBorders>
              <w:right w:val="single" w:sz="8" w:color="auto"/>
            </w:tcBorders>
          </w:tcPr>
          <w:p>
            <w:pPr>
              <w:jc w:val="center"/>
              <w:ind w:right="29"/>
              <w:spacing w:after="0" w:line="108" w:lineRule="exact"/>
              <w:rPr>
                <w:sz w:val="20"/>
                <w:szCs w:val="20"/>
                <w:color w:val="auto"/>
              </w:rPr>
            </w:pPr>
            <w:r>
              <w:rPr>
                <w:rFonts w:ascii="Arial" w:cs="Arial" w:eastAsia="Arial" w:hAnsi="Arial"/>
                <w:sz w:val="12"/>
                <w:szCs w:val="12"/>
                <w:b w:val="1"/>
                <w:bCs w:val="1"/>
                <w:color w:val="auto"/>
                <w:w w:val="89"/>
              </w:rPr>
              <w:t>Shares</w:t>
            </w:r>
          </w:p>
        </w:tc>
        <w:tc>
          <w:tcPr>
            <w:tcW w:w="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gridSpan w:val="2"/>
          </w:tcPr>
          <w:p>
            <w:pPr>
              <w:jc w:val="center"/>
              <w:spacing w:after="0" w:line="108" w:lineRule="exact"/>
              <w:rPr>
                <w:sz w:val="20"/>
                <w:szCs w:val="20"/>
                <w:color w:val="auto"/>
              </w:rPr>
            </w:pPr>
            <w:r>
              <w:rPr>
                <w:rFonts w:ascii="Arial" w:cs="Arial" w:eastAsia="Arial" w:hAnsi="Arial"/>
                <w:sz w:val="12"/>
                <w:szCs w:val="12"/>
                <w:b w:val="1"/>
                <w:bCs w:val="1"/>
                <w:color w:val="auto"/>
                <w:w w:val="94"/>
              </w:rPr>
              <w:t>Aggregate</w:t>
            </w:r>
          </w:p>
        </w:tc>
        <w:tc>
          <w:tcPr>
            <w:tcW w:w="1400" w:type="dxa"/>
            <w:vAlign w:val="bottom"/>
            <w:tcBorders>
              <w:right w:val="single" w:sz="8" w:color="auto"/>
            </w:tcBorders>
            <w:gridSpan w:val="3"/>
          </w:tcPr>
          <w:p>
            <w:pPr>
              <w:jc w:val="center"/>
              <w:ind w:left="228"/>
              <w:spacing w:after="0" w:line="108" w:lineRule="exact"/>
              <w:rPr>
                <w:sz w:val="20"/>
                <w:szCs w:val="20"/>
                <w:color w:val="auto"/>
              </w:rPr>
            </w:pPr>
            <w:r>
              <w:rPr>
                <w:rFonts w:ascii="Arial" w:cs="Arial" w:eastAsia="Arial" w:hAnsi="Arial"/>
                <w:sz w:val="12"/>
                <w:szCs w:val="12"/>
                <w:b w:val="1"/>
                <w:bCs w:val="1"/>
                <w:color w:val="auto"/>
                <w:w w:val="94"/>
              </w:rPr>
              <w:t>Number of Shares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ind w:left="40"/>
              <w:spacing w:after="0" w:line="108" w:lineRule="exact"/>
              <w:rPr>
                <w:sz w:val="20"/>
                <w:szCs w:val="20"/>
                <w:color w:val="auto"/>
              </w:rPr>
            </w:pPr>
            <w:r>
              <w:rPr>
                <w:rFonts w:ascii="Arial" w:cs="Arial" w:eastAsia="Arial" w:hAnsi="Arial"/>
                <w:sz w:val="12"/>
                <w:szCs w:val="12"/>
                <w:b w:val="1"/>
                <w:bCs w:val="1"/>
                <w:color w:val="auto"/>
                <w:w w:val="98"/>
              </w:rPr>
              <w:t>Approximate</w:t>
            </w:r>
          </w:p>
        </w:tc>
        <w:tc>
          <w:tcPr>
            <w:tcW w:w="10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980" w:type="dxa"/>
            <w:vAlign w:val="bottom"/>
          </w:tcPr>
          <w:p>
            <w:pPr>
              <w:jc w:val="center"/>
              <w:ind w:left="395"/>
              <w:spacing w:after="0" w:line="135" w:lineRule="exact"/>
              <w:rPr>
                <w:sz w:val="20"/>
                <w:szCs w:val="20"/>
                <w:color w:val="auto"/>
              </w:rPr>
            </w:pPr>
            <w:r>
              <w:rPr>
                <w:rFonts w:ascii="Arial" w:cs="Arial" w:eastAsia="Arial" w:hAnsi="Arial"/>
                <w:sz w:val="13"/>
                <w:szCs w:val="13"/>
                <w:b w:val="1"/>
                <w:bCs w:val="1"/>
                <w:color w:val="auto"/>
                <w:w w:val="82"/>
              </w:rPr>
              <w:t>the Class</w:t>
            </w:r>
          </w:p>
        </w:tc>
        <w:tc>
          <w:tcPr>
            <w:tcW w:w="3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jc w:val="center"/>
              <w:ind w:left="135"/>
              <w:spacing w:after="0" w:line="135" w:lineRule="exact"/>
              <w:rPr>
                <w:sz w:val="20"/>
                <w:szCs w:val="20"/>
                <w:color w:val="auto"/>
              </w:rPr>
            </w:pPr>
            <w:r>
              <w:rPr>
                <w:rFonts w:ascii="Arial" w:cs="Arial" w:eastAsia="Arial" w:hAnsi="Arial"/>
                <w:sz w:val="13"/>
                <w:szCs w:val="13"/>
                <w:b w:val="1"/>
                <w:bCs w:val="1"/>
                <w:color w:val="auto"/>
                <w:w w:val="92"/>
              </w:rPr>
              <w:t>Offered or</w:t>
            </w:r>
          </w:p>
        </w:tc>
        <w:tc>
          <w:tcPr>
            <w:tcW w:w="2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60" w:type="dxa"/>
            <w:vAlign w:val="bottom"/>
            <w:shd w:val="clear" w:color="auto" w:fill="BFBFBF"/>
          </w:tcPr>
          <w:p>
            <w:pPr>
              <w:spacing w:after="0"/>
              <w:rPr>
                <w:sz w:val="11"/>
                <w:szCs w:val="11"/>
                <w:color w:val="auto"/>
              </w:rPr>
            </w:pPr>
          </w:p>
        </w:tc>
        <w:tc>
          <w:tcPr>
            <w:tcW w:w="900" w:type="dxa"/>
            <w:vAlign w:val="bottom"/>
            <w:tcBorders>
              <w:right w:val="single" w:sz="8" w:color="auto"/>
            </w:tcBorders>
            <w:gridSpan w:val="2"/>
            <w:shd w:val="clear" w:color="auto" w:fill="BFBFBF"/>
          </w:tcPr>
          <w:p>
            <w:pPr>
              <w:jc w:val="center"/>
              <w:ind w:right="103"/>
              <w:spacing w:after="0" w:line="135" w:lineRule="exact"/>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11"/>
                <w:szCs w:val="11"/>
                <w:color w:val="auto"/>
              </w:rPr>
            </w:pPr>
          </w:p>
        </w:tc>
        <w:tc>
          <w:tcPr>
            <w:tcW w:w="940" w:type="dxa"/>
            <w:vAlign w:val="bottom"/>
            <w:tcBorders>
              <w:right w:val="single" w:sz="8" w:color="auto"/>
            </w:tcBorders>
          </w:tcPr>
          <w:p>
            <w:pPr>
              <w:jc w:val="center"/>
              <w:ind w:right="9"/>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4"/>
              </w:rPr>
              <w:t>of Securities</w:t>
            </w:r>
          </w:p>
        </w:tc>
        <w:tc>
          <w:tcPr>
            <w:tcW w:w="400" w:type="dxa"/>
            <w:vAlign w:val="bottom"/>
          </w:tcPr>
          <w:p>
            <w:pPr>
              <w:spacing w:after="0"/>
              <w:rPr>
                <w:sz w:val="11"/>
                <w:szCs w:val="11"/>
                <w:color w:val="auto"/>
              </w:rPr>
            </w:pPr>
          </w:p>
        </w:tc>
        <w:tc>
          <w:tcPr>
            <w:tcW w:w="1460" w:type="dxa"/>
            <w:vAlign w:val="bottom"/>
          </w:tcPr>
          <w:p>
            <w:pPr>
              <w:jc w:val="center"/>
              <w:ind w:left="175"/>
              <w:spacing w:after="0" w:line="131" w:lineRule="exact"/>
              <w:rPr>
                <w:sz w:val="20"/>
                <w:szCs w:val="20"/>
                <w:color w:val="auto"/>
              </w:rPr>
            </w:pPr>
            <w:r>
              <w:rPr>
                <w:rFonts w:ascii="Arial" w:cs="Arial" w:eastAsia="Arial" w:hAnsi="Arial"/>
                <w:sz w:val="13"/>
                <w:szCs w:val="13"/>
                <w:b w:val="1"/>
                <w:bCs w:val="1"/>
                <w:color w:val="auto"/>
                <w:w w:val="93"/>
              </w:rPr>
              <w:t>Each Market Maker</w:t>
            </w:r>
          </w:p>
        </w:tc>
        <w:tc>
          <w:tcPr>
            <w:tcW w:w="2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60" w:type="dxa"/>
            <w:vAlign w:val="bottom"/>
            <w:shd w:val="clear" w:color="auto" w:fill="BFBFBF"/>
          </w:tcPr>
          <w:p>
            <w:pPr>
              <w:spacing w:after="0"/>
              <w:rPr>
                <w:sz w:val="11"/>
                <w:szCs w:val="11"/>
                <w:color w:val="auto"/>
              </w:rPr>
            </w:pPr>
          </w:p>
        </w:tc>
        <w:tc>
          <w:tcPr>
            <w:tcW w:w="600" w:type="dxa"/>
            <w:vAlign w:val="bottom"/>
            <w:tcBorders>
              <w:right w:val="single" w:sz="8" w:color="BFBFBF"/>
            </w:tcBorders>
            <w:shd w:val="clear" w:color="auto" w:fill="BFBFBF"/>
          </w:tcPr>
          <w:p>
            <w:pPr>
              <w:spacing w:after="0"/>
              <w:rPr>
                <w:sz w:val="11"/>
                <w:szCs w:val="11"/>
                <w:color w:val="auto"/>
              </w:rPr>
            </w:pPr>
          </w:p>
        </w:tc>
        <w:tc>
          <w:tcPr>
            <w:tcW w:w="300" w:type="dxa"/>
            <w:vAlign w:val="bottom"/>
            <w:tcBorders>
              <w:right w:val="single" w:sz="8" w:color="auto"/>
            </w:tcBorders>
            <w:shd w:val="clear" w:color="auto" w:fill="BFBFBF"/>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right w:val="single" w:sz="8" w:color="auto"/>
            </w:tcBorders>
          </w:tcPr>
          <w:p>
            <w:pPr>
              <w:jc w:val="center"/>
              <w:ind w:right="9"/>
              <w:spacing w:after="0" w:line="131" w:lineRule="exact"/>
              <w:rPr>
                <w:sz w:val="20"/>
                <w:szCs w:val="20"/>
                <w:color w:val="auto"/>
              </w:rPr>
            </w:pPr>
            <w:r>
              <w:rPr>
                <w:rFonts w:ascii="Arial" w:cs="Arial" w:eastAsia="Arial" w:hAnsi="Arial"/>
                <w:sz w:val="13"/>
                <w:szCs w:val="13"/>
                <w:b w:val="1"/>
                <w:bCs w:val="1"/>
                <w:color w:val="auto"/>
                <w:w w:val="85"/>
              </w:rPr>
              <w:t>To Be Sold</w:t>
            </w:r>
          </w:p>
        </w:tc>
        <w:tc>
          <w:tcPr>
            <w:tcW w:w="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To Be Sold</w:t>
            </w: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3"/>
                <w:szCs w:val="13"/>
                <w:i w:val="1"/>
                <w:iCs w:val="1"/>
                <w:color w:val="auto"/>
                <w:w w:val="87"/>
              </w:rPr>
              <w:t>(See instr. 3(c))</w:t>
            </w:r>
          </w:p>
        </w:tc>
        <w:tc>
          <w:tcPr>
            <w:tcW w:w="8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8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2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300" w:type="dxa"/>
            <w:vAlign w:val="bottom"/>
            <w:tcBorders>
              <w:right w:val="single" w:sz="8" w:color="auto"/>
            </w:tcBorders>
            <w:shd w:val="clear" w:color="auto" w:fill="BFBFBF"/>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Common Stock</w:t>
            </w:r>
          </w:p>
        </w:tc>
        <w:tc>
          <w:tcPr>
            <w:tcW w:w="2100" w:type="dxa"/>
            <w:vAlign w:val="bottom"/>
            <w:gridSpan w:val="3"/>
          </w:tcPr>
          <w:p>
            <w:pPr>
              <w:ind w:left="40"/>
              <w:spacing w:after="0"/>
              <w:rPr>
                <w:sz w:val="20"/>
                <w:szCs w:val="20"/>
                <w:color w:val="auto"/>
              </w:rPr>
            </w:pPr>
            <w:r>
              <w:rPr>
                <w:rFonts w:ascii="Arial" w:cs="Arial" w:eastAsia="Arial" w:hAnsi="Arial"/>
                <w:sz w:val="18"/>
                <w:szCs w:val="18"/>
                <w:color w:val="auto"/>
                <w:w w:val="90"/>
              </w:rPr>
              <w:t>1900 St. James Place, Suite</w:t>
            </w:r>
          </w:p>
        </w:tc>
        <w:tc>
          <w:tcPr>
            <w:tcW w:w="80" w:type="dxa"/>
            <w:vAlign w:val="bottom"/>
            <w:tcBorders>
              <w:right w:val="single" w:sz="8" w:color="auto"/>
            </w:tcBorders>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32,828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83"/>
              <w:spacing w:after="0"/>
              <w:rPr>
                <w:sz w:val="20"/>
                <w:szCs w:val="20"/>
                <w:color w:val="auto"/>
              </w:rPr>
            </w:pPr>
            <w:r>
              <w:rPr>
                <w:rFonts w:ascii="Arial" w:cs="Arial" w:eastAsia="Arial" w:hAnsi="Arial"/>
                <w:sz w:val="18"/>
                <w:szCs w:val="18"/>
                <w:color w:val="auto"/>
                <w:w w:val="92"/>
              </w:rPr>
              <w:t>$2,134,299.00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1,201,037,022</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3"/>
              <w:spacing w:after="0"/>
              <w:rPr>
                <w:sz w:val="20"/>
                <w:szCs w:val="20"/>
                <w:color w:val="auto"/>
              </w:rPr>
            </w:pPr>
            <w:r>
              <w:rPr>
                <w:rFonts w:ascii="Arial" w:cs="Arial" w:eastAsia="Arial" w:hAnsi="Arial"/>
                <w:sz w:val="18"/>
                <w:szCs w:val="18"/>
                <w:color w:val="auto"/>
                <w:w w:val="90"/>
              </w:rPr>
              <w:t>11/10/2009</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100</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Houston, TX 77056-4108</w:t>
            </w:r>
          </w:p>
        </w:tc>
        <w:tc>
          <w:tcPr>
            <w:tcW w:w="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300" w:type="dxa"/>
            <w:vAlign w:val="bottom"/>
            <w:tcBorders>
              <w:bottom w:val="single" w:sz="8" w:color="auto"/>
              <w:right w:val="single" w:sz="8" w:color="auto"/>
            </w:tcBorders>
            <w:shd w:val="clear" w:color="auto" w:fill="BFBFBF"/>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300" w:type="dxa"/>
            <w:vAlign w:val="bottom"/>
            <w:gridSpan w:val="6"/>
          </w:tcPr>
          <w:p>
            <w:pPr>
              <w:ind w:left="100"/>
              <w:spacing w:after="0" w:line="135" w:lineRule="exact"/>
              <w:rPr>
                <w:sz w:val="20"/>
                <w:szCs w:val="20"/>
                <w:color w:val="auto"/>
              </w:rPr>
            </w:pPr>
            <w:r>
              <w:rPr>
                <w:rFonts w:ascii="Arial" w:cs="Arial" w:eastAsia="Arial" w:hAnsi="Arial"/>
                <w:sz w:val="13"/>
                <w:szCs w:val="13"/>
                <w:color w:val="auto"/>
                <w:w w:val="88"/>
              </w:rPr>
              <w:t>(a)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gridSpan w:val="11"/>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40" w:type="dxa"/>
            <w:vAlign w:val="bottom"/>
            <w:gridSpan w:val="13"/>
          </w:tcPr>
          <w:p>
            <w:pPr>
              <w:ind w:left="1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8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40" w:type="dxa"/>
            <w:vAlign w:val="bottom"/>
            <w:gridSpan w:val="19"/>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40" w:type="dxa"/>
            <w:vAlign w:val="bottom"/>
            <w:gridSpan w:val="9"/>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40" w:type="dxa"/>
            <w:vAlign w:val="bottom"/>
            <w:gridSpan w:val="9"/>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60" w:type="dxa"/>
            <w:vAlign w:val="bottom"/>
            <w:gridSpan w:val="5"/>
          </w:tcPr>
          <w:p>
            <w:pPr>
              <w:spacing w:after="0" w:line="145" w:lineRule="exact"/>
              <w:rPr>
                <w:sz w:val="20"/>
                <w:szCs w:val="20"/>
                <w:color w:val="auto"/>
              </w:rPr>
            </w:pPr>
            <w:r>
              <w:rPr>
                <w:rFonts w:ascii="Arial" w:cs="Arial" w:eastAsia="Arial" w:hAnsi="Arial"/>
                <w:sz w:val="13"/>
                <w:szCs w:val="13"/>
                <w:color w:val="auto"/>
                <w:w w:val="89"/>
              </w:rPr>
              <w:t>(a) Name of person for whose account the securities are to be sold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1"/>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Nature of Acquisition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11/10/2009</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32,828</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11/10/2009</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11/10/2009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/s/Mark Danton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2019-12-10T02:45:56Z</dcterms:created>
  <dcterms:modified xsi:type="dcterms:W3CDTF">2019-12-10T02:45:56Z</dcterms:modified>
</cp:coreProperties>
</file>