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Floridia Aaron Gatt</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900" w:type="dxa"/>
            <w:vAlign w:val="bottom"/>
            <w:tcBorders>
              <w:top w:val="single" w:sz="8" w:color="0000EE"/>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32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660" w:type="dxa"/>
            <w:vAlign w:val="bottom"/>
            <w:tcBorders>
              <w:top w:val="single" w:sz="8" w:color="EEEEEE"/>
            </w:tcBorders>
            <w:vMerge w:val="restart"/>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32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01/18/2019</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President, Western Hemisphere</w:t>
      </w:r>
    </w:p>
    <w:p>
      <w:pPr>
        <w:spacing w:after="0" w:line="31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jc w:val="center"/>
              <w:ind w:left="4"/>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8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8"/>
                <w:szCs w:val="18"/>
                <w:color w:val="0000FF"/>
                <w:w w:val="88"/>
              </w:rPr>
              <w:t>01/18/2019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4"/>
              </w:rPr>
              <w:t>44,015</w:t>
            </w:r>
            <w:r>
              <w:rPr>
                <w:rFonts w:ascii="Arial" w:cs="Arial" w:eastAsia="Arial" w:hAnsi="Arial"/>
                <w:sz w:val="22"/>
                <w:szCs w:val="22"/>
                <w:color w:val="008000"/>
                <w:w w:val="84"/>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104,208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8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8"/>
                <w:szCs w:val="18"/>
                <w:color w:val="0000FF"/>
                <w:w w:val="88"/>
              </w:rPr>
              <w:t>01/18/2019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4"/>
              </w:rPr>
              <w:t>48,000</w:t>
            </w:r>
            <w:r>
              <w:rPr>
                <w:rFonts w:ascii="Arial" w:cs="Arial" w:eastAsia="Arial" w:hAnsi="Arial"/>
                <w:sz w:val="22"/>
                <w:szCs w:val="22"/>
                <w:color w:val="008000"/>
                <w:w w:val="84"/>
                <w:vertAlign w:val="superscript"/>
              </w:rPr>
              <w:t>(2)</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152,208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8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80" w:type="dxa"/>
            <w:vAlign w:val="bottom"/>
            <w:gridSpan w:val="2"/>
          </w:tcPr>
          <w:p>
            <w:pPr>
              <w:jc w:val="center"/>
              <w:ind w:left="4"/>
              <w:spacing w:after="0"/>
              <w:rPr>
                <w:sz w:val="20"/>
                <w:szCs w:val="20"/>
                <w:color w:val="auto"/>
              </w:rPr>
            </w:pPr>
            <w:r>
              <w:rPr>
                <w:rFonts w:ascii="Arial" w:cs="Arial" w:eastAsia="Arial" w:hAnsi="Arial"/>
                <w:sz w:val="18"/>
                <w:szCs w:val="18"/>
                <w:color w:val="0000FF"/>
                <w:w w:val="88"/>
              </w:rPr>
              <w:t>01/18/2019</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Pr>
          <w:p>
            <w:pPr>
              <w:jc w:val="center"/>
              <w:ind w:left="149"/>
              <w:spacing w:after="0"/>
              <w:rPr>
                <w:sz w:val="20"/>
                <w:szCs w:val="20"/>
                <w:color w:val="auto"/>
              </w:rPr>
            </w:pPr>
            <w:r>
              <w:rPr>
                <w:rFonts w:ascii="Arial" w:cs="Arial" w:eastAsia="Arial" w:hAnsi="Arial"/>
                <w:sz w:val="18"/>
                <w:szCs w:val="18"/>
                <w:color w:val="0000FF"/>
                <w:w w:val="87"/>
              </w:rPr>
              <w:t>36,290</w:t>
            </w:r>
          </w:p>
        </w:tc>
        <w:tc>
          <w:tcPr>
            <w:tcW w:w="32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D</w:t>
            </w: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43.97</w:t>
            </w:r>
          </w:p>
        </w:tc>
        <w:tc>
          <w:tcPr>
            <w:tcW w:w="1240" w:type="dxa"/>
            <w:vAlign w:val="bottom"/>
            <w:gridSpan w:val="2"/>
          </w:tcPr>
          <w:p>
            <w:pPr>
              <w:ind w:left="320"/>
              <w:spacing w:after="0"/>
              <w:rPr>
                <w:sz w:val="20"/>
                <w:szCs w:val="20"/>
                <w:color w:val="auto"/>
              </w:rPr>
            </w:pPr>
            <w:r>
              <w:rPr>
                <w:rFonts w:ascii="Arial" w:cs="Arial" w:eastAsia="Arial" w:hAnsi="Arial"/>
                <w:sz w:val="18"/>
                <w:szCs w:val="18"/>
                <w:color w:val="0000FF"/>
              </w:rPr>
              <w:t>115,918</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2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common stock issued to the reporting person on January 18, 2019 upon achievement of the performance criteria and vesting of performance share units granted on January 21, 2016.</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restricted common stock issued to the reporting person on January 18, 2019 upon achievement of the performance criteria and vesting of performance share units granted on January 19, 2017.</w:t>
      </w:r>
    </w:p>
    <w:p>
      <w:pPr>
        <w:spacing w:after="0" w:line="51"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Saul R. Laureles, Attorney-</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01/23/2019</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7607"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2019-12-23T21:21:40Z</dcterms:created>
  <dcterms:modified xsi:type="dcterms:W3CDTF">2019-12-23T21:21:40Z</dcterms:modified>
</cp:coreProperties>
</file>