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KIBSGAARD PAAL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03/12/2019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267" w:lineRule="exact"/>
        <w:rPr>
          <w:sz w:val="24"/>
          <w:szCs w:val="24"/>
          <w:color w:val="auto"/>
        </w:rPr>
      </w:pPr>
    </w:p>
    <w:p>
      <w:pPr>
        <w:sectPr>
          <w:pgSz w:w="11900" w:h="16838" w:orient="portrait"/>
          <w:cols w:equalWidth="0" w:num="3">
            <w:col w:w="3360" w:space="720"/>
            <w:col w:w="3680" w:space="29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72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4"/>
          </w:tcPr>
          <w:p>
            <w:pPr>
              <w:ind w:left="240"/>
              <w:spacing w:after="0" w:line="155" w:lineRule="exact"/>
              <w:rPr>
                <w:sz w:val="20"/>
                <w:szCs w:val="20"/>
                <w:color w:val="auto"/>
              </w:rPr>
            </w:pPr>
            <w:r>
              <w:rPr>
                <w:rFonts w:ascii="Arial" w:cs="Arial" w:eastAsia="Arial" w:hAnsi="Arial"/>
                <w:sz w:val="14"/>
                <w:szCs w:val="14"/>
                <w:color w:val="auto"/>
              </w:rPr>
              <w:t>Line)</w:t>
            </w: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8"/>
                <w:szCs w:val="18"/>
                <w:color w:val="0000FF"/>
              </w:rPr>
              <w:t>77056</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60" w:type="dxa"/>
            <w:vAlign w:val="bottom"/>
            <w:gridSpan w:val="6"/>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vMerge w:val="restart"/>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8"/>
              <w:spacing w:after="0"/>
              <w:rPr>
                <w:sz w:val="20"/>
                <w:szCs w:val="20"/>
                <w:color w:val="auto"/>
              </w:rPr>
            </w:pPr>
            <w:r>
              <w:rPr>
                <w:rFonts w:ascii="Arial" w:cs="Arial" w:eastAsia="Arial" w:hAnsi="Arial"/>
                <w:sz w:val="18"/>
                <w:szCs w:val="18"/>
                <w:color w:val="0000FF"/>
              </w:rPr>
              <w:t>03/12/2019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18,314</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8"/>
                <w:szCs w:val="18"/>
                <w:color w:val="0000FF"/>
              </w:rPr>
              <w:t>357,070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Company granted performance share units ("PSUs") to the reporting person on January 21, 2016. Vesting of the PSUs was based on three-year Company performance relative to select key competitors. Most of these competitors had not reported their 2018 audited financial results when the Company's compensation committee met in January 2019 to certify performance under the PSUs. As a result, the Company's compensation committee approved the issuance of 90% of the shares that the committee determined had been earned according to the information available to the committee at the time. As of March 12, 2019, all such competitors had reported their 2018 audited financial results. Shares of common stock reported hereunder represent shares finally determined to have been earned under the PSUs.</w:t>
      </w:r>
    </w:p>
    <w:p>
      <w:pPr>
        <w:sectPr>
          <w:pgSz w:w="11900" w:h="16838" w:orient="portrait"/>
          <w:cols w:equalWidth="0" w:num="1">
            <w:col w:w="11420"/>
          </w:cols>
          <w:pgMar w:left="240" w:top="226" w:right="239" w:bottom="1440" w:gutter="0" w:footer="0" w:header="0"/>
          <w:type w:val="continuous"/>
        </w:sectPr>
      </w:pPr>
    </w:p>
    <w:p>
      <w:pPr>
        <w:spacing w:after="0" w:line="38"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Saul R. Laureles,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0000FF"/>
        </w:rPr>
        <w:t>03/14/2019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5823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2019-12-23T21:23:30Z</dcterms:created>
  <dcterms:modified xsi:type="dcterms:W3CDTF">2019-12-23T21:23:30Z</dcterms:modified>
</cp:coreProperties>
</file>