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52"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2024</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spacing w:after="0" w:line="8" w:lineRule="exact"/>
        <w:rPr>
          <w:sz w:val="24"/>
          <w:szCs w:val="24"/>
          <w:color w:val="auto"/>
        </w:rPr>
      </w:pPr>
    </w:p>
    <w:p>
      <w:pPr>
        <w:ind w:left="4520" w:right="2420" w:hanging="4499"/>
        <w:spacing w:after="0" w:line="386" w:lineRule="auto"/>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2540</wp:posOffset>
            </wp:positionV>
            <wp:extent cx="1543050"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Schlumberger N.V. (Schlumberger Limited)</w:t>
      </w:r>
    </w:p>
    <w:p>
      <w:pPr>
        <w:spacing w:after="0" w:line="43" w:lineRule="exact"/>
        <w:rPr>
          <w:sz w:val="24"/>
          <w:szCs w:val="24"/>
          <w:color w:val="auto"/>
        </w:rPr>
      </w:pPr>
    </w:p>
    <w:tbl>
      <w:tblPr>
        <w:tblLayout w:type="fixed"/>
        <w:tblInd w:w="1340" w:type="dxa"/>
        <w:tblCellMar>
          <w:top w:w="0" w:type="dxa"/>
          <w:left w:w="0" w:type="dxa"/>
          <w:bottom w:w="0" w:type="dxa"/>
          <w:right w:w="0" w:type="dxa"/>
        </w:tblCellMar>
      </w:tblPr>
      <w:tr>
        <w:trPr>
          <w:trHeight w:val="190"/>
        </w:trPr>
        <w:tc>
          <w:tcPr>
            <w:tcW w:w="6280" w:type="dxa"/>
            <w:vAlign w:val="bottom"/>
            <w:gridSpan w:val="3"/>
          </w:tcPr>
          <w:p>
            <w:pPr>
              <w:ind w:left="2620"/>
              <w:spacing w:after="0"/>
              <w:rPr>
                <w:sz w:val="20"/>
                <w:szCs w:val="20"/>
                <w:color w:val="auto"/>
              </w:rPr>
            </w:pPr>
            <w:r>
              <w:rPr>
                <w:rFonts w:ascii="Arial" w:cs="Arial" w:eastAsia="Arial" w:hAnsi="Arial"/>
                <w:sz w:val="14"/>
                <w:szCs w:val="14"/>
                <w:color w:val="auto"/>
              </w:rPr>
              <w:t>(Exact name of registrant as specified in its charter)</w:t>
            </w:r>
          </w:p>
        </w:tc>
        <w:tc>
          <w:tcPr>
            <w:tcW w:w="1360" w:type="dxa"/>
            <w:vAlign w:val="bottom"/>
          </w:tcPr>
          <w:p>
            <w:pPr>
              <w:spacing w:after="0"/>
              <w:rPr>
                <w:sz w:val="16"/>
                <w:szCs w:val="16"/>
                <w:color w:val="auto"/>
              </w:rPr>
            </w:pPr>
          </w:p>
        </w:tc>
      </w:tr>
      <w:tr>
        <w:trPr>
          <w:trHeight w:val="102"/>
        </w:trPr>
        <w:tc>
          <w:tcPr>
            <w:tcW w:w="316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300"/>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w w:val="99"/>
              </w:rPr>
              <w:t>Curaçao</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52-0684746</w:t>
            </w:r>
          </w:p>
        </w:tc>
      </w:tr>
      <w:tr>
        <w:trPr>
          <w:trHeight w:val="135"/>
        </w:trPr>
        <w:tc>
          <w:tcPr>
            <w:tcW w:w="6280" w:type="dxa"/>
            <w:vAlign w:val="bottom"/>
            <w:gridSpan w:val="3"/>
          </w:tcPr>
          <w:p>
            <w:pPr>
              <w:jc w:val="center"/>
              <w:ind w:right="3440"/>
              <w:spacing w:after="0" w:line="135" w:lineRule="exact"/>
              <w:rPr>
                <w:sz w:val="20"/>
                <w:szCs w:val="20"/>
                <w:color w:val="auto"/>
              </w:rPr>
            </w:pPr>
            <w:r>
              <w:rPr>
                <w:rFonts w:ascii="Arial" w:cs="Arial" w:eastAsia="Arial" w:hAnsi="Arial"/>
                <w:sz w:val="13"/>
                <w:szCs w:val="13"/>
                <w:color w:val="auto"/>
                <w:w w:val="95"/>
              </w:rPr>
              <w:t>(State or other jurisdiction of</w:t>
            </w:r>
          </w:p>
        </w:tc>
        <w:tc>
          <w:tcPr>
            <w:tcW w:w="1360" w:type="dxa"/>
            <w:vAlign w:val="bottom"/>
          </w:tcPr>
          <w:p>
            <w:pPr>
              <w:jc w:val="center"/>
              <w:ind w:left="311"/>
              <w:spacing w:after="0" w:line="135" w:lineRule="exact"/>
              <w:rPr>
                <w:sz w:val="20"/>
                <w:szCs w:val="20"/>
                <w:color w:val="auto"/>
              </w:rPr>
            </w:pPr>
            <w:r>
              <w:rPr>
                <w:rFonts w:ascii="Arial" w:cs="Arial" w:eastAsia="Arial" w:hAnsi="Arial"/>
                <w:sz w:val="13"/>
                <w:szCs w:val="13"/>
                <w:color w:val="auto"/>
                <w:w w:val="96"/>
              </w:rPr>
              <w:t>(IRS Employer</w:t>
            </w:r>
          </w:p>
        </w:tc>
      </w:tr>
      <w:tr>
        <w:trPr>
          <w:trHeight w:val="166"/>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incorporation or organization)</w:t>
            </w:r>
          </w:p>
        </w:tc>
        <w:tc>
          <w:tcPr>
            <w:tcW w:w="1360" w:type="dxa"/>
            <w:vAlign w:val="bottom"/>
          </w:tcPr>
          <w:p>
            <w:pPr>
              <w:jc w:val="center"/>
              <w:ind w:left="311"/>
              <w:spacing w:after="0"/>
              <w:rPr>
                <w:sz w:val="20"/>
                <w:szCs w:val="20"/>
                <w:color w:val="auto"/>
              </w:rPr>
            </w:pPr>
            <w:r>
              <w:rPr>
                <w:rFonts w:ascii="Arial" w:cs="Arial" w:eastAsia="Arial" w:hAnsi="Arial"/>
                <w:sz w:val="13"/>
                <w:szCs w:val="13"/>
                <w:color w:val="auto"/>
                <w:w w:val="96"/>
              </w:rPr>
              <w:t>Identification No.)</w:t>
            </w:r>
          </w:p>
        </w:tc>
      </w:tr>
      <w:tr>
        <w:trPr>
          <w:trHeight w:val="342"/>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42 rue Saint-Dominique</w:t>
            </w:r>
          </w:p>
        </w:tc>
        <w:tc>
          <w:tcPr>
            <w:tcW w:w="1360" w:type="dxa"/>
            <w:vAlign w:val="bottom"/>
          </w:tcPr>
          <w:p>
            <w:pPr>
              <w:spacing w:after="0"/>
              <w:rPr>
                <w:sz w:val="24"/>
                <w:szCs w:val="24"/>
                <w:color w:val="auto"/>
              </w:rPr>
            </w:pPr>
          </w:p>
        </w:tc>
      </w:tr>
      <w:tr>
        <w:trPr>
          <w:trHeight w:val="196"/>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Paris, France</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75007</w:t>
            </w:r>
          </w:p>
        </w:tc>
      </w:tr>
      <w:tr>
        <w:trPr>
          <w:trHeight w:val="330"/>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5599 San Felipe</w:t>
            </w:r>
          </w:p>
        </w:tc>
        <w:tc>
          <w:tcPr>
            <w:tcW w:w="1360" w:type="dxa"/>
            <w:vAlign w:val="bottom"/>
          </w:tcPr>
          <w:p>
            <w:pPr>
              <w:spacing w:after="0"/>
              <w:rPr>
                <w:sz w:val="24"/>
                <w:szCs w:val="24"/>
                <w:color w:val="auto"/>
              </w:rPr>
            </w:pPr>
          </w:p>
        </w:tc>
      </w:tr>
      <w:tr>
        <w:trPr>
          <w:trHeight w:val="196"/>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Houston, Texas, United States of America</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77056</w:t>
            </w:r>
          </w:p>
        </w:tc>
      </w:tr>
      <w:tr>
        <w:trPr>
          <w:trHeight w:val="330"/>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62 Buckingham Gate</w:t>
            </w:r>
          </w:p>
        </w:tc>
        <w:tc>
          <w:tcPr>
            <w:tcW w:w="1360" w:type="dxa"/>
            <w:vAlign w:val="bottom"/>
          </w:tcPr>
          <w:p>
            <w:pPr>
              <w:spacing w:after="0"/>
              <w:rPr>
                <w:sz w:val="24"/>
                <w:szCs w:val="24"/>
                <w:color w:val="auto"/>
              </w:rPr>
            </w:pPr>
          </w:p>
        </w:tc>
      </w:tr>
      <w:tr>
        <w:trPr>
          <w:trHeight w:val="196"/>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London, United Kingdom</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SW1E 6AJ</w:t>
            </w:r>
          </w:p>
        </w:tc>
      </w:tr>
      <w:tr>
        <w:trPr>
          <w:trHeight w:val="371"/>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Parkstraat 83</w:t>
            </w:r>
          </w:p>
        </w:tc>
        <w:tc>
          <w:tcPr>
            <w:tcW w:w="1360" w:type="dxa"/>
            <w:vAlign w:val="bottom"/>
          </w:tcPr>
          <w:p>
            <w:pPr>
              <w:spacing w:after="0"/>
              <w:rPr>
                <w:sz w:val="24"/>
                <w:szCs w:val="24"/>
                <w:color w:val="auto"/>
              </w:rPr>
            </w:pPr>
          </w:p>
        </w:tc>
      </w:tr>
      <w:tr>
        <w:trPr>
          <w:trHeight w:val="180"/>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The Hague, The Netherlands</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2514 JG</w:t>
            </w:r>
          </w:p>
        </w:tc>
      </w:tr>
      <w:tr>
        <w:trPr>
          <w:trHeight w:val="166"/>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(Addresses of principal executive offices)</w:t>
            </w:r>
          </w:p>
        </w:tc>
        <w:tc>
          <w:tcPr>
            <w:tcW w:w="1360" w:type="dxa"/>
            <w:vAlign w:val="bottom"/>
          </w:tcPr>
          <w:p>
            <w:pPr>
              <w:jc w:val="center"/>
              <w:ind w:left="311"/>
              <w:spacing w:after="0"/>
              <w:rPr>
                <w:sz w:val="20"/>
                <w:szCs w:val="20"/>
                <w:color w:val="auto"/>
              </w:rPr>
            </w:pPr>
            <w:r>
              <w:rPr>
                <w:rFonts w:ascii="Arial" w:cs="Arial" w:eastAsia="Arial" w:hAnsi="Arial"/>
                <w:sz w:val="13"/>
                <w:szCs w:val="13"/>
                <w:color w:val="auto"/>
                <w:w w:val="97"/>
              </w:rPr>
              <w:t>(Zip Codes)</w:t>
            </w:r>
          </w:p>
        </w:tc>
      </w:tr>
    </w:tbl>
    <w:p>
      <w:pPr>
        <w:spacing w:after="0" w:line="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2"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1"/>
        </w:trPr>
        <w:tc>
          <w:tcPr>
            <w:tcW w:w="3360" w:type="dxa"/>
            <w:vAlign w:val="bottom"/>
            <w:gridSpan w:val="3"/>
          </w:tcPr>
          <w:p>
            <w:pPr>
              <w:jc w:val="center"/>
              <w:ind w:right="720"/>
              <w:spacing w:after="0"/>
              <w:rPr>
                <w:sz w:val="20"/>
                <w:szCs w:val="20"/>
                <w:color w:val="auto"/>
              </w:rPr>
            </w:pPr>
            <w:r>
              <w:rPr>
                <w:rFonts w:ascii="Arial" w:cs="Arial" w:eastAsia="Arial" w:hAnsi="Arial"/>
                <w:sz w:val="14"/>
                <w:szCs w:val="14"/>
                <w:color w:val="auto"/>
              </w:rPr>
              <w:t>common stock, par value $0.01 per share</w:t>
            </w:r>
          </w:p>
        </w:tc>
        <w:tc>
          <w:tcPr>
            <w:tcW w:w="700" w:type="dxa"/>
            <w:vAlign w:val="bottom"/>
          </w:tcPr>
          <w:p>
            <w:pPr>
              <w:spacing w:after="0"/>
              <w:rPr>
                <w:sz w:val="17"/>
                <w:szCs w:val="17"/>
                <w:color w:val="auto"/>
              </w:rPr>
            </w:pPr>
          </w:p>
        </w:tc>
        <w:tc>
          <w:tcPr>
            <w:tcW w:w="1860" w:type="dxa"/>
            <w:vAlign w:val="bottom"/>
            <w:gridSpan w:val="2"/>
          </w:tcPr>
          <w:p>
            <w:pPr>
              <w:jc w:val="center"/>
              <w:ind w:right="600"/>
              <w:spacing w:after="0"/>
              <w:rPr>
                <w:sz w:val="20"/>
                <w:szCs w:val="20"/>
                <w:color w:val="auto"/>
              </w:rPr>
            </w:pPr>
            <w:r>
              <w:rPr>
                <w:rFonts w:ascii="Arial" w:cs="Arial" w:eastAsia="Arial" w:hAnsi="Arial"/>
                <w:sz w:val="14"/>
                <w:szCs w:val="14"/>
                <w:color w:val="auto"/>
                <w:w w:val="98"/>
              </w:rPr>
              <w:t>SLB</w:t>
            </w:r>
          </w:p>
        </w:tc>
        <w:tc>
          <w:tcPr>
            <w:tcW w:w="62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90" w:lineRule="exact"/>
        <w:rPr>
          <w:sz w:val="24"/>
          <w:szCs w:val="24"/>
          <w:color w:val="auto"/>
        </w:rPr>
      </w:pPr>
    </w:p>
    <w:p>
      <w:pPr>
        <w:ind w:right="12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60"/>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20"/>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9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5"/>
        </w:trPr>
        <w:tc>
          <w:tcPr>
            <w:tcW w:w="1940" w:type="dxa"/>
            <w:vAlign w:val="bottom"/>
          </w:tcPr>
          <w:p>
            <w:pPr>
              <w:spacing w:after="0"/>
              <w:rPr>
                <w:sz w:val="20"/>
                <w:szCs w:val="20"/>
                <w:color w:val="auto"/>
              </w:rPr>
            </w:pPr>
            <w:r>
              <w:rPr>
                <w:rFonts w:ascii="Arial" w:cs="Arial" w:eastAsia="Arial" w:hAnsi="Arial"/>
                <w:sz w:val="13"/>
                <w:szCs w:val="13"/>
                <w:color w:val="auto"/>
              </w:rPr>
              <w:t>Non-accelerated filer</w:t>
            </w:r>
          </w:p>
        </w:tc>
        <w:tc>
          <w:tcPr>
            <w:tcW w:w="35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11"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7440" w:type="dxa"/>
            <w:vAlign w:val="bottom"/>
            <w:gridSpan w:val="3"/>
          </w:tcPr>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p>
        </w:tc>
        <w:tc>
          <w:tcPr>
            <w:tcW w:w="3800" w:type="dxa"/>
            <w:vAlign w:val="bottom"/>
            <w:gridSpan w:val="3"/>
          </w:tcPr>
          <w:p>
            <w:pPr>
              <w:ind w:left="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37"/>
        </w:trPr>
        <w:tc>
          <w:tcPr>
            <w:tcW w:w="7440" w:type="dxa"/>
            <w:vAlign w:val="bottom"/>
            <w:gridSpan w:val="3"/>
          </w:tcPr>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tc>
        <w:tc>
          <w:tcPr>
            <w:tcW w:w="8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75"/>
        </w:trPr>
        <w:tc>
          <w:tcPr>
            <w:tcW w:w="7440" w:type="dxa"/>
            <w:vAlign w:val="bottom"/>
            <w:gridSpan w:val="3"/>
          </w:tcPr>
          <w:p>
            <w:pPr>
              <w:ind w:left="3740"/>
              <w:spacing w:after="0"/>
              <w:rPr>
                <w:sz w:val="20"/>
                <w:szCs w:val="20"/>
                <w:color w:val="auto"/>
              </w:rPr>
            </w:pPr>
            <w:r>
              <w:rPr>
                <w:rFonts w:ascii="Arial" w:cs="Arial" w:eastAsia="Arial" w:hAnsi="Arial"/>
                <w:sz w:val="15"/>
                <w:szCs w:val="15"/>
                <w:b w:val="1"/>
                <w:bCs w:val="1"/>
                <w:color w:val="auto"/>
              </w:rPr>
              <w:t>Class</w:t>
            </w:r>
          </w:p>
        </w:tc>
        <w:tc>
          <w:tcPr>
            <w:tcW w:w="840" w:type="dxa"/>
            <w:vAlign w:val="bottom"/>
          </w:tcPr>
          <w:p>
            <w:pPr>
              <w:spacing w:after="0"/>
              <w:rPr>
                <w:sz w:val="23"/>
                <w:szCs w:val="23"/>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Outstanding at September 30, 2024</w:t>
            </w:r>
          </w:p>
        </w:tc>
        <w:tc>
          <w:tcPr>
            <w:tcW w:w="400" w:type="dxa"/>
            <w:vAlign w:val="bottom"/>
          </w:tcPr>
          <w:p>
            <w:pPr>
              <w:spacing w:after="0"/>
              <w:rPr>
                <w:sz w:val="23"/>
                <w:szCs w:val="23"/>
                <w:color w:val="auto"/>
              </w:rPr>
            </w:pPr>
          </w:p>
        </w:tc>
      </w:tr>
      <w:tr>
        <w:trPr>
          <w:trHeight w:val="264"/>
        </w:trPr>
        <w:tc>
          <w:tcPr>
            <w:tcW w:w="7440" w:type="dxa"/>
            <w:vAlign w:val="bottom"/>
            <w:gridSpan w:val="3"/>
          </w:tcPr>
          <w:p>
            <w:pPr>
              <w:ind w:left="20"/>
              <w:spacing w:after="0"/>
              <w:rPr>
                <w:sz w:val="20"/>
                <w:szCs w:val="20"/>
                <w:color w:val="auto"/>
              </w:rPr>
            </w:pPr>
            <w:r>
              <w:rPr>
                <w:rFonts w:ascii="Arial" w:cs="Arial" w:eastAsia="Arial" w:hAnsi="Arial"/>
                <w:sz w:val="15"/>
                <w:szCs w:val="15"/>
                <w:color w:val="auto"/>
              </w:rPr>
              <w:t>COMMON STOCK, $0.01 PAR VALUE PER SHARE</w:t>
            </w:r>
          </w:p>
        </w:tc>
        <w:tc>
          <w:tcPr>
            <w:tcW w:w="3400" w:type="dxa"/>
            <w:vAlign w:val="bottom"/>
            <w:gridSpan w:val="2"/>
          </w:tcPr>
          <w:p>
            <w:pPr>
              <w:jc w:val="right"/>
              <w:ind w:right="724"/>
              <w:spacing w:after="0"/>
              <w:rPr>
                <w:sz w:val="20"/>
                <w:szCs w:val="20"/>
                <w:color w:val="auto"/>
              </w:rPr>
            </w:pPr>
            <w:r>
              <w:rPr>
                <w:rFonts w:ascii="Arial" w:cs="Arial" w:eastAsia="Arial" w:hAnsi="Arial"/>
                <w:sz w:val="15"/>
                <w:szCs w:val="15"/>
                <w:color w:val="auto"/>
              </w:rPr>
              <w:t>1,412,154,298</w:t>
            </w:r>
          </w:p>
        </w:tc>
        <w:tc>
          <w:tcPr>
            <w:tcW w:w="400" w:type="dxa"/>
            <w:vAlign w:val="bottom"/>
          </w:tcPr>
          <w:p>
            <w:pPr>
              <w:spacing w:after="0"/>
              <w:rPr>
                <w:sz w:val="22"/>
                <w:szCs w:val="22"/>
                <w:color w:val="auto"/>
              </w:rPr>
            </w:pPr>
          </w:p>
        </w:tc>
      </w:tr>
      <w:tr>
        <w:trPr>
          <w:trHeight w:val="1390"/>
        </w:trPr>
        <w:tc>
          <w:tcPr>
            <w:tcW w:w="3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Third Quarter 2024 Form 10-Q</w:t>
      </w:r>
    </w:p>
    <w:p>
      <w:pPr>
        <w:jc w:val="center"/>
        <w:ind w:right="40"/>
        <w:spacing w:after="0"/>
        <w:rPr>
          <w:sz w:val="20"/>
          <w:szCs w:val="20"/>
          <w:color w:val="auto"/>
        </w:rPr>
      </w:pPr>
      <w:r>
        <w:rPr>
          <w:rFonts w:ascii="Arial" w:cs="Arial" w:eastAsia="Arial" w:hAnsi="Arial"/>
          <w:sz w:val="18"/>
          <w:szCs w:val="18"/>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Page</w:t>
            </w:r>
          </w:p>
        </w:tc>
      </w:tr>
      <w:tr>
        <w:trPr>
          <w:trHeight w:val="216"/>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9560" w:type="dxa"/>
            <w:vAlign w:val="bottom"/>
            <w:gridSpan w:val="11"/>
          </w:tcPr>
          <w:p>
            <w:pPr>
              <w:spacing w:after="0"/>
              <w:rPr>
                <w:sz w:val="20"/>
                <w:szCs w:val="20"/>
                <w:color w:val="auto"/>
              </w:rPr>
            </w:pPr>
            <w:r>
              <w:rPr>
                <w:rFonts w:ascii="Arial" w:cs="Arial" w:eastAsia="Arial" w:hAnsi="Arial"/>
                <w:sz w:val="16"/>
                <w:szCs w:val="16"/>
                <w:b w:val="1"/>
                <w:bCs w:val="1"/>
                <w:color w:val="auto"/>
              </w:rPr>
              <w:t>Financial Information</w:t>
            </w:r>
          </w:p>
        </w:tc>
        <w:tc>
          <w:tcPr>
            <w:tcW w:w="580" w:type="dxa"/>
            <w:vAlign w:val="bottom"/>
          </w:tcPr>
          <w:p>
            <w:pPr>
              <w:spacing w:after="0"/>
              <w:rPr>
                <w:sz w:val="18"/>
                <w:szCs w:val="18"/>
                <w:color w:val="auto"/>
              </w:rPr>
            </w:pPr>
          </w:p>
        </w:tc>
      </w:tr>
      <w:tr>
        <w:trPr>
          <w:trHeight w:val="385"/>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9560" w:type="dxa"/>
            <w:vAlign w:val="bottom"/>
            <w:gridSpan w:val="11"/>
          </w:tcPr>
          <w:p>
            <w:pPr>
              <w:spacing w:after="0"/>
              <w:rPr>
                <w:sz w:val="20"/>
                <w:szCs w:val="20"/>
                <w:color w:val="auto"/>
              </w:rPr>
            </w:pPr>
            <w:r>
              <w:rPr>
                <w:rFonts w:ascii="Arial" w:cs="Arial" w:eastAsia="Arial" w:hAnsi="Arial"/>
                <w:sz w:val="16"/>
                <w:szCs w:val="16"/>
                <w:color w:val="0000FF"/>
              </w:rPr>
              <w:t>Financial Statements</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2.</w:t>
            </w:r>
          </w:p>
        </w:tc>
        <w:tc>
          <w:tcPr>
            <w:tcW w:w="9560" w:type="dxa"/>
            <w:vAlign w:val="bottom"/>
            <w:gridSpan w:val="11"/>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9560" w:type="dxa"/>
            <w:vAlign w:val="bottom"/>
            <w:gridSpan w:val="11"/>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4.</w:t>
            </w:r>
          </w:p>
        </w:tc>
        <w:tc>
          <w:tcPr>
            <w:tcW w:w="9560" w:type="dxa"/>
            <w:vAlign w:val="bottom"/>
            <w:gridSpan w:val="11"/>
          </w:tcPr>
          <w:p>
            <w:pPr>
              <w:spacing w:after="0"/>
              <w:rPr>
                <w:sz w:val="20"/>
                <w:szCs w:val="20"/>
                <w:color w:val="auto"/>
              </w:rPr>
            </w:pPr>
            <w:r>
              <w:rPr>
                <w:rFonts w:ascii="Arial" w:cs="Arial" w:eastAsia="Arial" w:hAnsi="Arial"/>
                <w:sz w:val="16"/>
                <w:szCs w:val="16"/>
                <w:color w:val="0000FF"/>
              </w:rPr>
              <w:t>Controls and Procedures</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58"/>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9560" w:type="dxa"/>
            <w:vAlign w:val="bottom"/>
            <w:gridSpan w:val="11"/>
          </w:tcPr>
          <w:p>
            <w:pPr>
              <w:spacing w:after="0"/>
              <w:rPr>
                <w:sz w:val="20"/>
                <w:szCs w:val="20"/>
                <w:color w:val="auto"/>
              </w:rPr>
            </w:pPr>
            <w:r>
              <w:rPr>
                <w:rFonts w:ascii="Arial" w:cs="Arial" w:eastAsia="Arial" w:hAnsi="Arial"/>
                <w:sz w:val="16"/>
                <w:szCs w:val="16"/>
                <w:b w:val="1"/>
                <w:bCs w:val="1"/>
                <w:color w:val="auto"/>
              </w:rPr>
              <w:t>Other Information</w:t>
            </w:r>
          </w:p>
        </w:tc>
        <w:tc>
          <w:tcPr>
            <w:tcW w:w="580" w:type="dxa"/>
            <w:vAlign w:val="bottom"/>
          </w:tcPr>
          <w:p>
            <w:pPr>
              <w:spacing w:after="0"/>
              <w:rPr>
                <w:sz w:val="24"/>
                <w:szCs w:val="24"/>
                <w:color w:val="auto"/>
              </w:rPr>
            </w:pPr>
          </w:p>
        </w:tc>
      </w:tr>
      <w:tr>
        <w:trPr>
          <w:trHeight w:val="386"/>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9560" w:type="dxa"/>
            <w:vAlign w:val="bottom"/>
            <w:gridSpan w:val="11"/>
          </w:tcPr>
          <w:p>
            <w:pPr>
              <w:spacing w:after="0"/>
              <w:rPr>
                <w:sz w:val="20"/>
                <w:szCs w:val="20"/>
                <w:color w:val="auto"/>
              </w:rPr>
            </w:pPr>
            <w:r>
              <w:rPr>
                <w:rFonts w:ascii="Arial" w:cs="Arial" w:eastAsia="Arial" w:hAnsi="Arial"/>
                <w:sz w:val="16"/>
                <w:szCs w:val="16"/>
                <w:color w:val="0000FF"/>
              </w:rPr>
              <w:t>Legal Proceedings</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1A.</w:t>
            </w:r>
          </w:p>
        </w:tc>
        <w:tc>
          <w:tcPr>
            <w:tcW w:w="9560" w:type="dxa"/>
            <w:vAlign w:val="bottom"/>
            <w:gridSpan w:val="11"/>
          </w:tcPr>
          <w:p>
            <w:pPr>
              <w:spacing w:after="0"/>
              <w:rPr>
                <w:sz w:val="20"/>
                <w:szCs w:val="20"/>
                <w:color w:val="auto"/>
              </w:rPr>
            </w:pPr>
            <w:r>
              <w:rPr>
                <w:rFonts w:ascii="Arial" w:cs="Arial" w:eastAsia="Arial" w:hAnsi="Arial"/>
                <w:sz w:val="16"/>
                <w:szCs w:val="16"/>
                <w:color w:val="0000FF"/>
              </w:rPr>
              <w:t>Risk Factors</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2.</w:t>
            </w:r>
          </w:p>
        </w:tc>
        <w:tc>
          <w:tcPr>
            <w:tcW w:w="9560" w:type="dxa"/>
            <w:vAlign w:val="bottom"/>
            <w:gridSpan w:val="11"/>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9560" w:type="dxa"/>
            <w:vAlign w:val="bottom"/>
            <w:gridSpan w:val="11"/>
          </w:tcPr>
          <w:p>
            <w:pPr>
              <w:spacing w:after="0"/>
              <w:rPr>
                <w:sz w:val="20"/>
                <w:szCs w:val="20"/>
                <w:color w:val="auto"/>
              </w:rPr>
            </w:pPr>
            <w:r>
              <w:rPr>
                <w:rFonts w:ascii="Arial" w:cs="Arial" w:eastAsia="Arial" w:hAnsi="Arial"/>
                <w:sz w:val="16"/>
                <w:szCs w:val="16"/>
                <w:color w:val="0000FF"/>
              </w:rPr>
              <w:t>Defaults Upon Senior Securities</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72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4.</w:t>
            </w:r>
          </w:p>
        </w:tc>
        <w:tc>
          <w:tcPr>
            <w:tcW w:w="9560" w:type="dxa"/>
            <w:vAlign w:val="bottom"/>
            <w:gridSpan w:val="11"/>
          </w:tcPr>
          <w:p>
            <w:pPr>
              <w:spacing w:after="0"/>
              <w:rPr>
                <w:sz w:val="20"/>
                <w:szCs w:val="20"/>
                <w:color w:val="auto"/>
              </w:rPr>
            </w:pPr>
            <w:r>
              <w:rPr>
                <w:rFonts w:ascii="Arial" w:cs="Arial" w:eastAsia="Arial" w:hAnsi="Arial"/>
                <w:sz w:val="16"/>
                <w:szCs w:val="16"/>
                <w:color w:val="0000FF"/>
              </w:rPr>
              <w:t>Mine Safety Disclosures</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5.</w:t>
            </w:r>
          </w:p>
        </w:tc>
        <w:tc>
          <w:tcPr>
            <w:tcW w:w="9560" w:type="dxa"/>
            <w:vAlign w:val="bottom"/>
            <w:gridSpan w:val="11"/>
          </w:tcPr>
          <w:p>
            <w:pPr>
              <w:spacing w:after="0"/>
              <w:rPr>
                <w:sz w:val="20"/>
                <w:szCs w:val="20"/>
                <w:color w:val="auto"/>
              </w:rPr>
            </w:pPr>
            <w:r>
              <w:rPr>
                <w:rFonts w:ascii="Arial" w:cs="Arial" w:eastAsia="Arial" w:hAnsi="Arial"/>
                <w:sz w:val="16"/>
                <w:szCs w:val="16"/>
                <w:color w:val="0000FF"/>
              </w:rPr>
              <w:t>Other Information</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2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6.</w:t>
            </w:r>
          </w:p>
        </w:tc>
        <w:tc>
          <w:tcPr>
            <w:tcW w:w="9560" w:type="dxa"/>
            <w:vAlign w:val="bottom"/>
            <w:gridSpan w:val="11"/>
          </w:tcPr>
          <w:p>
            <w:pPr>
              <w:spacing w:after="0"/>
              <w:rPr>
                <w:sz w:val="20"/>
                <w:szCs w:val="20"/>
                <w:color w:val="auto"/>
              </w:rPr>
            </w:pPr>
            <w:r>
              <w:rPr>
                <w:rFonts w:ascii="Arial" w:cs="Arial" w:eastAsia="Arial" w:hAnsi="Arial"/>
                <w:sz w:val="16"/>
                <w:szCs w:val="16"/>
                <w:color w:val="0000FF"/>
              </w:rPr>
              <w:t>Exhibits</w:t>
            </w: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215"/>
        </w:trPr>
        <w:tc>
          <w:tcPr>
            <w:tcW w:w="110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PART I.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Financial Statements.</w:t>
      </w:r>
    </w:p>
    <w:p>
      <w:pPr>
        <w:spacing w:after="0" w:line="194" w:lineRule="exact"/>
        <w:rPr>
          <w:sz w:val="20"/>
          <w:szCs w:val="20"/>
          <w:color w:val="auto"/>
        </w:rPr>
      </w:pPr>
    </w:p>
    <w:p>
      <w:pPr>
        <w:ind w:left="378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980"/>
        <w:spacing w:after="0"/>
        <w:rPr>
          <w:sz w:val="20"/>
          <w:szCs w:val="20"/>
          <w:color w:val="auto"/>
        </w:rPr>
      </w:pPr>
      <w:r>
        <w:rPr>
          <w:rFonts w:ascii="Arial" w:cs="Arial" w:eastAsia="Arial" w:hAnsi="Arial"/>
          <w:sz w:val="16"/>
          <w:szCs w:val="16"/>
          <w:b w:val="1"/>
          <w:bCs w:val="1"/>
          <w:u w:val="single" w:color="auto"/>
          <w:color w:val="auto"/>
        </w:rPr>
        <w:t>CONSOLIDATED STATEMENT OF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60" w:type="dxa"/>
            <w:vAlign w:val="bottom"/>
            <w:gridSpan w:val="8"/>
          </w:tcPr>
          <w:p>
            <w:pPr>
              <w:ind w:left="620"/>
              <w:spacing w:after="0"/>
              <w:rPr>
                <w:sz w:val="20"/>
                <w:szCs w:val="20"/>
                <w:color w:val="auto"/>
              </w:rPr>
            </w:pPr>
            <w:r>
              <w:rPr>
                <w:rFonts w:ascii="Arial" w:cs="Arial" w:eastAsia="Arial" w:hAnsi="Arial"/>
                <w:sz w:val="14"/>
                <w:szCs w:val="14"/>
                <w:i w:val="1"/>
                <w:iCs w:val="1"/>
                <w:color w:val="auto"/>
              </w:rPr>
              <w:t>(Stated in millions, except per share amounts</w:t>
            </w:r>
            <w:r>
              <w:rPr>
                <w:rFonts w:ascii="Arial" w:cs="Arial" w:eastAsia="Arial" w:hAnsi="Arial"/>
                <w:sz w:val="14"/>
                <w:szCs w:val="14"/>
                <w:color w:val="auto"/>
              </w:rPr>
              <w:t>)</w:t>
            </w:r>
          </w:p>
        </w:tc>
      </w:tr>
      <w:tr>
        <w:trPr>
          <w:trHeight w:val="427"/>
        </w:trPr>
        <w:tc>
          <w:tcPr>
            <w:tcW w:w="5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Third Quarter</w:t>
            </w:r>
          </w:p>
        </w:tc>
        <w:tc>
          <w:tcPr>
            <w:tcW w:w="7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Nine Months</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Revenue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Services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5,841</w:t>
            </w: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5,719</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17,419</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16,616</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Product sales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3,318</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9,586</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Total Revenue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9,159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27,005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24,145</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Interest &amp; other income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265</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services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4,465</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13,403</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12,777</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2,772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8,103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6,601</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&amp; engineering</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187</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557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General &amp; administrative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65</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Merger &amp; integration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136</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381</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Income before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1,507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4,285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3,849</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Tax expense</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289</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824</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Net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1,218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3,461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3,127</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95</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Net income attributable to SLB</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1,186</w:t>
            </w: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1,123</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3,366</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3,091</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Basic income per share of SLB</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0.84</w:t>
            </w: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0.79</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2.36</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Diluted income per share of SLB</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0.83</w:t>
            </w: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0.78</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2.34</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1,417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1,425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Assuming dilution</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1,432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1,441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-3128645</wp:posOffset>
            </wp:positionV>
            <wp:extent cx="76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-3128645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-3128645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-3128645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-1748155</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-1748155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-1748155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-1464945</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-1464945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-1464945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-1182370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-1182370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-1182370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ind w:left="376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240"/>
        <w:spacing w:after="0"/>
        <w:rPr>
          <w:sz w:val="20"/>
          <w:szCs w:val="20"/>
          <w:color w:val="auto"/>
        </w:rPr>
      </w:pPr>
      <w:r>
        <w:rPr>
          <w:rFonts w:ascii="Arial" w:cs="Arial" w:eastAsia="Arial" w:hAnsi="Arial"/>
          <w:sz w:val="16"/>
          <w:szCs w:val="16"/>
          <w:b w:val="1"/>
          <w:bCs w:val="1"/>
          <w:u w:val="single" w:color="auto"/>
          <w:color w:val="auto"/>
        </w:rPr>
        <w:t>CONSOLIDATED STATEMENT OF COMPREHENSIVE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27"/>
        </w:trPr>
        <w:tc>
          <w:tcPr>
            <w:tcW w:w="5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Third Quarter</w:t>
            </w:r>
          </w:p>
        </w:tc>
        <w:tc>
          <w:tcPr>
            <w:tcW w:w="7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Nine Months</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Net income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1,218</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3,461</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3,127</w:t>
            </w: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Currency translation adjustments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net change arising during the period</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(42 )</w:t>
            </w:r>
          </w:p>
        </w:tc>
        <w:tc>
          <w:tcPr>
            <w:tcW w:w="4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(46 )</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(123 )</w:t>
            </w: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Marketable securities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gain arising during the period</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Cash flow hedges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 gain on cash flow hedges</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(5 )</w:t>
            </w: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(48 )</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Reclassification to net income of net realized (gain) loss</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(2 )</w:t>
            </w: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(2 )</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(16 )</w:t>
            </w: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Pension and other postretirement benefit plans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Amortization to net income of net actuarial gain</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(1 )</w:t>
            </w: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(2 )</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to net income of net prior service credit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(6 )</w:t>
            </w:r>
          </w:p>
        </w:tc>
        <w:tc>
          <w:tcPr>
            <w:tcW w:w="4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(6 )</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(17 )</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(17 )</w:t>
            </w: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Income taxes on pension and other postretirement benefit plans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Other</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(2 )</w:t>
            </w: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(1 )</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09"/>
        </w:trPr>
        <w:tc>
          <w:tcPr>
            <w:tcW w:w="5740" w:type="dxa"/>
            <w:vAlign w:val="bottom"/>
            <w:tcBorders>
              <w:top w:val="single" w:sz="8" w:color="CFF0FC"/>
            </w:tcBorders>
          </w:tcPr>
          <w:p>
            <w:pPr>
              <w:ind w:left="20"/>
              <w:spacing w:after="0"/>
              <w:rPr>
                <w:sz w:val="20"/>
                <w:szCs w:val="20"/>
                <w:color w:val="auto"/>
              </w:rPr>
            </w:pPr>
            <w:r>
              <w:rPr>
                <w:rFonts w:ascii="Arial" w:cs="Arial" w:eastAsia="Arial" w:hAnsi="Arial"/>
                <w:sz w:val="16"/>
                <w:szCs w:val="16"/>
                <w:i w:val="1"/>
                <w:iCs w:val="1"/>
                <w:color w:val="auto"/>
              </w:rPr>
              <w:t>Comprehensive income</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1,175</w:t>
            </w:r>
          </w:p>
        </w:tc>
        <w:tc>
          <w:tcPr>
            <w:tcW w:w="26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1,106</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3,425</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3,066</w:t>
            </w:r>
          </w:p>
        </w:tc>
        <w:tc>
          <w:tcPr>
            <w:tcW w:w="100" w:type="dxa"/>
            <w:vAlign w:val="bottom"/>
            <w:tcBorders>
              <w:top w:val="single" w:sz="8" w:color="CFF0FC"/>
            </w:tcBorders>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Comprehensive income attributable to noncontrolling interests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Comprehensive income attributable to SLB</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1,143</w:t>
            </w:r>
          </w:p>
        </w:tc>
        <w:tc>
          <w:tcPr>
            <w:tcW w:w="26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1,093</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3,330</w:t>
            </w:r>
          </w:p>
        </w:tc>
        <w:tc>
          <w:tcPr>
            <w:tcW w:w="14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3,030</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-453390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-453390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-453390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BALANCE SHEET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26"/>
        </w:trPr>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Sept. 30,</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9"/>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6"/>
                <w:szCs w:val="16"/>
                <w:color w:val="auto"/>
              </w:rPr>
              <w:t>Dec. 31,</w:t>
            </w:r>
          </w:p>
        </w:tc>
      </w:tr>
      <w:tr>
        <w:trPr>
          <w:trHeight w:val="217"/>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1340" w:type="dxa"/>
            <w:vAlign w:val="bottom"/>
          </w:tcPr>
          <w:p>
            <w:pPr>
              <w:jc w:val="right"/>
              <w:ind w:right="53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30"/>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ASSETS</w:t>
            </w: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3,086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1,376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Receivables less allowance for doubtful accounts (2024 - $332; 2023 - $337)</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8,260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4,573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4,387</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1,506</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18,801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17,718</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Investments in Affiliated Companies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1,744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Fixed Assets less accumulated depreciation</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7,360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7,240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Goodwill</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14,559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14,084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Intangible Assets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3,122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4,189</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49,775</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47,957</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LIABILITIES AND EQUITY</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10,346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6"/>
                <w:szCs w:val="16"/>
                <w:color w:val="auto"/>
              </w:rPr>
              <w:t>Estimated liability for taxes on income</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888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borrowings and current portion of long-term debt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6"/>
                <w:szCs w:val="16"/>
                <w:color w:val="auto"/>
              </w:rPr>
              <w:t>Dividends payable</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406</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r>
      <w:tr>
        <w:trPr>
          <w:trHeight w:val="209"/>
        </w:trPr>
        <w:tc>
          <w:tcPr>
            <w:tcW w:w="7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12,699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13,395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Long-term Debt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11,864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10,842</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Postretirement Benefits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Deferred Taxes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2,137</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27,047</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26,598</w:t>
            </w:r>
          </w:p>
        </w:tc>
        <w:tc>
          <w:tcPr>
            <w:tcW w:w="100" w:type="dxa"/>
            <w:vAlign w:val="bottom"/>
          </w:tcPr>
          <w:p>
            <w:pPr>
              <w:spacing w:after="0"/>
              <w:rPr>
                <w:sz w:val="18"/>
                <w:szCs w:val="18"/>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Equity</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11,408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11,624</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Treasury stock</w:t>
            </w: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(1,294 )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(678 )</w:t>
            </w:r>
          </w:p>
        </w:tc>
      </w:tr>
      <w:tr>
        <w:trPr>
          <w:trHeight w:val="216"/>
        </w:trPr>
        <w:tc>
          <w:tcPr>
            <w:tcW w:w="766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15,687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13,497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(4,290 )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(4,254 )</w:t>
            </w:r>
          </w:p>
        </w:tc>
      </w:tr>
      <w:tr>
        <w:trPr>
          <w:trHeight w:val="209"/>
        </w:trPr>
        <w:tc>
          <w:tcPr>
            <w:tcW w:w="766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SLB stockholders’ equity</w:t>
            </w: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21,511</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20,189</w:t>
            </w:r>
          </w:p>
        </w:tc>
        <w:tc>
          <w:tcPr>
            <w:tcW w:w="100" w:type="dxa"/>
            <w:vAlign w:val="bottom"/>
            <w:tcBorders>
              <w:top w:val="single" w:sz="8" w:color="CFF0FC"/>
            </w:tcBorders>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1,217</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22,728</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21,359</w:t>
            </w:r>
          </w:p>
        </w:tc>
        <w:tc>
          <w:tcPr>
            <w:tcW w:w="100" w:type="dxa"/>
            <w:vAlign w:val="bottom"/>
          </w:tcPr>
          <w:p>
            <w:pPr>
              <w:spacing w:after="0"/>
              <w:rPr>
                <w:sz w:val="18"/>
                <w:szCs w:val="18"/>
                <w:color w:val="auto"/>
              </w:rPr>
            </w:pPr>
          </w:p>
        </w:tc>
      </w:tr>
      <w:tr>
        <w:trPr>
          <w:trHeight w:val="249"/>
        </w:trPr>
        <w:tc>
          <w:tcPr>
            <w:tcW w:w="76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49,775</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47,957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-4808220</wp:posOffset>
            </wp:positionV>
            <wp:extent cx="6858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-3959860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-3128010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-1439545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-599440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-316865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7660" w:type="dxa"/>
            <w:vAlign w:val="bottom"/>
          </w:tcPr>
          <w:p>
            <w:pPr>
              <w:spacing w:after="0"/>
              <w:rPr>
                <w:sz w:val="24"/>
                <w:szCs w:val="24"/>
                <w:color w:val="auto"/>
              </w:rPr>
            </w:pPr>
          </w:p>
        </w:tc>
        <w:tc>
          <w:tcPr>
            <w:tcW w:w="3580" w:type="dxa"/>
            <w:vAlign w:val="bottom"/>
            <w:gridSpan w:val="6"/>
          </w:tcPr>
          <w:p>
            <w:pPr>
              <w:jc w:val="right"/>
              <w:ind w:right="520"/>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76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3,461</w:t>
            </w:r>
          </w:p>
        </w:tc>
        <w:tc>
          <w:tcPr>
            <w:tcW w:w="3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3,127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480"/>
              <w:spacing w:after="0"/>
              <w:rPr>
                <w:sz w:val="20"/>
                <w:szCs w:val="20"/>
                <w:color w:val="auto"/>
              </w:rPr>
            </w:pPr>
            <w:r>
              <w:rPr>
                <w:rFonts w:ascii="Arial" w:cs="Arial" w:eastAsia="Arial" w:hAnsi="Arial"/>
                <w:sz w:val="16"/>
                <w:szCs w:val="16"/>
                <w:color w:val="auto"/>
              </w:rPr>
              <w:t>Charges and credits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(36 )</w:t>
            </w:r>
          </w:p>
        </w:tc>
      </w:tr>
      <w:tr>
        <w:trPr>
          <w:trHeight w:val="216"/>
        </w:trPr>
        <w:tc>
          <w:tcPr>
            <w:tcW w:w="7660" w:type="dxa"/>
            <w:vAlign w:val="bottom"/>
            <w:shd w:val="clear" w:color="auto" w:fill="CFF0FC"/>
          </w:tcPr>
          <w:p>
            <w:pPr>
              <w:ind w:left="48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(1)</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1,871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480"/>
              <w:spacing w:after="0"/>
              <w:rPr>
                <w:sz w:val="20"/>
                <w:szCs w:val="20"/>
                <w:color w:val="auto"/>
              </w:rPr>
            </w:pPr>
            <w:r>
              <w:rPr>
                <w:rFonts w:ascii="Arial" w:cs="Arial" w:eastAsia="Arial" w:hAnsi="Arial"/>
                <w:sz w:val="16"/>
                <w:szCs w:val="16"/>
                <w:color w:val="auto"/>
              </w:rPr>
              <w:t>Deferred taxes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480"/>
              <w:spacing w:after="0"/>
              <w:rPr>
                <w:sz w:val="20"/>
                <w:szCs w:val="20"/>
                <w:color w:val="auto"/>
              </w:rPr>
            </w:pPr>
            <w:r>
              <w:rPr>
                <w:rFonts w:ascii="Arial" w:cs="Arial" w:eastAsia="Arial" w:hAnsi="Arial"/>
                <w:sz w:val="16"/>
                <w:szCs w:val="16"/>
                <w:color w:val="auto"/>
              </w:rPr>
              <w:t>Earnings of equity method investments, less dividends received</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(120 )</w:t>
            </w:r>
          </w:p>
        </w:tc>
      </w:tr>
      <w:tr>
        <w:trPr>
          <w:trHeight w:val="216"/>
        </w:trPr>
        <w:tc>
          <w:tcPr>
            <w:tcW w:w="7660" w:type="dxa"/>
            <w:vAlign w:val="bottom"/>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Change in assets and liabilities: </w:t>
            </w:r>
            <w:r>
              <w:rPr>
                <w:rFonts w:ascii="Arial" w:cs="Arial" w:eastAsia="Arial" w:hAnsi="Arial"/>
                <w:sz w:val="21"/>
                <w:szCs w:val="21"/>
                <w:color w:val="auto"/>
                <w:vertAlign w:val="superscript"/>
              </w:rPr>
              <w:t>(2)</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480"/>
              <w:spacing w:after="0"/>
              <w:rPr>
                <w:sz w:val="20"/>
                <w:szCs w:val="20"/>
                <w:color w:val="auto"/>
              </w:rPr>
            </w:pPr>
            <w:r>
              <w:rPr>
                <w:rFonts w:ascii="Arial" w:cs="Arial" w:eastAsia="Arial" w:hAnsi="Arial"/>
                <w:sz w:val="16"/>
                <w:szCs w:val="16"/>
                <w:color w:val="auto"/>
              </w:rPr>
              <w:t>Increase in receivables</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(396 )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(1,003 )</w:t>
            </w:r>
          </w:p>
        </w:tc>
      </w:tr>
      <w:tr>
        <w:trPr>
          <w:trHeight w:val="216"/>
        </w:trPr>
        <w:tc>
          <w:tcPr>
            <w:tcW w:w="7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Increase in inventories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(243 )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(334 )</w:t>
            </w:r>
          </w:p>
        </w:tc>
      </w:tr>
      <w:tr>
        <w:trPr>
          <w:trHeight w:val="216"/>
        </w:trPr>
        <w:tc>
          <w:tcPr>
            <w:tcW w:w="7660" w:type="dxa"/>
            <w:vAlign w:val="bottom"/>
          </w:tcPr>
          <w:p>
            <w:pPr>
              <w:ind w:left="480"/>
              <w:spacing w:after="0"/>
              <w:rPr>
                <w:sz w:val="20"/>
                <w:szCs w:val="20"/>
                <w:color w:val="auto"/>
              </w:rPr>
            </w:pPr>
            <w:r>
              <w:rPr>
                <w:rFonts w:ascii="Arial" w:cs="Arial" w:eastAsia="Arial" w:hAnsi="Arial"/>
                <w:sz w:val="16"/>
                <w:szCs w:val="16"/>
                <w:color w:val="auto"/>
              </w:rPr>
              <w:t>Decrease in other current assets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(Increase) decrease in other assets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(3 )</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480"/>
              <w:spacing w:after="0"/>
              <w:rPr>
                <w:sz w:val="20"/>
                <w:szCs w:val="20"/>
                <w:color w:val="auto"/>
              </w:rPr>
            </w:pPr>
            <w:r>
              <w:rPr>
                <w:rFonts w:ascii="Arial" w:cs="Arial" w:eastAsia="Arial" w:hAnsi="Arial"/>
                <w:sz w:val="16"/>
                <w:szCs w:val="16"/>
                <w:color w:val="auto"/>
              </w:rPr>
              <w:t>Decrease in accounts payable and accrued liabilities</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(968 )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(10 )</w:t>
            </w:r>
          </w:p>
        </w:tc>
      </w:tr>
      <w:tr>
        <w:trPr>
          <w:trHeight w:val="216"/>
        </w:trPr>
        <w:tc>
          <w:tcPr>
            <w:tcW w:w="7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Decrease in estimated liability for taxes on income</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(147 )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(113 )</w:t>
            </w:r>
          </w:p>
        </w:tc>
      </w:tr>
      <w:tr>
        <w:trPr>
          <w:trHeight w:val="216"/>
        </w:trPr>
        <w:tc>
          <w:tcPr>
            <w:tcW w:w="7660" w:type="dxa"/>
            <w:vAlign w:val="bottom"/>
          </w:tcPr>
          <w:p>
            <w:pPr>
              <w:ind w:left="480"/>
              <w:spacing w:after="0"/>
              <w:rPr>
                <w:sz w:val="20"/>
                <w:szCs w:val="20"/>
                <w:color w:val="auto"/>
              </w:rPr>
            </w:pPr>
            <w:r>
              <w:rPr>
                <w:rFonts w:ascii="Arial" w:cs="Arial" w:eastAsia="Arial" w:hAnsi="Arial"/>
                <w:sz w:val="16"/>
                <w:szCs w:val="16"/>
                <w:color w:val="auto"/>
              </w:rPr>
              <w:t>Increase (decrease) in other liabilities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(65 )</w:t>
            </w:r>
          </w:p>
        </w:tc>
      </w:tr>
      <w:tr>
        <w:trPr>
          <w:trHeight w:val="216"/>
        </w:trPr>
        <w:tc>
          <w:tcPr>
            <w:tcW w:w="76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4,212</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3,615</w:t>
            </w:r>
          </w:p>
        </w:tc>
        <w:tc>
          <w:tcPr>
            <w:tcW w:w="100" w:type="dxa"/>
            <w:vAlign w:val="bottom"/>
          </w:tcPr>
          <w:p>
            <w:pPr>
              <w:spacing w:after="0"/>
              <w:rPr>
                <w:sz w:val="18"/>
                <w:szCs w:val="18"/>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investing activities:</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(1,322 )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(1,345 )</w:t>
            </w: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APS investments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(390 )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(391 )</w:t>
            </w: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Exploration data costs capitalized</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(141 )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(121 )</w:t>
            </w: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Business acquisitions and investments, net of cash acquired</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(552 )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(280 )</w:t>
            </w: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Proceeds from sale of Liberty shares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Purchase of short-term investments, net</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(268 )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(12 )</w:t>
            </w: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Purchase of Blue Chip Swap securities</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(136 )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(169 )</w:t>
            </w: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sale of Blue Chip securities</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(173 )</w:t>
            </w:r>
          </w:p>
        </w:tc>
      </w:tr>
      <w:tr>
        <w:trPr>
          <w:trHeight w:val="20"/>
        </w:trPr>
        <w:tc>
          <w:tcPr>
            <w:tcW w:w="7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(2,668 )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(2,263 )</w:t>
            </w:r>
          </w:p>
        </w:tc>
      </w:tr>
      <w:tr>
        <w:trPr>
          <w:trHeight w:val="209"/>
        </w:trPr>
        <w:tc>
          <w:tcPr>
            <w:tcW w:w="766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7"/>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Dividends paid</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(1,144 )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(961 )</w:t>
            </w: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Proceeds from employee stock purchase plan</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Taxes paid on net settled stock-based compensation awards</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(86 )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(162 )</w:t>
            </w: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Stock repurchase program</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(1,236 )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(594 )</w:t>
            </w: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Proceeds from issuance of long-term debt</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1,475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Repayment of long-term debt</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(416 )</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Net decrease in short-term borrowings</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(142 )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(43 )</w:t>
            </w: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Other</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(36 )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(11 )</w:t>
            </w:r>
          </w:p>
        </w:tc>
      </w:tr>
      <w:tr>
        <w:trPr>
          <w:trHeight w:val="20"/>
        </w:trPr>
        <w:tc>
          <w:tcPr>
            <w:tcW w:w="76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(1,341 )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(503 )</w:t>
            </w: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increase in cash before translation effect</w:t>
            </w:r>
          </w:p>
        </w:tc>
        <w:tc>
          <w:tcPr>
            <w:tcW w:w="10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203</w:t>
            </w: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Translation effect on cash</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(17 )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(16 )</w:t>
            </w: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beginning of period</w:t>
            </w:r>
          </w:p>
        </w:tc>
        <w:tc>
          <w:tcPr>
            <w:tcW w:w="10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2,900</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6"/>
                <w:szCs w:val="16"/>
                <w:color w:val="auto"/>
              </w:rPr>
              <w:t>Cash, end of period</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3,086</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2,488</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-3788410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-2116455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-736600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Asset Performance Solutions ("APS") investments.</w:t>
      </w:r>
    </w:p>
    <w:p>
      <w:pPr>
        <w:spacing w:after="0" w:line="70" w:lineRule="exact"/>
        <w:rPr>
          <w:rFonts w:ascii="Arial" w:cs="Arial" w:eastAsia="Arial" w:hAnsi="Arial"/>
          <w:sz w:val="19"/>
          <w:szCs w:val="19"/>
          <w:color w:val="auto"/>
          <w:vertAlign w:val="superscript"/>
        </w:rPr>
      </w:pPr>
    </w:p>
    <w:p>
      <w:pPr>
        <w:ind w:left="380" w:hanging="372"/>
        <w:spacing w:after="0" w:line="234" w:lineRule="auto"/>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Net of the effect of business acquisitions.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CONSOLIDATED STATEMENT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12"/>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377"/>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January 1, 2024 – September 30, 2024</w:t>
            </w:r>
          </w:p>
        </w:tc>
        <w:tc>
          <w:tcPr>
            <w:tcW w:w="20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Issued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In Treasury</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Balance, January 1, 2024</w:t>
            </w:r>
          </w:p>
        </w:tc>
        <w:tc>
          <w:tcPr>
            <w:tcW w:w="100" w:type="dxa"/>
            <w:vAlign w:val="bottom"/>
            <w:shd w:val="clear" w:color="auto" w:fill="CFF0FC"/>
          </w:tcPr>
          <w:p>
            <w:pPr>
              <w:jc w:val="right"/>
              <w:ind w:right="19"/>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11,624</w:t>
            </w:r>
          </w:p>
        </w:tc>
        <w:tc>
          <w:tcPr>
            <w:tcW w:w="12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ind w:right="392"/>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(678 )</w:t>
            </w:r>
          </w:p>
        </w:tc>
        <w:tc>
          <w:tcPr>
            <w:tcW w:w="32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13,497</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(4,254 )</w:t>
            </w:r>
          </w:p>
        </w:tc>
        <w:tc>
          <w:tcPr>
            <w:tcW w:w="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1,170</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3,366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Changes in unrealized gain on marketable securities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(45 )</w:t>
            </w: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(15 )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(9 )</w:t>
            </w: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(386 )</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Employee stock purchase plan</w:t>
            </w: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(65 )</w:t>
            </w: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Stock repurchase program</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(1,236 )</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(1,236 )</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Dividends declared ($0.825 per share)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(1,176 )</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(1,176 )</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Dividends paid to noncontrolling interests</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(36 )</w:t>
            </w: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(1 )</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(12 )</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23"/>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Balance, September 30, 2024</w:t>
            </w:r>
          </w:p>
        </w:tc>
        <w:tc>
          <w:tcPr>
            <w:tcW w:w="100" w:type="dxa"/>
            <w:vAlign w:val="bottom"/>
            <w:shd w:val="clear" w:color="auto" w:fill="CFF0FC"/>
          </w:tcPr>
          <w:p>
            <w:pPr>
              <w:jc w:val="right"/>
              <w:ind w:right="19"/>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11,408</w:t>
            </w:r>
          </w:p>
        </w:tc>
        <w:tc>
          <w:tcPr>
            <w:tcW w:w="12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392"/>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(1,294 )</w:t>
            </w:r>
          </w:p>
        </w:tc>
        <w:tc>
          <w:tcPr>
            <w:tcW w:w="32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15,687</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(4,290 )</w:t>
            </w:r>
          </w:p>
        </w:tc>
        <w:tc>
          <w:tcPr>
            <w:tcW w:w="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52"/>
        </w:trPr>
        <w:tc>
          <w:tcPr>
            <w:tcW w:w="37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4"/>
                <w:szCs w:val="14"/>
                <w:color w:val="auto"/>
              </w:rPr>
              <w:t>Accumulated</w:t>
            </w: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vMerge w:val="restart"/>
          </w:tcPr>
          <w:p>
            <w:pPr>
              <w:jc w:val="right"/>
              <w:spacing w:after="0"/>
              <w:rPr>
                <w:sz w:val="20"/>
                <w:szCs w:val="20"/>
                <w:color w:val="auto"/>
              </w:rPr>
            </w:pPr>
            <w:r>
              <w:rPr>
                <w:rFonts w:ascii="Arial" w:cs="Arial" w:eastAsia="Arial" w:hAnsi="Arial"/>
                <w:sz w:val="14"/>
                <w:szCs w:val="14"/>
                <w:color w:val="auto"/>
              </w:rPr>
              <w:t>Common Stock</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January 1, 2023 – September 30, 2023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Issued</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In Treasury</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Earnings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rPr>
              <w:t>Loss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rPr>
              <w:t>Interests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Balance, January 1, 2023</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11,837</w:t>
            </w:r>
          </w:p>
        </w:tc>
        <w:tc>
          <w:tcPr>
            <w:tcW w:w="700" w:type="dxa"/>
            <w:vAlign w:val="bottom"/>
            <w:gridSpan w:val="3"/>
            <w:shd w:val="clear" w:color="auto" w:fill="CFF0FC"/>
          </w:tcPr>
          <w:p>
            <w:pPr>
              <w:jc w:val="right"/>
              <w:ind w:right="352"/>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(1,016 )</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10,719</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(3,855 )</w:t>
            </w:r>
          </w:p>
        </w:tc>
        <w:tc>
          <w:tcPr>
            <w:tcW w:w="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3,091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(123 )</w:t>
            </w: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(18 )</w:t>
            </w: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1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(53 )</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138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(657 )</w:t>
            </w: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495</w:t>
            </w: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(162 )</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Employee stock purchase plan</w:t>
            </w:r>
          </w:p>
        </w:tc>
        <w:tc>
          <w:tcPr>
            <w:tcW w:w="1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(162 )</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353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Stock repurchase program</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(594 )</w:t>
            </w: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(594 )</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Stock-based compensation expense</w:t>
            </w: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218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Dividends declared ($0.75 per share)</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(1,068 )</w:t>
            </w: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(1,068 )</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Dividends paid to noncontrolling interests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(20 )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CFF0FC"/>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(1 )</w:t>
            </w:r>
          </w:p>
        </w:tc>
        <w:tc>
          <w:tcPr>
            <w:tcW w:w="4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CFF0FC"/>
              <w:right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CFF0FC"/>
              <w:right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right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(1 )</w:t>
            </w:r>
          </w:p>
        </w:tc>
        <w:tc>
          <w:tcPr>
            <w:tcW w:w="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right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right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Balance, September 30,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11,182</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(621 )</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12,742</w:t>
            </w: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(3,917 )</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19,707</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July 1, 2024 – September 30, 2024</w:t>
            </w:r>
          </w:p>
        </w:tc>
        <w:tc>
          <w:tcPr>
            <w:tcW w:w="20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Issued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Loss</w:t>
            </w:r>
          </w:p>
        </w:tc>
        <w:tc>
          <w:tcPr>
            <w:tcW w:w="12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Interests</w:t>
            </w:r>
          </w:p>
        </w:tc>
        <w:tc>
          <w:tcPr>
            <w:tcW w:w="1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Balance, July 1, 2024</w:t>
            </w:r>
          </w:p>
        </w:tc>
        <w:tc>
          <w:tcPr>
            <w:tcW w:w="100" w:type="dxa"/>
            <w:vAlign w:val="bottom"/>
            <w:shd w:val="clear" w:color="auto" w:fill="CFF0FC"/>
          </w:tcPr>
          <w:p>
            <w:pPr>
              <w:jc w:val="right"/>
              <w:ind w:right="19"/>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11,401</w:t>
            </w:r>
          </w:p>
        </w:tc>
        <w:tc>
          <w:tcPr>
            <w:tcW w:w="12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ind w:right="392"/>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(973 )</w:t>
            </w:r>
          </w:p>
        </w:tc>
        <w:tc>
          <w:tcPr>
            <w:tcW w:w="32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14,890</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(4,247 )</w:t>
            </w:r>
          </w:p>
        </w:tc>
        <w:tc>
          <w:tcPr>
            <w:tcW w:w="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1,209</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(42 )</w:t>
            </w: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Changes in unrealized gain on marketable securities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(7 )</w:t>
            </w: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(6 )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(35 )</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Employee stock purchase plan</w:t>
            </w: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(29 )</w:t>
            </w: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Stock repurchase program</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(501 )</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(501 )</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Dividends declared ($0.275 per share)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(389 )</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(389 )</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Dividends paid to noncontrolling interests</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(24 )</w:t>
            </w: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(2 )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Balance, September 30, 2024</w:t>
            </w:r>
          </w:p>
        </w:tc>
        <w:tc>
          <w:tcPr>
            <w:tcW w:w="100" w:type="dxa"/>
            <w:vAlign w:val="bottom"/>
            <w:shd w:val="clear" w:color="auto" w:fill="CFF0FC"/>
          </w:tcPr>
          <w:p>
            <w:pPr>
              <w:jc w:val="right"/>
              <w:ind w:right="19"/>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11,408</w:t>
            </w:r>
          </w:p>
        </w:tc>
        <w:tc>
          <w:tcPr>
            <w:tcW w:w="120" w:type="dxa"/>
            <w:vAlign w:val="bottom"/>
            <w:shd w:val="clear" w:color="auto" w:fill="CFF0FC"/>
          </w:tcPr>
          <w:p>
            <w:pPr>
              <w:spacing w:after="0"/>
              <w:rPr>
                <w:sz w:val="17"/>
                <w:szCs w:val="17"/>
                <w:color w:val="auto"/>
              </w:rPr>
            </w:pPr>
          </w:p>
        </w:tc>
        <w:tc>
          <w:tcPr>
            <w:tcW w:w="180" w:type="dxa"/>
            <w:vAlign w:val="bottom"/>
            <w:tcBorders>
              <w:right w:val="single" w:sz="8" w:color="CFF0FC"/>
            </w:tcBorders>
            <w:gridSpan w:val="2"/>
            <w:shd w:val="clear" w:color="auto" w:fill="CFF0FC"/>
          </w:tcPr>
          <w:p>
            <w:pPr>
              <w:spacing w:after="0"/>
              <w:rPr>
                <w:sz w:val="17"/>
                <w:szCs w:val="17"/>
                <w:color w:val="auto"/>
              </w:rPr>
            </w:pPr>
          </w:p>
        </w:tc>
        <w:tc>
          <w:tcPr>
            <w:tcW w:w="520" w:type="dxa"/>
            <w:vAlign w:val="bottom"/>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(1,294 )</w:t>
            </w:r>
          </w:p>
        </w:tc>
        <w:tc>
          <w:tcPr>
            <w:tcW w:w="32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15,687</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(4,290 )</w:t>
            </w:r>
          </w:p>
        </w:tc>
        <w:tc>
          <w:tcPr>
            <w:tcW w:w="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1,217</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-5168265</wp:posOffset>
            </wp:positionV>
            <wp:extent cx="946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-5151120</wp:posOffset>
            </wp:positionV>
            <wp:extent cx="946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-5168265</wp:posOffset>
            </wp:positionV>
            <wp:extent cx="946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-5151120</wp:posOffset>
            </wp:positionV>
            <wp:extent cx="946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-5168265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-5151120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-5168265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-5151120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-5168265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-5151120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-2845435</wp:posOffset>
            </wp:positionV>
            <wp:extent cx="939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-2845435</wp:posOffset>
            </wp:positionV>
            <wp:extent cx="93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-2845435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-2845435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-2845435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-24765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-8255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377"/>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4"/>
            <w:vMerge w:val="restart"/>
          </w:tcPr>
          <w:p>
            <w:pPr>
              <w:jc w:val="right"/>
              <w:ind w:right="488"/>
              <w:spacing w:after="0"/>
              <w:rPr>
                <w:sz w:val="20"/>
                <w:szCs w:val="20"/>
                <w:color w:val="auto"/>
              </w:rPr>
            </w:pPr>
            <w:r>
              <w:rPr>
                <w:rFonts w:ascii="Arial" w:cs="Arial" w:eastAsia="Arial" w:hAnsi="Arial"/>
                <w:sz w:val="14"/>
                <w:szCs w:val="14"/>
                <w:color w:val="auto"/>
              </w:rPr>
              <w:t>Common Stock</w:t>
            </w:r>
          </w:p>
        </w:tc>
        <w:tc>
          <w:tcPr>
            <w:tcW w:w="26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rPr>
              <w:t>Comprehensive</w:t>
            </w:r>
          </w:p>
        </w:tc>
        <w:tc>
          <w:tcPr>
            <w:tcW w:w="120" w:type="dxa"/>
            <w:vAlign w:val="bottom"/>
          </w:tcPr>
          <w:p>
            <w:pPr>
              <w:spacing w:after="0"/>
              <w:rPr>
                <w:sz w:val="15"/>
                <w:szCs w:val="15"/>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July 1, 2023– September 30, 2023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Issued</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In Treasury</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Earnings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Loss</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Balance, July 1, 2023</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11,270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(750 )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11,974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(3,886 )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(46 )</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(6 )</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14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1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(84 )</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Employee stock purchase plan</w:t>
            </w:r>
          </w:p>
        </w:tc>
        <w:tc>
          <w:tcPr>
            <w:tcW w:w="14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(39 )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Stock repurchase program</w:t>
            </w: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(151 )</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(151 )</w:t>
            </w:r>
          </w:p>
        </w:tc>
        <w:tc>
          <w:tcPr>
            <w:tcW w:w="0" w:type="dxa"/>
            <w:vAlign w:val="bottom"/>
          </w:tcPr>
          <w:p>
            <w:pPr>
              <w:spacing w:after="0"/>
              <w:rPr>
                <w:sz w:val="1"/>
                <w:szCs w:val="1"/>
                <w:color w:val="auto"/>
              </w:rPr>
            </w:pP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Dividends declared ($0.25 per share)</w:t>
            </w: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(355 )</w:t>
            </w: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(355 )</w:t>
            </w:r>
          </w:p>
        </w:tc>
        <w:tc>
          <w:tcPr>
            <w:tcW w:w="0" w:type="dxa"/>
            <w:vAlign w:val="bottom"/>
          </w:tcPr>
          <w:p>
            <w:pPr>
              <w:spacing w:after="0"/>
              <w:rPr>
                <w:sz w:val="1"/>
                <w:szCs w:val="1"/>
                <w:color w:val="auto"/>
              </w:rPr>
            </w:pP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Dividends paid to noncontrolling interests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(18 )</w:t>
            </w:r>
          </w:p>
        </w:tc>
        <w:tc>
          <w:tcPr>
            <w:tcW w:w="1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(1 )</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(1 )</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Balance, September 30, 2023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11,182</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(621 )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12,742</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(3,917 )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321</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19,707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-153670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-153670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-153670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-153670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-153670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SHARES OF COMMON STOCK</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99"/>
        </w:trPr>
        <w:tc>
          <w:tcPr>
            <w:tcW w:w="6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Shares</w:t>
            </w:r>
          </w:p>
        </w:tc>
      </w:tr>
      <w:tr>
        <w:trPr>
          <w:trHeight w:val="217"/>
        </w:trPr>
        <w:tc>
          <w:tcPr>
            <w:tcW w:w="6520" w:type="dxa"/>
            <w:vAlign w:val="bottom"/>
          </w:tcPr>
          <w:p>
            <w:pPr>
              <w:spacing w:after="0"/>
              <w:rPr>
                <w:sz w:val="18"/>
                <w:szCs w:val="18"/>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w w:val="98"/>
              </w:rPr>
              <w:t>Issued</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 Treasury</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8"/>
                <w:szCs w:val="18"/>
                <w:color w:val="auto"/>
              </w:rPr>
            </w:pPr>
          </w:p>
        </w:tc>
      </w:tr>
      <w:tr>
        <w:trPr>
          <w:trHeight w:val="210"/>
        </w:trPr>
        <w:tc>
          <w:tcPr>
            <w:tcW w:w="74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 January 1, 2024</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1,439</w:t>
            </w:r>
          </w:p>
        </w:tc>
        <w:tc>
          <w:tcPr>
            <w:tcW w:w="182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(12 )</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w:t>
            </w:r>
          </w:p>
        </w:tc>
        <w:tc>
          <w:tcPr>
            <w:tcW w:w="100" w:type="dxa"/>
            <w:vAlign w:val="bottom"/>
            <w:shd w:val="clear" w:color="auto" w:fill="CFF0FC"/>
          </w:tcPr>
          <w:p>
            <w:pPr>
              <w:spacing w:after="0"/>
              <w:rPr>
                <w:sz w:val="18"/>
                <w:szCs w:val="18"/>
                <w:color w:val="auto"/>
              </w:rPr>
            </w:pPr>
          </w:p>
        </w:tc>
      </w:tr>
      <w:tr>
        <w:trPr>
          <w:trHeight w:val="215"/>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r>
      <w:tr>
        <w:trPr>
          <w:trHeight w:val="217"/>
        </w:trPr>
        <w:tc>
          <w:tcPr>
            <w:tcW w:w="74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8"/>
                <w:szCs w:val="18"/>
                <w:color w:val="auto"/>
              </w:rPr>
            </w:pPr>
          </w:p>
        </w:tc>
      </w:tr>
      <w:tr>
        <w:trPr>
          <w:trHeight w:val="215"/>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r>
      <w:tr>
        <w:trPr>
          <w:trHeight w:val="217"/>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repurchase program</w:t>
            </w: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(26 )</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(26 )</w:t>
            </w:r>
          </w:p>
        </w:tc>
      </w:tr>
      <w:tr>
        <w:trPr>
          <w:trHeight w:val="20"/>
        </w:trPr>
        <w:tc>
          <w:tcPr>
            <w:tcW w:w="65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color w:val="auto"/>
              </w:rPr>
              <w:t>Balance, September 30, 2024</w:t>
            </w: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1,439</w:t>
            </w:r>
          </w:p>
        </w:tc>
        <w:tc>
          <w:tcPr>
            <w:tcW w:w="22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(27 )</w:t>
            </w:r>
          </w:p>
        </w:tc>
        <w:tc>
          <w:tcPr>
            <w:tcW w:w="1400" w:type="dxa"/>
            <w:vAlign w:val="bottom"/>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8" w:name="page9"/>
    <w:bookmarkEnd w:id="8"/>
    <w:p>
      <w:pPr>
        <w:ind w:left="376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50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Basis of Presentation</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(“SLB”)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SLB management, all adjustments considered necessary for a fair statement have been included in the accompanying unaudited financial statements. All intercompany transactions and balances have been eliminated in consolidation. Operating results for the three-month period ended September 30, 2024 are not necessarily indicative of the results that may be expected for the full year ending December 31, 2024. The December 31, 2023 balance sheet information has been derived from the SLB 2023 audited financial statements. For further information, refer to the </w:t>
      </w:r>
      <w:r>
        <w:rPr>
          <w:rFonts w:ascii="Arial" w:cs="Arial" w:eastAsia="Arial" w:hAnsi="Arial"/>
          <w:sz w:val="16"/>
          <w:szCs w:val="16"/>
          <w:i w:val="1"/>
          <w:iCs w:val="1"/>
          <w:color w:val="auto"/>
        </w:rPr>
        <w:t xml:space="preserve">Consolidated Financial Statements </w:t>
      </w:r>
      <w:r>
        <w:rPr>
          <w:rFonts w:ascii="Arial" w:cs="Arial" w:eastAsia="Arial" w:hAnsi="Arial"/>
          <w:sz w:val="16"/>
          <w:szCs w:val="16"/>
          <w:color w:val="auto"/>
        </w:rPr>
        <w:t>and notes thereto included in the SLB Annual Report on Form 10-K for the year ended December 31, 2023, filed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Exchange Commission on January 24, 2024.</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Announced Transaction</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April 2, 2024, SLB announced a definitive agreement to purchase ChampionX Corporation ("ChampionX") in an all-stock transaction. ChampionX is a global leader in chemistry solutions, artificial lift systems, and highly engineered equipment and technologies that help companies drill for and produce oil and gas safely, efficiently, and sustainably around the world. Under the terms of the agreement, ChampionX shareholders will receive 0.735 shares of SLB common stock in exchange for each ChampionX share. At the closing of the transaction ChampionX shareholders will own approximately 9% of SLB's outstanding shares of common stock. ChampionX reported revenue of approximately $3.8 billion in 2023. The transaction, which is subject to regulatory approvals and other customary closing conditions, received the approval of the ChampionX stockholders at a special meeting held on June 18, 2024. It is anticipated that the transaction will close in the first quarter of 2025.</w:t>
      </w:r>
    </w:p>
    <w:p>
      <w:pPr>
        <w:spacing w:after="0" w:line="181" w:lineRule="exact"/>
        <w:rPr>
          <w:sz w:val="20"/>
          <w:szCs w:val="20"/>
          <w:color w:val="auto"/>
        </w:rPr>
      </w:pPr>
    </w:p>
    <w:p>
      <w:pPr>
        <w:ind w:right="9380" w:firstLine="8"/>
        <w:spacing w:after="0" w:line="387"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Charges and Credits </w:t>
      </w:r>
      <w:r>
        <w:rPr>
          <w:rFonts w:ascii="Arial" w:cs="Arial" w:eastAsia="Arial" w:hAnsi="Arial"/>
          <w:sz w:val="16"/>
          <w:szCs w:val="16"/>
          <w:b w:val="1"/>
          <w:bCs w:val="1"/>
          <w:color w:val="auto"/>
        </w:rPr>
        <w:t>2024</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During the second quarter of 2024, SLB started a program to realign and optimize its support and service delivery structure in certain parts of its organization. As a result, SLB recorded severance charges of $111 million during the second quarter of 2024 and $65 million during the third quarter of 2024, which are classified in </w:t>
      </w:r>
      <w:r>
        <w:rPr>
          <w:rFonts w:ascii="Arial" w:cs="Arial" w:eastAsia="Arial" w:hAnsi="Arial"/>
          <w:sz w:val="16"/>
          <w:szCs w:val="16"/>
          <w:i w:val="1"/>
          <w:iCs w:val="1"/>
          <w:color w:val="auto"/>
        </w:rPr>
        <w:t>Restructuring</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connection with the October 2023 acquisition of the Aker Solutions subsea business and the pending ChampionX transaction, SLB recorded $103 million of charges during the first nine months of 2024, consisting of: $43 million relating to the amortization of purchase accounting adjustments associated with the write-up of acquired inventories to its estimated fair value, and $60 million of other merger and integration-related costs. $43 million of these costs are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with the remaining $60 million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w:t>
      </w:r>
    </w:p>
    <w:p>
      <w:pPr>
        <w:spacing w:after="0" w:line="239" w:lineRule="exact"/>
        <w:rPr>
          <w:sz w:val="20"/>
          <w:szCs w:val="20"/>
          <w:color w:val="auto"/>
        </w:rPr>
      </w:pPr>
    </w:p>
    <w:p>
      <w:pPr>
        <w:ind w:left="9940"/>
        <w:spacing w:after="0"/>
        <w:rPr>
          <w:sz w:val="20"/>
          <w:szCs w:val="20"/>
          <w:color w:val="auto"/>
        </w:rPr>
      </w:pPr>
      <w:r>
        <w:rPr>
          <w:rFonts w:ascii="Arial" w:cs="Arial" w:eastAsia="Arial" w:hAnsi="Arial"/>
          <w:sz w:val="14"/>
          <w:szCs w:val="14"/>
          <w:i w:val="1"/>
          <w:iCs w:val="1"/>
          <w:color w:val="auto"/>
        </w:rPr>
        <w:t>(Stated in millions)</w:t>
      </w:r>
    </w:p>
    <w:p>
      <w:pPr>
        <w:spacing w:after="0" w:line="251" w:lineRule="exact"/>
        <w:rPr>
          <w:sz w:val="20"/>
          <w:szCs w:val="20"/>
          <w:color w:val="auto"/>
        </w:rPr>
      </w:pPr>
    </w:p>
    <w:p>
      <w:pPr>
        <w:ind w:left="8640"/>
        <w:spacing w:after="0"/>
        <w:rPr>
          <w:sz w:val="20"/>
          <w:szCs w:val="20"/>
          <w:color w:val="auto"/>
        </w:rPr>
      </w:pPr>
      <w:r>
        <w:rPr>
          <w:rFonts w:ascii="Arial" w:cs="Arial" w:eastAsia="Arial" w:hAnsi="Arial"/>
          <w:sz w:val="16"/>
          <w:szCs w:val="16"/>
          <w:color w:val="auto"/>
        </w:rPr>
        <w:t>Noncontrolling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Pretax Charge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Tax Benefit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color w:val="auto"/>
              </w:rPr>
              <w:t>Net</w:t>
            </w: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First quarter:</w:t>
            </w:r>
          </w:p>
        </w:tc>
        <w:tc>
          <w:tcPr>
            <w:tcW w:w="5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0"/>
              <w:spacing w:after="0"/>
              <w:rPr>
                <w:sz w:val="20"/>
                <w:szCs w:val="20"/>
                <w:color w:val="auto"/>
              </w:rPr>
            </w:pPr>
            <w:r>
              <w:rPr>
                <w:rFonts w:ascii="Arial" w:cs="Arial" w:eastAsia="Arial" w:hAnsi="Arial"/>
                <w:sz w:val="16"/>
                <w:szCs w:val="16"/>
                <w:color w:val="auto"/>
              </w:rPr>
              <w:t>Merger &amp; integration</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5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Second quarter:</w:t>
            </w: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0"/>
              <w:spacing w:after="0"/>
              <w:rPr>
                <w:sz w:val="20"/>
                <w:szCs w:val="20"/>
                <w:color w:val="auto"/>
              </w:rPr>
            </w:pPr>
            <w:r>
              <w:rPr>
                <w:rFonts w:ascii="Arial" w:cs="Arial" w:eastAsia="Arial" w:hAnsi="Arial"/>
                <w:sz w:val="16"/>
                <w:szCs w:val="16"/>
                <w:color w:val="auto"/>
              </w:rPr>
              <w:t>Workforce reductions</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Merger &amp; integration</w:t>
            </w: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Third quarter:</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Workforce reductions</w:t>
            </w: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Merger &amp; integration</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FF0FC"/>
            </w:tcBorders>
          </w:tcPr>
          <w:p>
            <w:pPr>
              <w:spacing w:after="0"/>
              <w:rPr>
                <w:sz w:val="18"/>
                <w:szCs w:val="18"/>
                <w:color w:val="auto"/>
              </w:rPr>
            </w:pPr>
          </w:p>
        </w:tc>
      </w:tr>
      <w:tr>
        <w:trPr>
          <w:trHeight w:val="250"/>
        </w:trPr>
        <w:tc>
          <w:tcPr>
            <w:tcW w:w="57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On December 31, 2020, SLB contributed its onshore hydraulic fracturing business in the United States and Canada, including its pressure pumping, pumpdown perforating, and Permian frac sand business to Liberty Energy Inc. (“Liberty”) in exchange for an equity interest in Liberty. During the first quarter of 2023, SLB sold all of its remaining approximately 9 million shares of Liberty and received net proceeds of $137 million. As a result, SLB recognized a pretax gain of $36 million ($28 million after-tax), which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SLB did not record any charges or credits during the second and third quarters of 2023.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p>
      <w:pPr>
        <w:ind w:left="280" w:hanging="272"/>
        <w:spacing w:after="0"/>
        <w:tabs>
          <w:tab w:leader="none" w:pos="2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earnings per share of SLB to diluted earnings per share of SLB:</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2023</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9"/>
              <w:spacing w:after="0" w:line="182" w:lineRule="exact"/>
              <w:rPr>
                <w:sz w:val="20"/>
                <w:szCs w:val="20"/>
                <w:color w:val="auto"/>
              </w:rPr>
            </w:pPr>
            <w:r>
              <w:rPr>
                <w:rFonts w:ascii="Arial" w:cs="Arial" w:eastAsia="Arial" w:hAnsi="Arial"/>
                <w:sz w:val="16"/>
                <w:szCs w:val="16"/>
                <w:b w:val="1"/>
                <w:bCs w:val="1"/>
                <w:color w:val="auto"/>
                <w:w w:val="99"/>
              </w:rPr>
              <w:t>Net Income</w:t>
            </w:r>
          </w:p>
        </w:tc>
        <w:tc>
          <w:tcPr>
            <w:tcW w:w="260" w:type="dxa"/>
            <w:vAlign w:val="bottom"/>
          </w:tcPr>
          <w:p>
            <w:pPr>
              <w:spacing w:after="0"/>
              <w:rPr>
                <w:sz w:val="15"/>
                <w:szCs w:val="15"/>
                <w:color w:val="auto"/>
              </w:rPr>
            </w:pPr>
          </w:p>
        </w:tc>
        <w:tc>
          <w:tcPr>
            <w:tcW w:w="1180" w:type="dxa"/>
            <w:vAlign w:val="bottom"/>
          </w:tcPr>
          <w:p>
            <w:pPr>
              <w:jc w:val="right"/>
              <w:ind w:right="219"/>
              <w:spacing w:after="0" w:line="182" w:lineRule="exact"/>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0"/>
              <w:spacing w:after="0" w:line="182" w:lineRule="exact"/>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179"/>
              <w:spacing w:after="0" w:line="182" w:lineRule="exact"/>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Arial" w:cs="Arial" w:eastAsia="Arial" w:hAnsi="Arial"/>
                <w:sz w:val="16"/>
                <w:szCs w:val="16"/>
                <w:color w:val="auto"/>
              </w:rPr>
              <w:t>Attributable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color w:val="auto"/>
              </w:rPr>
              <w:t>Earnings per</w:t>
            </w:r>
          </w:p>
        </w:tc>
      </w:tr>
      <w:tr>
        <w:trPr>
          <w:trHeight w:val="217"/>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to SLB</w:t>
            </w:r>
          </w:p>
        </w:tc>
        <w:tc>
          <w:tcPr>
            <w:tcW w:w="2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39"/>
              <w:spacing w:after="0"/>
              <w:rPr>
                <w:sz w:val="20"/>
                <w:szCs w:val="20"/>
                <w:color w:val="auto"/>
              </w:rPr>
            </w:pPr>
            <w:r>
              <w:rPr>
                <w:rFonts w:ascii="Arial" w:cs="Arial" w:eastAsia="Arial" w:hAnsi="Arial"/>
                <w:sz w:val="16"/>
                <w:szCs w:val="16"/>
                <w:b w:val="1"/>
                <w:bCs w:val="1"/>
                <w:color w:val="auto"/>
              </w:rPr>
              <w:t>Share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0"/>
              <w:spacing w:after="0"/>
              <w:rPr>
                <w:sz w:val="20"/>
                <w:szCs w:val="20"/>
                <w:color w:val="auto"/>
              </w:rPr>
            </w:pPr>
            <w:r>
              <w:rPr>
                <w:rFonts w:ascii="Arial" w:cs="Arial" w:eastAsia="Arial" w:hAnsi="Arial"/>
                <w:sz w:val="16"/>
                <w:szCs w:val="16"/>
                <w:color w:val="auto"/>
              </w:rPr>
              <w:t>to SLB</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color w:val="auto"/>
              </w:rPr>
              <w:t>Share</w:t>
            </w:r>
          </w:p>
        </w:tc>
      </w:tr>
      <w:tr>
        <w:trPr>
          <w:trHeight w:val="190"/>
        </w:trPr>
        <w:tc>
          <w:tcPr>
            <w:tcW w:w="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gridSpan w:val="2"/>
            <w:shd w:val="clear" w:color="auto" w:fill="CFF0FC"/>
          </w:tcPr>
          <w:p>
            <w:pPr>
              <w:spacing w:after="0" w:line="169" w:lineRule="exact"/>
              <w:rPr>
                <w:sz w:val="20"/>
                <w:szCs w:val="20"/>
                <w:color w:val="auto"/>
              </w:rPr>
            </w:pPr>
            <w:r>
              <w:rPr>
                <w:rFonts w:ascii="Arial" w:cs="Arial" w:eastAsia="Arial" w:hAnsi="Arial"/>
                <w:sz w:val="16"/>
                <w:szCs w:val="16"/>
                <w:b w:val="1"/>
                <w:bCs w:val="1"/>
                <w:color w:val="auto"/>
                <w:w w:val="99"/>
              </w:rPr>
              <w:t>Third Quarter</w:t>
            </w:r>
          </w:p>
        </w:tc>
        <w:tc>
          <w:tcPr>
            <w:tcW w:w="2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96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8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9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9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90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3320" w:type="dxa"/>
            <w:vAlign w:val="bottom"/>
            <w:gridSpan w:val="4"/>
          </w:tcPr>
          <w:p>
            <w:pPr>
              <w:ind w:left="20"/>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1,186</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1,417</w:t>
            </w:r>
          </w:p>
        </w:tc>
        <w:tc>
          <w:tcPr>
            <w:tcW w:w="4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0.84</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1,424</w:t>
            </w:r>
          </w:p>
        </w:tc>
        <w:tc>
          <w:tcPr>
            <w:tcW w:w="4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32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Assumed exercise of stock options</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320" w:type="dxa"/>
            <w:vAlign w:val="bottom"/>
            <w:gridSpan w:val="4"/>
          </w:tcPr>
          <w:p>
            <w:pPr>
              <w:ind w:left="20"/>
              <w:spacing w:after="0"/>
              <w:rPr>
                <w:sz w:val="20"/>
                <w:szCs w:val="20"/>
                <w:color w:val="auto"/>
              </w:rPr>
            </w:pPr>
            <w:r>
              <w:rPr>
                <w:rFonts w:ascii="Arial" w:cs="Arial" w:eastAsia="Arial" w:hAnsi="Arial"/>
                <w:sz w:val="16"/>
                <w:szCs w:val="16"/>
                <w:color w:val="auto"/>
              </w:rPr>
              <w:t>Unvested restricted stock</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32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1,186</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1,432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0.83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2023</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9"/>
              <w:spacing w:after="0" w:line="182" w:lineRule="exact"/>
              <w:rPr>
                <w:sz w:val="20"/>
                <w:szCs w:val="20"/>
                <w:color w:val="auto"/>
              </w:rPr>
            </w:pPr>
            <w:r>
              <w:rPr>
                <w:rFonts w:ascii="Arial" w:cs="Arial" w:eastAsia="Arial" w:hAnsi="Arial"/>
                <w:sz w:val="16"/>
                <w:szCs w:val="16"/>
                <w:b w:val="1"/>
                <w:bCs w:val="1"/>
                <w:color w:val="auto"/>
                <w:w w:val="99"/>
              </w:rPr>
              <w:t>Net Income</w:t>
            </w:r>
          </w:p>
        </w:tc>
        <w:tc>
          <w:tcPr>
            <w:tcW w:w="260" w:type="dxa"/>
            <w:vAlign w:val="bottom"/>
          </w:tcPr>
          <w:p>
            <w:pPr>
              <w:spacing w:after="0"/>
              <w:rPr>
                <w:sz w:val="15"/>
                <w:szCs w:val="15"/>
                <w:color w:val="auto"/>
              </w:rPr>
            </w:pPr>
          </w:p>
        </w:tc>
        <w:tc>
          <w:tcPr>
            <w:tcW w:w="11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0"/>
              <w:spacing w:after="0" w:line="182" w:lineRule="exact"/>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59"/>
              <w:spacing w:after="0" w:line="182" w:lineRule="exact"/>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Arial" w:cs="Arial" w:eastAsia="Arial" w:hAnsi="Arial"/>
                <w:sz w:val="16"/>
                <w:szCs w:val="16"/>
                <w:color w:val="auto"/>
              </w:rPr>
              <w:t>Attributable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color w:val="auto"/>
              </w:rPr>
              <w:t>Earnings per</w:t>
            </w:r>
          </w:p>
        </w:tc>
      </w:tr>
      <w:tr>
        <w:trPr>
          <w:trHeight w:val="217"/>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to SLB</w:t>
            </w:r>
          </w:p>
        </w:tc>
        <w:tc>
          <w:tcPr>
            <w:tcW w:w="2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39"/>
              <w:spacing w:after="0"/>
              <w:rPr>
                <w:sz w:val="20"/>
                <w:szCs w:val="20"/>
                <w:color w:val="auto"/>
              </w:rPr>
            </w:pPr>
            <w:r>
              <w:rPr>
                <w:rFonts w:ascii="Arial" w:cs="Arial" w:eastAsia="Arial" w:hAnsi="Arial"/>
                <w:sz w:val="16"/>
                <w:szCs w:val="16"/>
                <w:b w:val="1"/>
                <w:bCs w:val="1"/>
                <w:color w:val="auto"/>
              </w:rPr>
              <w:t>Share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0"/>
              <w:spacing w:after="0"/>
              <w:rPr>
                <w:sz w:val="20"/>
                <w:szCs w:val="20"/>
                <w:color w:val="auto"/>
              </w:rPr>
            </w:pPr>
            <w:r>
              <w:rPr>
                <w:rFonts w:ascii="Arial" w:cs="Arial" w:eastAsia="Arial" w:hAnsi="Arial"/>
                <w:sz w:val="16"/>
                <w:szCs w:val="16"/>
                <w:color w:val="auto"/>
              </w:rPr>
              <w:t>to SLB</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color w:val="auto"/>
              </w:rPr>
              <w:t>Share</w:t>
            </w:r>
          </w:p>
        </w:tc>
      </w:tr>
      <w:tr>
        <w:trPr>
          <w:trHeight w:val="190"/>
        </w:trPr>
        <w:tc>
          <w:tcPr>
            <w:tcW w:w="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w w:val="99"/>
              </w:rPr>
              <w:t>Nine Months</w:t>
            </w:r>
          </w:p>
        </w:tc>
        <w:tc>
          <w:tcPr>
            <w:tcW w:w="2320" w:type="dxa"/>
            <w:vAlign w:val="bottom"/>
            <w:tcBorders>
              <w:bottom w:val="single" w:sz="8" w:color="CFF0FC"/>
            </w:tcBorders>
            <w:gridSpan w:val="2"/>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96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8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9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9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90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3320" w:type="dxa"/>
            <w:vAlign w:val="bottom"/>
            <w:gridSpan w:val="4"/>
          </w:tcPr>
          <w:p>
            <w:pPr>
              <w:ind w:left="20"/>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3,366</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1,425</w:t>
            </w:r>
          </w:p>
        </w:tc>
        <w:tc>
          <w:tcPr>
            <w:tcW w:w="4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2.36</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3,091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1,424</w:t>
            </w:r>
          </w:p>
        </w:tc>
        <w:tc>
          <w:tcPr>
            <w:tcW w:w="4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32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Assumed exercise of stock options</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320" w:type="dxa"/>
            <w:vAlign w:val="bottom"/>
            <w:gridSpan w:val="4"/>
          </w:tcPr>
          <w:p>
            <w:pPr>
              <w:ind w:left="20"/>
              <w:spacing w:after="0"/>
              <w:rPr>
                <w:sz w:val="20"/>
                <w:szCs w:val="20"/>
                <w:color w:val="auto"/>
              </w:rPr>
            </w:pPr>
            <w:r>
              <w:rPr>
                <w:rFonts w:ascii="Arial" w:cs="Arial" w:eastAsia="Arial" w:hAnsi="Arial"/>
                <w:sz w:val="16"/>
                <w:szCs w:val="16"/>
                <w:color w:val="auto"/>
              </w:rPr>
              <w:t>Unvested restricted stock</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32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3,366</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1,441</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2.34</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3,091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-1576705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-1559560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-1576705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-1559560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-1576705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-1559560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-1576705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-1559560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-1576705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-1559560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-25400</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-8255</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number of outstanding options to purchase shares of SLB common stock that were not included in the computation of diluted income per share, because to do so would have had an antidilutive effect,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Third Quarter</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4"/>
          </w:tcPr>
          <w:p>
            <w:pPr>
              <w:ind w:left="820"/>
              <w:spacing w:after="0"/>
              <w:rPr>
                <w:sz w:val="20"/>
                <w:szCs w:val="20"/>
                <w:color w:val="auto"/>
              </w:rPr>
            </w:pPr>
            <w:r>
              <w:rPr>
                <w:rFonts w:ascii="Arial" w:cs="Arial" w:eastAsia="Arial" w:hAnsi="Arial"/>
                <w:sz w:val="16"/>
                <w:szCs w:val="16"/>
                <w:b w:val="1"/>
                <w:bCs w:val="1"/>
                <w:color w:val="auto"/>
              </w:rPr>
              <w:t>Nine Months</w:t>
            </w:r>
          </w:p>
        </w:tc>
      </w:tr>
      <w:tr>
        <w:trPr>
          <w:trHeight w:val="209"/>
        </w:trPr>
        <w:tc>
          <w:tcPr>
            <w:tcW w:w="57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10"/>
        </w:trPr>
        <w:tc>
          <w:tcPr>
            <w:tcW w:w="6480" w:type="dxa"/>
            <w:vAlign w:val="bottom"/>
            <w:gridSpan w:val="2"/>
            <w:shd w:val="clear" w:color="auto" w:fill="CFF0FC"/>
          </w:tcPr>
          <w:p>
            <w:pPr>
              <w:jc w:val="right"/>
              <w:ind w:right="4659"/>
              <w:spacing w:after="0"/>
              <w:rPr>
                <w:sz w:val="20"/>
                <w:szCs w:val="20"/>
                <w:color w:val="auto"/>
              </w:rPr>
            </w:pPr>
            <w:r>
              <w:rPr>
                <w:rFonts w:ascii="Arial" w:cs="Arial" w:eastAsia="Arial" w:hAnsi="Arial"/>
                <w:sz w:val="16"/>
                <w:szCs w:val="16"/>
                <w:color w:val="auto"/>
              </w:rPr>
              <w:t>Employee stock options</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8"/>
                <w:szCs w:val="18"/>
                <w:color w:val="auto"/>
              </w:rPr>
            </w:pPr>
          </w:p>
        </w:tc>
      </w:tr>
    </w:tbl>
    <w:p>
      <w:pPr>
        <w:spacing w:after="0" w:line="323"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Inventories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inventories, which are stated at the lower of average cost or net realizable value,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center"/>
              <w:ind w:right="179"/>
              <w:spacing w:after="0"/>
              <w:rPr>
                <w:sz w:val="20"/>
                <w:szCs w:val="20"/>
                <w:color w:val="auto"/>
              </w:rPr>
            </w:pPr>
            <w:r>
              <w:rPr>
                <w:rFonts w:ascii="Arial" w:cs="Arial" w:eastAsia="Arial" w:hAnsi="Arial"/>
                <w:sz w:val="16"/>
                <w:szCs w:val="16"/>
                <w:b w:val="1"/>
                <w:bCs w:val="1"/>
                <w:color w:val="auto"/>
              </w:rPr>
              <w:t>Sept. 30,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Raw materials &amp; field materials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2,456</w:t>
            </w:r>
          </w:p>
        </w:tc>
        <w:tc>
          <w:tcPr>
            <w:tcW w:w="5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ind w:left="20"/>
              <w:spacing w:after="0"/>
              <w:rPr>
                <w:sz w:val="20"/>
                <w:szCs w:val="20"/>
                <w:color w:val="auto"/>
              </w:rPr>
            </w:pPr>
            <w:r>
              <w:rPr>
                <w:rFonts w:ascii="Arial" w:cs="Arial" w:eastAsia="Arial" w:hAnsi="Arial"/>
                <w:sz w:val="16"/>
                <w:szCs w:val="16"/>
                <w:color w:val="auto"/>
              </w:rPr>
              <w:t>Work in progress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831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1,286</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4,573</w:t>
            </w: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5.  Fixed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6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660" w:type="dxa"/>
            <w:vAlign w:val="bottom"/>
            <w:gridSpan w:val="3"/>
          </w:tcPr>
          <w:p>
            <w:pPr>
              <w:spacing w:after="0"/>
              <w:rPr>
                <w:sz w:val="20"/>
                <w:szCs w:val="20"/>
                <w:color w:val="auto"/>
              </w:rPr>
            </w:pPr>
            <w:r>
              <w:rPr>
                <w:rFonts w:ascii="Arial" w:cs="Arial" w:eastAsia="Arial" w:hAnsi="Arial"/>
                <w:sz w:val="16"/>
                <w:szCs w:val="16"/>
                <w:color w:val="auto"/>
              </w:rPr>
              <w:t>Fixed assets consist of the following:</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center"/>
              <w:ind w:right="179"/>
              <w:spacing w:after="0"/>
              <w:rPr>
                <w:sz w:val="20"/>
                <w:szCs w:val="20"/>
                <w:color w:val="auto"/>
              </w:rPr>
            </w:pPr>
            <w:r>
              <w:rPr>
                <w:rFonts w:ascii="Arial" w:cs="Arial" w:eastAsia="Arial" w:hAnsi="Arial"/>
                <w:sz w:val="16"/>
                <w:szCs w:val="16"/>
                <w:b w:val="1"/>
                <w:bCs w:val="1"/>
                <w:color w:val="auto"/>
              </w:rPr>
              <w:t>Sept. 30,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Property, plant &amp; equipment</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30,400</w:t>
            </w:r>
          </w:p>
        </w:tc>
        <w:tc>
          <w:tcPr>
            <w:tcW w:w="5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ind w:left="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23,040</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63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7,360</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7,240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-1851025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relating to fixed assets was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155"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4"/>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r>
      <w:tr>
        <w:trPr>
          <w:trHeight w:val="210"/>
        </w:trPr>
        <w:tc>
          <w:tcPr>
            <w:tcW w:w="30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Third Quarter</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19"/>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394</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FF0FC"/>
          </w:tcPr>
          <w:p>
            <w:pPr>
              <w:spacing w:after="0"/>
              <w:rPr>
                <w:sz w:val="18"/>
                <w:szCs w:val="18"/>
                <w:color w:val="auto"/>
              </w:rPr>
            </w:pPr>
          </w:p>
        </w:tc>
      </w:tr>
      <w:tr>
        <w:trPr>
          <w:trHeight w:val="223"/>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Nine Months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1,155</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19"/>
                <w:szCs w:val="19"/>
                <w:color w:val="auto"/>
              </w:rPr>
            </w:pPr>
          </w:p>
        </w:tc>
      </w:tr>
      <w:tr>
        <w:trPr>
          <w:trHeight w:val="587"/>
        </w:trPr>
        <w:tc>
          <w:tcPr>
            <w:tcW w:w="3040" w:type="dxa"/>
            <w:vAlign w:val="bottom"/>
            <w:gridSpan w:val="3"/>
          </w:tcPr>
          <w:p>
            <w:pPr>
              <w:spacing w:after="0"/>
              <w:rPr>
                <w:sz w:val="20"/>
                <w:szCs w:val="20"/>
                <w:color w:val="auto"/>
              </w:rPr>
            </w:pPr>
            <w:r>
              <w:rPr>
                <w:rFonts w:ascii="Arial" w:cs="Arial" w:eastAsia="Arial" w:hAnsi="Arial"/>
                <w:sz w:val="16"/>
                <w:szCs w:val="16"/>
                <w:b w:val="1"/>
                <w:bCs w:val="1"/>
                <w:color w:val="auto"/>
              </w:rPr>
              <w:t>6.  Intangible Assets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5"/>
        </w:trPr>
        <w:tc>
          <w:tcPr>
            <w:tcW w:w="3040" w:type="dxa"/>
            <w:vAlign w:val="bottom"/>
            <w:gridSpan w:val="3"/>
          </w:tcPr>
          <w:p>
            <w:pPr>
              <w:spacing w:after="0"/>
              <w:rPr>
                <w:sz w:val="20"/>
                <w:szCs w:val="20"/>
                <w:color w:val="auto"/>
              </w:rPr>
            </w:pPr>
            <w:r>
              <w:rPr>
                <w:rFonts w:ascii="Arial" w:cs="Arial" w:eastAsia="Arial" w:hAnsi="Arial"/>
                <w:sz w:val="16"/>
                <w:szCs w:val="16"/>
                <w:color w:val="auto"/>
              </w:rPr>
              <w:t>Intangible assets consist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4"/>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Sept. 30, 2024</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Dec. 31, 2023</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Gross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39"/>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Net Book</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6"/>
                <w:szCs w:val="16"/>
                <w:color w:val="auto"/>
              </w:rPr>
              <w:t>Gross</w:t>
            </w:r>
          </w:p>
        </w:tc>
        <w:tc>
          <w:tcPr>
            <w:tcW w:w="1120" w:type="dxa"/>
            <w:vAlign w:val="bottom"/>
            <w:gridSpan w:val="3"/>
          </w:tcPr>
          <w:p>
            <w:pPr>
              <w:jc w:val="center"/>
              <w:spacing w:after="0"/>
              <w:rPr>
                <w:sz w:val="20"/>
                <w:szCs w:val="20"/>
                <w:color w:val="auto"/>
              </w:rPr>
            </w:pPr>
            <w:r>
              <w:rPr>
                <w:rFonts w:ascii="Arial" w:cs="Arial" w:eastAsia="Arial" w:hAnsi="Arial"/>
                <w:sz w:val="16"/>
                <w:szCs w:val="16"/>
                <w:color w:val="auto"/>
              </w:rPr>
              <w:t>Accumulated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Net Book</w:t>
            </w:r>
          </w:p>
        </w:tc>
        <w:tc>
          <w:tcPr>
            <w:tcW w:w="100" w:type="dxa"/>
            <w:vAlign w:val="bottom"/>
          </w:tcPr>
          <w:p>
            <w:pPr>
              <w:spacing w:after="0"/>
              <w:rPr>
                <w:sz w:val="18"/>
                <w:szCs w:val="18"/>
                <w:color w:val="auto"/>
              </w:rPr>
            </w:pPr>
          </w:p>
        </w:tc>
      </w:tr>
      <w:tr>
        <w:trPr>
          <w:trHeight w:val="217"/>
        </w:trPr>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8"/>
              </w:rPr>
              <w:t>Book Value</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Value</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Book Value</w:t>
            </w:r>
          </w:p>
        </w:tc>
        <w:tc>
          <w:tcPr>
            <w:tcW w:w="220" w:type="dxa"/>
            <w:vAlign w:val="bottom"/>
          </w:tcPr>
          <w:p>
            <w:pPr>
              <w:spacing w:after="0"/>
              <w:rPr>
                <w:sz w:val="18"/>
                <w:szCs w:val="18"/>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Amortization</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Value</w:t>
            </w:r>
          </w:p>
        </w:tc>
        <w:tc>
          <w:tcPr>
            <w:tcW w:w="100" w:type="dxa"/>
            <w:vAlign w:val="bottom"/>
          </w:tcPr>
          <w:p>
            <w:pPr>
              <w:spacing w:after="0"/>
              <w:rPr>
                <w:sz w:val="18"/>
                <w:szCs w:val="18"/>
                <w:color w:val="auto"/>
              </w:rPr>
            </w:pPr>
          </w:p>
        </w:tc>
      </w:tr>
      <w:tr>
        <w:trPr>
          <w:trHeight w:val="209"/>
        </w:trPr>
        <w:tc>
          <w:tcPr>
            <w:tcW w:w="30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Customer relationships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1,887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776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1,111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1,887</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709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Technology/technical know-how</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852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1,516</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770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8"/>
                <w:szCs w:val="18"/>
                <w:color w:val="auto"/>
              </w:rPr>
            </w:pPr>
          </w:p>
        </w:tc>
      </w:tr>
      <w:tr>
        <w:trPr>
          <w:trHeight w:val="216"/>
        </w:trPr>
        <w:tc>
          <w:tcPr>
            <w:tcW w:w="30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Tradenames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795</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1,603</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1,582</w:t>
            </w:r>
          </w:p>
        </w:tc>
        <w:tc>
          <w:tcPr>
            <w:tcW w:w="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797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18"/>
                <w:szCs w:val="18"/>
                <w:color w:val="auto"/>
              </w:rPr>
            </w:pPr>
          </w:p>
        </w:tc>
      </w:tr>
      <w:tr>
        <w:trPr>
          <w:trHeight w:val="249"/>
        </w:trPr>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5,913</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2,791</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3,122</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5,780</w:t>
            </w:r>
          </w:p>
        </w:tc>
        <w:tc>
          <w:tcPr>
            <w:tcW w:w="2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2,541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7"/>
        </w:trPr>
        <w:tc>
          <w:tcPr>
            <w:tcW w:w="4180" w:type="dxa"/>
            <w:vAlign w:val="bottom"/>
            <w:gridSpan w:val="5"/>
          </w:tcPr>
          <w:p>
            <w:pPr>
              <w:spacing w:after="0"/>
              <w:rPr>
                <w:sz w:val="20"/>
                <w:szCs w:val="20"/>
                <w:color w:val="auto"/>
              </w:rPr>
            </w:pPr>
            <w:r>
              <w:rPr>
                <w:rFonts w:ascii="Arial" w:cs="Arial" w:eastAsia="Arial" w:hAnsi="Arial"/>
                <w:sz w:val="16"/>
                <w:szCs w:val="16"/>
                <w:color w:val="auto"/>
              </w:rPr>
              <w:t>Amortization expense charged to income was as follows: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4"/>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r>
      <w:tr>
        <w:trPr>
          <w:trHeight w:val="209"/>
        </w:trPr>
        <w:tc>
          <w:tcPr>
            <w:tcW w:w="30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Third Quarter</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19"/>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87</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FF0FC"/>
          </w:tcPr>
          <w:p>
            <w:pPr>
              <w:spacing w:after="0"/>
              <w:rPr>
                <w:sz w:val="18"/>
                <w:szCs w:val="18"/>
                <w:color w:val="auto"/>
              </w:rPr>
            </w:pPr>
          </w:p>
        </w:tc>
      </w:tr>
      <w:tr>
        <w:trPr>
          <w:trHeight w:val="223"/>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Nine Months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-1092200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-1075055</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-1092200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-1075055</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-1092200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-1075055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-1092200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-1075055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-1092200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-1075055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-1092200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-1075055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Based on the carrying value of intangible assets at September 30, 2024, amortization expense for the subsequent five years is estimated to be: fourth quarter of 2024—$84 million; 2025—$314 million; 2026—$304 million; 2027—$300 million; 2028—$291 million; and 2029—$278 million.</w:t>
      </w:r>
    </w:p>
    <w:p>
      <w:pPr>
        <w:spacing w:after="0" w:line="156"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Long-term Debt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consists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0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Sept. 30,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240"/>
              <w:spacing w:after="0"/>
              <w:rPr>
                <w:sz w:val="20"/>
                <w:szCs w:val="20"/>
                <w:color w:val="auto"/>
              </w:rPr>
            </w:pPr>
            <w:r>
              <w:rPr>
                <w:rFonts w:ascii="Arial" w:cs="Arial" w:eastAsia="Arial" w:hAnsi="Arial"/>
                <w:sz w:val="16"/>
                <w:szCs w:val="16"/>
                <w:color w:val="auto"/>
              </w:rPr>
              <w:t>Dec. 31,</w:t>
            </w:r>
          </w:p>
        </w:tc>
      </w:tr>
      <w:tr>
        <w:trPr>
          <w:trHeight w:val="217"/>
        </w:trPr>
        <w:tc>
          <w:tcPr>
            <w:tcW w:w="50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10"/>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3.90%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2028</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1,476</w:t>
            </w:r>
          </w:p>
        </w:tc>
        <w:tc>
          <w:tcPr>
            <w:tcW w:w="5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2.65%</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2030</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1,250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1.375% Guaranteed Notes due 2026</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1,113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2.00%</w:t>
            </w:r>
          </w:p>
        </w:tc>
        <w:tc>
          <w:tcPr>
            <w:tcW w:w="7160" w:type="dxa"/>
            <w:vAlign w:val="bottom"/>
          </w:tcPr>
          <w:p>
            <w:pPr>
              <w:ind w:left="20"/>
              <w:spacing w:after="0"/>
              <w:rPr>
                <w:sz w:val="20"/>
                <w:szCs w:val="20"/>
                <w:color w:val="auto"/>
              </w:rPr>
            </w:pPr>
            <w:r>
              <w:rPr>
                <w:rFonts w:ascii="Arial" w:cs="Arial" w:eastAsia="Arial" w:hAnsi="Arial"/>
                <w:sz w:val="16"/>
                <w:szCs w:val="16"/>
                <w:color w:val="auto"/>
              </w:rPr>
              <w:t>Guaranteed Notes due 2032</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1,107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0.25%</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2027</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1,002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0.50%</w:t>
            </w:r>
          </w:p>
        </w:tc>
        <w:tc>
          <w:tcPr>
            <w:tcW w:w="7160" w:type="dxa"/>
            <w:vAlign w:val="bottom"/>
          </w:tcPr>
          <w:p>
            <w:pPr>
              <w:ind w:left="20"/>
              <w:spacing w:after="0"/>
              <w:rPr>
                <w:sz w:val="20"/>
                <w:szCs w:val="20"/>
                <w:color w:val="auto"/>
              </w:rPr>
            </w:pPr>
            <w:r>
              <w:rPr>
                <w:rFonts w:ascii="Arial" w:cs="Arial" w:eastAsia="Arial" w:hAnsi="Arial"/>
                <w:sz w:val="16"/>
                <w:szCs w:val="16"/>
                <w:color w:val="auto"/>
              </w:rPr>
              <w:t>Notes due 2031</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4.30%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2029</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1.00%</w:t>
            </w:r>
          </w:p>
        </w:tc>
        <w:tc>
          <w:tcPr>
            <w:tcW w:w="7160" w:type="dxa"/>
            <w:vAlign w:val="bottom"/>
          </w:tcPr>
          <w:p>
            <w:pPr>
              <w:ind w:left="20"/>
              <w:spacing w:after="0"/>
              <w:rPr>
                <w:sz w:val="20"/>
                <w:szCs w:val="20"/>
                <w:color w:val="auto"/>
              </w:rPr>
            </w:pPr>
            <w:r>
              <w:rPr>
                <w:rFonts w:ascii="Arial" w:cs="Arial" w:eastAsia="Arial" w:hAnsi="Arial"/>
                <w:sz w:val="16"/>
                <w:szCs w:val="16"/>
                <w:color w:val="auto"/>
              </w:rPr>
              <w:t>Guaranteed Notes due 2026</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668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4.00%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2025</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4.50%</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2028</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4.85%</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2033</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5.00%</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2027</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5.00%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2029</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5.00%</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2034</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489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7.00%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2038</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5.95%</w:t>
            </w:r>
          </w:p>
        </w:tc>
        <w:tc>
          <w:tcPr>
            <w:tcW w:w="7160" w:type="dxa"/>
            <w:vAlign w:val="bottom"/>
          </w:tcPr>
          <w:p>
            <w:pPr>
              <w:ind w:left="20"/>
              <w:spacing w:after="0"/>
              <w:rPr>
                <w:sz w:val="20"/>
                <w:szCs w:val="20"/>
                <w:color w:val="auto"/>
              </w:rPr>
            </w:pPr>
            <w:r>
              <w:rPr>
                <w:rFonts w:ascii="Arial" w:cs="Arial" w:eastAsia="Arial" w:hAnsi="Arial"/>
                <w:sz w:val="16"/>
                <w:szCs w:val="16"/>
                <w:color w:val="auto"/>
              </w:rPr>
              <w:t>Notes due 2041</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5.13%</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2043</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1.40%</w:t>
            </w:r>
          </w:p>
        </w:tc>
        <w:tc>
          <w:tcPr>
            <w:tcW w:w="71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Senior Notes due 2025</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FF0FC"/>
            </w:tcBorders>
          </w:tcPr>
          <w:p>
            <w:pPr>
              <w:spacing w:after="0"/>
              <w:rPr>
                <w:sz w:val="18"/>
                <w:szCs w:val="18"/>
                <w:color w:val="auto"/>
              </w:rPr>
            </w:pPr>
          </w:p>
        </w:tc>
      </w:tr>
      <w:tr>
        <w:trPr>
          <w:trHeight w:val="250"/>
        </w:trPr>
        <w:tc>
          <w:tcPr>
            <w:tcW w:w="500" w:type="dxa"/>
            <w:vAlign w:val="bottom"/>
            <w:tcBorders>
              <w:bottom w:val="single" w:sz="8" w:color="CFF0FC"/>
            </w:tcBorders>
            <w:shd w:val="clear" w:color="auto" w:fill="CFF0FC"/>
          </w:tcPr>
          <w:p>
            <w:pPr>
              <w:spacing w:after="0"/>
              <w:rPr>
                <w:sz w:val="21"/>
                <w:szCs w:val="21"/>
                <w:color w:val="auto"/>
              </w:rPr>
            </w:pPr>
          </w:p>
        </w:tc>
        <w:tc>
          <w:tcPr>
            <w:tcW w:w="7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11,864</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10,842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estimated fair value of SLB’s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based on quoted market prices at September 30, 2024 and December 31, 2023, was $11.4 billion and $10.2 billion, respectively.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There were no borrowings under the commercial paper programs at September 30, 2024 and December 31, 2023.</w:t>
      </w:r>
    </w:p>
    <w:p>
      <w:pPr>
        <w:spacing w:after="0" w:line="2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September 30, 2024, SLB had committed credit facility agreements aggregating $5.0 billion with commercial banks. These committed facilities, of which $2.0 billion matures in February 2027 and $3.0 billion matures in December 2028, support commercial paper programs in the United States and Europe. There were no borrowings outstanding under these facilities at September 30, 2024 and December 31, 2023.</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Schlumberger Limited fully and unconditionally guarantees the securities issued by certain of its subsidiaries, including securities issued by Schlumberger Investment S.A. and Schlumberger Finance Canada Ltd., both indirect wholly-owned subsidiaries of Schlumberger Limited.</w:t>
      </w:r>
    </w:p>
    <w:p>
      <w:pPr>
        <w:spacing w:after="0" w:line="156"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 and Hedging Activities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functional currency is primarily the US dollar.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Changes in foreign currency exchange rates expose SLB to risks on future cash flows relating to its fixed rate debt denominated in currencies other than the functional currency. SLB uses cross-currency interest rate swaps to provide a hedge against these risks. These contracts are accounted for as cash flow hedges, with the fair value of the derivative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are reclassified into earnings in the same period or periods that the hedged item is recognized in earnings.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Details regarding SLB’s outstanding cross-currency interest rate swaps as of September 30, 2024, were as follows:</w:t>
      </w:r>
    </w:p>
    <w:p>
      <w:pPr>
        <w:spacing w:after="0" w:line="113" w:lineRule="exact"/>
        <w:rPr>
          <w:sz w:val="20"/>
          <w:szCs w:val="20"/>
          <w:color w:val="auto"/>
        </w:rPr>
      </w:pPr>
    </w:p>
    <w:p>
      <w:pPr>
        <w:jc w:val="both"/>
        <w:ind w:left="1020" w:hanging="503"/>
        <w:spacing w:after="0" w:line="251"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During 2019, a US-dollar functional currency subsidiary of SLB issued €1.5 billion of Euro-denominated debt. SLB entered into cross-currency interest rate swaps in order to hedge changes in the US dollar value of its €0.5 billion 0.00% Notes due 2024, €0.5 billion 0.25% Notes due 2027 and €0.5 billion 0.50% Notes due 2031. These cross-currency interest rate swaps effectively convert the Euro-denominated notes to US-dollar denominated debt with fixed annual interest rates of 2.29%, 2.51% and 2.76%, respectively.</w:t>
      </w:r>
    </w:p>
    <w:p>
      <w:pPr>
        <w:spacing w:after="0" w:line="1" w:lineRule="exact"/>
        <w:rPr>
          <w:rFonts w:ascii="Times New Roman" w:cs="Times New Roman" w:eastAsia="Times New Roman" w:hAnsi="Times New Roman"/>
          <w:sz w:val="16"/>
          <w:szCs w:val="16"/>
          <w:color w:val="auto"/>
        </w:rPr>
      </w:pPr>
    </w:p>
    <w:p>
      <w:pPr>
        <w:jc w:val="both"/>
        <w:ind w:left="1020" w:hanging="503"/>
        <w:spacing w:after="0" w:line="246"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€0.8 billion of Euro-denominated debt. SLB entered into cross-currency interest rate swaps to hedge changes in the US dollar value of its €0.4 billion of 0.25% Notes due 2027 and €0.4 billion of 0.50% Notes due 2031. These cross-currency interest rate swaps effectively convert the Euro-denominated notes to US-dollar denominated debt with fixed annual interest rates of 1.87% and 2.20%, respectively.</w:t>
      </w:r>
    </w:p>
    <w:p>
      <w:pPr>
        <w:jc w:val="both"/>
        <w:ind w:left="1020" w:hanging="503"/>
        <w:spacing w:after="0" w:line="246"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€2.0 billion of Euro-denominated debt. SLB entered into cross-currency interest rate swaps to hedge changes in the US dollar value of its €1.0 billion of 1.375% Guaranteed Notes due 2026 and €1.0 billion of 2.00% Guaranteed Notes due 2032. These cross-currency interest rate swaps effectively convert the Euro-denominated notes to US-dollar denominated debt with fixed annual interest rates of 2.77% and 3.49%, respectively.</w:t>
      </w:r>
    </w:p>
    <w:p>
      <w:pPr>
        <w:jc w:val="both"/>
        <w:ind w:left="1020" w:hanging="503"/>
        <w:spacing w:after="0" w:line="254"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Canadian dollar functional currency subsidiary of SLB issued $0.5 billion of US dollar denominated debt. SLB entered into cross-currency interest rate swaps to hedge changes in the US dollar value of its $0.5 billion 1.40% Senior Notes due 2025. These cross-currency interest rate swaps effectively convert the US dollar notes to Canadian dollar denominated debt with a fixed annual interest rate of 1.73%.</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summary of the amounts included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relating to cross currency interest rate swaps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26"/>
        </w:trPr>
        <w:tc>
          <w:tcPr>
            <w:tcW w:w="7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Sept. 30, 2024</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Dec. 31, 2023</w:t>
            </w:r>
          </w:p>
        </w:tc>
        <w:tc>
          <w:tcPr>
            <w:tcW w:w="100" w:type="dxa"/>
            <w:vAlign w:val="bottom"/>
          </w:tcPr>
          <w:p>
            <w:pPr>
              <w:spacing w:after="0"/>
              <w:rPr>
                <w:sz w:val="24"/>
                <w:szCs w:val="24"/>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Other current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Other Assets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Other Liabilities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64</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FF0FC"/>
          </w:tcPr>
          <w:p>
            <w:pPr>
              <w:spacing w:after="0"/>
              <w:rPr>
                <w:sz w:val="18"/>
                <w:szCs w:val="18"/>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were determined using a model with inputs that are observable in the market or can be derived or corroborated by observable data.</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the fair value of the hedged item.</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 w:name="page13"/>
    <w:bookmarkEnd w:id="12"/>
    <w:p>
      <w:pPr>
        <w:jc w:val="both"/>
        <w:ind w:right="20"/>
        <w:spacing w:after="0" w:line="286" w:lineRule="auto"/>
        <w:rPr>
          <w:sz w:val="20"/>
          <w:szCs w:val="20"/>
          <w:color w:val="auto"/>
        </w:rPr>
      </w:pPr>
      <w:r>
        <w:rPr>
          <w:rFonts w:ascii="Arial" w:cs="Arial" w:eastAsia="Arial" w:hAnsi="Arial"/>
          <w:sz w:val="16"/>
          <w:szCs w:val="16"/>
          <w:color w:val="auto"/>
        </w:rPr>
        <w:t>Foreign currency forward contracts were outstanding for the US dollar equivalent of $7.1 billion and $5.4 billion in various foreign currencies as of September 30, 2024 and December 31, 2023, respectively.</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Other than the previously mentioned cross-currency interest rate swaps, the fair value of the other outstanding derivatives was not material as of September 30, 2024 and December 31, 2023.</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effect of derivative instruments designated as cash flow hedges, and those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right"/>
              <w:ind w:right="220"/>
              <w:spacing w:after="0"/>
              <w:rPr>
                <w:sz w:val="20"/>
                <w:szCs w:val="20"/>
                <w:color w:val="auto"/>
              </w:rPr>
            </w:pPr>
            <w:r>
              <w:rPr>
                <w:rFonts w:ascii="Arial" w:cs="Arial" w:eastAsia="Arial" w:hAnsi="Arial"/>
                <w:sz w:val="14"/>
                <w:szCs w:val="14"/>
                <w:i w:val="1"/>
                <w:iCs w:val="1"/>
                <w:color w:val="auto"/>
              </w:rPr>
              <w:t>(Stated in millions)</w:t>
            </w:r>
          </w:p>
        </w:tc>
        <w:tc>
          <w:tcPr>
            <w:tcW w:w="2800" w:type="dxa"/>
            <w:vAlign w:val="bottom"/>
          </w:tcPr>
          <w:p>
            <w:pPr>
              <w:spacing w:after="0"/>
              <w:rPr>
                <w:sz w:val="16"/>
                <w:szCs w:val="16"/>
                <w:color w:val="auto"/>
              </w:rPr>
            </w:pPr>
          </w:p>
        </w:tc>
      </w:tr>
      <w:tr>
        <w:trPr>
          <w:trHeight w:val="440"/>
        </w:trPr>
        <w:tc>
          <w:tcPr>
            <w:tcW w:w="4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Gain (Loss) Recognized in Income</w:t>
            </w: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0"/>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Third Quarter</w:t>
            </w:r>
          </w:p>
        </w:tc>
        <w:tc>
          <w:tcPr>
            <w:tcW w:w="180" w:type="dxa"/>
            <w:vAlign w:val="bottom"/>
          </w:tcPr>
          <w:p>
            <w:pPr>
              <w:spacing w:after="0"/>
              <w:rPr>
                <w:sz w:val="18"/>
                <w:szCs w:val="18"/>
                <w:color w:val="auto"/>
              </w:rPr>
            </w:pPr>
          </w:p>
        </w:tc>
        <w:tc>
          <w:tcPr>
            <w:tcW w:w="16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w:t>
            </w: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82"/>
        </w:trPr>
        <w:tc>
          <w:tcPr>
            <w:tcW w:w="4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tcPr>
          <w:p>
            <w:pPr>
              <w:ind w:left="20"/>
              <w:spacing w:after="0" w:line="182" w:lineRule="exact"/>
              <w:rPr>
                <w:sz w:val="20"/>
                <w:szCs w:val="20"/>
                <w:color w:val="auto"/>
              </w:rPr>
            </w:pPr>
            <w:r>
              <w:rPr>
                <w:rFonts w:ascii="Arial" w:cs="Arial" w:eastAsia="Arial" w:hAnsi="Arial"/>
                <w:sz w:val="16"/>
                <w:szCs w:val="16"/>
                <w:color w:val="auto"/>
              </w:rPr>
              <w:t>Consolidated Statement of Income</w:t>
            </w:r>
          </w:p>
        </w:tc>
      </w:tr>
      <w:tr>
        <w:trPr>
          <w:trHeight w:val="217"/>
        </w:trPr>
        <w:tc>
          <w:tcPr>
            <w:tcW w:w="4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8"/>
                <w:szCs w:val="18"/>
                <w:color w:val="auto"/>
              </w:rPr>
            </w:pP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Classification</w:t>
            </w:r>
          </w:p>
        </w:tc>
      </w:tr>
      <w:tr>
        <w:trPr>
          <w:trHeight w:val="209"/>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0" w:type="dxa"/>
            <w:vAlign w:val="bottom"/>
            <w:shd w:val="clear" w:color="auto" w:fill="CFF0FC"/>
          </w:tcPr>
          <w:p>
            <w:pPr>
              <w:spacing w:after="0"/>
              <w:rPr>
                <w:sz w:val="18"/>
                <w:szCs w:val="18"/>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6"/>
                <w:szCs w:val="16"/>
                <w:color w:val="auto"/>
              </w:rPr>
              <w:t>Cross-currency interest rate swaps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193</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(159 )</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(27 )</w:t>
            </w:r>
          </w:p>
        </w:tc>
        <w:tc>
          <w:tcPr>
            <w:tcW w:w="2800" w:type="dxa"/>
            <w:vAlign w:val="bottom"/>
          </w:tcPr>
          <w:p>
            <w:pPr>
              <w:ind w:left="20"/>
              <w:spacing w:after="0"/>
              <w:rPr>
                <w:sz w:val="20"/>
                <w:szCs w:val="20"/>
                <w:color w:val="auto"/>
              </w:rPr>
            </w:pPr>
            <w:r>
              <w:rPr>
                <w:rFonts w:ascii="Arial" w:cs="Arial" w:eastAsia="Arial" w:hAnsi="Arial"/>
                <w:sz w:val="16"/>
                <w:szCs w:val="16"/>
                <w:i w:val="1"/>
                <w:iCs w:val="1"/>
                <w:color w:val="auto"/>
              </w:rPr>
              <w:t>Cost of services/sales</w:t>
            </w:r>
          </w:p>
        </w:tc>
      </w:tr>
      <w:tr>
        <w:trPr>
          <w:trHeight w:val="216"/>
        </w:trPr>
        <w:tc>
          <w:tcPr>
            <w:tcW w:w="4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Cross-currency interest rate swaps</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(21 )</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(22 )</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(65 )</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(66 )</w:t>
            </w:r>
          </w:p>
        </w:tc>
        <w:tc>
          <w:tcPr>
            <w:tcW w:w="280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Interest expense</w:t>
            </w:r>
          </w:p>
        </w:tc>
      </w:tr>
      <w:tr>
        <w:trPr>
          <w:trHeight w:val="216"/>
        </w:trPr>
        <w:tc>
          <w:tcPr>
            <w:tcW w:w="4200" w:type="dxa"/>
            <w:vAlign w:val="bottom"/>
          </w:tcPr>
          <w:p>
            <w:pPr>
              <w:ind w:left="200"/>
              <w:spacing w:after="0"/>
              <w:rPr>
                <w:sz w:val="20"/>
                <w:szCs w:val="20"/>
                <w:color w:val="auto"/>
              </w:rPr>
            </w:pPr>
            <w:r>
              <w:rPr>
                <w:rFonts w:ascii="Arial" w:cs="Arial" w:eastAsia="Arial" w:hAnsi="Arial"/>
                <w:sz w:val="16"/>
                <w:szCs w:val="16"/>
                <w:color w:val="auto"/>
              </w:rPr>
              <w:t>Commodity contracts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(5 )</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(10 )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r>
      <w:tr>
        <w:trPr>
          <w:trHeight w:val="216"/>
        </w:trPr>
        <w:tc>
          <w:tcPr>
            <w:tcW w:w="4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exchange contracts</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8"/>
                <w:szCs w:val="18"/>
                <w:color w:val="auto"/>
              </w:rPr>
            </w:pPr>
          </w:p>
        </w:tc>
        <w:tc>
          <w:tcPr>
            <w:tcW w:w="280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Cost of services/sales</w:t>
            </w:r>
          </w:p>
        </w:tc>
      </w:tr>
      <w:tr>
        <w:trPr>
          <w:trHeight w:val="216"/>
        </w:trPr>
        <w:tc>
          <w:tcPr>
            <w:tcW w:w="4200" w:type="dxa"/>
            <w:vAlign w:val="bottom"/>
          </w:tcPr>
          <w:p>
            <w:pPr>
              <w:ind w:left="200"/>
              <w:spacing w:after="0"/>
              <w:rPr>
                <w:sz w:val="20"/>
                <w:szCs w:val="20"/>
                <w:color w:val="auto"/>
              </w:rPr>
            </w:pPr>
            <w:r>
              <w:rPr>
                <w:rFonts w:ascii="Arial" w:cs="Arial" w:eastAsia="Arial" w:hAnsi="Arial"/>
                <w:sz w:val="16"/>
                <w:szCs w:val="16"/>
                <w:color w:val="auto"/>
              </w:rPr>
              <w:t>Foreign exchange contracts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(6 )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r>
      <w:tr>
        <w:trPr>
          <w:trHeight w:val="20"/>
        </w:trPr>
        <w:tc>
          <w:tcPr>
            <w:tcW w:w="4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49"/>
        </w:trPr>
        <w:tc>
          <w:tcPr>
            <w:tcW w:w="4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(179 )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(22 )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(77 )</w:t>
            </w:r>
          </w:p>
        </w:tc>
        <w:tc>
          <w:tcPr>
            <w:tcW w:w="2800" w:type="dxa"/>
            <w:vAlign w:val="bottom"/>
            <w:shd w:val="clear" w:color="auto" w:fill="CFF0FC"/>
          </w:tcPr>
          <w:p>
            <w:pPr>
              <w:spacing w:after="0"/>
              <w:rPr>
                <w:sz w:val="21"/>
                <w:szCs w:val="21"/>
                <w:color w:val="auto"/>
              </w:rPr>
            </w:pPr>
          </w:p>
        </w:tc>
      </w:tr>
      <w:tr>
        <w:trPr>
          <w:trHeight w:val="196"/>
        </w:trPr>
        <w:tc>
          <w:tcPr>
            <w:tcW w:w="42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Derivatives not designated as hedges:</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0" w:type="dxa"/>
            <w:vAlign w:val="bottom"/>
            <w:tcBorders>
              <w:top w:val="single" w:sz="8" w:color="CFF0FC"/>
            </w:tcBorders>
          </w:tcPr>
          <w:p>
            <w:pPr>
              <w:spacing w:after="0"/>
              <w:rPr>
                <w:sz w:val="17"/>
                <w:szCs w:val="17"/>
                <w:color w:val="auto"/>
              </w:rPr>
            </w:pPr>
          </w:p>
        </w:tc>
      </w:tr>
      <w:tr>
        <w:trPr>
          <w:trHeight w:val="237"/>
        </w:trPr>
        <w:tc>
          <w:tcPr>
            <w:tcW w:w="4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exchange contracts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(13 )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(21 )</w:t>
            </w:r>
          </w:p>
        </w:tc>
        <w:tc>
          <w:tcPr>
            <w:tcW w:w="280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Cost of services/sales</w:t>
            </w: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-325120</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-307975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-325120</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-307975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-325120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-307975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-325120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-307975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-25400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-25400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-25400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 has issued credit default swaps (“CDSs”) to certain third-party financial institutions that have an aggregate notional amount outstanding of approximately $1.0 billion as of September 30, 2024. The CDSs relate to borrowings provided by the financial institutions to SLB’s primary customer in Mexico. The borrowings were used by this customer to pay certain of SLB’s outstanding receivables. Approximately $0.4 billion of the outstanding CDSs reduces on a monthly basis over its remaining 17-month term while the remaining $0.6 billion reduces on a monthly basis over its remaining 21-month term. The fair value of these derivative liabilities was not material at September 30, 2024.</w:t>
      </w:r>
    </w:p>
    <w:p>
      <w:pPr>
        <w:spacing w:after="0" w:line="180"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Contingencies</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64"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Segment Information</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Third Quarter 2024</w:t>
            </w:r>
          </w:p>
        </w:tc>
        <w:tc>
          <w:tcPr>
            <w:tcW w:w="180" w:type="dxa"/>
            <w:vAlign w:val="bottom"/>
          </w:tcPr>
          <w:p>
            <w:pPr>
              <w:spacing w:after="0"/>
              <w:rPr>
                <w:sz w:val="24"/>
                <w:szCs w:val="24"/>
                <w:color w:val="auto"/>
              </w:rPr>
            </w:pPr>
          </w:p>
        </w:tc>
        <w:tc>
          <w:tcPr>
            <w:tcW w:w="2620" w:type="dxa"/>
            <w:vAlign w:val="bottom"/>
            <w:gridSpan w:val="5"/>
          </w:tcPr>
          <w:p>
            <w:pPr>
              <w:jc w:val="right"/>
              <w:ind w:right="780"/>
              <w:spacing w:after="0"/>
              <w:rPr>
                <w:sz w:val="20"/>
                <w:szCs w:val="20"/>
                <w:color w:val="auto"/>
              </w:rPr>
            </w:pPr>
            <w:r>
              <w:rPr>
                <w:rFonts w:ascii="Arial" w:cs="Arial" w:eastAsia="Arial" w:hAnsi="Arial"/>
                <w:sz w:val="16"/>
                <w:szCs w:val="16"/>
                <w:color w:val="auto"/>
              </w:rPr>
              <w:t>Third Quarter 2023</w:t>
            </w:r>
          </w:p>
        </w:tc>
      </w:tr>
      <w:tr>
        <w:trPr>
          <w:trHeight w:val="209"/>
        </w:trPr>
        <w:tc>
          <w:tcPr>
            <w:tcW w:w="5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Income</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8"/>
                <w:szCs w:val="18"/>
                <w:color w:val="auto"/>
              </w:rPr>
            </w:pPr>
          </w:p>
        </w:tc>
      </w:tr>
      <w:tr>
        <w:trPr>
          <w:trHeight w:val="21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Before Taxes</w:t>
            </w:r>
          </w:p>
        </w:tc>
        <w:tc>
          <w:tcPr>
            <w:tcW w:w="1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Before Taxes</w:t>
            </w:r>
          </w:p>
        </w:tc>
      </w:tr>
      <w:tr>
        <w:trPr>
          <w:trHeight w:val="20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1,088</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386</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982</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3,312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714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(167 )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(84 )</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(149 )</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(53 )</w:t>
            </w:r>
          </w:p>
        </w:tc>
      </w:tr>
      <w:tr>
        <w:trPr>
          <w:trHeight w:val="210"/>
        </w:trPr>
        <w:tc>
          <w:tcPr>
            <w:tcW w:w="54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1,902</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1,683</w:t>
            </w:r>
          </w:p>
        </w:tc>
        <w:tc>
          <w:tcPr>
            <w:tcW w:w="100" w:type="dxa"/>
            <w:vAlign w:val="bottom"/>
            <w:tcBorders>
              <w:top w:val="single" w:sz="8" w:color="CFF0FC"/>
            </w:tcBorders>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(187 )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(182 )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(132 )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(126 )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(112 )</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50"/>
        </w:trPr>
        <w:tc>
          <w:tcPr>
            <w:tcW w:w="5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9,159</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1,507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8,310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-864870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2" w:lineRule="exact"/>
        <w:rPr>
          <w:sz w:val="20"/>
          <w:szCs w:val="20"/>
          <w:color w:val="auto"/>
        </w:rPr>
      </w:pPr>
    </w:p>
    <w:p>
      <w:pPr>
        <w:ind w:left="380" w:hanging="372"/>
        <w:spacing w:after="0" w:line="222" w:lineRule="auto"/>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($16 million in 2024; $3 million in 2023).</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($4 million in 2024; $4 million in 2023).</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jc w:val="right"/>
              <w:ind w:right="940"/>
              <w:spacing w:after="0"/>
              <w:rPr>
                <w:sz w:val="20"/>
                <w:szCs w:val="20"/>
                <w:color w:val="auto"/>
              </w:rPr>
            </w:pPr>
            <w:r>
              <w:rPr>
                <w:rFonts w:ascii="Arial" w:cs="Arial" w:eastAsia="Arial" w:hAnsi="Arial"/>
                <w:sz w:val="16"/>
                <w:szCs w:val="16"/>
                <w:b w:val="1"/>
                <w:bCs w:val="1"/>
                <w:color w:val="auto"/>
              </w:rPr>
              <w:t>Nine Months 2024</w:t>
            </w:r>
          </w:p>
        </w:tc>
        <w:tc>
          <w:tcPr>
            <w:tcW w:w="180" w:type="dxa"/>
            <w:vAlign w:val="bottom"/>
          </w:tcPr>
          <w:p>
            <w:pPr>
              <w:spacing w:after="0"/>
              <w:rPr>
                <w:sz w:val="24"/>
                <w:szCs w:val="24"/>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6"/>
                <w:szCs w:val="16"/>
                <w:color w:val="auto"/>
              </w:rPr>
              <w:t>Nine Months 2023</w:t>
            </w:r>
          </w:p>
        </w:tc>
      </w:tr>
      <w:tr>
        <w:trPr>
          <w:trHeight w:val="209"/>
        </w:trPr>
        <w:tc>
          <w:tcPr>
            <w:tcW w:w="5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Income</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8"/>
                <w:szCs w:val="18"/>
                <w:color w:val="auto"/>
              </w:rPr>
            </w:pPr>
          </w:p>
        </w:tc>
      </w:tr>
      <w:tr>
        <w:trPr>
          <w:trHeight w:val="21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Before Taxes</w:t>
            </w:r>
          </w:p>
        </w:tc>
        <w:tc>
          <w:tcPr>
            <w:tcW w:w="1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Before Taxes</w:t>
            </w:r>
          </w:p>
        </w:tc>
      </w:tr>
      <w:tr>
        <w:trPr>
          <w:trHeight w:val="20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3,091</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965</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2,822</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5,368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10,090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2,145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2,162</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8,946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(490 )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(180 )</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(443 )</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(102 )</w:t>
            </w:r>
          </w:p>
        </w:tc>
      </w:tr>
      <w:tr>
        <w:trPr>
          <w:trHeight w:val="209"/>
        </w:trPr>
        <w:tc>
          <w:tcPr>
            <w:tcW w:w="54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5,404</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4,655</w:t>
            </w:r>
          </w:p>
        </w:tc>
        <w:tc>
          <w:tcPr>
            <w:tcW w:w="100" w:type="dxa"/>
            <w:vAlign w:val="bottom"/>
            <w:tcBorders>
              <w:top w:val="single" w:sz="8" w:color="CFF0FC"/>
            </w:tcBorders>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(568 )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(536 )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(370 )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(363 )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(279 )</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r>
      <w:tr>
        <w:trPr>
          <w:trHeight w:val="249"/>
        </w:trPr>
        <w:tc>
          <w:tcPr>
            <w:tcW w:w="5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27,005</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4,285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24,145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-864870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ind w:left="380" w:hanging="372"/>
        <w:spacing w:after="0" w:line="222"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($31 million in 2024; $2 million in 2023).</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($13 million in 2024 ; $10 million in 2023).</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area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Third Quarter</w:t>
            </w:r>
          </w:p>
        </w:tc>
        <w:tc>
          <w:tcPr>
            <w:tcW w:w="8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Nine Months</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 America</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1,687</w:t>
            </w: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4,929</w:t>
            </w:r>
          </w:p>
        </w:tc>
        <w:tc>
          <w:tcPr>
            <w:tcW w:w="6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5,086</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1,689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5,084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4,923</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Europe &amp; Africa </w:t>
            </w:r>
            <w:r>
              <w:rPr>
                <w:rFonts w:ascii="Arial" w:cs="Arial" w:eastAsia="Arial" w:hAnsi="Arial"/>
                <w:sz w:val="21"/>
                <w:szCs w:val="21"/>
                <w:color w:val="auto"/>
                <w:vertAlign w:val="superscript"/>
              </w:rPr>
              <w:t>(1)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2,434</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7,199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6,095</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Middle East &amp; Asia</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3,302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2,842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9,650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7,877</w:t>
            </w:r>
          </w:p>
        </w:tc>
        <w:tc>
          <w:tcPr>
            <w:tcW w:w="100" w:type="dxa"/>
            <w:vAlign w:val="bottom"/>
          </w:tcPr>
          <w:p>
            <w:pPr>
              <w:spacing w:after="0"/>
              <w:rPr>
                <w:sz w:val="18"/>
                <w:szCs w:val="18"/>
                <w:color w:val="auto"/>
              </w:rPr>
            </w:pPr>
          </w:p>
        </w:tc>
      </w:tr>
      <w:tr>
        <w:trPr>
          <w:trHeight w:val="216"/>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47</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143</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9,159</w:t>
            </w:r>
          </w:p>
        </w:tc>
        <w:tc>
          <w:tcPr>
            <w:tcW w:w="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8,310</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27,005</w:t>
            </w:r>
          </w:p>
        </w:tc>
        <w:tc>
          <w:tcPr>
            <w:tcW w:w="6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24,145</w:t>
            </w:r>
          </w:p>
        </w:tc>
        <w:tc>
          <w:tcPr>
            <w:tcW w:w="10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4"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Russia and the Caspian region.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North America and International revenue disaggregated by segment 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Third Quarter 2024</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rPr>
              <w:t>North</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rPr>
              <w:t>America</w:t>
            </w: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9"/>
              </w:rPr>
              <w:t>International</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258</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830</w:t>
            </w:r>
          </w:p>
        </w:tc>
        <w:tc>
          <w:tcPr>
            <w:tcW w:w="2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1,088</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1,676</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1,823</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581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2,675</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3,312</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2,373</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3,103</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(20 )</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(129 )</w:t>
            </w:r>
          </w:p>
        </w:tc>
        <w:tc>
          <w:tcPr>
            <w:tcW w:w="9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(18 )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(167 )</w:t>
            </w:r>
          </w:p>
        </w:tc>
      </w:tr>
      <w:tr>
        <w:trPr>
          <w:trHeight w:val="209"/>
        </w:trPr>
        <w:tc>
          <w:tcPr>
            <w:tcW w:w="54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1,687</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7,425</w:t>
            </w:r>
          </w:p>
        </w:tc>
        <w:tc>
          <w:tcPr>
            <w:tcW w:w="26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9,159</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color w:val="auto"/>
              </w:rPr>
              <w:t>Third Quarter 2023</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color w:val="auto"/>
              </w:rPr>
              <w:t>North</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color w:val="auto"/>
              </w:rPr>
              <w:t>America</w:t>
            </w:r>
          </w:p>
        </w:tc>
        <w:tc>
          <w:tcPr>
            <w:tcW w:w="12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6"/>
                <w:szCs w:val="16"/>
                <w:color w:val="auto"/>
              </w:rPr>
              <w:t>International</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6"/>
                <w:szCs w:val="16"/>
                <w:color w:val="auto"/>
              </w:rPr>
              <w:t>Total</w:t>
            </w:r>
          </w:p>
        </w:tc>
      </w:tr>
      <w:tr>
        <w:trPr>
          <w:trHeight w:val="211"/>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2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FF0FC"/>
          </w:tcPr>
          <w:p>
            <w:pPr>
              <w:spacing w:after="0"/>
              <w:rPr>
                <w:sz w:val="18"/>
                <w:szCs w:val="18"/>
                <w:color w:val="auto"/>
              </w:rPr>
            </w:pP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1,554</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8"/>
                <w:szCs w:val="18"/>
                <w:color w:val="auto"/>
              </w:rPr>
            </w:pPr>
          </w:p>
        </w:tc>
      </w:tr>
      <w:tr>
        <w:trPr>
          <w:trHeight w:val="217"/>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2,707</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3,430</w:t>
            </w:r>
          </w:p>
        </w:tc>
        <w:tc>
          <w:tcPr>
            <w:tcW w:w="100" w:type="dxa"/>
            <w:vAlign w:val="bottom"/>
            <w:shd w:val="clear" w:color="auto" w:fill="CFF0FC"/>
          </w:tcPr>
          <w:p>
            <w:pPr>
              <w:spacing w:after="0"/>
              <w:rPr>
                <w:sz w:val="18"/>
                <w:szCs w:val="18"/>
                <w:color w:val="auto"/>
              </w:rPr>
            </w:pP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1,740</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2,367</w:t>
            </w:r>
          </w:p>
        </w:tc>
        <w:tc>
          <w:tcPr>
            <w:tcW w:w="100" w:type="dxa"/>
            <w:vAlign w:val="bottom"/>
          </w:tcPr>
          <w:p>
            <w:pPr>
              <w:spacing w:after="0"/>
              <w:rPr>
                <w:sz w:val="18"/>
                <w:szCs w:val="18"/>
                <w:color w:val="auto"/>
              </w:rPr>
            </w:pPr>
          </w:p>
        </w:tc>
      </w:tr>
      <w:tr>
        <w:trPr>
          <w:trHeight w:val="217"/>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(13 )</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(124 )</w:t>
            </w:r>
          </w:p>
        </w:tc>
        <w:tc>
          <w:tcPr>
            <w:tcW w:w="9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(149 )</w:t>
            </w:r>
          </w:p>
        </w:tc>
      </w:tr>
      <w:tr>
        <w:trPr>
          <w:trHeight w:val="209"/>
        </w:trPr>
        <w:tc>
          <w:tcPr>
            <w:tcW w:w="54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1,643</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6,614</w:t>
            </w:r>
          </w:p>
        </w:tc>
        <w:tc>
          <w:tcPr>
            <w:tcW w:w="26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8,310</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4"/>
        </w:trPr>
        <w:tc>
          <w:tcPr>
            <w:tcW w:w="5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14</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1"/>
        </w:trPr>
        <w:tc>
          <w:tcPr>
            <w:tcW w:w="5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-2622550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-2622550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-2622550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-1062355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-1062355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-1062355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0" w:right="339" w:bottom="271"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7"/>
        </w:trPr>
        <w:tc>
          <w:tcPr>
            <w:tcW w:w="5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Nine Months 2024</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North</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America</w:t>
            </w: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9"/>
              </w:rPr>
              <w:t>International</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r>
      <w:tr>
        <w:trPr>
          <w:trHeight w:val="20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784</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2,303</w:t>
            </w: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3,091</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409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4,952</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5,368</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1,776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8,151</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10,090</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2,009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6,915</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8,946</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(49 )</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(388 )</w:t>
            </w: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(53 )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(490 )</w:t>
            </w:r>
          </w:p>
        </w:tc>
      </w:tr>
      <w:tr>
        <w:trPr>
          <w:trHeight w:val="209"/>
        </w:trPr>
        <w:tc>
          <w:tcPr>
            <w:tcW w:w="54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4,929</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21,933</w:t>
            </w:r>
          </w:p>
        </w:tc>
        <w:tc>
          <w:tcPr>
            <w:tcW w:w="260" w:type="dxa"/>
            <w:vAlign w:val="bottom"/>
            <w:tcBorders>
              <w:top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27,005</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color w:val="auto"/>
              </w:rPr>
              <w:t>Nine Months 2023</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color w:val="auto"/>
              </w:rPr>
              <w:t>North</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color w:val="auto"/>
              </w:rPr>
              <w:t>America</w:t>
            </w:r>
          </w:p>
        </w:tc>
        <w:tc>
          <w:tcPr>
            <w:tcW w:w="12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6"/>
                <w:szCs w:val="16"/>
                <w:color w:val="auto"/>
              </w:rPr>
              <w:t>International</w:t>
            </w:r>
          </w:p>
        </w:tc>
        <w:tc>
          <w:tcPr>
            <w:tcW w:w="880" w:type="dxa"/>
            <w:vAlign w:val="bottom"/>
          </w:tcPr>
          <w:p>
            <w:pPr>
              <w:jc w:val="right"/>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6"/>
                <w:szCs w:val="16"/>
                <w:color w:val="auto"/>
              </w:rPr>
              <w:t>Total</w:t>
            </w:r>
          </w:p>
        </w:tc>
      </w:tr>
      <w:tr>
        <w:trPr>
          <w:trHeight w:val="211"/>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2,091</w:t>
            </w: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2,822</w:t>
            </w:r>
          </w:p>
        </w:tc>
        <w:tc>
          <w:tcPr>
            <w:tcW w:w="100" w:type="dxa"/>
            <w:vAlign w:val="bottom"/>
            <w:shd w:val="clear" w:color="auto" w:fill="CFF0FC"/>
          </w:tcPr>
          <w:p>
            <w:pPr>
              <w:spacing w:after="0"/>
              <w:rPr>
                <w:sz w:val="18"/>
                <w:szCs w:val="18"/>
                <w:color w:val="auto"/>
              </w:rPr>
            </w:pP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4,446</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4,826</w:t>
            </w:r>
          </w:p>
        </w:tc>
        <w:tc>
          <w:tcPr>
            <w:tcW w:w="100" w:type="dxa"/>
            <w:vAlign w:val="bottom"/>
          </w:tcPr>
          <w:p>
            <w:pPr>
              <w:spacing w:after="0"/>
              <w:rPr>
                <w:sz w:val="18"/>
                <w:szCs w:val="18"/>
                <w:color w:val="auto"/>
              </w:rPr>
            </w:pPr>
          </w:p>
        </w:tc>
      </w:tr>
      <w:tr>
        <w:trPr>
          <w:trHeight w:val="217"/>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7,782</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10,052</w:t>
            </w:r>
          </w:p>
        </w:tc>
        <w:tc>
          <w:tcPr>
            <w:tcW w:w="100" w:type="dxa"/>
            <w:vAlign w:val="bottom"/>
            <w:shd w:val="clear" w:color="auto" w:fill="CFF0FC"/>
          </w:tcPr>
          <w:p>
            <w:pPr>
              <w:spacing w:after="0"/>
              <w:rPr>
                <w:sz w:val="18"/>
                <w:szCs w:val="18"/>
                <w:color w:val="auto"/>
              </w:rPr>
            </w:pP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4,943</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6,888</w:t>
            </w:r>
          </w:p>
        </w:tc>
        <w:tc>
          <w:tcPr>
            <w:tcW w:w="100" w:type="dxa"/>
            <w:vAlign w:val="bottom"/>
          </w:tcPr>
          <w:p>
            <w:pPr>
              <w:spacing w:after="0"/>
              <w:rPr>
                <w:sz w:val="18"/>
                <w:szCs w:val="18"/>
                <w:color w:val="auto"/>
              </w:rPr>
            </w:pPr>
          </w:p>
        </w:tc>
      </w:tr>
      <w:tr>
        <w:trPr>
          <w:trHeight w:val="217"/>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(42 )</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(367 )</w:t>
            </w: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(443 )</w:t>
            </w:r>
          </w:p>
        </w:tc>
      </w:tr>
      <w:tr>
        <w:trPr>
          <w:trHeight w:val="209"/>
        </w:trPr>
        <w:tc>
          <w:tcPr>
            <w:tcW w:w="54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5,086</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18,895</w:t>
            </w:r>
          </w:p>
        </w:tc>
        <w:tc>
          <w:tcPr>
            <w:tcW w:w="260" w:type="dxa"/>
            <w:vAlign w:val="bottom"/>
            <w:tcBorders>
              <w:top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24,145</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-1731010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-1731010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-1731010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Revenue in excess of billings related to contracts where revenue is recognized over time was $0.4 billion at both September 30, 2024 and December 31, 2023. Such amounts are included within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Total backlog was $5.2 billion at September 30, 2024, of which approximately 60% is expected to be recognized as revenue over the next 12 months.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Billings and cash collections in excess of revenue was $2.0 billion at both September 30, 2024 and December 31, 2023. Such amounts are included within </w:t>
      </w:r>
      <w:r>
        <w:rPr>
          <w:rFonts w:ascii="Arial" w:cs="Arial" w:eastAsia="Arial" w:hAnsi="Arial"/>
          <w:sz w:val="16"/>
          <w:szCs w:val="16"/>
          <w:i w:val="1"/>
          <w:iCs w:val="1"/>
          <w:color w:val="auto"/>
        </w:rPr>
        <w:t xml:space="preserve">Accounts payable and accrued liabilities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Balance Sheet</w:t>
      </w:r>
      <w:r>
        <w:rPr>
          <w:rFonts w:ascii="Arial" w:cs="Arial" w:eastAsia="Arial" w:hAnsi="Arial"/>
          <w:sz w:val="16"/>
          <w:szCs w:val="16"/>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Item 2. Management’s Discussion and Analysis of Financial Condition and Results of Operations.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Third Quarter 2024 Compared to Second Quarter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27"/>
        </w:trPr>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Third Quarter 2024</w:t>
            </w:r>
          </w:p>
        </w:tc>
        <w:tc>
          <w:tcPr>
            <w:tcW w:w="180" w:type="dxa"/>
            <w:vAlign w:val="bottom"/>
          </w:tcPr>
          <w:p>
            <w:pPr>
              <w:spacing w:after="0"/>
              <w:rPr>
                <w:sz w:val="24"/>
                <w:szCs w:val="24"/>
                <w:color w:val="auto"/>
              </w:rPr>
            </w:pPr>
          </w:p>
        </w:tc>
        <w:tc>
          <w:tcPr>
            <w:tcW w:w="2620" w:type="dxa"/>
            <w:vAlign w:val="bottom"/>
            <w:gridSpan w:val="5"/>
          </w:tcPr>
          <w:p>
            <w:pPr>
              <w:jc w:val="right"/>
              <w:ind w:right="680"/>
              <w:spacing w:after="0"/>
              <w:rPr>
                <w:sz w:val="20"/>
                <w:szCs w:val="20"/>
                <w:color w:val="auto"/>
              </w:rPr>
            </w:pPr>
            <w:r>
              <w:rPr>
                <w:rFonts w:ascii="Arial" w:cs="Arial" w:eastAsia="Arial" w:hAnsi="Arial"/>
                <w:sz w:val="16"/>
                <w:szCs w:val="16"/>
                <w:color w:val="auto"/>
              </w:rPr>
              <w:t>Second Quarter 2024</w:t>
            </w:r>
          </w:p>
        </w:tc>
      </w:tr>
      <w:tr>
        <w:trPr>
          <w:trHeight w:val="209"/>
        </w:trPr>
        <w:tc>
          <w:tcPr>
            <w:tcW w:w="5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Income</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8"/>
                <w:szCs w:val="18"/>
                <w:color w:val="auto"/>
              </w:rPr>
            </w:pPr>
          </w:p>
        </w:tc>
      </w:tr>
      <w:tr>
        <w:trPr>
          <w:trHeight w:val="21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Before Taxes</w:t>
            </w:r>
          </w:p>
        </w:tc>
        <w:tc>
          <w:tcPr>
            <w:tcW w:w="1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Before Taxes</w:t>
            </w: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1,088</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386</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1,050</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3,312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714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(167 )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(84 )</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(166 )</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(62 )</w:t>
            </w:r>
          </w:p>
        </w:tc>
      </w:tr>
      <w:tr>
        <w:trPr>
          <w:trHeight w:val="209"/>
        </w:trPr>
        <w:tc>
          <w:tcPr>
            <w:tcW w:w="54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1,902</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Borders>
              <w:top w:val="single" w:sz="8" w:color="CFF0FC"/>
            </w:tcBorders>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(187 )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(191 )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(132 )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(129 )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(112 )</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(142 )</w:t>
            </w:r>
          </w:p>
        </w:tc>
      </w:tr>
      <w:tr>
        <w:trPr>
          <w:trHeight w:val="249"/>
        </w:trPr>
        <w:tc>
          <w:tcPr>
            <w:tcW w:w="5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9,159</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1,507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9,139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-864870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768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ind w:left="380" w:hanging="372"/>
        <w:spacing w:after="0" w:line="222"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($16 million in the third quarter of 2024; $9 million in the second quarter of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($4 million in the third quarter of 2024; $3 million in the second quarter of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 delivered strong third-quarter 2024 results, achieving earnings growth and margin expansion due to its ongoing focus on cost optimization, greater adoption of SLB’s digital products and solutions, and the contribution of long-cycle projects in deepwater and gas.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performance was achieved despite an environment where short-cycle activity growth softened, and some international producers exercised cautious spending triggered by lower oil prices and ample global supply, while land activity in the US remained subdued. Third-quarter 2024 global revenue of $9.2 billion was essentially flat with the second quarter of 2024. Revenue grew sequentially in the Middle East &amp; Asia and offshore North America but was offset by a decline in Latin America, while Europe &amp; Africa revenue was flat sequentially.</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Although some customers have adopted a more cautious approach to their near-term capital expenditures and discretionary spending amid lower commodity prices, most projects are progressing as planned. Recent geopolitical events have further highlighted the importance of long-term energy security and reducing potential supply disruptions. SLB is well-positioned to navigate the evolving market conditions by leveraging its unique exposure to long-cycle projects in international, deepwater, and gas markets.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Digital &amp; Integration revenue of $1.1 billion increased 4% sequentially due to higher digital revenue while Asset Performance Solutions (“APS”) revenue was flat. Digital revenue grew 7% sequentially driven by the increased adoption internationally of our cloud, AI, and edge technology platforms.</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Digital &amp; Integration pretax operating margin of 36% expanded 456 basis points (“bps”) sequentially, mostly due to improved profitability in digital, following higher uptake of digital products and solutions and cost efficiencies.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Reservoir Performance revenue of $1.8 billion was flat sequentially as revenue grew in offshore North America and Latin America, offset by declines in Europe &amp; Africa and Middle East &amp; Asia.</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Reservoir Performance pretax operating margin of 20% contracted 53 bps sequentially largely due to lower profitability in evaluation.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Well Construction revenue of $3.3 billion declined 3% sequentially on lower revenue in measurements and fluids driven by lower drilling activity in Latin America, US land, and Saudi Arabia.</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Well Construction pretax operating margin of 22% declined 19 bps sequentially due to reduced activity both in North America and internationally.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Production Systems revenue of $3.1 billion increased 3% sequentially with growth primarily driven by higher sales of surface production systems and completions.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Production Systems pretax operating margin of 17% expanded 110 bps sequentially with improved profitability in surface production systems, completions, and artificial lift.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Nine Months 2024 Compared to Nine Months 2023</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jc w:val="right"/>
              <w:ind w:right="940"/>
              <w:spacing w:after="0"/>
              <w:rPr>
                <w:sz w:val="20"/>
                <w:szCs w:val="20"/>
                <w:color w:val="auto"/>
              </w:rPr>
            </w:pPr>
            <w:r>
              <w:rPr>
                <w:rFonts w:ascii="Arial" w:cs="Arial" w:eastAsia="Arial" w:hAnsi="Arial"/>
                <w:sz w:val="16"/>
                <w:szCs w:val="16"/>
                <w:b w:val="1"/>
                <w:bCs w:val="1"/>
                <w:color w:val="auto"/>
              </w:rPr>
              <w:t>Nine Months 2024</w:t>
            </w:r>
          </w:p>
        </w:tc>
        <w:tc>
          <w:tcPr>
            <w:tcW w:w="180" w:type="dxa"/>
            <w:vAlign w:val="bottom"/>
          </w:tcPr>
          <w:p>
            <w:pPr>
              <w:spacing w:after="0"/>
              <w:rPr>
                <w:sz w:val="24"/>
                <w:szCs w:val="24"/>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6"/>
                <w:szCs w:val="16"/>
                <w:color w:val="auto"/>
              </w:rPr>
              <w:t>Nine Months 2023</w:t>
            </w:r>
          </w:p>
        </w:tc>
      </w:tr>
      <w:tr>
        <w:trPr>
          <w:trHeight w:val="209"/>
        </w:trPr>
        <w:tc>
          <w:tcPr>
            <w:tcW w:w="5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Income</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8"/>
                <w:szCs w:val="18"/>
                <w:color w:val="auto"/>
              </w:rPr>
            </w:pPr>
          </w:p>
        </w:tc>
      </w:tr>
      <w:tr>
        <w:trPr>
          <w:trHeight w:val="21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Before Taxes</w:t>
            </w:r>
          </w:p>
        </w:tc>
        <w:tc>
          <w:tcPr>
            <w:tcW w:w="1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Before Taxes</w:t>
            </w:r>
          </w:p>
        </w:tc>
      </w:tr>
      <w:tr>
        <w:trPr>
          <w:trHeight w:val="20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3,091</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965</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2,822</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5,368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10,090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2,145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2,162</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8,946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(490 )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(180 )</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(443 )</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(102 )</w:t>
            </w:r>
          </w:p>
        </w:tc>
      </w:tr>
      <w:tr>
        <w:trPr>
          <w:trHeight w:val="209"/>
        </w:trPr>
        <w:tc>
          <w:tcPr>
            <w:tcW w:w="54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5,404</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4,655</w:t>
            </w:r>
          </w:p>
        </w:tc>
        <w:tc>
          <w:tcPr>
            <w:tcW w:w="100" w:type="dxa"/>
            <w:vAlign w:val="bottom"/>
            <w:tcBorders>
              <w:top w:val="single" w:sz="8" w:color="CFF0FC"/>
            </w:tcBorders>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(568 )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(536 )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(370 )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(363 )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(279 )</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r>
      <w:tr>
        <w:trPr>
          <w:trHeight w:val="250"/>
        </w:trPr>
        <w:tc>
          <w:tcPr>
            <w:tcW w:w="5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27,005</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4,285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24,145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-864870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ind w:left="380" w:hanging="372"/>
        <w:spacing w:after="0" w:line="222"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($31 million in 2024; $2 million in 2023).</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($13 million in 2024; $10 million in 2023).</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156"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Nine-month 2024 revenue of $27.0 billion increased 12% year on year. Approximately 50% of the year on year revenue increase came from the acquisition of the Aker Solutions subsea business ("Aker") in the fourth quarter of 2023.</w:t>
      </w:r>
    </w:p>
    <w:p>
      <w:pPr>
        <w:spacing w:after="0" w:line="1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International revenue grew by 16% year on year. Excluding the contribution of the acquired Aker subsea business, international revenue increased by 8% primarily driven by higher activity in the Middle East &amp; Asia. North America revenue decreased by 3% due to lower drilling in US land.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Digital &amp; Integration revenue of $3.1 billion increased 10% year on year due to digital revenue growing in line with SLB’s ambition of full-year growth in the high teens.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Digital &amp; Integration pretax operating margin of 31% declined 69 bps year on year primarily due to the effects of higher APS amortization expense and lower gas prices.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Reservoir Performance revenue of $5.4 billion increased 11% year on year due to increased stimulation and intervention activity, with approximately 75% of the revenue growth coming from the Middle East &amp; Asia.</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Reservoir Performance pretax operating margin of 20% expanded 167 bps year on year due to improved profitability in the international markets driven by higher activity and improved pricing from increased technology intensity.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Well Construction revenue of $10.1 billion was essentially flat year on year. International revenue grew 5%, primarily in the Middle East &amp; Asia, largely offset by a 15% reduction in North America largely due to lower drilling activity in US land.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231F20"/>
        </w:rPr>
        <w:t>Well Construction pretax operating margin of 21% was essentially flat year on year.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231F20"/>
        </w:rPr>
        <w:t>Production Systems revenue of $8.9 billion increased 30% year on year mainly due to the acquisition of the Aker subsea business. Excluding the effects of the Aker subsea acquisition, revenue grew by 8% year on year driven by strong international sales across the portfolio.</w:t>
      </w:r>
    </w:p>
    <w:p>
      <w:pPr>
        <w:spacing w:after="0" w:line="129"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231F20"/>
        </w:rPr>
        <w:t>Production Systems pretax operating margin of 16% expanded 391 bps year on year driven by a favorable activity mix, execution efficiency, and conversion of improved-price backlog.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Interest and Other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&amp; other income </w:t>
      </w:r>
      <w:r>
        <w:rPr>
          <w:rFonts w:ascii="Arial" w:cs="Arial" w:eastAsia="Arial" w:hAnsi="Arial"/>
          <w:sz w:val="16"/>
          <w:szCs w:val="16"/>
          <w:color w:val="auto"/>
        </w:rPr>
        <w:t>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gridSpan w:val="4"/>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99"/>
        </w:trPr>
        <w:tc>
          <w:tcPr>
            <w:tcW w:w="5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6"/>
                <w:szCs w:val="16"/>
                <w:color w:val="auto"/>
                <w:w w:val="99"/>
              </w:rPr>
              <w:t>Second</w:t>
            </w:r>
          </w:p>
        </w:tc>
        <w:tc>
          <w:tcPr>
            <w:tcW w:w="240" w:type="dxa"/>
            <w:vAlign w:val="bottom"/>
          </w:tcPr>
          <w:p>
            <w:pPr>
              <w:spacing w:after="0"/>
              <w:rPr>
                <w:sz w:val="24"/>
                <w:szCs w:val="24"/>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Nine Months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Third Quarter</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6"/>
                <w:szCs w:val="16"/>
                <w:color w:val="auto"/>
                <w:w w:val="99"/>
              </w:rPr>
              <w:t>Quarter</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vMerge w:val="continue"/>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of equity method investments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136</w:t>
            </w:r>
          </w:p>
        </w:tc>
        <w:tc>
          <w:tcPr>
            <w:tcW w:w="62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sale of Liberty shares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Interest income was $52 million for the third quarter of 2024 and increased $14 million as compared to the second quarter of 2024. This increase was driven by higher cash and short-term investment balances.</w:t>
      </w:r>
    </w:p>
    <w:p>
      <w:pPr>
        <w:spacing w:after="0" w:line="129"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Interest income was $129 million for the first nine months of 2024 and increased $70 million as compared to the first nine months of 2023. This increase was primarily driven by higher average cash and short-term investment balances as well as increased interest rates.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Other</w:t>
      </w:r>
    </w:p>
    <w:p>
      <w:pPr>
        <w:spacing w:after="0" w:line="111"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third quarter and second quarter of 2024 and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of 2024 and 2023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00" w:type="dxa"/>
            <w:vAlign w:val="bottom"/>
          </w:tcPr>
          <w:p>
            <w:pPr>
              <w:spacing w:after="0"/>
              <w:rPr>
                <w:sz w:val="19"/>
                <w:szCs w:val="19"/>
                <w:color w:val="auto"/>
              </w:rPr>
            </w:pPr>
          </w:p>
        </w:tc>
        <w:tc>
          <w:tcPr>
            <w:tcW w:w="920" w:type="dxa"/>
            <w:vAlign w:val="bottom"/>
          </w:tcPr>
          <w:p>
            <w:pPr>
              <w:jc w:val="center"/>
              <w:ind w:left="179"/>
              <w:spacing w:after="0"/>
              <w:rPr>
                <w:sz w:val="20"/>
                <w:szCs w:val="20"/>
                <w:color w:val="auto"/>
              </w:rPr>
            </w:pPr>
            <w:r>
              <w:rPr>
                <w:rFonts w:ascii="Arial" w:cs="Arial" w:eastAsia="Arial" w:hAnsi="Arial"/>
                <w:sz w:val="16"/>
                <w:szCs w:val="16"/>
                <w:b w:val="1"/>
                <w:bCs w:val="1"/>
                <w:color w:val="auto"/>
              </w:rPr>
              <w:t>Third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Second</w:t>
            </w:r>
          </w:p>
        </w:tc>
        <w:tc>
          <w:tcPr>
            <w:tcW w:w="1800" w:type="dxa"/>
            <w:vAlign w:val="bottom"/>
            <w:gridSpan w:val="3"/>
            <w:vMerge w:val="restart"/>
          </w:tcPr>
          <w:p>
            <w:pPr>
              <w:ind w:left="820"/>
              <w:spacing w:after="0"/>
              <w:rPr>
                <w:sz w:val="20"/>
                <w:szCs w:val="20"/>
                <w:color w:val="auto"/>
              </w:rPr>
            </w:pPr>
            <w:r>
              <w:rPr>
                <w:rFonts w:ascii="Arial" w:cs="Arial" w:eastAsia="Arial" w:hAnsi="Arial"/>
                <w:sz w:val="16"/>
                <w:szCs w:val="16"/>
                <w:b w:val="1"/>
                <w:bCs w:val="1"/>
                <w:color w:val="auto"/>
                <w:w w:val="99"/>
              </w:rPr>
              <w:t>Nine Months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920" w:type="dxa"/>
            <w:vAlign w:val="bottom"/>
          </w:tcPr>
          <w:p>
            <w:pPr>
              <w:jc w:val="center"/>
              <w:ind w:left="179"/>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Quarter</w:t>
            </w:r>
          </w:p>
        </w:tc>
        <w:tc>
          <w:tcPr>
            <w:tcW w:w="1800" w:type="dxa"/>
            <w:vAlign w:val="bottom"/>
            <w:tcBorders>
              <w:bottom w:val="single" w:sz="8" w:color="auto"/>
            </w:tcBorders>
            <w:gridSpan w:val="3"/>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92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Research &amp; engineering</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2.0 %</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2.1 %</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2.1 %</w:t>
            </w:r>
          </w:p>
        </w:tc>
        <w:tc>
          <w:tcPr>
            <w:tcW w:w="4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23"/>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General &amp; administrative</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1.0 %</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1.1 %</w:t>
            </w:r>
          </w:p>
        </w:tc>
        <w:tc>
          <w:tcPr>
            <w:tcW w:w="4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Charges and Credits</w:t>
      </w:r>
    </w:p>
    <w:p>
      <w:pPr>
        <w:spacing w:after="0" w:line="111"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 xml:space="preserve">SLB recorded charges and credits during the first nine months of 2024 and the first quarter of 2023. These charges and credits, which are summarized below, are more fully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SLB did not record any charges or credits during the second and third quarters of 2023.</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78"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gridSpan w:val="4"/>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38"/>
        </w:trPr>
        <w:tc>
          <w:tcPr>
            <w:tcW w:w="5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7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Pretax Charge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Tax Benefit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color w:val="auto"/>
              </w:rPr>
              <w:t>Net</w:t>
            </w:r>
          </w:p>
        </w:tc>
      </w:tr>
      <w:tr>
        <w:trPr>
          <w:trHeight w:val="211"/>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First quarter:</w:t>
            </w:r>
          </w:p>
        </w:tc>
        <w:tc>
          <w:tcPr>
            <w:tcW w:w="5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0"/>
              <w:spacing w:after="0"/>
              <w:rPr>
                <w:sz w:val="20"/>
                <w:szCs w:val="20"/>
                <w:color w:val="auto"/>
              </w:rPr>
            </w:pPr>
            <w:r>
              <w:rPr>
                <w:rFonts w:ascii="Arial" w:cs="Arial" w:eastAsia="Arial" w:hAnsi="Arial"/>
                <w:sz w:val="16"/>
                <w:szCs w:val="16"/>
                <w:color w:val="auto"/>
              </w:rPr>
              <w:t>Merger &amp; integration</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5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Second quarter:</w:t>
            </w: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0"/>
              <w:spacing w:after="0"/>
              <w:rPr>
                <w:sz w:val="20"/>
                <w:szCs w:val="20"/>
                <w:color w:val="auto"/>
              </w:rPr>
            </w:pPr>
            <w:r>
              <w:rPr>
                <w:rFonts w:ascii="Arial" w:cs="Arial" w:eastAsia="Arial" w:hAnsi="Arial"/>
                <w:sz w:val="16"/>
                <w:szCs w:val="16"/>
                <w:color w:val="auto"/>
              </w:rPr>
              <w:t>Workforce reductions</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Merger &amp; integration</w:t>
            </w: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Third quarter:</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Workforce reductions</w:t>
            </w: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Merger &amp; integration</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FF0FC"/>
            </w:tcBorders>
          </w:tcPr>
          <w:p>
            <w:pPr>
              <w:spacing w:after="0"/>
              <w:rPr>
                <w:sz w:val="18"/>
                <w:szCs w:val="18"/>
                <w:color w:val="auto"/>
              </w:rPr>
            </w:pPr>
          </w:p>
        </w:tc>
      </w:tr>
      <w:tr>
        <w:trPr>
          <w:trHeight w:val="249"/>
        </w:trPr>
        <w:tc>
          <w:tcPr>
            <w:tcW w:w="57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-25400</wp:posOffset>
            </wp:positionV>
            <wp:extent cx="768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6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3"/>
          </w:tcPr>
          <w:p>
            <w:pPr>
              <w:jc w:val="right"/>
              <w:ind w:right="660"/>
              <w:spacing w:after="0"/>
              <w:rPr>
                <w:sz w:val="20"/>
                <w:szCs w:val="20"/>
                <w:color w:val="auto"/>
              </w:rPr>
            </w:pPr>
            <w:r>
              <w:rPr>
                <w:rFonts w:ascii="Arial" w:cs="Arial" w:eastAsia="Arial" w:hAnsi="Arial"/>
                <w:sz w:val="16"/>
                <w:szCs w:val="16"/>
                <w:color w:val="auto"/>
              </w:rPr>
              <w:t>Pretax Credit</w:t>
            </w:r>
          </w:p>
        </w:tc>
        <w:tc>
          <w:tcPr>
            <w:tcW w:w="1560" w:type="dxa"/>
            <w:vAlign w:val="bottom"/>
            <w:gridSpan w:val="3"/>
          </w:tcPr>
          <w:p>
            <w:pPr>
              <w:jc w:val="right"/>
              <w:ind w:right="580"/>
              <w:spacing w:after="0"/>
              <w:rPr>
                <w:sz w:val="20"/>
                <w:szCs w:val="20"/>
                <w:color w:val="auto"/>
              </w:rPr>
            </w:pPr>
            <w:r>
              <w:rPr>
                <w:rFonts w:ascii="Arial" w:cs="Arial" w:eastAsia="Arial" w:hAnsi="Arial"/>
                <w:sz w:val="16"/>
                <w:szCs w:val="16"/>
                <w:color w:val="auto"/>
              </w:rPr>
              <w:t>Tax Expense</w:t>
            </w:r>
          </w:p>
        </w:tc>
        <w:tc>
          <w:tcPr>
            <w:tcW w:w="1320" w:type="dxa"/>
            <w:vAlign w:val="bottom"/>
            <w:gridSpan w:val="2"/>
          </w:tcPr>
          <w:p>
            <w:pPr>
              <w:jc w:val="right"/>
              <w:ind w:right="660"/>
              <w:spacing w:after="0"/>
              <w:rPr>
                <w:sz w:val="20"/>
                <w:szCs w:val="20"/>
                <w:color w:val="auto"/>
              </w:rPr>
            </w:pPr>
            <w:r>
              <w:rPr>
                <w:rFonts w:ascii="Arial" w:cs="Arial" w:eastAsia="Arial" w:hAnsi="Arial"/>
                <w:sz w:val="16"/>
                <w:szCs w:val="16"/>
                <w:color w:val="auto"/>
              </w:rPr>
              <w:t>Net</w:t>
            </w:r>
          </w:p>
        </w:tc>
      </w:tr>
      <w:tr>
        <w:trPr>
          <w:trHeight w:val="210"/>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First quarter:</w:t>
            </w: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560" w:type="dxa"/>
            <w:vAlign w:val="bottom"/>
          </w:tcPr>
          <w:p>
            <w:pPr>
              <w:ind w:left="120"/>
              <w:spacing w:after="0"/>
              <w:rPr>
                <w:sz w:val="20"/>
                <w:szCs w:val="20"/>
                <w:color w:val="auto"/>
              </w:rPr>
            </w:pPr>
            <w:r>
              <w:rPr>
                <w:rFonts w:ascii="Arial" w:cs="Arial" w:eastAsia="Arial" w:hAnsi="Arial"/>
                <w:sz w:val="16"/>
                <w:szCs w:val="16"/>
                <w:color w:val="auto"/>
              </w:rPr>
              <w:t>Gain on sale of Liberty shares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(36 )   $</w:t>
            </w:r>
          </w:p>
        </w:tc>
        <w:tc>
          <w:tcPr>
            <w:tcW w:w="1560" w:type="dxa"/>
            <w:vAlign w:val="bottom"/>
            <w:gridSpan w:val="3"/>
          </w:tcPr>
          <w:p>
            <w:pPr>
              <w:jc w:val="right"/>
              <w:ind w:right="20"/>
              <w:spacing w:after="0"/>
              <w:rPr>
                <w:sz w:val="20"/>
                <w:szCs w:val="20"/>
                <w:color w:val="auto"/>
              </w:rPr>
            </w:pPr>
            <w:r>
              <w:rPr>
                <w:rFonts w:ascii="Arial" w:cs="Arial" w:eastAsia="Arial" w:hAnsi="Arial"/>
                <w:sz w:val="16"/>
                <w:szCs w:val="16"/>
                <w:color w:val="auto"/>
              </w:rPr>
              <w:t>(8 )   $</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(28 )</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Liquidity and Capital Resources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components of liquidity as well as changes in liquidity are as follows:</w:t>
      </w:r>
    </w:p>
    <w:p>
      <w:pPr>
        <w:spacing w:after="0" w:line="241" w:lineRule="exact"/>
        <w:rPr>
          <w:sz w:val="20"/>
          <w:szCs w:val="20"/>
          <w:color w:val="auto"/>
        </w:rPr>
      </w:pPr>
    </w:p>
    <w:p>
      <w:pPr>
        <w:ind w:left="9940"/>
        <w:spacing w:after="0"/>
        <w:rPr>
          <w:sz w:val="20"/>
          <w:szCs w:val="20"/>
          <w:color w:val="auto"/>
        </w:rPr>
      </w:pPr>
      <w:r>
        <w:rPr>
          <w:rFonts w:ascii="Arial" w:cs="Arial" w:eastAsia="Arial" w:hAnsi="Arial"/>
          <w:sz w:val="14"/>
          <w:szCs w:val="14"/>
          <w:i w:val="1"/>
          <w:iCs w:val="1"/>
          <w:color w:val="auto"/>
        </w:rPr>
        <w:t>(Stated in millions)</w:t>
      </w:r>
    </w:p>
    <w:p>
      <w:pPr>
        <w:sectPr>
          <w:pgSz w:w="11900" w:h="16838" w:orient="portrait"/>
          <w:cols w:equalWidth="0" w:num="1">
            <w:col w:w="11240"/>
          </w:cols>
          <w:pgMar w:left="320" w:top="1050"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Components of Liquidity: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Short-term investments</w:t>
      </w:r>
    </w:p>
    <w:p>
      <w:pPr>
        <w:spacing w:after="0" w:line="32" w:lineRule="exact"/>
        <w:rPr>
          <w:sz w:val="20"/>
          <w:szCs w:val="20"/>
          <w:color w:val="auto"/>
        </w:rPr>
      </w:pPr>
    </w:p>
    <w:p>
      <w:pPr>
        <w:ind w:left="20" w:right="1540"/>
        <w:spacing w:after="0" w:line="299" w:lineRule="auto"/>
        <w:rPr>
          <w:sz w:val="20"/>
          <w:szCs w:val="20"/>
          <w:color w:val="auto"/>
        </w:rPr>
      </w:pPr>
      <w:r>
        <w:rPr>
          <w:rFonts w:ascii="Arial" w:cs="Arial" w:eastAsia="Arial" w:hAnsi="Arial"/>
          <w:sz w:val="16"/>
          <w:szCs w:val="16"/>
          <w:color w:val="auto"/>
        </w:rPr>
        <w:t>Short-term borrowings and current portion of long-term debt Long-term debt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Net debt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42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Sept. 30,</w:t>
            </w:r>
          </w:p>
        </w:tc>
        <w:tc>
          <w:tcPr>
            <w:tcW w:w="220" w:type="dxa"/>
            <w:vAlign w:val="bottom"/>
          </w:tcPr>
          <w:p>
            <w:pPr>
              <w:spacing w:after="0"/>
              <w:rPr>
                <w:sz w:val="18"/>
                <w:szCs w:val="18"/>
                <w:color w:val="auto"/>
              </w:rPr>
            </w:pPr>
          </w:p>
        </w:tc>
        <w:tc>
          <w:tcPr>
            <w:tcW w:w="1380" w:type="dxa"/>
            <w:vAlign w:val="bottom"/>
            <w:gridSpan w:val="2"/>
          </w:tcPr>
          <w:p>
            <w:pPr>
              <w:jc w:val="right"/>
              <w:ind w:right="519"/>
              <w:spacing w:after="0"/>
              <w:rPr>
                <w:sz w:val="20"/>
                <w:szCs w:val="20"/>
                <w:color w:val="auto"/>
              </w:rPr>
            </w:pPr>
            <w:r>
              <w:rPr>
                <w:rFonts w:ascii="Arial" w:cs="Arial" w:eastAsia="Arial" w:hAnsi="Arial"/>
                <w:sz w:val="16"/>
                <w:szCs w:val="16"/>
                <w:color w:val="auto"/>
              </w:rPr>
              <w:t>Sept. 30,</w:t>
            </w:r>
          </w:p>
        </w:tc>
        <w:tc>
          <w:tcPr>
            <w:tcW w:w="240" w:type="dxa"/>
            <w:vAlign w:val="bottom"/>
          </w:tcPr>
          <w:p>
            <w:pPr>
              <w:spacing w:after="0"/>
              <w:rPr>
                <w:sz w:val="18"/>
                <w:szCs w:val="18"/>
                <w:color w:val="auto"/>
              </w:rPr>
            </w:pPr>
          </w:p>
        </w:tc>
        <w:tc>
          <w:tcPr>
            <w:tcW w:w="1160" w:type="dxa"/>
            <w:vAlign w:val="bottom"/>
            <w:gridSpan w:val="2"/>
          </w:tcPr>
          <w:p>
            <w:pPr>
              <w:jc w:val="right"/>
              <w:ind w:right="359"/>
              <w:spacing w:after="0"/>
              <w:rPr>
                <w:sz w:val="20"/>
                <w:szCs w:val="20"/>
                <w:color w:val="auto"/>
              </w:rPr>
            </w:pPr>
            <w:r>
              <w:rPr>
                <w:rFonts w:ascii="Arial" w:cs="Arial" w:eastAsia="Arial" w:hAnsi="Arial"/>
                <w:sz w:val="16"/>
                <w:szCs w:val="16"/>
                <w:color w:val="auto"/>
              </w:rPr>
              <w:t>Dec. 31,</w:t>
            </w:r>
          </w:p>
        </w:tc>
      </w:tr>
      <w:tr>
        <w:trPr>
          <w:trHeight w:val="217"/>
        </w:trPr>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60" w:type="dxa"/>
            <w:vAlign w:val="bottom"/>
          </w:tcPr>
          <w:p>
            <w:pPr>
              <w:spacing w:after="0"/>
              <w:rPr>
                <w:sz w:val="18"/>
                <w:szCs w:val="18"/>
                <w:color w:val="auto"/>
              </w:rPr>
            </w:pPr>
          </w:p>
        </w:tc>
      </w:tr>
      <w:tr>
        <w:trPr>
          <w:trHeight w:val="209"/>
        </w:trPr>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3,086</w:t>
            </w:r>
          </w:p>
        </w:tc>
        <w:tc>
          <w:tcPr>
            <w:tcW w:w="2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2,488</w:t>
            </w:r>
          </w:p>
        </w:tc>
        <w:tc>
          <w:tcPr>
            <w:tcW w:w="26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2,900</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1,089</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4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(1,059 )</w:t>
            </w:r>
          </w:p>
        </w:tc>
        <w:tc>
          <w:tcPr>
            <w:tcW w:w="220" w:type="dxa"/>
            <w:vAlign w:val="bottom"/>
          </w:tcPr>
          <w:p>
            <w:pPr>
              <w:spacing w:after="0"/>
              <w:rPr>
                <w:sz w:val="18"/>
                <w:szCs w:val="18"/>
                <w:color w:val="auto"/>
              </w:rPr>
            </w:pPr>
          </w:p>
        </w:tc>
        <w:tc>
          <w:tcPr>
            <w:tcW w:w="1380" w:type="dxa"/>
            <w:vAlign w:val="bottom"/>
            <w:gridSpan w:val="2"/>
          </w:tcPr>
          <w:p>
            <w:pPr>
              <w:jc w:val="right"/>
              <w:ind w:right="119"/>
              <w:spacing w:after="0"/>
              <w:rPr>
                <w:sz w:val="20"/>
                <w:szCs w:val="20"/>
                <w:color w:val="auto"/>
              </w:rPr>
            </w:pPr>
            <w:r>
              <w:rPr>
                <w:rFonts w:ascii="Arial" w:cs="Arial" w:eastAsia="Arial" w:hAnsi="Arial"/>
                <w:sz w:val="16"/>
                <w:szCs w:val="16"/>
                <w:color w:val="auto"/>
              </w:rPr>
              <w:t>(1,998 )</w:t>
            </w: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(1,123 )</w:t>
            </w:r>
          </w:p>
        </w:tc>
      </w:tr>
      <w:tr>
        <w:trPr>
          <w:trHeight w:val="217"/>
        </w:trPr>
        <w:tc>
          <w:tcPr>
            <w:tcW w:w="220" w:type="dxa"/>
            <w:vAlign w:val="bottom"/>
          </w:tcPr>
          <w:p>
            <w:pPr>
              <w:spacing w:after="0"/>
              <w:rPr>
                <w:sz w:val="18"/>
                <w:szCs w:val="18"/>
                <w:color w:val="auto"/>
              </w:rPr>
            </w:pPr>
          </w:p>
        </w:tc>
        <w:tc>
          <w:tcPr>
            <w:tcW w:w="14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(11,864 )</w:t>
            </w:r>
          </w:p>
        </w:tc>
        <w:tc>
          <w:tcPr>
            <w:tcW w:w="220" w:type="dxa"/>
            <w:vAlign w:val="bottom"/>
          </w:tcPr>
          <w:p>
            <w:pPr>
              <w:spacing w:after="0"/>
              <w:rPr>
                <w:sz w:val="18"/>
                <w:szCs w:val="18"/>
                <w:color w:val="auto"/>
              </w:rPr>
            </w:pPr>
          </w:p>
        </w:tc>
        <w:tc>
          <w:tcPr>
            <w:tcW w:w="1380" w:type="dxa"/>
            <w:vAlign w:val="bottom"/>
            <w:gridSpan w:val="2"/>
          </w:tcPr>
          <w:p>
            <w:pPr>
              <w:jc w:val="right"/>
              <w:ind w:right="119"/>
              <w:spacing w:after="0"/>
              <w:rPr>
                <w:sz w:val="20"/>
                <w:szCs w:val="20"/>
                <w:color w:val="auto"/>
              </w:rPr>
            </w:pPr>
            <w:r>
              <w:rPr>
                <w:rFonts w:ascii="Arial" w:cs="Arial" w:eastAsia="Arial" w:hAnsi="Arial"/>
                <w:sz w:val="16"/>
                <w:szCs w:val="16"/>
                <w:color w:val="auto"/>
              </w:rPr>
              <w:t>(11,147 )</w:t>
            </w: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(10,842 )</w:t>
            </w:r>
          </w:p>
        </w:tc>
      </w:tr>
      <w:tr>
        <w:trPr>
          <w:trHeight w:val="209"/>
        </w:trPr>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(8,461</w:t>
            </w:r>
          </w:p>
        </w:tc>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(9,410</w:t>
            </w:r>
          </w:p>
        </w:tc>
        <w:tc>
          <w:tcPr>
            <w:tcW w:w="260" w:type="dxa"/>
            <w:vAlign w:val="bottom"/>
          </w:tcPr>
          <w:p>
            <w:pPr>
              <w:jc w:val="right"/>
              <w:ind w:right="119"/>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(7,976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-719455</wp:posOffset>
            </wp:positionV>
            <wp:extent cx="713232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-445135</wp:posOffset>
            </wp:positionV>
            <wp:extent cx="713232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-162560</wp:posOffset>
            </wp:positionV>
            <wp:extent cx="7132320" cy="163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680"/>
          </w:cols>
          <w:pgMar w:left="320" w:top="1050"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17"/>
        </w:trPr>
        <w:tc>
          <w:tcPr>
            <w:tcW w:w="7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gridSpan w:val="5"/>
          </w:tcPr>
          <w:p>
            <w:pPr>
              <w:ind w:left="260"/>
              <w:spacing w:after="0"/>
              <w:rPr>
                <w:sz w:val="20"/>
                <w:szCs w:val="20"/>
                <w:color w:val="auto"/>
              </w:rPr>
            </w:pPr>
            <w:r>
              <w:rPr>
                <w:rFonts w:ascii="Arial" w:cs="Arial" w:eastAsia="Arial" w:hAnsi="Arial"/>
                <w:sz w:val="16"/>
                <w:szCs w:val="16"/>
                <w:b w:val="1"/>
                <w:bCs w:val="1"/>
                <w:color w:val="auto"/>
              </w:rPr>
              <w:t>Nine Months Ended Sept. 30,</w:t>
            </w:r>
          </w:p>
        </w:tc>
      </w:tr>
      <w:tr>
        <w:trPr>
          <w:trHeight w:val="210"/>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Changes in Liquidity:</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3,461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Charges and credits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279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(36 )</w:t>
            </w:r>
          </w:p>
        </w:tc>
      </w:tr>
      <w:tr>
        <w:trPr>
          <w:trHeight w:val="216"/>
        </w:trPr>
        <w:tc>
          <w:tcPr>
            <w:tcW w:w="766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1,871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Earnings of equity method investments, less dividends received</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(120 )</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244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 in working capital</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(1,731 )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(1,353 )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(18 )</w:t>
            </w:r>
          </w:p>
        </w:tc>
      </w:tr>
      <w:tr>
        <w:trPr>
          <w:trHeight w:val="210"/>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flow from operations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4,212</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(1,322 )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(1,345 )</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APS investments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(390 )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(391 )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Exploration data costs capitalized</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(141 )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(121 )</w:t>
            </w:r>
          </w:p>
        </w:tc>
      </w:tr>
      <w:tr>
        <w:trPr>
          <w:trHeight w:val="210"/>
        </w:trPr>
        <w:tc>
          <w:tcPr>
            <w:tcW w:w="7660" w:type="dxa"/>
            <w:vAlign w:val="bottom"/>
            <w:tcBorders>
              <w:bottom w:val="single" w:sz="8" w:color="CFF0FC"/>
            </w:tcBorders>
            <w:shd w:val="clear" w:color="auto" w:fill="CFF0FC"/>
          </w:tcPr>
          <w:p>
            <w:pPr>
              <w:ind w:left="20"/>
              <w:spacing w:after="0" w:line="210" w:lineRule="exact"/>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21"/>
                <w:szCs w:val="21"/>
                <w:b w:val="1"/>
                <w:bCs w:val="1"/>
                <w:color w:val="auto"/>
                <w:vertAlign w:val="superscript"/>
              </w:rPr>
              <w:t>(3)</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2,359</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(1,144 )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(961 )</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repurchase program</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(1,236 )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(594 )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employee stock plans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219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stock options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Taxes paid on net settled stock-based compensation awards</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(86 )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(162 )</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Business acquisitions and investments, net of cash acquired</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(552 )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(280 )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sale of Liberty shares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Blue Chip Swap securities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(136 )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(169 )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sale of Blue Chip securities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(194 )</w:t>
            </w:r>
          </w:p>
        </w:tc>
      </w:tr>
      <w:tr>
        <w:trPr>
          <w:trHeight w:val="20"/>
        </w:trPr>
        <w:tc>
          <w:tcPr>
            <w:tcW w:w="76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Increase in net debt before impact of changes in foreign exchange rates</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(432 )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(98 )</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Impact of changes in foreign exchange rates on net debt</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(53 )</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8"/>
                <w:szCs w:val="18"/>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Increase in net debt</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(485 )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(78 )</w:t>
            </w:r>
          </w:p>
        </w:tc>
      </w:tr>
      <w:tr>
        <w:trPr>
          <w:trHeight w:val="216"/>
        </w:trPr>
        <w:tc>
          <w:tcPr>
            <w:tcW w:w="766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Net debt, beginning of period </w:t>
            </w:r>
            <w:r>
              <w:rPr>
                <w:rFonts w:ascii="Arial" w:cs="Arial" w:eastAsia="Arial" w:hAnsi="Arial"/>
                <w:sz w:val="21"/>
                <w:szCs w:val="21"/>
                <w:color w:val="auto"/>
                <w:vertAlign w:val="superscript"/>
              </w:rPr>
              <w:t>(1)</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(7,976 )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(9,332 )</w:t>
            </w:r>
          </w:p>
        </w:tc>
      </w:tr>
      <w:tr>
        <w:trPr>
          <w:trHeight w:val="20"/>
        </w:trPr>
        <w:tc>
          <w:tcPr>
            <w:tcW w:w="76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6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 xml:space="preserve">Net debt, end of period </w:t>
            </w:r>
            <w:r>
              <w:rPr>
                <w:rFonts w:ascii="Arial" w:cs="Arial" w:eastAsia="Arial" w:hAnsi="Arial"/>
                <w:sz w:val="21"/>
                <w:szCs w:val="21"/>
                <w:b w:val="1"/>
                <w:bCs w:val="1"/>
                <w:color w:val="auto"/>
                <w:vertAlign w:val="superscript"/>
              </w:rPr>
              <w:t>(1)</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(8,461 )</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(9,410 )</w:t>
            </w:r>
          </w:p>
        </w:tc>
      </w:tr>
      <w:tr>
        <w:trPr>
          <w:trHeight w:val="20"/>
        </w:trPr>
        <w:tc>
          <w:tcPr>
            <w:tcW w:w="7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-2682240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-2116455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-736600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-453390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jc w:val="both"/>
        <w:ind w:left="380" w:hanging="372"/>
        <w:spacing w:after="0" w:line="228"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79"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79" w:lineRule="exact"/>
        <w:rPr>
          <w:rFonts w:ascii="Arial" w:cs="Arial" w:eastAsia="Arial" w:hAnsi="Arial"/>
          <w:sz w:val="19"/>
          <w:szCs w:val="19"/>
          <w:color w:val="auto"/>
          <w:vertAlign w:val="superscript"/>
        </w:rPr>
      </w:pPr>
    </w:p>
    <w:p>
      <w:pPr>
        <w:jc w:val="both"/>
        <w:ind w:left="380" w:hanging="372"/>
        <w:spacing w:after="0" w:line="233"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Key liquidity events during the first nine months of 2024 and 2023 included:</w:t>
      </w:r>
    </w:p>
    <w:p>
      <w:pPr>
        <w:spacing w:after="0" w:line="113" w:lineRule="exact"/>
        <w:rPr>
          <w:sz w:val="20"/>
          <w:szCs w:val="20"/>
          <w:color w:val="auto"/>
        </w:rPr>
      </w:pPr>
    </w:p>
    <w:p>
      <w:pPr>
        <w:jc w:val="both"/>
        <w:ind w:left="380" w:hanging="372"/>
        <w:spacing w:after="0" w:line="266" w:lineRule="auto"/>
        <w:tabs>
          <w:tab w:leader="none" w:pos="3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Capital investments (consisting of capital expenditures, APS investments and exploration data capitalized) were $1.9 billion during both the first nine months of 2024 and the first nine months of 2023. Capital investments for the full year 2024 are expected to be approximately $2.6 billion, which is the same level as the full year 2023.</w:t>
      </w:r>
    </w:p>
    <w:p>
      <w:pPr>
        <w:spacing w:after="0" w:line="62" w:lineRule="exact"/>
        <w:rPr>
          <w:rFonts w:ascii="Times New Roman" w:cs="Times New Roman" w:eastAsia="Times New Roman" w:hAnsi="Times New Roman"/>
          <w:sz w:val="16"/>
          <w:szCs w:val="16"/>
          <w:color w:val="auto"/>
        </w:rPr>
      </w:pPr>
    </w:p>
    <w:p>
      <w:pPr>
        <w:jc w:val="both"/>
        <w:ind w:left="380" w:hanging="372"/>
        <w:spacing w:after="0" w:line="266" w:lineRule="auto"/>
        <w:tabs>
          <w:tab w:leader="none" w:pos="3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In January 2024, SLB announced a 10% increase to its quarterly cash dividend from $0.25 per share of outstanding common stock to $0.275 per share, beginning with the dividend payable in April 2024. Dividends paid during the first nine months of 2024 and 2023 were $1.1 billion and $961 million, respectively.</w:t>
      </w:r>
    </w:p>
    <w:p>
      <w:pPr>
        <w:spacing w:after="0" w:line="62" w:lineRule="exact"/>
        <w:rPr>
          <w:rFonts w:ascii="Times New Roman" w:cs="Times New Roman" w:eastAsia="Times New Roman" w:hAnsi="Times New Roman"/>
          <w:sz w:val="16"/>
          <w:szCs w:val="16"/>
          <w:color w:val="auto"/>
        </w:rPr>
      </w:pPr>
    </w:p>
    <w:p>
      <w:pPr>
        <w:ind w:left="380" w:hanging="372"/>
        <w:spacing w:after="0" w:line="285" w:lineRule="auto"/>
        <w:tabs>
          <w:tab w:leader="none" w:pos="3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As of September 30, 2024, SLB had cumulatively repurchased approximately $3.0 billion of SLB common stock under its $10 billion share repurchase program.</w:t>
      </w:r>
    </w:p>
    <w:p>
      <w:pPr>
        <w:spacing w:after="0" w:line="48"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The following table summarizes the activity under the share repurchase program:</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8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 except per share amounts)</w:t>
            </w:r>
          </w:p>
        </w:tc>
        <w:tc>
          <w:tcPr>
            <w:tcW w:w="400" w:type="dxa"/>
            <w:vAlign w:val="bottom"/>
          </w:tcPr>
          <w:p>
            <w:pPr>
              <w:spacing w:after="0"/>
              <w:rPr>
                <w:sz w:val="16"/>
                <w:szCs w:val="16"/>
                <w:color w:val="auto"/>
              </w:rPr>
            </w:pPr>
          </w:p>
        </w:tc>
      </w:tr>
      <w:tr>
        <w:trPr>
          <w:trHeight w:val="426"/>
        </w:trPr>
        <w:tc>
          <w:tcPr>
            <w:tcW w:w="4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Total cost</w:t>
            </w:r>
          </w:p>
        </w:tc>
        <w:tc>
          <w:tcPr>
            <w:tcW w:w="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240" w:type="dxa"/>
            <w:vAlign w:val="bottom"/>
          </w:tcPr>
          <w:p>
            <w:pPr>
              <w:spacing w:after="0"/>
              <w:rPr>
                <w:sz w:val="24"/>
                <w:szCs w:val="2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Average price</w:t>
            </w:r>
          </w:p>
        </w:tc>
        <w:tc>
          <w:tcPr>
            <w:tcW w:w="40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of shares</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paid per</w:t>
            </w:r>
          </w:p>
        </w:tc>
        <w:tc>
          <w:tcPr>
            <w:tcW w:w="4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purchased</w:t>
            </w:r>
          </w:p>
        </w:tc>
        <w:tc>
          <w:tcPr>
            <w:tcW w:w="2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share</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Nine months ended September 30, 2024</w:t>
            </w:r>
          </w:p>
        </w:tc>
        <w:tc>
          <w:tcPr>
            <w:tcW w:w="2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1,236</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26.6</w:t>
            </w:r>
          </w:p>
        </w:tc>
        <w:tc>
          <w:tcPr>
            <w:tcW w:w="4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46.47</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5"/>
        </w:trPr>
        <w:tc>
          <w:tcPr>
            <w:tcW w:w="4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Nine months ended September 30, 2023</w:t>
            </w:r>
          </w:p>
        </w:tc>
        <w:tc>
          <w:tcPr>
            <w:tcW w:w="21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594</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11.5</w:t>
            </w:r>
          </w:p>
        </w:tc>
        <w:tc>
          <w:tcPr>
            <w:tcW w:w="4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51.66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634"/>
        </w:trPr>
        <w:tc>
          <w:tcPr>
            <w:tcW w:w="4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0" w:type="dxa"/>
            <w:vAlign w:val="bottom"/>
          </w:tcPr>
          <w:p>
            <w:pPr>
              <w:jc w:val="right"/>
              <w:ind w:right="699"/>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51"/>
        </w:trPr>
        <w:tc>
          <w:tcPr>
            <w:tcW w:w="4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2" w:right="339" w:bottom="946" w:gutter="0" w:footer="0" w:header="0"/>
        </w:sectPr>
      </w:pPr>
    </w:p>
    <w:bookmarkStart w:id="20" w:name="page21"/>
    <w:bookmarkEnd w:id="20"/>
    <w:p>
      <w:pPr>
        <w:ind w:left="380" w:hanging="372"/>
        <w:spacing w:after="0" w:line="285" w:lineRule="auto"/>
        <w:tabs>
          <w:tab w:leader="none" w:pos="3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2024, SLB issued $500 million of 5.00% Senior Notes due 2027, $500 million of 5.00% Senior Notes due 2029, and $500 million of 5.00% Senior Notes due 2034.</w:t>
      </w:r>
    </w:p>
    <w:p>
      <w:pPr>
        <w:spacing w:after="0" w:line="48" w:lineRule="exact"/>
        <w:rPr>
          <w:rFonts w:ascii="Times New Roman" w:cs="Times New Roman" w:eastAsia="Times New Roman" w:hAnsi="Times New Roman"/>
          <w:sz w:val="16"/>
          <w:szCs w:val="16"/>
          <w:color w:val="auto"/>
        </w:rPr>
      </w:pPr>
    </w:p>
    <w:p>
      <w:pPr>
        <w:jc w:val="both"/>
        <w:ind w:left="380" w:hanging="372"/>
        <w:spacing w:after="0" w:line="256" w:lineRule="auto"/>
        <w:tabs>
          <w:tab w:leader="none" w:pos="3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2024, SLB and Aker Carbon Capture ASA (“ACC”) announced the closing of their previously announced joint venture. The new company, SLB Capturi™, combines technology portfolios, expertise, and operation platforms to support accelerated carbon capture adoption for industrial decarbonization at scale. At closing, SLB paid NOK 4.1 billion ($0.4 billion) in cash to ACC for the purchase of 80% of the shares in Aker Carbon Capture Holdings AS (“ACCH”), which held the business of ACC. ACC is also entitled to performance-based payments of up to NOK 1.4 billion if certain targets are met over the period from 2025 to 2027.</w:t>
      </w:r>
    </w:p>
    <w:p>
      <w:pPr>
        <w:spacing w:after="0" w:line="70" w:lineRule="exact"/>
        <w:rPr>
          <w:rFonts w:ascii="Times New Roman" w:cs="Times New Roman" w:eastAsia="Times New Roman" w:hAnsi="Times New Roman"/>
          <w:sz w:val="16"/>
          <w:szCs w:val="16"/>
          <w:color w:val="auto"/>
        </w:rPr>
      </w:pPr>
    </w:p>
    <w:p>
      <w:pPr>
        <w:jc w:val="both"/>
        <w:ind w:left="380"/>
        <w:spacing w:after="0" w:line="259" w:lineRule="auto"/>
        <w:rPr>
          <w:rFonts w:ascii="Times New Roman" w:cs="Times New Roman" w:eastAsia="Times New Roman" w:hAnsi="Times New Roman"/>
          <w:sz w:val="16"/>
          <w:szCs w:val="16"/>
          <w:color w:val="auto"/>
        </w:rPr>
      </w:pPr>
      <w:r>
        <w:rPr>
          <w:rFonts w:ascii="Arial" w:cs="Arial" w:eastAsia="Arial" w:hAnsi="Arial"/>
          <w:sz w:val="16"/>
          <w:szCs w:val="16"/>
          <w:color w:val="auto"/>
        </w:rPr>
        <w:t>After a lock-up period of three years, ACC is entitled to sell its 20% interest in ACCH to SLB during a period of six months for a price based on the fair market value of the combined business subject to a floor of NOK 1.0 billion and a ceiling of NOK 2.1 billion (the “put option”). Additionally, after the expiration of the put option, SLB has the right to purchase ACC’s 20% interest in the combined business during the following six months for a price based on the fair market value of the combined business subject to a floor of NOK 1.5 billion and a ceiling of NOK 2.6 billion.</w:t>
      </w:r>
    </w:p>
    <w:p>
      <w:pPr>
        <w:spacing w:after="0" w:line="69"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first quarter of 2023, SLB sold all of its remaining approximately 9 million shares in Liberty and received proceeds of $137 million.</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September 30, 2024, SLB had $4.5 billion of cash and short-term investments on hand and committed debt facility agreements with commercial banks aggregating $5.0 billion, all of which was available. SLB believes these amounts are sufficient to meet future business requirements for at least the next 12 months and beyond.</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SLB has a global footprint in more than 100 countries. As of September 30, 2024, only three of those countries individually accounted for greater than 5% of SLB’s net receivable balance. Only one of these countries, the United States, represented greater than 10% of such receivables. As of September 30, 2024, Mexico represented 9% of SLB's net accounts receivable balance. (See Note 8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SLB’s receivables from its primary customer in Mexico are not in dispute and SLB has not historically had any material write-offs due to uncollectible accounts receivable relating to this customer.</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October 17, 2024, SLB entered into a definitive agreement to sell its interest in the Palliser APS project in Canada. Under the terms of the agreement, SLB will receive cash proceeds of approximately $430 million, subject to closing adjustments that are typical for such a transaction. The transaction, which is subject to regulatory approval and other customary closing conditions, is expected to close late in the fourth quarter of 2024. SLB recorded revenue of approximately $0.4 billion during the nine months ended September 30, 2024 relating to this project.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This third-quarter 2024 Form 10-Q,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capital allocation plans, including dividend plans and share repurchase programs; </w:t>
      </w:r>
      <w:r>
        <w:rPr>
          <w:rFonts w:ascii="Arial" w:cs="Arial" w:eastAsia="Arial" w:hAnsi="Arial"/>
          <w:sz w:val="16"/>
          <w:szCs w:val="16"/>
          <w:color w:val="auto"/>
          <w:strike w:val="1"/>
        </w:rPr>
        <w:t>-</w:t>
      </w:r>
      <w:r>
        <w:rPr>
          <w:rFonts w:ascii="Arial" w:cs="Arial" w:eastAsia="Arial" w:hAnsi="Arial"/>
          <w:sz w:val="16"/>
          <w:szCs w:val="16"/>
          <w:color w:val="auto"/>
        </w:rPr>
        <w:t>SLB’s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Form 10-Q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1" w:name="page22"/>
    <w:bookmarkEnd w:id="21"/>
    <w:p>
      <w:pPr>
        <w:jc w:val="both"/>
        <w:spacing w:after="0" w:line="251" w:lineRule="auto"/>
        <w:rPr>
          <w:sz w:val="20"/>
          <w:szCs w:val="20"/>
          <w:color w:val="auto"/>
        </w:rPr>
      </w:pPr>
      <w:r>
        <w:rPr>
          <w:rFonts w:ascii="Arial" w:cs="Arial" w:eastAsia="Arial" w:hAnsi="Arial"/>
          <w:sz w:val="16"/>
          <w:szCs w:val="16"/>
          <w:color w:val="auto"/>
        </w:rPr>
        <w:t>of SLB and ChampionX: the ultimate outcome of the proposed transaction between SLB and ChampionX;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10-Q are made as of October 23, 2024, and SLB disclaims any intention or obligation to update publicly or revise such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Quantitative and Qualitative Disclosures About Market Risk.</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quantitative and qualitative disclosures about market risk affecting SLB, see Item 7A, “Quantitative and Qualitative Disclosures about Market Risk,” of the SLB Annual Report on Form 10-K for the fiscal year ended December 31, 2023. SLB’s exposure to market risk has not changed materially since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Controls and Procedures.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SLB’s internal control over financial reporting during the quarter to which this report relates that has materially affected, or is reasonably likely to materially affect, SLB’s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with respect to this Item 1 is set forth under Note 9—Contingencies, in the accompanying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the date of this filing, there have been no material changes from the risk factors disclosed in Part 1, Item 1A, of SLB’s Annual Report on Form 10-K for the fiscal year ended December 31, 2023, other than the risk factors disclosed in Item 1A of SLB’s Quarterly Report on Form 10-Q filed on April 24, 2024, which is hereby incorporated by reference into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Unregistered Sales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Issuer Repurchases of Equity Securities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21, 2016, the SLB Board of Directors approved a $10 billion share repurchase program for SLB common stock. As of September 30, 2024, SLB had repurchased approximately $3.0 billion of SLB common stock under this program.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SLB's common stock repurchase activity for the three months ended September 30, 2024 was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rPr>
              <w:t>(Stated in thousands, except per share amounts)</w:t>
            </w:r>
          </w:p>
        </w:tc>
      </w:tr>
      <w:tr>
        <w:trPr>
          <w:trHeight w:val="399"/>
        </w:trPr>
        <w:tc>
          <w:tcPr>
            <w:tcW w:w="5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Total number</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5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of shares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Maximum</w:t>
            </w:r>
          </w:p>
        </w:tc>
      </w:tr>
      <w:tr>
        <w:trPr>
          <w:trHeight w:val="189"/>
        </w:trPr>
        <w:tc>
          <w:tcPr>
            <w:tcW w:w="5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purchased as</w:t>
            </w:r>
          </w:p>
        </w:tc>
        <w:tc>
          <w:tcPr>
            <w:tcW w:w="24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color w:val="auto"/>
              </w:rPr>
              <w:t>value of shares</w:t>
            </w:r>
          </w:p>
        </w:tc>
      </w:tr>
      <w:tr>
        <w:trPr>
          <w:trHeight w:val="189"/>
        </w:trPr>
        <w:tc>
          <w:tcPr>
            <w:tcW w:w="5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part of publicly</w:t>
            </w:r>
          </w:p>
        </w:tc>
        <w:tc>
          <w:tcPr>
            <w:tcW w:w="24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color w:val="auto"/>
              </w:rPr>
              <w:t>that may yet be</w:t>
            </w:r>
          </w:p>
        </w:tc>
      </w:tr>
      <w:tr>
        <w:trPr>
          <w:trHeight w:val="189"/>
        </w:trPr>
        <w:tc>
          <w:tcPr>
            <w:tcW w:w="5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Total number</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announced plans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purchased</w:t>
            </w:r>
          </w:p>
        </w:tc>
      </w:tr>
      <w:tr>
        <w:trPr>
          <w:trHeight w:val="189"/>
        </w:trPr>
        <w:tc>
          <w:tcPr>
            <w:tcW w:w="5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of shares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Average price</w:t>
            </w: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8"/>
              </w:rPr>
              <w:t>or</w:t>
            </w:r>
          </w:p>
        </w:tc>
        <w:tc>
          <w:tcPr>
            <w:tcW w:w="24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under the plans</w:t>
            </w:r>
          </w:p>
        </w:tc>
      </w:tr>
      <w:tr>
        <w:trPr>
          <w:trHeight w:val="216"/>
        </w:trPr>
        <w:tc>
          <w:tcPr>
            <w:tcW w:w="526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purchased</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9"/>
              </w:rPr>
              <w:t>paid per share</w:t>
            </w:r>
          </w:p>
        </w:tc>
        <w:tc>
          <w:tcPr>
            <w:tcW w:w="2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programs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9"/>
              </w:rPr>
              <w:t>or programs</w:t>
            </w:r>
          </w:p>
        </w:tc>
        <w:tc>
          <w:tcPr>
            <w:tcW w:w="100" w:type="dxa"/>
            <w:vAlign w:val="bottom"/>
          </w:tcPr>
          <w:p>
            <w:pPr>
              <w:spacing w:after="0"/>
              <w:rPr>
                <w:sz w:val="18"/>
                <w:szCs w:val="18"/>
                <w:color w:val="auto"/>
              </w:rPr>
            </w:pPr>
          </w:p>
        </w:tc>
      </w:tr>
      <w:tr>
        <w:trPr>
          <w:trHeight w:val="210"/>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July 2024</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3,352.6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47.49</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3,352.6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7,384,022</w:t>
            </w:r>
          </w:p>
        </w:tc>
        <w:tc>
          <w:tcPr>
            <w:tcW w:w="100" w:type="dxa"/>
            <w:vAlign w:val="bottom"/>
            <w:shd w:val="clear" w:color="auto" w:fill="CFF0FC"/>
          </w:tcPr>
          <w:p>
            <w:pPr>
              <w:spacing w:after="0"/>
              <w:rPr>
                <w:sz w:val="18"/>
                <w:szCs w:val="18"/>
                <w:color w:val="auto"/>
              </w:rPr>
            </w:pP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August 2024</w:t>
            </w:r>
          </w:p>
        </w:tc>
        <w:tc>
          <w:tcPr>
            <w:tcW w:w="1320" w:type="dxa"/>
            <w:vAlign w:val="bottom"/>
          </w:tcPr>
          <w:p>
            <w:pPr>
              <w:jc w:val="right"/>
              <w:spacing w:after="0"/>
              <w:rPr>
                <w:sz w:val="20"/>
                <w:szCs w:val="20"/>
                <w:color w:val="auto"/>
              </w:rPr>
            </w:pPr>
            <w:r>
              <w:rPr>
                <w:rFonts w:ascii="Arial" w:cs="Arial" w:eastAsia="Arial" w:hAnsi="Arial"/>
                <w:sz w:val="16"/>
                <w:szCs w:val="16"/>
                <w:color w:val="auto"/>
              </w:rPr>
              <w:t>3,967.6</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44.48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3,967.6</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7,207,547</w:t>
            </w:r>
          </w:p>
        </w:tc>
        <w:tc>
          <w:tcPr>
            <w:tcW w:w="100" w:type="dxa"/>
            <w:vAlign w:val="bottom"/>
          </w:tcPr>
          <w:p>
            <w:pPr>
              <w:spacing w:after="0"/>
              <w:rPr>
                <w:sz w:val="18"/>
                <w:szCs w:val="18"/>
                <w:color w:val="auto"/>
              </w:rPr>
            </w:pPr>
          </w:p>
        </w:tc>
      </w:tr>
      <w:tr>
        <w:trPr>
          <w:trHeight w:val="217"/>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September 2024</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3,964.5</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41.63</w:t>
            </w: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3,964.5</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7,042,499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11,284.7</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44.37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11,284.7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-170815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Defaults Upon Senior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r>
        <w:rPr>
          <w:rFonts w:ascii="Arial" w:cs="Arial" w:eastAsia="Arial" w:hAnsi="Arial"/>
          <w:sz w:val="16"/>
          <w:szCs w:val="16"/>
          <w:b w:val="1"/>
          <w:b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Mine Safety Disclosures.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5. Other Information.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2013, SLB completed the wind down of its service operations in Iran. Prior to this, certain non-US subsidiaries provided oilfield services to the National Iranian Oil Company and certain of its affiliates (“NIOC”).</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SLB’s residual transactions or dealings with the government of Iran during the third quarter of 2024 consisted of payments of taxes and other typical governmental charges. Certain non-US subsidiaries of SLB maintain depository accounts at the Dubai branch of Bank Saderat Iran (“Saderat”), and at Bank Tejarat (“Tejarat”) in Tehran and in Kish for the deposit by NIOC of amounts owed to non-US subsidiaries of SLB for prior services rendered in Iran and for the maintenance of such amounts previously received. One non-US subsidiary also maintained an account at Tejarat for payment of local expenses such as taxes. SLB anticipates that it will discontinue dealings with Saderat and Tejarat following the receipt of all amounts owed to SLB for prior services rendered in Iran.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auto"/>
        </w:rPr>
        <w:t>Item 6. Exhibits.</w:t>
      </w:r>
    </w:p>
    <w:p>
      <w:pPr>
        <w:spacing w:after="0" w:line="397" w:lineRule="exact"/>
        <w:rPr>
          <w:sz w:val="20"/>
          <w:szCs w:val="20"/>
          <w:color w:val="auto"/>
        </w:rPr>
      </w:pPr>
    </w:p>
    <w:p>
      <w:pPr>
        <w:ind w:left="460"/>
        <w:spacing w:after="0" w:line="286" w:lineRule="auto"/>
        <w:rPr>
          <w:rFonts w:ascii="Arial" w:cs="Arial" w:eastAsia="Arial" w:hAnsi="Arial"/>
          <w:sz w:val="16"/>
          <w:szCs w:val="16"/>
          <w:u w:val="single" w:color="auto"/>
          <w:color w:val="0000FF"/>
        </w:rPr>
      </w:pPr>
      <w:hyperlink r:id="rId286">
        <w:r>
          <w:rPr>
            <w:rFonts w:ascii="Arial" w:cs="Arial" w:eastAsia="Arial" w:hAnsi="Arial"/>
            <w:sz w:val="16"/>
            <w:szCs w:val="16"/>
            <w:color w:val="auto"/>
          </w:rPr>
          <w:t>Exhibit 3.1—</w:t>
        </w:r>
        <w:r>
          <w:rPr>
            <w:rFonts w:ascii="Arial" w:cs="Arial" w:eastAsia="Arial" w:hAnsi="Arial"/>
            <w:sz w:val="16"/>
            <w:szCs w:val="16"/>
            <w:u w:val="single" w:color="auto"/>
            <w:color w:val="0000FF"/>
          </w:rPr>
          <w:t>Articles of Incorporation of Schlumberger Limited (Schlumberger N.V.) (incorporated by reference to Exhibit 3.1 to SLB’s Current Report</w:t>
        </w:r>
      </w:hyperlink>
      <w:r>
        <w:rPr>
          <w:rFonts w:ascii="Arial" w:cs="Arial" w:eastAsia="Arial" w:hAnsi="Arial"/>
          <w:sz w:val="16"/>
          <w:szCs w:val="16"/>
          <w:color w:val="auto"/>
        </w:rPr>
        <w:t xml:space="preserve"> </w:t>
      </w:r>
      <w:hyperlink r:id="rId286">
        <w:r>
          <w:rPr>
            <w:rFonts w:ascii="Arial" w:cs="Arial" w:eastAsia="Arial" w:hAnsi="Arial"/>
            <w:sz w:val="16"/>
            <w:szCs w:val="16"/>
            <w:u w:val="single" w:color="auto"/>
            <w:color w:val="0000FF"/>
          </w:rPr>
          <w:t>on Form 8-K filed on April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-165735</wp:posOffset>
            </wp:positionV>
            <wp:extent cx="6243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-45720</wp:posOffset>
            </wp:positionV>
            <wp:extent cx="15722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572260" cy="8255"/>
                    </a:xfrm>
                    <a:prstGeom prst="rect">
                      <a:avLst/>
                    </a:prstGeom>
                    <a:noFill/>
                  </pic:spPr>
                </pic:pic>
              </a:graphicData>
            </a:graphic>
          </wp:anchor>
        </w:drawing>
      </w:r>
    </w:p>
    <w:p>
      <w:pPr>
        <w:spacing w:after="0" w:line="163" w:lineRule="exact"/>
        <w:rPr>
          <w:sz w:val="20"/>
          <w:szCs w:val="20"/>
          <w:color w:val="auto"/>
        </w:rPr>
      </w:pPr>
    </w:p>
    <w:p>
      <w:pPr>
        <w:ind w:left="460"/>
        <w:spacing w:after="0" w:line="286" w:lineRule="auto"/>
        <w:rPr>
          <w:rFonts w:ascii="Arial" w:cs="Arial" w:eastAsia="Arial" w:hAnsi="Arial"/>
          <w:sz w:val="16"/>
          <w:szCs w:val="16"/>
          <w:u w:val="single" w:color="auto"/>
          <w:color w:val="0000FF"/>
        </w:rPr>
      </w:pPr>
      <w:hyperlink r:id="rId289">
        <w:r>
          <w:rPr>
            <w:rFonts w:ascii="Arial" w:cs="Arial" w:eastAsia="Arial" w:hAnsi="Arial"/>
            <w:sz w:val="16"/>
            <w:szCs w:val="16"/>
            <w:color w:val="auto"/>
          </w:rPr>
          <w:t>Exhibit 3.2—</w:t>
        </w:r>
        <w:r>
          <w:rPr>
            <w:rFonts w:ascii="Arial" w:cs="Arial" w:eastAsia="Arial" w:hAnsi="Arial"/>
            <w:sz w:val="16"/>
            <w:szCs w:val="16"/>
            <w:u w:val="single" w:color="auto"/>
            <w:color w:val="0000FF"/>
          </w:rPr>
          <w:t>Amended and Restated By-Laws of Schlumberger Limited (Schlumberger N.V.) (incorporated by reference to Exhibit 3 to SLB’s Current</w:t>
        </w:r>
      </w:hyperlink>
      <w:r>
        <w:rPr>
          <w:rFonts w:ascii="Arial" w:cs="Arial" w:eastAsia="Arial" w:hAnsi="Arial"/>
          <w:sz w:val="16"/>
          <w:szCs w:val="16"/>
          <w:color w:val="auto"/>
        </w:rPr>
        <w:t xml:space="preserve"> </w:t>
      </w:r>
      <w:hyperlink r:id="rId289">
        <w:r>
          <w:rPr>
            <w:rFonts w:ascii="Arial" w:cs="Arial" w:eastAsia="Arial" w:hAnsi="Arial"/>
            <w:sz w:val="16"/>
            <w:szCs w:val="16"/>
            <w:u w:val="single" w:color="auto"/>
            <w:color w:val="0000FF"/>
          </w:rPr>
          <w:t>Report on Form 8-K filed on April 21,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-165735</wp:posOffset>
            </wp:positionV>
            <wp:extent cx="62439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624395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-45720</wp:posOffset>
            </wp:positionV>
            <wp:extent cx="19665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1966595" cy="8890"/>
                    </a:xfrm>
                    <a:prstGeom prst="rect">
                      <a:avLst/>
                    </a:prstGeom>
                    <a:noFill/>
                  </pic:spPr>
                </pic:pic>
              </a:graphicData>
            </a:graphic>
          </wp:anchor>
        </w:drawing>
      </w:r>
    </w:p>
    <w:p>
      <w:pPr>
        <w:spacing w:after="0" w:line="163" w:lineRule="exact"/>
        <w:rPr>
          <w:sz w:val="20"/>
          <w:szCs w:val="20"/>
          <w:color w:val="auto"/>
        </w:rPr>
      </w:pPr>
    </w:p>
    <w:p>
      <w:pPr>
        <w:ind w:left="580" w:hanging="118"/>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22—</w:t>
      </w:r>
      <w:r>
        <w:rPr>
          <w:rFonts w:ascii="Arial" w:cs="Arial" w:eastAsia="Arial" w:hAnsi="Arial"/>
          <w:sz w:val="16"/>
          <w:szCs w:val="16"/>
          <w:u w:val="single" w:color="auto"/>
          <w:color w:val="0000FF"/>
        </w:rPr>
        <w:t>Issuers of Registered Guaranteed Debt Securities</w:t>
      </w:r>
    </w:p>
    <w:p>
      <w:pPr>
        <w:spacing w:after="0" w:line="248" w:lineRule="exact"/>
        <w:rPr>
          <w:rFonts w:ascii="Arial" w:cs="Arial" w:eastAsia="Arial" w:hAnsi="Arial"/>
          <w:sz w:val="16"/>
          <w:szCs w:val="16"/>
          <w:color w:val="auto"/>
        </w:rPr>
      </w:pPr>
    </w:p>
    <w:p>
      <w:pPr>
        <w:ind w:left="460" w:firstLine="2"/>
        <w:spacing w:after="0" w:line="286" w:lineRule="auto"/>
        <w:tabs>
          <w:tab w:leader="none" w:pos="5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31.1—</w:t>
      </w:r>
      <w:r>
        <w:rPr>
          <w:rFonts w:ascii="Arial" w:cs="Arial" w:eastAsia="Arial" w:hAnsi="Arial"/>
          <w:sz w:val="16"/>
          <w:szCs w:val="16"/>
          <w:u w:val="single" w:color="auto"/>
          <w:color w:val="0000FF"/>
        </w:rPr>
        <w:t>Certification of Chief Executive Officer pursuant to Rule 13a-14(a) of the Securities Exchange Act of 1934, as amended, as adopted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pursuant to Section 302 of the Sarbanes-Oxley Act of 2002</w:t>
      </w:r>
    </w:p>
    <w:p>
      <w:pPr>
        <w:spacing w:after="0" w:line="182" w:lineRule="exact"/>
        <w:rPr>
          <w:rFonts w:ascii="Arial" w:cs="Arial" w:eastAsia="Arial" w:hAnsi="Arial"/>
          <w:sz w:val="16"/>
          <w:szCs w:val="16"/>
          <w:color w:val="auto"/>
        </w:rPr>
      </w:pPr>
    </w:p>
    <w:p>
      <w:pPr>
        <w:ind w:left="460" w:firstLine="2"/>
        <w:spacing w:after="0" w:line="286" w:lineRule="auto"/>
        <w:tabs>
          <w:tab w:leader="none" w:pos="5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31.2—</w:t>
      </w:r>
      <w:r>
        <w:rPr>
          <w:rFonts w:ascii="Arial" w:cs="Arial" w:eastAsia="Arial" w:hAnsi="Arial"/>
          <w:sz w:val="16"/>
          <w:szCs w:val="16"/>
          <w:u w:val="single" w:color="auto"/>
          <w:color w:val="0000FF"/>
        </w:rPr>
        <w:t>Certification of Chief Financial Officer pursuant to Rule 13a-14(a) of the Securities Exchange Act of 1934, as amended, as adopted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-834390</wp:posOffset>
            </wp:positionV>
            <wp:extent cx="22701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2270125" cy="8255"/>
                    </a:xfrm>
                    <a:prstGeom prst="rect">
                      <a:avLst/>
                    </a:prstGeom>
                    <a:noFill/>
                  </pic:spPr>
                </pic:pic>
              </a:graphicData>
            </a:graphic>
          </wp:anchor>
        </w:drawing>
        <w:drawing>
          <wp:anchor simplePos="0" relativeHeight="251657728" behindDoc="1" locked="0" layoutInCell="0" allowOverlap="1">
            <wp:simplePos x="0" y="0"/>
            <wp:positionH relativeFrom="column">
              <wp:posOffset>1010920</wp:posOffset>
            </wp:positionH>
            <wp:positionV relativeFrom="paragraph">
              <wp:posOffset>-560070</wp:posOffset>
            </wp:positionV>
            <wp:extent cx="6116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611632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-440055</wp:posOffset>
            </wp:positionV>
            <wp:extent cx="2687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2687320" cy="8255"/>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-165735</wp:posOffset>
            </wp:positionV>
            <wp:extent cx="61080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610806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-45720</wp:posOffset>
            </wp:positionV>
            <wp:extent cx="2687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2687320" cy="8255"/>
                    </a:xfrm>
                    <a:prstGeom prst="rect">
                      <a:avLst/>
                    </a:prstGeom>
                    <a:noFill/>
                  </pic:spPr>
                </pic:pic>
              </a:graphicData>
            </a:graphic>
          </wp:anchor>
        </w:drawing>
      </w:r>
    </w:p>
    <w:p>
      <w:pPr>
        <w:spacing w:after="0" w:line="163" w:lineRule="exact"/>
        <w:rPr>
          <w:sz w:val="20"/>
          <w:szCs w:val="20"/>
          <w:color w:val="auto"/>
        </w:rPr>
      </w:pPr>
    </w:p>
    <w:p>
      <w:pPr>
        <w:ind w:left="460" w:firstLine="2"/>
        <w:spacing w:after="0" w:line="286" w:lineRule="auto"/>
        <w:tabs>
          <w:tab w:leader="none" w:pos="64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Exhibit 32.1—</w:t>
      </w:r>
      <w:r>
        <w:rPr>
          <w:rFonts w:ascii="Arial" w:cs="Arial" w:eastAsia="Arial" w:hAnsi="Arial"/>
          <w:sz w:val="16"/>
          <w:szCs w:val="16"/>
          <w:u w:val="single" w:color="auto"/>
          <w:color w:val="0000FF"/>
        </w:rPr>
        <w:t>Certification of Chief Executive Officer pursuant to 18 U.S.C. Section 1350, as adopted pursuant to Section 906 of the Sarbanes-Oxley Act of 2002</w:t>
      </w:r>
    </w:p>
    <w:p>
      <w:pPr>
        <w:spacing w:after="0" w:line="182" w:lineRule="exact"/>
        <w:rPr>
          <w:rFonts w:ascii="Arial" w:cs="Arial" w:eastAsia="Arial" w:hAnsi="Arial"/>
          <w:sz w:val="16"/>
          <w:szCs w:val="16"/>
          <w:color w:val="auto"/>
        </w:rPr>
      </w:pPr>
    </w:p>
    <w:p>
      <w:pPr>
        <w:ind w:left="460" w:firstLine="2"/>
        <w:spacing w:after="0" w:line="286" w:lineRule="auto"/>
        <w:tabs>
          <w:tab w:leader="none" w:pos="631"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Exhibit 32.2—</w:t>
      </w:r>
      <w:r>
        <w:rPr>
          <w:rFonts w:ascii="Arial" w:cs="Arial" w:eastAsia="Arial" w:hAnsi="Arial"/>
          <w:sz w:val="16"/>
          <w:szCs w:val="16"/>
          <w:u w:val="single" w:color="auto"/>
          <w:color w:val="0000FF"/>
        </w:rPr>
        <w:t>Certification of Chief Financial Officer pursuant to 18 U.S.C. Section 1350, as adopted pursuant to Section 906 of the Sarbanes-Oxley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-560070</wp:posOffset>
            </wp:positionV>
            <wp:extent cx="606234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6062345"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-440055</wp:posOffset>
            </wp:positionV>
            <wp:extent cx="8115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81153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-165735</wp:posOffset>
            </wp:positionV>
            <wp:extent cx="60852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608520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-45720</wp:posOffset>
            </wp:positionV>
            <wp:extent cx="52006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520065" cy="8890"/>
                    </a:xfrm>
                    <a:prstGeom prst="rect">
                      <a:avLst/>
                    </a:prstGeom>
                    <a:noFill/>
                  </pic:spPr>
                </pic:pic>
              </a:graphicData>
            </a:graphic>
          </wp:anchor>
        </w:drawing>
      </w:r>
    </w:p>
    <w:p>
      <w:pPr>
        <w:spacing w:after="0" w:line="163" w:lineRule="exact"/>
        <w:rPr>
          <w:sz w:val="20"/>
          <w:szCs w:val="20"/>
          <w:color w:val="auto"/>
        </w:rPr>
      </w:pPr>
    </w:p>
    <w:p>
      <w:pPr>
        <w:ind w:left="580" w:hanging="118"/>
        <w:spacing w:after="0"/>
        <w:tabs>
          <w:tab w:leader="none" w:pos="5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Exhibit 95—</w:t>
      </w:r>
      <w:r>
        <w:rPr>
          <w:rFonts w:ascii="Arial" w:cs="Arial" w:eastAsia="Arial" w:hAnsi="Arial"/>
          <w:sz w:val="16"/>
          <w:szCs w:val="16"/>
          <w:u w:val="single" w:color="auto"/>
          <w:color w:val="0000FF"/>
        </w:rPr>
        <w:t>Mine Safety Disclosures</w:t>
      </w:r>
    </w:p>
    <w:p>
      <w:pPr>
        <w:spacing w:after="0" w:line="248" w:lineRule="exact"/>
        <w:rPr>
          <w:rFonts w:ascii="Arial" w:cs="Arial" w:eastAsia="Arial" w:hAnsi="Arial"/>
          <w:sz w:val="16"/>
          <w:szCs w:val="16"/>
          <w:color w:val="auto"/>
        </w:rPr>
      </w:pPr>
    </w:p>
    <w:p>
      <w:pPr>
        <w:ind w:left="460" w:firstLine="2"/>
        <w:spacing w:after="0" w:line="286" w:lineRule="auto"/>
        <w:tabs>
          <w:tab w:leader="none" w:pos="58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Exhibit 101.INS—Inline XBRL Instance Document – the instance document does not appear in the Interactive Data File because XBRL tags are embedded within the Inline XBRL document</w:t>
      </w:r>
    </w:p>
    <w:p>
      <w:pPr>
        <w:spacing w:after="0" w:line="182" w:lineRule="exact"/>
        <w:rPr>
          <w:rFonts w:ascii="Arial" w:cs="Arial" w:eastAsia="Arial" w:hAnsi="Arial"/>
          <w:sz w:val="16"/>
          <w:szCs w:val="16"/>
          <w:color w:val="auto"/>
        </w:rPr>
      </w:pPr>
    </w:p>
    <w:p>
      <w:pPr>
        <w:ind w:left="580" w:hanging="118"/>
        <w:spacing w:after="0"/>
        <w:tabs>
          <w:tab w:leader="none" w:pos="5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Exhibit 101.SCH—Inline XBRL Taxonomy Extension Schema Document</w:t>
      </w:r>
    </w:p>
    <w:p>
      <w:pPr>
        <w:spacing w:after="0" w:line="248" w:lineRule="exact"/>
        <w:rPr>
          <w:rFonts w:ascii="Arial" w:cs="Arial" w:eastAsia="Arial" w:hAnsi="Arial"/>
          <w:sz w:val="16"/>
          <w:szCs w:val="16"/>
          <w:color w:val="auto"/>
        </w:rPr>
      </w:pPr>
    </w:p>
    <w:p>
      <w:pPr>
        <w:ind w:right="4040" w:firstLine="462"/>
        <w:spacing w:after="0" w:line="449" w:lineRule="auto"/>
        <w:tabs>
          <w:tab w:leader="none" w:pos="562"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Exhibit 104—Cover Page Interactive Data File (embedded within the Inline XBRL document) * Filed with this Form 10-Q.</w:t>
      </w:r>
    </w:p>
    <w:p>
      <w:pPr>
        <w:ind w:left="180" w:hanging="172"/>
        <w:spacing w:after="0"/>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Furnished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-1384300</wp:posOffset>
            </wp:positionV>
            <wp:extent cx="110299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contracts or compensatory plans or arrangements.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6"/>
          <w:szCs w:val="16"/>
          <w:color w:val="auto"/>
        </w:rPr>
        <w:t>SIGNATURE</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SCHLUMBERGER LIMITED</w:t>
      </w:r>
    </w:p>
    <w:p>
      <w:pPr>
        <w:spacing w:after="0" w:line="235" w:lineRule="exact"/>
        <w:rPr>
          <w:sz w:val="20"/>
          <w:szCs w:val="20"/>
          <w:color w:val="auto"/>
        </w:rPr>
      </w:pPr>
    </w:p>
    <w:p>
      <w:pPr>
        <w:ind w:left="20"/>
        <w:spacing w:after="0"/>
        <w:tabs>
          <w:tab w:leader="none" w:pos="560" w:val="left"/>
          <w:tab w:leader="none" w:pos="5740" w:val="left"/>
        </w:tabs>
        <w:rPr>
          <w:sz w:val="20"/>
          <w:szCs w:val="20"/>
          <w:color w:val="auto"/>
        </w:rPr>
      </w:pPr>
      <w:r>
        <w:rPr>
          <w:rFonts w:ascii="Arial" w:cs="Arial" w:eastAsia="Arial" w:hAnsi="Arial"/>
          <w:sz w:val="16"/>
          <w:szCs w:val="16"/>
          <w:color w:val="auto"/>
        </w:rPr>
        <w:t>Date:</w:t>
        <w:tab/>
        <w:t>October 23, 2024</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20955</wp:posOffset>
            </wp:positionV>
            <wp:extent cx="3488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6" w:lineRule="exact"/>
        <w:rPr>
          <w:sz w:val="20"/>
          <w:szCs w:val="20"/>
          <w:color w:val="auto"/>
        </w:rPr>
      </w:pPr>
    </w:p>
    <w:p>
      <w:pPr>
        <w:ind w:left="5760"/>
        <w:spacing w:after="0"/>
        <w:rPr>
          <w:sz w:val="20"/>
          <w:szCs w:val="20"/>
          <w:color w:val="auto"/>
        </w:rPr>
      </w:pPr>
      <w:r>
        <w:rPr>
          <w:rFonts w:ascii="Arial" w:cs="Arial" w:eastAsia="Arial" w:hAnsi="Arial"/>
          <w:sz w:val="16"/>
          <w:szCs w:val="16"/>
          <w:b w:val="1"/>
          <w:bCs w:val="1"/>
          <w:color w:val="auto"/>
        </w:rPr>
        <w:t>Howard Guild</w:t>
      </w:r>
    </w:p>
    <w:p>
      <w:pPr>
        <w:spacing w:after="0" w:line="39" w:lineRule="exact"/>
        <w:rPr>
          <w:sz w:val="20"/>
          <w:szCs w:val="20"/>
          <w:color w:val="auto"/>
        </w:rPr>
      </w:pPr>
    </w:p>
    <w:p>
      <w:pPr>
        <w:ind w:left="576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u w:val="single" w:color="auto"/>
          <w:color w:val="auto"/>
        </w:rPr>
        <w:t>Exhibit 22</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Issuers of Registered Guaranteed Debt Securities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September 30, 2024, (i) SISA was the issuer of its 4.500% Senior Notes due 2028, 2.650% Senior Notes due 2030, 4.850% Senior Notes due 2033, and 5.000% Senior Notes due 2034 (together, the “SISA Notes”), and (ii) SFCL was the issuer of its 1.400% Senior Notes due 2025 (the “SFCL Notes”). The Guarantor fully and unconditionally guarantees the SISA Notes and the SFCL Notes on a senior unsecured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 w:name="page27"/>
    <w:bookmarkEnd w:id="26"/>
    <w:p>
      <w:pPr>
        <w:ind w:left="10300"/>
        <w:spacing w:after="0"/>
        <w:rPr>
          <w:sz w:val="20"/>
          <w:szCs w:val="20"/>
          <w:color w:val="auto"/>
        </w:rPr>
      </w:pPr>
      <w:r>
        <w:rPr>
          <w:rFonts w:ascii="Arial" w:cs="Arial" w:eastAsia="Arial" w:hAnsi="Arial"/>
          <w:sz w:val="16"/>
          <w:szCs w:val="16"/>
          <w:b w:val="1"/>
          <w:bCs w:val="1"/>
          <w:u w:val="single" w:color="auto"/>
          <w:color w:val="auto"/>
        </w:rPr>
        <w:t>Exhibit 31.1</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Olivier Le Peuch, certify that:</w:t>
      </w:r>
    </w:p>
    <w:p>
      <w:pPr>
        <w:spacing w:after="0" w:line="113" w:lineRule="exact"/>
        <w:rPr>
          <w:sz w:val="20"/>
          <w:szCs w:val="20"/>
          <w:color w:val="auto"/>
        </w:rPr>
      </w:pPr>
    </w:p>
    <w:p>
      <w:pPr>
        <w:ind w:left="560" w:hanging="178"/>
        <w:spacing w:after="0"/>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Schlumberger N.V. (Schlumberger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0" w:right="20" w:hanging="513"/>
        <w:spacing w:after="0" w:line="266" w:lineRule="auto"/>
        <w:tabs>
          <w:tab w:leader="none" w:pos="971"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20" w:right="40" w:hanging="513"/>
        <w:spacing w:after="0" w:line="286" w:lineRule="auto"/>
        <w:tabs>
          <w:tab w:leader="none" w:pos="971"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firstLine="382"/>
        <w:spacing w:after="0" w:line="286" w:lineRule="auto"/>
        <w:tabs>
          <w:tab w:leader="none" w:pos="5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20" w:hanging="513"/>
        <w:spacing w:after="0" w:line="286" w:lineRule="auto"/>
        <w:tabs>
          <w:tab w:leader="none" w:pos="971"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6"/>
          <w:szCs w:val="16"/>
          <w:color w:val="auto"/>
        </w:rPr>
        <w:t>Date: October 23, 2024</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20955</wp:posOffset>
            </wp:positionV>
            <wp:extent cx="2854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Olivier Le Peuch</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1036955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7" w:name="page28"/>
    <w:bookmarkEnd w:id="27"/>
    <w:p>
      <w:pPr>
        <w:ind w:left="10300"/>
        <w:spacing w:after="0"/>
        <w:rPr>
          <w:sz w:val="20"/>
          <w:szCs w:val="20"/>
          <w:color w:val="auto"/>
        </w:rPr>
      </w:pPr>
      <w:r>
        <w:rPr>
          <w:rFonts w:ascii="Arial" w:cs="Arial" w:eastAsia="Arial" w:hAnsi="Arial"/>
          <w:sz w:val="16"/>
          <w:szCs w:val="16"/>
          <w:b w:val="1"/>
          <w:bCs w:val="1"/>
          <w:u w:val="single" w:color="auto"/>
          <w:color w:val="auto"/>
        </w:rPr>
        <w:t>Exhibit 31.2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Stephane Biguet, certify that:</w:t>
      </w:r>
    </w:p>
    <w:p>
      <w:pPr>
        <w:spacing w:after="0" w:line="113" w:lineRule="exact"/>
        <w:rPr>
          <w:sz w:val="20"/>
          <w:szCs w:val="20"/>
          <w:color w:val="auto"/>
        </w:rPr>
      </w:pPr>
    </w:p>
    <w:p>
      <w:pPr>
        <w:ind w:left="560" w:hanging="178"/>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Schlumberger N.V. (Schlumberger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0" w:right="20" w:hanging="513"/>
        <w:spacing w:after="0" w:line="266" w:lineRule="auto"/>
        <w:tabs>
          <w:tab w:leader="none" w:pos="971"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20" w:right="60" w:hanging="513"/>
        <w:spacing w:after="0" w:line="286" w:lineRule="auto"/>
        <w:tabs>
          <w:tab w:leader="none" w:pos="971"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firstLine="382"/>
        <w:spacing w:after="0" w:line="286" w:lineRule="auto"/>
        <w:tabs>
          <w:tab w:leader="none" w:pos="5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20" w:hanging="513"/>
        <w:spacing w:after="0" w:line="286" w:lineRule="auto"/>
        <w:tabs>
          <w:tab w:leader="none" w:pos="971"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October 23, 2024</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20955</wp:posOffset>
            </wp:positionV>
            <wp:extent cx="28460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Stephane Biguet</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916940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28" w:name="page29"/>
    <w:bookmarkEnd w:id="28"/>
    <w:p>
      <w:pPr>
        <w:ind w:left="10300"/>
        <w:spacing w:after="0"/>
        <w:rPr>
          <w:sz w:val="20"/>
          <w:szCs w:val="20"/>
          <w:color w:val="auto"/>
        </w:rPr>
      </w:pPr>
      <w:r>
        <w:rPr>
          <w:rFonts w:ascii="Arial" w:cs="Arial" w:eastAsia="Arial" w:hAnsi="Arial"/>
          <w:sz w:val="16"/>
          <w:szCs w:val="16"/>
          <w:b w:val="1"/>
          <w:bCs w:val="1"/>
          <w:u w:val="single" w:color="auto"/>
          <w:color w:val="auto"/>
        </w:rPr>
        <w:t>Exhibit 32.1</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2024 as filed with the Securities and Exchange Commission on the date hereof (the “Report”), I, Olivier Le Peuch, Chief Executive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6"/>
          <w:szCs w:val="16"/>
          <w:color w:val="auto"/>
        </w:rPr>
        <w:t>Date: October 23, 2024</w:t>
      </w:r>
      <w:r>
        <w:rPr>
          <w:sz w:val="20"/>
          <w:szCs w:val="20"/>
          <w:color w:val="auto"/>
        </w:rPr>
        <w:tab/>
      </w:r>
      <w:r>
        <w:rPr>
          <w:rFonts w:ascii="Arial" w:cs="Arial" w:eastAsia="Arial" w:hAnsi="Arial"/>
          <w:sz w:val="16"/>
          <w:szCs w:val="16"/>
          <w:color w:val="auto"/>
        </w:rPr>
        <w:t>/s/ Olivier Le Peuch</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-115570</wp:posOffset>
            </wp:positionV>
            <wp:extent cx="30861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Chief Executive Officer</w:t>
      </w:r>
    </w:p>
    <w:p>
      <w:pPr>
        <w:spacing w:after="0" w:line="23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9" w:name="page30"/>
    <w:bookmarkEnd w:id="29"/>
    <w:p>
      <w:pPr>
        <w:ind w:left="10300"/>
        <w:spacing w:after="0"/>
        <w:rPr>
          <w:sz w:val="20"/>
          <w:szCs w:val="20"/>
          <w:color w:val="auto"/>
        </w:rPr>
      </w:pPr>
      <w:r>
        <w:rPr>
          <w:rFonts w:ascii="Arial" w:cs="Arial" w:eastAsia="Arial" w:hAnsi="Arial"/>
          <w:sz w:val="16"/>
          <w:szCs w:val="16"/>
          <w:b w:val="1"/>
          <w:bCs w:val="1"/>
          <w:u w:val="single" w:color="auto"/>
          <w:color w:val="auto"/>
        </w:rPr>
        <w:t>Exhibit 32.2</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FINANCIAL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2024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6"/>
          <w:szCs w:val="16"/>
          <w:color w:val="auto"/>
        </w:rPr>
        <w:t>Date: October 23, 2024</w:t>
      </w:r>
      <w:r>
        <w:rPr>
          <w:sz w:val="20"/>
          <w:szCs w:val="20"/>
          <w:color w:val="auto"/>
        </w:rPr>
        <w:tab/>
      </w:r>
      <w:r>
        <w:rPr>
          <w:rFonts w:ascii="Arial" w:cs="Arial" w:eastAsia="Arial" w:hAnsi="Arial"/>
          <w:sz w:val="16"/>
          <w:szCs w:val="16"/>
          <w:color w:val="auto"/>
        </w:rPr>
        <w:t>/s/ Stephane Biguet</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-115570</wp:posOffset>
            </wp:positionV>
            <wp:extent cx="30861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Executive Vice President and Chief Financial Officer</w:t>
      </w:r>
    </w:p>
    <w:p>
      <w:pPr>
        <w:spacing w:after="0" w:line="23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0" w:name="page31"/>
    <w:bookmarkEnd w:id="30"/>
    <w:p>
      <w:pPr>
        <w:ind w:left="10440"/>
        <w:spacing w:after="0"/>
        <w:rPr>
          <w:sz w:val="20"/>
          <w:szCs w:val="20"/>
          <w:color w:val="auto"/>
        </w:rPr>
      </w:pPr>
      <w:r>
        <w:rPr>
          <w:rFonts w:ascii="Arial" w:cs="Arial" w:eastAsia="Arial" w:hAnsi="Arial"/>
          <w:sz w:val="16"/>
          <w:szCs w:val="16"/>
          <w:b w:val="1"/>
          <w:bCs w:val="1"/>
          <w:u w:val="single" w:color="auto"/>
          <w:color w:val="auto"/>
        </w:rPr>
        <w:t>Exhibit 95</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Mine Safety Disclosure</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4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indirect subsidiaries of SLB. The disclosure is with respect to the three months ended September 30, 2024. Due to timing and other factors, the data may not agree with the mine data retrieval system maintained by the MSHA at www.MSHA.gov.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Three Months Ended September 30, 2024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whole dollars</w:t>
      </w:r>
      <w:r>
        <w:rPr>
          <w:rFonts w:ascii="Arial" w:cs="Arial" w:eastAsia="Arial" w:hAnsi="Arial"/>
          <w:sz w:val="16"/>
          <w:szCs w:val="16"/>
          <w:color w:val="auto"/>
        </w:rPr>
        <w:t>)</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40" w:type="dxa"/>
            <w:vAlign w:val="bottom"/>
          </w:tcPr>
          <w:p>
            <w:pPr>
              <w:jc w:val="center"/>
              <w:spacing w:after="0"/>
              <w:rPr>
                <w:sz w:val="20"/>
                <w:szCs w:val="20"/>
                <w:color w:val="auto"/>
              </w:rPr>
            </w:pPr>
            <w:r>
              <w:rPr>
                <w:rFonts w:ascii="Arial" w:cs="Arial" w:eastAsia="Arial" w:hAnsi="Arial"/>
                <w:sz w:val="14"/>
                <w:szCs w:val="14"/>
                <w:color w:val="auto"/>
              </w:rPr>
              <w:t>Potential to</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40" w:type="dxa"/>
            <w:vAlign w:val="bottom"/>
          </w:tcPr>
          <w:p>
            <w:pPr>
              <w:jc w:val="center"/>
              <w:spacing w:after="0"/>
              <w:rPr>
                <w:sz w:val="20"/>
                <w:szCs w:val="20"/>
                <w:color w:val="auto"/>
              </w:rPr>
            </w:pPr>
            <w:r>
              <w:rPr>
                <w:rFonts w:ascii="Arial" w:cs="Arial" w:eastAsia="Arial" w:hAnsi="Arial"/>
                <w:sz w:val="14"/>
                <w:szCs w:val="14"/>
                <w:color w:val="auto"/>
              </w:rPr>
              <w:t>Have</w:t>
            </w:r>
          </w:p>
        </w:tc>
        <w:tc>
          <w:tcPr>
            <w:tcW w:w="820" w:type="dxa"/>
            <w:vAlign w:val="bottom"/>
          </w:tcPr>
          <w:p>
            <w:pPr>
              <w:jc w:val="center"/>
              <w:spacing w:after="0"/>
              <w:rPr>
                <w:sz w:val="20"/>
                <w:szCs w:val="20"/>
                <w:color w:val="auto"/>
              </w:rPr>
            </w:pPr>
            <w:r>
              <w:rPr>
                <w:rFonts w:ascii="Arial" w:cs="Arial" w:eastAsia="Arial" w:hAnsi="Arial"/>
                <w:sz w:val="14"/>
                <w:szCs w:val="14"/>
                <w:color w:val="auto"/>
              </w:rPr>
              <w:t>Legal</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Pattern of</w:t>
            </w:r>
          </w:p>
        </w:tc>
        <w:tc>
          <w:tcPr>
            <w:tcW w:w="840" w:type="dxa"/>
            <w:vAlign w:val="bottom"/>
          </w:tcPr>
          <w:p>
            <w:pPr>
              <w:jc w:val="center"/>
              <w:spacing w:after="0"/>
              <w:rPr>
                <w:sz w:val="20"/>
                <w:szCs w:val="20"/>
                <w:color w:val="auto"/>
              </w:rPr>
            </w:pPr>
            <w:r>
              <w:rPr>
                <w:rFonts w:ascii="Arial" w:cs="Arial" w:eastAsia="Arial" w:hAnsi="Arial"/>
                <w:sz w:val="14"/>
                <w:szCs w:val="14"/>
                <w:color w:val="auto"/>
              </w:rPr>
              <w:t>Pattern</w:t>
            </w:r>
          </w:p>
        </w:tc>
        <w:tc>
          <w:tcPr>
            <w:tcW w:w="820" w:type="dxa"/>
            <w:vAlign w:val="bottom"/>
          </w:tcPr>
          <w:p>
            <w:pPr>
              <w:jc w:val="center"/>
              <w:spacing w:after="0"/>
              <w:rPr>
                <w:sz w:val="20"/>
                <w:szCs w:val="20"/>
                <w:color w:val="auto"/>
              </w:rPr>
            </w:pPr>
            <w:r>
              <w:rPr>
                <w:rFonts w:ascii="Arial" w:cs="Arial" w:eastAsia="Arial" w:hAnsi="Arial"/>
                <w:sz w:val="14"/>
                <w:szCs w:val="14"/>
                <w:color w:val="auto"/>
              </w:rPr>
              <w:t>Actions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Total Dollar</w:t>
            </w:r>
          </w:p>
        </w:tc>
        <w:tc>
          <w:tcPr>
            <w:tcW w:w="70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760" w:type="dxa"/>
            <w:vAlign w:val="bottom"/>
          </w:tcPr>
          <w:p>
            <w:pPr>
              <w:jc w:val="center"/>
              <w:spacing w:after="0"/>
              <w:rPr>
                <w:sz w:val="20"/>
                <w:szCs w:val="20"/>
                <w:color w:val="auto"/>
              </w:rPr>
            </w:pPr>
            <w:r>
              <w:rPr>
                <w:rFonts w:ascii="Arial" w:cs="Arial" w:eastAsia="Arial" w:hAnsi="Arial"/>
                <w:sz w:val="14"/>
                <w:szCs w:val="14"/>
                <w:color w:val="auto"/>
              </w:rPr>
              <w:t>Violations</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Under</w:t>
            </w:r>
          </w:p>
        </w:tc>
        <w:tc>
          <w:tcPr>
            <w:tcW w:w="820" w:type="dxa"/>
            <w:vAlign w:val="bottom"/>
          </w:tcPr>
          <w:p>
            <w:pPr>
              <w:jc w:val="center"/>
              <w:spacing w:after="0"/>
              <w:rPr>
                <w:sz w:val="20"/>
                <w:szCs w:val="20"/>
                <w:color w:val="auto"/>
              </w:rPr>
            </w:pPr>
            <w:r>
              <w:rPr>
                <w:rFonts w:ascii="Arial" w:cs="Arial" w:eastAsia="Arial" w:hAnsi="Arial"/>
                <w:sz w:val="14"/>
                <w:szCs w:val="14"/>
                <w:color w:val="auto"/>
              </w:rPr>
              <w:t>Pending as</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Legal</w:t>
            </w:r>
          </w:p>
        </w:tc>
        <w:tc>
          <w:tcPr>
            <w:tcW w:w="720" w:type="dxa"/>
            <w:vAlign w:val="bottom"/>
          </w:tcPr>
          <w:p>
            <w:pPr>
              <w:jc w:val="center"/>
              <w:spacing w:after="0"/>
              <w:rPr>
                <w:sz w:val="20"/>
                <w:szCs w:val="20"/>
                <w:color w:val="auto"/>
              </w:rPr>
            </w:pPr>
            <w:r>
              <w:rPr>
                <w:rFonts w:ascii="Arial" w:cs="Arial" w:eastAsia="Arial" w:hAnsi="Arial"/>
                <w:sz w:val="14"/>
                <w:szCs w:val="14"/>
                <w:color w:val="auto"/>
              </w:rPr>
              <w:t>Legal</w:t>
            </w: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104(d)</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Value of MSHA</w:t>
            </w:r>
          </w:p>
        </w:tc>
        <w:tc>
          <w:tcPr>
            <w:tcW w:w="700" w:type="dxa"/>
            <w:vAlign w:val="bottom"/>
          </w:tcPr>
          <w:p>
            <w:pPr>
              <w:jc w:val="center"/>
              <w:spacing w:after="0"/>
              <w:rPr>
                <w:sz w:val="20"/>
                <w:szCs w:val="20"/>
                <w:color w:val="auto"/>
              </w:rPr>
            </w:pPr>
            <w:r>
              <w:rPr>
                <w:rFonts w:ascii="Arial" w:cs="Arial" w:eastAsia="Arial" w:hAnsi="Arial"/>
                <w:sz w:val="14"/>
                <w:szCs w:val="14"/>
                <w:color w:val="auto"/>
              </w:rPr>
              <w:t>Number</w:t>
            </w:r>
          </w:p>
        </w:tc>
        <w:tc>
          <w:tcPr>
            <w:tcW w:w="760" w:type="dxa"/>
            <w:vAlign w:val="bottom"/>
          </w:tcPr>
          <w:p>
            <w:pPr>
              <w:jc w:val="center"/>
              <w:spacing w:after="0"/>
              <w:rPr>
                <w:sz w:val="20"/>
                <w:szCs w:val="20"/>
                <w:color w:val="auto"/>
              </w:rPr>
            </w:pPr>
            <w:r>
              <w:rPr>
                <w:rFonts w:ascii="Arial" w:cs="Arial" w:eastAsia="Arial" w:hAnsi="Arial"/>
                <w:sz w:val="14"/>
                <w:szCs w:val="14"/>
                <w:color w:val="auto"/>
              </w:rPr>
              <w:t>Under</w:t>
            </w:r>
          </w:p>
        </w:tc>
        <w:tc>
          <w:tcPr>
            <w:tcW w:w="8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820" w:type="dxa"/>
            <w:vAlign w:val="bottom"/>
          </w:tcPr>
          <w:p>
            <w:pPr>
              <w:jc w:val="center"/>
              <w:spacing w:after="0"/>
              <w:rPr>
                <w:sz w:val="20"/>
                <w:szCs w:val="20"/>
                <w:color w:val="auto"/>
              </w:rPr>
            </w:pPr>
            <w:r>
              <w:rPr>
                <w:rFonts w:ascii="Arial" w:cs="Arial" w:eastAsia="Arial" w:hAnsi="Arial"/>
                <w:sz w:val="14"/>
                <w:szCs w:val="14"/>
                <w:color w:val="auto"/>
              </w:rPr>
              <w:t>of Last Day</w:t>
            </w:r>
          </w:p>
        </w:tc>
        <w:tc>
          <w:tcPr>
            <w:tcW w:w="640" w:type="dxa"/>
            <w:vAlign w:val="bottom"/>
          </w:tcPr>
          <w:p>
            <w:pPr>
              <w:jc w:val="center"/>
              <w:spacing w:after="0"/>
              <w:rPr>
                <w:sz w:val="20"/>
                <w:szCs w:val="20"/>
                <w:color w:val="auto"/>
              </w:rPr>
            </w:pPr>
            <w:r>
              <w:rPr>
                <w:rFonts w:ascii="Arial" w:cs="Arial" w:eastAsia="Arial" w:hAnsi="Arial"/>
                <w:sz w:val="14"/>
                <w:szCs w:val="14"/>
                <w:color w:val="auto"/>
              </w:rPr>
              <w:t>Actions</w:t>
            </w:r>
          </w:p>
        </w:tc>
        <w:tc>
          <w:tcPr>
            <w:tcW w:w="720" w:type="dxa"/>
            <w:vAlign w:val="bottom"/>
          </w:tcPr>
          <w:p>
            <w:pPr>
              <w:jc w:val="center"/>
              <w:spacing w:after="0"/>
              <w:rPr>
                <w:sz w:val="20"/>
                <w:szCs w:val="20"/>
                <w:color w:val="auto"/>
              </w:rPr>
            </w:pPr>
            <w:r>
              <w:rPr>
                <w:rFonts w:ascii="Arial" w:cs="Arial" w:eastAsia="Arial" w:hAnsi="Arial"/>
                <w:sz w:val="14"/>
                <w:szCs w:val="14"/>
                <w:color w:val="auto"/>
              </w:rPr>
              <w:t>Actions</w:t>
            </w:r>
          </w:p>
        </w:tc>
      </w:tr>
      <w:tr>
        <w:trPr>
          <w:trHeight w:val="144"/>
        </w:trPr>
        <w:tc>
          <w:tcPr>
            <w:tcW w:w="2060" w:type="dxa"/>
            <w:vAlign w:val="bottom"/>
          </w:tcPr>
          <w:p>
            <w:pPr>
              <w:ind w:left="220"/>
              <w:spacing w:after="0" w:line="145" w:lineRule="exact"/>
              <w:rPr>
                <w:sz w:val="20"/>
                <w:szCs w:val="20"/>
                <w:color w:val="auto"/>
              </w:rPr>
            </w:pPr>
            <w:r>
              <w:rPr>
                <w:rFonts w:ascii="Arial" w:cs="Arial" w:eastAsia="Arial" w:hAnsi="Arial"/>
                <w:sz w:val="14"/>
                <w:szCs w:val="14"/>
                <w:color w:val="auto"/>
              </w:rPr>
              <w:t>Mine or Operating Name/</w:t>
            </w:r>
          </w:p>
        </w:tc>
        <w:tc>
          <w:tcPr>
            <w:tcW w:w="900" w:type="dxa"/>
            <w:vAlign w:val="bottom"/>
          </w:tcPr>
          <w:p>
            <w:pPr>
              <w:jc w:val="center"/>
              <w:spacing w:after="0" w:line="145" w:lineRule="exact"/>
              <w:rPr>
                <w:sz w:val="20"/>
                <w:szCs w:val="20"/>
                <w:color w:val="auto"/>
              </w:rPr>
            </w:pPr>
            <w:r>
              <w:rPr>
                <w:rFonts w:ascii="Arial" w:cs="Arial" w:eastAsia="Arial" w:hAnsi="Arial"/>
                <w:sz w:val="14"/>
                <w:szCs w:val="14"/>
                <w:color w:val="auto"/>
              </w:rPr>
              <w:t>Section 104</w:t>
            </w:r>
          </w:p>
        </w:tc>
        <w:tc>
          <w:tcPr>
            <w:tcW w:w="640" w:type="dxa"/>
            <w:vAlign w:val="bottom"/>
          </w:tcPr>
          <w:p>
            <w:pPr>
              <w:ind w:left="80"/>
              <w:spacing w:after="0" w:line="145" w:lineRule="exact"/>
              <w:rPr>
                <w:sz w:val="20"/>
                <w:szCs w:val="20"/>
                <w:color w:val="auto"/>
              </w:rPr>
            </w:pPr>
            <w:r>
              <w:rPr>
                <w:rFonts w:ascii="Arial" w:cs="Arial" w:eastAsia="Arial" w:hAnsi="Arial"/>
                <w:sz w:val="14"/>
                <w:szCs w:val="14"/>
                <w:color w:val="auto"/>
              </w:rPr>
              <w:t>Section</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rPr>
              <w:t>Citations</w:t>
            </w: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rPr>
              <w:t>Section</w:t>
            </w:r>
          </w:p>
        </w:tc>
        <w:tc>
          <w:tcPr>
            <w:tcW w:w="580" w:type="dxa"/>
            <w:vAlign w:val="bottom"/>
          </w:tcPr>
          <w:p>
            <w:pPr>
              <w:ind w:left="60"/>
              <w:spacing w:after="0" w:line="145" w:lineRule="exact"/>
              <w:rPr>
                <w:sz w:val="20"/>
                <w:szCs w:val="20"/>
                <w:color w:val="auto"/>
              </w:rPr>
            </w:pPr>
            <w:r>
              <w:rPr>
                <w:rFonts w:ascii="Arial" w:cs="Arial" w:eastAsia="Arial" w:hAnsi="Arial"/>
                <w:sz w:val="14"/>
                <w:szCs w:val="14"/>
                <w:color w:val="auto"/>
              </w:rPr>
              <w:t>Section</w:t>
            </w: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rPr>
              <w:t>Assessments</w:t>
            </w:r>
          </w:p>
        </w:tc>
        <w:tc>
          <w:tcPr>
            <w:tcW w:w="700" w:type="dxa"/>
            <w:vAlign w:val="bottom"/>
          </w:tcPr>
          <w:p>
            <w:pPr>
              <w:jc w:val="center"/>
              <w:spacing w:after="0" w:line="145" w:lineRule="exact"/>
              <w:rPr>
                <w:sz w:val="20"/>
                <w:szCs w:val="20"/>
                <w:color w:val="auto"/>
              </w:rPr>
            </w:pPr>
            <w:r>
              <w:rPr>
                <w:rFonts w:ascii="Arial" w:cs="Arial" w:eastAsia="Arial" w:hAnsi="Arial"/>
                <w:sz w:val="14"/>
                <w:szCs w:val="14"/>
                <w:color w:val="auto"/>
              </w:rPr>
              <w:t>of Mining</w:t>
            </w:r>
          </w:p>
        </w:tc>
        <w:tc>
          <w:tcPr>
            <w:tcW w:w="760" w:type="dxa"/>
            <w:vAlign w:val="bottom"/>
          </w:tcPr>
          <w:p>
            <w:pPr>
              <w:jc w:val="center"/>
              <w:spacing w:after="0" w:line="145" w:lineRule="exact"/>
              <w:rPr>
                <w:sz w:val="20"/>
                <w:szCs w:val="20"/>
                <w:color w:val="auto"/>
              </w:rPr>
            </w:pPr>
            <w:r>
              <w:rPr>
                <w:rFonts w:ascii="Arial" w:cs="Arial" w:eastAsia="Arial" w:hAnsi="Arial"/>
                <w:sz w:val="14"/>
                <w:szCs w:val="14"/>
                <w:color w:val="auto"/>
              </w:rPr>
              <w:t>Section</w:t>
            </w:r>
          </w:p>
        </w:tc>
        <w:tc>
          <w:tcPr>
            <w:tcW w:w="840" w:type="dxa"/>
            <w:vAlign w:val="bottom"/>
          </w:tcPr>
          <w:p>
            <w:pPr>
              <w:jc w:val="center"/>
              <w:spacing w:after="0" w:line="145" w:lineRule="exact"/>
              <w:rPr>
                <w:sz w:val="20"/>
                <w:szCs w:val="20"/>
                <w:color w:val="auto"/>
              </w:rPr>
            </w:pPr>
            <w:r>
              <w:rPr>
                <w:rFonts w:ascii="Arial" w:cs="Arial" w:eastAsia="Arial" w:hAnsi="Arial"/>
                <w:sz w:val="14"/>
                <w:szCs w:val="14"/>
                <w:color w:val="auto"/>
              </w:rPr>
              <w:t>104(e)</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w w:val="99"/>
              </w:rPr>
              <w:t>of Period</w:t>
            </w:r>
          </w:p>
        </w:tc>
        <w:tc>
          <w:tcPr>
            <w:tcW w:w="640" w:type="dxa"/>
            <w:vAlign w:val="bottom"/>
          </w:tcPr>
          <w:p>
            <w:pPr>
              <w:jc w:val="center"/>
              <w:spacing w:after="0" w:line="145" w:lineRule="exact"/>
              <w:rPr>
                <w:sz w:val="20"/>
                <w:szCs w:val="20"/>
                <w:color w:val="auto"/>
              </w:rPr>
            </w:pPr>
            <w:r>
              <w:rPr>
                <w:rFonts w:ascii="Arial" w:cs="Arial" w:eastAsia="Arial" w:hAnsi="Arial"/>
                <w:sz w:val="14"/>
                <w:szCs w:val="14"/>
                <w:color w:val="auto"/>
              </w:rPr>
              <w:t>Initiated</w:t>
            </w: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rPr>
              <w:t>Resolved</w:t>
            </w:r>
          </w:p>
        </w:tc>
      </w:tr>
      <w:tr>
        <w:trPr>
          <w:trHeight w:val="180"/>
        </w:trPr>
        <w:tc>
          <w:tcPr>
            <w:tcW w:w="2060" w:type="dxa"/>
            <w:vAlign w:val="bottom"/>
          </w:tcPr>
          <w:p>
            <w:pPr>
              <w:ind w:left="140"/>
              <w:spacing w:after="0"/>
              <w:rPr>
                <w:sz w:val="20"/>
                <w:szCs w:val="20"/>
                <w:color w:val="auto"/>
              </w:rPr>
            </w:pPr>
            <w:r>
              <w:rPr>
                <w:rFonts w:ascii="Arial" w:cs="Arial" w:eastAsia="Arial" w:hAnsi="Arial"/>
                <w:sz w:val="14"/>
                <w:szCs w:val="14"/>
                <w:color w:val="auto"/>
              </w:rPr>
              <w:t>MSHA Identification Number</w:t>
            </w:r>
          </w:p>
        </w:tc>
        <w:tc>
          <w:tcPr>
            <w:tcW w:w="900" w:type="dxa"/>
            <w:vAlign w:val="bottom"/>
          </w:tcPr>
          <w:p>
            <w:pPr>
              <w:jc w:val="center"/>
              <w:spacing w:after="0"/>
              <w:rPr>
                <w:sz w:val="20"/>
                <w:szCs w:val="20"/>
                <w:color w:val="auto"/>
              </w:rPr>
            </w:pPr>
            <w:r>
              <w:rPr>
                <w:rFonts w:ascii="Arial" w:cs="Arial" w:eastAsia="Arial" w:hAnsi="Arial"/>
                <w:sz w:val="14"/>
                <w:szCs w:val="14"/>
                <w:color w:val="auto"/>
              </w:rPr>
              <w:t>S&amp;S</w:t>
            </w:r>
          </w:p>
        </w:tc>
        <w:tc>
          <w:tcPr>
            <w:tcW w:w="640" w:type="dxa"/>
            <w:vAlign w:val="bottom"/>
          </w:tcPr>
          <w:p>
            <w:pPr>
              <w:jc w:val="center"/>
              <w:spacing w:after="0"/>
              <w:rPr>
                <w:sz w:val="20"/>
                <w:szCs w:val="20"/>
                <w:color w:val="auto"/>
              </w:rPr>
            </w:pPr>
            <w:r>
              <w:rPr>
                <w:rFonts w:ascii="Arial" w:cs="Arial" w:eastAsia="Arial" w:hAnsi="Arial"/>
                <w:sz w:val="14"/>
                <w:szCs w:val="14"/>
                <w:color w:val="auto"/>
              </w:rPr>
              <w:t>104(b)</w:t>
            </w:r>
          </w:p>
        </w:tc>
        <w:tc>
          <w:tcPr>
            <w:tcW w:w="740" w:type="dxa"/>
            <w:vAlign w:val="bottom"/>
          </w:tcPr>
          <w:p>
            <w:pPr>
              <w:jc w:val="center"/>
              <w:spacing w:after="0"/>
              <w:rPr>
                <w:sz w:val="20"/>
                <w:szCs w:val="20"/>
                <w:color w:val="auto"/>
              </w:rPr>
            </w:pPr>
            <w:r>
              <w:rPr>
                <w:rFonts w:ascii="Arial" w:cs="Arial" w:eastAsia="Arial" w:hAnsi="Arial"/>
                <w:sz w:val="14"/>
                <w:szCs w:val="14"/>
                <w:color w:val="auto"/>
              </w:rPr>
              <w:t>and</w:t>
            </w:r>
          </w:p>
        </w:tc>
        <w:tc>
          <w:tcPr>
            <w:tcW w:w="780" w:type="dxa"/>
            <w:vAlign w:val="bottom"/>
          </w:tcPr>
          <w:p>
            <w:pPr>
              <w:jc w:val="center"/>
              <w:spacing w:after="0"/>
              <w:rPr>
                <w:sz w:val="20"/>
                <w:szCs w:val="20"/>
                <w:color w:val="auto"/>
              </w:rPr>
            </w:pPr>
            <w:r>
              <w:rPr>
                <w:rFonts w:ascii="Arial" w:cs="Arial" w:eastAsia="Arial" w:hAnsi="Arial"/>
                <w:sz w:val="14"/>
                <w:szCs w:val="14"/>
                <w:color w:val="auto"/>
              </w:rPr>
              <w:t>110(b)(2)</w:t>
            </w:r>
          </w:p>
        </w:tc>
        <w:tc>
          <w:tcPr>
            <w:tcW w:w="580" w:type="dxa"/>
            <w:vAlign w:val="bottom"/>
          </w:tcPr>
          <w:p>
            <w:pPr>
              <w:jc w:val="center"/>
              <w:spacing w:after="0"/>
              <w:rPr>
                <w:sz w:val="20"/>
                <w:szCs w:val="20"/>
                <w:color w:val="auto"/>
              </w:rPr>
            </w:pPr>
            <w:r>
              <w:rPr>
                <w:rFonts w:ascii="Arial" w:cs="Arial" w:eastAsia="Arial" w:hAnsi="Arial"/>
                <w:sz w:val="14"/>
                <w:szCs w:val="14"/>
                <w:color w:val="auto"/>
                <w:w w:val="98"/>
              </w:rPr>
              <w:t>107(a)</w:t>
            </w:r>
          </w:p>
        </w:tc>
        <w:tc>
          <w:tcPr>
            <w:tcW w:w="1060" w:type="dxa"/>
            <w:vAlign w:val="bottom"/>
          </w:tcPr>
          <w:p>
            <w:pPr>
              <w:jc w:val="center"/>
              <w:spacing w:after="0" w:line="180" w:lineRule="exact"/>
              <w:rPr>
                <w:sz w:val="20"/>
                <w:szCs w:val="20"/>
                <w:color w:val="auto"/>
              </w:rPr>
            </w:pPr>
            <w:r>
              <w:rPr>
                <w:rFonts w:ascii="Arial" w:cs="Arial" w:eastAsia="Arial" w:hAnsi="Arial"/>
                <w:sz w:val="14"/>
                <w:szCs w:val="14"/>
                <w:color w:val="auto"/>
                <w:w w:val="98"/>
              </w:rPr>
              <w:t xml:space="preserve">Proposed </w:t>
            </w:r>
            <w:r>
              <w:rPr>
                <w:rFonts w:ascii="Arial" w:cs="Arial" w:eastAsia="Arial" w:hAnsi="Arial"/>
                <w:sz w:val="19"/>
                <w:szCs w:val="19"/>
                <w:color w:val="auto"/>
                <w:w w:val="98"/>
                <w:vertAlign w:val="superscript"/>
              </w:rPr>
              <w:t>(1)</w:t>
            </w:r>
          </w:p>
        </w:tc>
        <w:tc>
          <w:tcPr>
            <w:tcW w:w="700" w:type="dxa"/>
            <w:vAlign w:val="bottom"/>
          </w:tcPr>
          <w:p>
            <w:pPr>
              <w:jc w:val="center"/>
              <w:spacing w:after="0"/>
              <w:rPr>
                <w:sz w:val="20"/>
                <w:szCs w:val="20"/>
                <w:color w:val="auto"/>
              </w:rPr>
            </w:pPr>
            <w:r>
              <w:rPr>
                <w:rFonts w:ascii="Arial" w:cs="Arial" w:eastAsia="Arial" w:hAnsi="Arial"/>
                <w:sz w:val="14"/>
                <w:szCs w:val="14"/>
                <w:color w:val="auto"/>
              </w:rPr>
              <w:t>Related</w:t>
            </w:r>
          </w:p>
        </w:tc>
        <w:tc>
          <w:tcPr>
            <w:tcW w:w="760" w:type="dxa"/>
            <w:vAlign w:val="bottom"/>
          </w:tcPr>
          <w:p>
            <w:pPr>
              <w:jc w:val="center"/>
              <w:spacing w:after="0"/>
              <w:rPr>
                <w:sz w:val="20"/>
                <w:szCs w:val="20"/>
                <w:color w:val="auto"/>
              </w:rPr>
            </w:pPr>
            <w:r>
              <w:rPr>
                <w:rFonts w:ascii="Arial" w:cs="Arial" w:eastAsia="Arial" w:hAnsi="Arial"/>
                <w:sz w:val="14"/>
                <w:szCs w:val="14"/>
                <w:color w:val="auto"/>
                <w:w w:val="98"/>
              </w:rPr>
              <w:t>104(e)</w:t>
            </w:r>
          </w:p>
        </w:tc>
        <w:tc>
          <w:tcPr>
            <w:tcW w:w="840" w:type="dxa"/>
            <w:vAlign w:val="bottom"/>
          </w:tcPr>
          <w:p>
            <w:pPr>
              <w:jc w:val="center"/>
              <w:spacing w:after="0"/>
              <w:rPr>
                <w:sz w:val="20"/>
                <w:szCs w:val="20"/>
                <w:color w:val="auto"/>
              </w:rPr>
            </w:pPr>
            <w:r>
              <w:rPr>
                <w:rFonts w:ascii="Arial" w:cs="Arial" w:eastAsia="Arial" w:hAnsi="Arial"/>
                <w:sz w:val="14"/>
                <w:szCs w:val="14"/>
                <w:color w:val="auto"/>
              </w:rPr>
              <w:t>(yes/no)</w:t>
            </w:r>
          </w:p>
        </w:tc>
        <w:tc>
          <w:tcPr>
            <w:tcW w:w="8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During</w:t>
            </w:r>
          </w:p>
        </w:tc>
        <w:tc>
          <w:tcPr>
            <w:tcW w:w="720" w:type="dxa"/>
            <w:vAlign w:val="bottom"/>
          </w:tcPr>
          <w:p>
            <w:pPr>
              <w:jc w:val="center"/>
              <w:spacing w:after="0"/>
              <w:rPr>
                <w:sz w:val="20"/>
                <w:szCs w:val="20"/>
                <w:color w:val="auto"/>
              </w:rPr>
            </w:pPr>
            <w:r>
              <w:rPr>
                <w:rFonts w:ascii="Arial" w:cs="Arial" w:eastAsia="Arial" w:hAnsi="Arial"/>
                <w:sz w:val="14"/>
                <w:szCs w:val="14"/>
                <w:color w:val="auto"/>
              </w:rPr>
              <w:t>During</w:t>
            </w:r>
          </w:p>
        </w:tc>
      </w:tr>
      <w:tr>
        <w:trPr>
          <w:trHeight w:val="185"/>
        </w:trPr>
        <w:tc>
          <w:tcPr>
            <w:tcW w:w="20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Citations</w:t>
            </w: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Orders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Orders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Violations</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Orders</w:t>
            </w: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Fatalities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r>
      <w:tr>
        <w:trPr>
          <w:trHeight w:val="377"/>
        </w:trPr>
        <w:tc>
          <w:tcPr>
            <w:tcW w:w="2060" w:type="dxa"/>
            <w:vAlign w:val="bottom"/>
          </w:tcPr>
          <w:p>
            <w:pPr>
              <w:ind w:left="20"/>
              <w:spacing w:after="0"/>
              <w:rPr>
                <w:sz w:val="20"/>
                <w:szCs w:val="20"/>
                <w:color w:val="auto"/>
              </w:rPr>
            </w:pPr>
            <w:r>
              <w:rPr>
                <w:rFonts w:ascii="Arial" w:cs="Arial" w:eastAsia="Arial" w:hAnsi="Arial"/>
                <w:sz w:val="14"/>
                <w:szCs w:val="14"/>
                <w:color w:val="auto"/>
              </w:rPr>
              <w:t>Amelia Barite Plant/1600825</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512"/>
        </w:trPr>
        <w:tc>
          <w:tcPr>
            <w:tcW w:w="2060" w:type="dxa"/>
            <w:vAlign w:val="bottom"/>
          </w:tcPr>
          <w:p>
            <w:pPr>
              <w:ind w:left="20"/>
              <w:spacing w:after="0"/>
              <w:rPr>
                <w:sz w:val="20"/>
                <w:szCs w:val="20"/>
                <w:color w:val="auto"/>
              </w:rPr>
            </w:pPr>
            <w:r>
              <w:rPr>
                <w:rFonts w:ascii="Arial" w:cs="Arial" w:eastAsia="Arial" w:hAnsi="Arial"/>
                <w:sz w:val="14"/>
                <w:szCs w:val="14"/>
                <w:color w:val="auto"/>
              </w:rPr>
              <w:t>Battle Mountain Grinding</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$932</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90"/>
        </w:trPr>
        <w:tc>
          <w:tcPr>
            <w:tcW w:w="2060" w:type="dxa"/>
            <w:vAlign w:val="bottom"/>
          </w:tcPr>
          <w:p>
            <w:pPr>
              <w:ind w:left="20"/>
              <w:spacing w:after="0"/>
              <w:rPr>
                <w:sz w:val="20"/>
                <w:szCs w:val="20"/>
                <w:color w:val="auto"/>
              </w:rPr>
            </w:pPr>
            <w:r>
              <w:rPr>
                <w:rFonts w:ascii="Arial" w:cs="Arial" w:eastAsia="Arial" w:hAnsi="Arial"/>
                <w:sz w:val="14"/>
                <w:szCs w:val="14"/>
                <w:color w:val="auto"/>
              </w:rPr>
              <w:t>Plant/2600828</w:t>
            </w: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78"/>
        </w:trPr>
        <w:tc>
          <w:tcPr>
            <w:tcW w:w="2060" w:type="dxa"/>
            <w:vAlign w:val="bottom"/>
          </w:tcPr>
          <w:p>
            <w:pPr>
              <w:ind w:left="20"/>
              <w:spacing w:after="0"/>
              <w:rPr>
                <w:sz w:val="20"/>
                <w:szCs w:val="20"/>
                <w:color w:val="auto"/>
              </w:rPr>
            </w:pPr>
            <w:r>
              <w:rPr>
                <w:rFonts w:ascii="Arial" w:cs="Arial" w:eastAsia="Arial" w:hAnsi="Arial"/>
                <w:sz w:val="14"/>
                <w:szCs w:val="14"/>
                <w:color w:val="auto"/>
              </w:rPr>
              <w:t>Greystone Mine/2600411</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$588</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350"/>
        </w:trPr>
        <w:tc>
          <w:tcPr>
            <w:tcW w:w="2060" w:type="dxa"/>
            <w:vAlign w:val="bottom"/>
          </w:tcPr>
          <w:p>
            <w:pPr>
              <w:ind w:left="20"/>
              <w:spacing w:after="0"/>
              <w:rPr>
                <w:sz w:val="20"/>
                <w:szCs w:val="20"/>
                <w:color w:val="auto"/>
              </w:rPr>
            </w:pPr>
            <w:r>
              <w:rPr>
                <w:rFonts w:ascii="Arial" w:cs="Arial" w:eastAsia="Arial" w:hAnsi="Arial"/>
                <w:sz w:val="14"/>
                <w:szCs w:val="14"/>
                <w:color w:val="auto"/>
              </w:rPr>
              <w:t>Mountain Springs Beneficiation</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90"/>
        </w:trPr>
        <w:tc>
          <w:tcPr>
            <w:tcW w:w="2060" w:type="dxa"/>
            <w:vAlign w:val="bottom"/>
          </w:tcPr>
          <w:p>
            <w:pPr>
              <w:ind w:left="20"/>
              <w:spacing w:after="0"/>
              <w:rPr>
                <w:sz w:val="20"/>
                <w:szCs w:val="20"/>
                <w:color w:val="auto"/>
              </w:rPr>
            </w:pPr>
            <w:r>
              <w:rPr>
                <w:rFonts w:ascii="Arial" w:cs="Arial" w:eastAsia="Arial" w:hAnsi="Arial"/>
                <w:sz w:val="14"/>
                <w:szCs w:val="14"/>
                <w:color w:val="auto"/>
              </w:rPr>
              <w:t>Plant/2601390</w:t>
            </w: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282" w:lineRule="exact"/>
        <w:rPr>
          <w:sz w:val="20"/>
          <w:szCs w:val="20"/>
          <w:color w:val="auto"/>
        </w:rPr>
      </w:pPr>
    </w:p>
    <w:p>
      <w:pPr>
        <w:jc w:val="both"/>
        <w:ind w:left="1020" w:hanging="503"/>
        <w:spacing w:after="0" w:line="256" w:lineRule="auto"/>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September 30, 2024, regardless of whether the assessment has been challenged or appealed, for citations and orders occurring during the quarter ended September 30, 2024.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1."/>
      <w:numFmt w:val="decimal"/>
      <w:start w:val="7"/>
    </w:lvl>
  </w:abstractNum>
  <w:abstractNum w:abstractNumId="8">
    <w:nsid w:val="7C83E458"/>
    <w:multiLevelType w:val="hybridMultilevel"/>
    <w:lvl w:ilvl="0">
      <w:lvlJc w:val="left"/>
      <w:lvlText w:val="%1."/>
      <w:numFmt w:val="decimal"/>
      <w:start w:val="8"/>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9"/>
    </w:lvl>
  </w:abstractNum>
  <w:abstractNum w:abstractNumId="11">
    <w:nsid w:val="436C6125"/>
    <w:multiLevelType w:val="hybridMultilevel"/>
    <w:lvl w:ilvl="0">
      <w:lvlJc w:val="left"/>
      <w:lvlText w:val="%1."/>
      <w:numFmt w:val="decimal"/>
      <w:start w:val="10"/>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lvl w:ilvl="1">
      <w:lvlJc w:val="left"/>
      <w:lvlText w:val="*"/>
      <w:numFmt w:val="bullet"/>
      <w:start w:val="1"/>
    </w:lvl>
  </w:abstractNum>
  <w:abstractNum w:abstractNumId="23">
    <w:nsid w:val="189A769B"/>
    <w:multiLevelType w:val="hybridMultilevel"/>
    <w:lvl w:ilvl="0">
      <w:lvlJc w:val="left"/>
      <w:lvlText w:val="**"/>
      <w:numFmt w:val="bullet"/>
      <w:start w:val="1"/>
    </w:lvl>
    <w:lvl w:ilvl="1">
      <w:lvlJc w:val="left"/>
      <w:lvlText w:val="*"/>
      <w:numFmt w:val="bullet"/>
      <w:start w:val="1"/>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286" Type="http://schemas.openxmlformats.org/officeDocument/2006/relationships/hyperlink" Target="https://www.sec.gov/Archives/edgar/data/87347/000119312516532046/d176097dex31.htm" TargetMode="External"/><Relationship Id="rId289" Type="http://schemas.openxmlformats.org/officeDocument/2006/relationships/hyperlink" Target="https://www.sec.gov/Archives/edgar/data/87347/000119312523110532/d470769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2024-10-23T11:31:35Z</dcterms:created>
  <dcterms:modified xsi:type="dcterms:W3CDTF">2024-10-23T11:31:35Z</dcterms:modified>
</cp:coreProperties>
</file>