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60" w:type="dxa"/>
            <w:vAlign w:val="bottom"/>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Farrant Simon</w:t>
              </w:r>
            </w:hyperlink>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6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840" w:type="dxa"/>
            <w:vAlign w:val="bottom"/>
            <w:tcBorders>
              <w:top w:val="single" w:sz="8" w:color="EEEEEE"/>
            </w:tcBorders>
            <w:vMerge w:val="restart"/>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Investor Relations</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2"/>
              </w:rPr>
              <w:t>6,218</w:t>
            </w:r>
            <w:r>
              <w:rPr>
                <w:rFonts w:ascii="Arial" w:cs="Arial" w:eastAsia="Arial" w:hAnsi="Arial"/>
                <w:sz w:val="22"/>
                <w:szCs w:val="22"/>
                <w:color w:val="008000"/>
                <w:w w:val="82"/>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4"/>
              </w:rPr>
              <w:t>26,846</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13,750</w:t>
            </w:r>
            <w:r>
              <w:rPr>
                <w:rFonts w:ascii="Arial" w:cs="Arial" w:eastAsia="Arial" w:hAnsi="Arial"/>
                <w:sz w:val="22"/>
                <w:szCs w:val="22"/>
                <w:color w:val="008000"/>
                <w:w w:val="84"/>
                <w:vertAlign w:val="superscript"/>
              </w:rPr>
              <w:t>(3)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40,596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ind w:left="69"/>
              <w:spacing w:after="0"/>
              <w:rPr>
                <w:sz w:val="20"/>
                <w:szCs w:val="20"/>
                <w:color w:val="auto"/>
              </w:rPr>
            </w:pPr>
            <w:r>
              <w:rPr>
                <w:rFonts w:ascii="Arial" w:cs="Arial" w:eastAsia="Arial" w:hAnsi="Arial"/>
                <w:sz w:val="18"/>
                <w:szCs w:val="18"/>
                <w:color w:val="0000FF"/>
                <w:w w:val="88"/>
              </w:rPr>
              <w:t>4,984</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39.075</w:t>
            </w:r>
          </w:p>
        </w:tc>
        <w:tc>
          <w:tcPr>
            <w:tcW w:w="340" w:type="dxa"/>
            <w:vAlign w:val="bottom"/>
          </w:tcPr>
          <w:p>
            <w:pPr>
              <w:spacing w:after="0"/>
              <w:rPr>
                <w:sz w:val="23"/>
                <w:szCs w:val="23"/>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7"/>
              </w:rPr>
              <w:t>35,612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312 shares for the period ended December 31, 2019, that were acquired under the Schlumberger discounted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01/21/2020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823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2020-01-21T19:45:27Z</dcterms:created>
  <dcterms:modified xsi:type="dcterms:W3CDTF">2020-01-21T19:45:27Z</dcterms:modified>
</cp:coreProperties>
</file>