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1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60" w:type="dxa"/>
            <w:vAlign w:val="bottom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60" w:type="dxa"/>
            <w:vAlign w:val="bottom"/>
            <w:vMerge w:val="restart"/>
          </w:tcPr>
          <w:p>
            <w:pPr>
              <w:jc w:val="center"/>
              <w:ind w:right="2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5316855</wp:posOffset>
            </wp:positionH>
            <wp:positionV relativeFrom="paragraph">
              <wp:posOffset>-626745</wp:posOffset>
            </wp:positionV>
            <wp:extent cx="58420" cy="640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4022090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-1584960</wp:posOffset>
            </wp:positionH>
            <wp:positionV relativeFrom="paragraph">
              <wp:posOffset>23495</wp:posOffset>
            </wp:positionV>
            <wp:extent cx="7046595" cy="55422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542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060" w:space="420"/>
            <w:col w:w="860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 Peuch Olivier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5599 SAN FELIPE, 17TH FLOOR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4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30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01/17/2024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3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Executive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30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775,916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RSU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Stock,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$0.01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(Restricted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69,057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01/17/2024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69,057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Par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69,057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8"/>
        </w:trPr>
        <w:tc>
          <w:tcPr>
            <w:tcW w:w="3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Unit)</w:t>
            </w: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Value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3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80" w:type="dxa"/>
            <w:vAlign w:val="bottom"/>
            <w:vMerge w:val="restart"/>
          </w:tcPr>
          <w:p>
            <w:pPr>
              <w:jc w:val="center"/>
              <w:ind w:left="3215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3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80" w:type="dxa"/>
            <w:vAlign w:val="bottom"/>
          </w:tcPr>
          <w:p>
            <w:pPr>
              <w:jc w:val="center"/>
              <w:ind w:left="32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right to receive, at settlement, one (1) share of common stock.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 award was granted January 17, 2024 and vests 100% on January 17, 2027.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Samantha Blons, Attorney-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01/19/2024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hyperlink" Target="http://www.sec.gov/cgi-bin/browse-edgar?action=getcompany&amp;CIK=0001497824" TargetMode="External"/><Relationship Id="rId12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2024-01-19T16:56:39Z</dcterms:created>
  <dcterms:modified xsi:type="dcterms:W3CDTF">2024-01-19T16:56:39Z</dcterms:modified>
</cp:coreProperties>
</file>