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6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-236220</wp:posOffset>
            </wp:positionV>
            <wp:extent cx="132080" cy="132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" cy="13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632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6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5278120</wp:posOffset>
            </wp:positionH>
            <wp:positionV relativeFrom="paragraph">
              <wp:posOffset>-631190</wp:posOffset>
            </wp:positionV>
            <wp:extent cx="58420" cy="6445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3998595</wp:posOffset>
            </wp:positionH>
            <wp:positionV relativeFrom="paragraph">
              <wp:posOffset>-631190</wp:posOffset>
            </wp:positionV>
            <wp:extent cx="58420" cy="6445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-1622425</wp:posOffset>
            </wp:positionH>
            <wp:positionV relativeFrom="paragraph">
              <wp:posOffset>24130</wp:posOffset>
            </wp:positionV>
            <wp:extent cx="7045960" cy="577913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5960" cy="57791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260"/>
            <w:col w:w="8540"/>
          </w:cols>
          <w:pgMar w:left="460" w:top="216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36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vertAlign w:val="superscript"/>
              </w:rPr>
              <w:t>*</w:t>
            </w:r>
          </w:p>
        </w:tc>
        <w:tc>
          <w:tcPr>
            <w:tcW w:w="30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Rando Bejar Carmen</w:t>
              </w:r>
            </w:hyperlink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60" w:type="dxa"/>
            <w:vAlign w:val="bottom"/>
            <w:gridSpan w:val="3"/>
          </w:tcPr>
          <w:p>
            <w:pPr>
              <w:spacing w:after="0" w:line="182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SCHLUMBERGER LIMITED/NV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SLB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320" w:type="dxa"/>
            <w:vAlign w:val="bottom"/>
            <w:tcBorders>
              <w:top w:val="single" w:sz="8" w:color="EEEEEE"/>
            </w:tcBorders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52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</w:t>
            </w:r>
          </w:p>
        </w:tc>
        <w:tc>
          <w:tcPr>
            <w:tcW w:w="362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20" w:type="dxa"/>
            <w:vAlign w:val="bottom"/>
            <w:gridSpan w:val="4"/>
            <w:vMerge w:val="restart"/>
          </w:tcPr>
          <w:p>
            <w:pPr>
              <w:ind w:left="160"/>
              <w:spacing w:after="0" w:line="17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01/20/2023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1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5599 SAN FELIPE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53" w:lineRule="exact"/>
        <w:rPr>
          <w:sz w:val="20"/>
          <w:szCs w:val="20"/>
          <w:color w:val="auto"/>
        </w:rPr>
      </w:pPr>
    </w:p>
    <w:p>
      <w:pPr>
        <w:ind w:left="-6" w:right="620" w:firstLine="6"/>
        <w:spacing w:after="0" w:line="260" w:lineRule="auto"/>
        <w:tabs>
          <w:tab w:leader="none" w:pos="139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0"/>
          <w:szCs w:val="20"/>
          <w:color w:val="auto"/>
        </w:rPr>
      </w:pPr>
    </w:p>
    <w:tbl>
      <w:tblPr>
        <w:tblLayout w:type="fixed"/>
        <w:tblInd w:w="194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3" w:lineRule="exact"/>
        <w:rPr>
          <w:sz w:val="20"/>
          <w:szCs w:val="20"/>
          <w:color w:val="auto"/>
        </w:rPr>
      </w:pPr>
    </w:p>
    <w:p>
      <w:pPr>
        <w:ind w:left="87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People Officer</w:t>
      </w:r>
    </w:p>
    <w:p>
      <w:pPr>
        <w:spacing w:after="0" w:line="311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60" w:space="66"/>
            <w:col w:w="3354"/>
          </w:cols>
          <w:pgMar w:left="460" w:top="216" w:right="359" w:bottom="1440" w:gutter="0" w:footer="0" w:header="0"/>
          <w:type w:val="continuous"/>
        </w:sectPr>
      </w:pPr>
    </w:p>
    <w:p>
      <w:pPr>
        <w:spacing w:after="0" w:line="156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0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77056</w:t>
            </w: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35" w:lineRule="auto"/>
        <w:tabs>
          <w:tab w:leader="none" w:pos="434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9" w:lineRule="exact"/>
        <w:rPr>
          <w:sz w:val="20"/>
          <w:szCs w:val="20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06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740" w:space="160"/>
            <w:col w:w="7180"/>
          </w:cols>
          <w:pgMar w:left="460" w:top="21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8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80" w:type="dxa"/>
            <w:vAlign w:val="bottom"/>
            <w:gridSpan w:val="4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2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$0.01 Par Value Per Share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jc w:val="right"/>
              <w:ind w:righ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01/20/2023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ind w:right="1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4,117</w:t>
            </w:r>
          </w:p>
        </w:tc>
        <w:tc>
          <w:tcPr>
            <w:tcW w:w="64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22,977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2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$0.01 Par Value Per Share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jc w:val="right"/>
              <w:ind w:righ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01/20/2023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ind w:right="1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1,003</w:t>
            </w:r>
          </w:p>
        </w:tc>
        <w:tc>
          <w:tcPr>
            <w:tcW w:w="64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jc w:val="center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57.61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21,974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2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8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$0.01 Par Value Per Share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158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ind w:right="3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Spouse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90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2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left="79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80" w:type="dxa"/>
            <w:vAlign w:val="bottom"/>
            <w:gridSpan w:val="11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Expiration 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RSU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ind w:right="36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Stock,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jc w:val="center"/>
              <w:ind w:right="36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$0.01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jc w:val="center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(2)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4,117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vMerge w:val="restart"/>
          </w:tcPr>
          <w:p>
            <w:pPr>
              <w:jc w:val="right"/>
              <w:ind w:right="1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01/20/2023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4,117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jc w:val="center"/>
              <w:ind w:righ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Par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4,117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9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9"/>
        </w:trPr>
        <w:tc>
          <w:tcPr>
            <w:tcW w:w="35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Unit)</w:t>
            </w:r>
          </w:p>
        </w:tc>
        <w:tc>
          <w:tcPr>
            <w:tcW w:w="3580" w:type="dxa"/>
            <w:vAlign w:val="bottom"/>
          </w:tcPr>
          <w:p>
            <w:pPr>
              <w:jc w:val="center"/>
              <w:ind w:left="3215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6"/>
              </w:rPr>
              <w:t>Value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35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580" w:type="dxa"/>
            <w:vAlign w:val="bottom"/>
            <w:vMerge w:val="restart"/>
          </w:tcPr>
          <w:p>
            <w:pPr>
              <w:jc w:val="center"/>
              <w:ind w:left="3215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3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5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3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580" w:type="dxa"/>
            <w:vAlign w:val="bottom"/>
          </w:tcPr>
          <w:p>
            <w:pPr>
              <w:jc w:val="center"/>
              <w:ind w:left="32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Share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restricted stock unit represents the right to receive, at settlement, one (1) share of common stock.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220" w:firstLine="3"/>
        <w:spacing w:after="0" w:line="259" w:lineRule="auto"/>
        <w:tabs>
          <w:tab w:leader="none" w:pos="17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restricted stock unit award was granted January 20, 2021 and one-third vested on January 20, 2022 and one-third on January 20, 2023. The remaining restricted stock unit award will vest on January 20, 2024.</w:t>
      </w:r>
    </w:p>
    <w:p>
      <w:pPr>
        <w:spacing w:after="0" w:line="8" w:lineRule="exact"/>
        <w:rPr>
          <w:sz w:val="20"/>
          <w:szCs w:val="20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0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/s/ Samantha Blons, Attorney-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01/24/2023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480" w:type="dxa"/>
            <w:vAlign w:val="bottom"/>
            <w:vMerge w:val="restart"/>
          </w:tcPr>
          <w:p>
            <w:pPr>
              <w:spacing w:after="0" w:line="18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in-Fact</w:t>
            </w:r>
          </w:p>
        </w:tc>
        <w:tc>
          <w:tcPr>
            <w:tcW w:w="17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4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jc w:val="both"/>
        <w:ind w:left="40" w:right="3540" w:firstLine="3"/>
        <w:spacing w:after="0" w:line="339" w:lineRule="auto"/>
        <w:tabs>
          <w:tab w:leader="none" w:pos="177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919057" TargetMode="External"/><Relationship Id="rId13" Type="http://schemas.openxmlformats.org/officeDocument/2006/relationships/hyperlink" Target="http://www.sec.gov/cgi-bin/browse-edgar?action=getcompany&amp;CIK=000008734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2023-01-24T15:58:50Z</dcterms:created>
  <dcterms:modified xsi:type="dcterms:W3CDTF">2023-01-24T15:58:50Z</dcterms:modified>
</cp:coreProperties>
</file>