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December 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LIMITED)</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60" w:space="720"/>
            <w:col w:w="2720" w:space="720"/>
            <w:col w:w="2180"/>
          </w:cols>
          <w:pgMar w:left="440" w:top="368" w:right="45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00"/>
          </w:cols>
          <w:pgMar w:left="440" w:top="368" w:right="459" w:bottom="1440"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00"/>
          </w:cols>
          <w:pgMar w:left="440" w:top="368" w:right="459" w:bottom="1440" w:gutter="0" w:footer="0" w:header="0"/>
          <w:type w:val="continuous"/>
        </w:sectPr>
      </w:pP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u w:val="single" w:color="auto"/>
          <w:color w:val="auto"/>
        </w:rPr>
        <w:t>Regulation FD Disclosure.</w:t>
      </w:r>
    </w:p>
    <w:p>
      <w:pPr>
        <w:spacing w:after="0" w:line="121" w:lineRule="exact"/>
        <w:rPr>
          <w:sz w:val="20"/>
          <w:szCs w:val="20"/>
          <w:color w:val="auto"/>
        </w:rPr>
      </w:pPr>
    </w:p>
    <w:p>
      <w:pPr>
        <w:ind w:right="380" w:firstLine="441"/>
        <w:spacing w:after="0" w:line="259" w:lineRule="auto"/>
        <w:rPr>
          <w:sz w:val="20"/>
          <w:szCs w:val="20"/>
          <w:color w:val="auto"/>
        </w:rPr>
      </w:pPr>
      <w:r>
        <w:rPr>
          <w:rFonts w:ascii="Arial" w:cs="Arial" w:eastAsia="Arial" w:hAnsi="Arial"/>
          <w:sz w:val="18"/>
          <w:szCs w:val="18"/>
          <w:color w:val="auto"/>
        </w:rPr>
        <w:t>On December 4, 2018, Patrick Schorn, Executive President, Wells for Schlumberger Limited (“Schlumberger”), presented at the 2018 Cowen Energy &amp; Natural Resources Conference in New York, New York, and discussed, among other things, Schlumberger’s business outlook. The presentation and slides are available on the Schlumberger Investor Relations website at http://www.slb.com/news/presentations.aspx and http://investorcenter.slb.com/phoenix.zhtml?c=97513&amp;p=irol-presentations.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firstLine="881"/>
        <w:spacing w:after="0" w:line="267" w:lineRule="auto"/>
        <w:rPr>
          <w:sz w:val="20"/>
          <w:szCs w:val="20"/>
          <w:color w:val="auto"/>
        </w:rPr>
      </w:pPr>
      <w:r>
        <w:rPr>
          <w:rFonts w:ascii="Arial" w:cs="Arial" w:eastAsia="Arial" w:hAnsi="Arial"/>
          <w:sz w:val="17"/>
          <w:szCs w:val="17"/>
          <w:color w:val="auto"/>
        </w:rPr>
        <w:t>The presentation referred to above contains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Schlumberger as a whole and for each of our product lines (and for specified products or geographic areas within each product line); oil and natural gas demand and production growth; oil and natural gas prices; rig activity, pricing; access to raw materials; improvements in operating procedures and technology, including our transformation program; our stock repurchase program and dividend strategy; capital expenditures by Schlumberger and the oil and gas industry; the business strategies of Schlumberger’s customers; the success of Schlumberger’s SPM projects; the success of Schlumberger’s acquisitions,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availability and cost of raw materials; our inability to meet our financial and performance targets and other forecasts or expectations, such as revenue and free cash flow conversion;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most recent Forms 10-K, 10-Q, and 8-K filed with or furnished to the U.S.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presentation referred to above, and Schlumberger disclaims any intention or obligation to update publicly or revise such statements, whether as a result of new information, future events or otherwise.</w:t>
      </w:r>
    </w:p>
    <w:p>
      <w:pPr>
        <w:sectPr>
          <w:pgSz w:w="11900" w:h="16838" w:orient="portrait"/>
          <w:cols w:equalWidth="0" w:num="1">
            <w:col w:w="11020"/>
          </w:cols>
          <w:pgMar w:left="440" w:top="270" w:right="4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2018</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2019-12-05T08:49:28Z</dcterms:created>
  <dcterms:modified xsi:type="dcterms:W3CDTF">2019-12-05T08:49:28Z</dcterms:modified>
</cp:coreProperties>
</file>